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381B72" w14:textId="77777777" w:rsidR="00532053" w:rsidRPr="002B4C8A" w:rsidRDefault="00532053" w:rsidP="00532053">
      <w:pPr>
        <w:pBdr>
          <w:bottom w:val="single" w:sz="4" w:space="1" w:color="000000"/>
        </w:pBdr>
        <w:spacing w:line="240" w:lineRule="auto"/>
        <w:jc w:val="center"/>
        <w:rPr>
          <w:rFonts w:asciiTheme="majorBidi" w:hAnsiTheme="majorBidi" w:cstheme="majorBidi"/>
          <w:sz w:val="24"/>
          <w:szCs w:val="24"/>
        </w:rPr>
      </w:pPr>
      <w:r w:rsidRPr="002B4C8A">
        <w:rPr>
          <w:rFonts w:asciiTheme="majorBidi" w:hAnsiTheme="majorBidi" w:cstheme="majorBidi"/>
          <w:sz w:val="24"/>
          <w:szCs w:val="24"/>
        </w:rPr>
        <w:t>ОДЕСЬКИЙ НАЦІОНАЛЬНИЙ УНІВЕРСИТЕТ ІМЕНІ І. І. МЕЧНИКОВА</w:t>
      </w:r>
    </w:p>
    <w:p w14:paraId="77819929" w14:textId="77777777" w:rsidR="00532053" w:rsidRPr="002B4C8A" w:rsidRDefault="00532053" w:rsidP="00532053">
      <w:pPr>
        <w:spacing w:line="240" w:lineRule="auto"/>
        <w:jc w:val="center"/>
        <w:rPr>
          <w:rFonts w:asciiTheme="majorBidi" w:hAnsiTheme="majorBidi" w:cstheme="majorBidi"/>
          <w:sz w:val="24"/>
          <w:szCs w:val="24"/>
        </w:rPr>
      </w:pPr>
      <w:r w:rsidRPr="002B4C8A">
        <w:rPr>
          <w:rFonts w:asciiTheme="majorBidi" w:hAnsiTheme="majorBidi" w:cstheme="majorBidi"/>
          <w:sz w:val="24"/>
          <w:szCs w:val="24"/>
        </w:rPr>
        <w:t>(повне найменування закладу вищої освіти)</w:t>
      </w:r>
    </w:p>
    <w:p w14:paraId="41DDB54D" w14:textId="77777777" w:rsidR="00532053" w:rsidRPr="002B4C8A" w:rsidRDefault="00532053" w:rsidP="00532053">
      <w:pPr>
        <w:pBdr>
          <w:bottom w:val="single" w:sz="4" w:space="1" w:color="000000"/>
        </w:pBdr>
        <w:tabs>
          <w:tab w:val="center" w:pos="4677"/>
        </w:tabs>
        <w:spacing w:before="240" w:line="240" w:lineRule="auto"/>
        <w:rPr>
          <w:rFonts w:asciiTheme="majorBidi" w:hAnsiTheme="majorBidi" w:cstheme="majorBidi"/>
          <w:sz w:val="24"/>
          <w:szCs w:val="24"/>
        </w:rPr>
      </w:pPr>
      <w:r w:rsidRPr="002B4C8A">
        <w:rPr>
          <w:rFonts w:asciiTheme="majorBidi" w:hAnsiTheme="majorBidi" w:cstheme="majorBidi"/>
          <w:sz w:val="24"/>
          <w:szCs w:val="24"/>
        </w:rPr>
        <w:tab/>
        <w:t>Факультет міжнародних відносин, політології та соціології</w:t>
      </w:r>
    </w:p>
    <w:p w14:paraId="71812B1A" w14:textId="77777777" w:rsidR="00532053" w:rsidRPr="002B4C8A" w:rsidRDefault="00532053" w:rsidP="00532053">
      <w:pPr>
        <w:spacing w:line="240" w:lineRule="auto"/>
        <w:jc w:val="center"/>
        <w:rPr>
          <w:rFonts w:asciiTheme="majorBidi" w:hAnsiTheme="majorBidi" w:cstheme="majorBidi"/>
          <w:sz w:val="24"/>
          <w:szCs w:val="24"/>
        </w:rPr>
      </w:pPr>
      <w:r w:rsidRPr="002B4C8A">
        <w:rPr>
          <w:rFonts w:asciiTheme="majorBidi" w:hAnsiTheme="majorBidi" w:cstheme="majorBidi"/>
          <w:sz w:val="24"/>
          <w:szCs w:val="24"/>
        </w:rPr>
        <w:t>(повне найменування факультету)</w:t>
      </w:r>
    </w:p>
    <w:p w14:paraId="035F8660" w14:textId="77777777" w:rsidR="00532053" w:rsidRPr="002B4C8A" w:rsidRDefault="00532053" w:rsidP="00532053">
      <w:pPr>
        <w:pBdr>
          <w:bottom w:val="single" w:sz="4" w:space="1" w:color="000000"/>
        </w:pBdr>
        <w:spacing w:before="240" w:line="240" w:lineRule="auto"/>
        <w:jc w:val="center"/>
        <w:rPr>
          <w:rFonts w:asciiTheme="majorBidi" w:hAnsiTheme="majorBidi" w:cstheme="majorBidi"/>
          <w:sz w:val="24"/>
          <w:szCs w:val="24"/>
        </w:rPr>
      </w:pPr>
      <w:r w:rsidRPr="002B4C8A">
        <w:rPr>
          <w:rFonts w:asciiTheme="majorBidi" w:hAnsiTheme="majorBidi" w:cstheme="majorBidi"/>
          <w:sz w:val="24"/>
          <w:szCs w:val="24"/>
        </w:rPr>
        <w:t>Кафедра міжнародних відносин</w:t>
      </w:r>
    </w:p>
    <w:p w14:paraId="02B2C302" w14:textId="77777777" w:rsidR="00532053" w:rsidRPr="002B4C8A" w:rsidRDefault="00532053" w:rsidP="00532053">
      <w:pPr>
        <w:spacing w:line="240" w:lineRule="auto"/>
        <w:jc w:val="center"/>
        <w:rPr>
          <w:rFonts w:asciiTheme="majorBidi" w:hAnsiTheme="majorBidi" w:cstheme="majorBidi"/>
          <w:sz w:val="24"/>
          <w:szCs w:val="24"/>
        </w:rPr>
      </w:pPr>
      <w:r w:rsidRPr="002B4C8A">
        <w:rPr>
          <w:rFonts w:asciiTheme="majorBidi" w:hAnsiTheme="majorBidi" w:cstheme="majorBidi"/>
          <w:sz w:val="24"/>
          <w:szCs w:val="24"/>
        </w:rPr>
        <w:t>(повна назва кафедри)</w:t>
      </w:r>
    </w:p>
    <w:p w14:paraId="1EEFC4B3" w14:textId="77777777" w:rsidR="00532053" w:rsidRPr="002B4C8A" w:rsidRDefault="00532053" w:rsidP="00532053">
      <w:pPr>
        <w:spacing w:line="240" w:lineRule="auto"/>
        <w:rPr>
          <w:rFonts w:asciiTheme="majorBidi" w:hAnsiTheme="majorBidi" w:cstheme="majorBidi"/>
          <w:b/>
          <w:sz w:val="24"/>
          <w:szCs w:val="24"/>
        </w:rPr>
      </w:pPr>
    </w:p>
    <w:p w14:paraId="6F59B781" w14:textId="77777777" w:rsidR="00532053" w:rsidRPr="002B4C8A" w:rsidRDefault="00532053" w:rsidP="00532053">
      <w:pPr>
        <w:spacing w:line="240" w:lineRule="auto"/>
        <w:jc w:val="center"/>
        <w:rPr>
          <w:rFonts w:asciiTheme="majorBidi" w:hAnsiTheme="majorBidi" w:cstheme="majorBidi"/>
          <w:b/>
          <w:sz w:val="24"/>
          <w:szCs w:val="24"/>
        </w:rPr>
      </w:pPr>
      <w:r w:rsidRPr="002B4C8A">
        <w:rPr>
          <w:rFonts w:asciiTheme="majorBidi" w:hAnsiTheme="majorBidi" w:cstheme="majorBidi"/>
          <w:b/>
          <w:sz w:val="24"/>
          <w:szCs w:val="24"/>
        </w:rPr>
        <w:t>Кваліфікаційна робота</w:t>
      </w:r>
    </w:p>
    <w:p w14:paraId="5FE1D4B6" w14:textId="77777777" w:rsidR="00532053" w:rsidRPr="002B4C8A" w:rsidRDefault="00532053" w:rsidP="00532053">
      <w:pPr>
        <w:pBdr>
          <w:bottom w:val="single" w:sz="4" w:space="1" w:color="000000"/>
        </w:pBdr>
        <w:tabs>
          <w:tab w:val="center" w:pos="4819"/>
          <w:tab w:val="right" w:pos="8505"/>
        </w:tabs>
        <w:spacing w:before="240" w:line="240" w:lineRule="auto"/>
        <w:ind w:left="1134" w:right="850"/>
        <w:jc w:val="center"/>
        <w:rPr>
          <w:rFonts w:asciiTheme="majorBidi" w:hAnsiTheme="majorBidi" w:cstheme="majorBidi"/>
          <w:sz w:val="24"/>
          <w:szCs w:val="24"/>
        </w:rPr>
      </w:pPr>
      <w:r w:rsidRPr="002B4C8A">
        <w:rPr>
          <w:rFonts w:asciiTheme="majorBidi" w:hAnsiTheme="majorBidi" w:cstheme="majorBidi"/>
          <w:sz w:val="24"/>
          <w:szCs w:val="24"/>
        </w:rPr>
        <w:t>на здобуття ступеня вищої освіти «магістр»</w:t>
      </w:r>
    </w:p>
    <w:p w14:paraId="75AA25E7" w14:textId="77777777" w:rsidR="00532053" w:rsidRPr="002B4C8A" w:rsidRDefault="00532053" w:rsidP="00532053">
      <w:pPr>
        <w:tabs>
          <w:tab w:val="right" w:pos="9355"/>
        </w:tabs>
        <w:spacing w:line="240" w:lineRule="auto"/>
        <w:jc w:val="center"/>
        <w:rPr>
          <w:rFonts w:asciiTheme="majorBidi" w:hAnsiTheme="majorBidi" w:cstheme="majorBidi"/>
          <w:b/>
          <w:sz w:val="24"/>
          <w:szCs w:val="24"/>
        </w:rPr>
      </w:pPr>
    </w:p>
    <w:p w14:paraId="1B7CFC51" w14:textId="77777777" w:rsidR="00532053" w:rsidRPr="002B4C8A" w:rsidRDefault="00532053" w:rsidP="00532053">
      <w:pPr>
        <w:tabs>
          <w:tab w:val="right" w:pos="9355"/>
        </w:tabs>
        <w:spacing w:line="240" w:lineRule="auto"/>
        <w:jc w:val="center"/>
        <w:rPr>
          <w:rFonts w:asciiTheme="majorBidi" w:hAnsiTheme="majorBidi" w:cstheme="majorBidi"/>
          <w:b/>
          <w:sz w:val="24"/>
          <w:szCs w:val="24"/>
        </w:rPr>
      </w:pPr>
      <w:r w:rsidRPr="002B4C8A">
        <w:rPr>
          <w:rFonts w:asciiTheme="majorBidi" w:hAnsiTheme="majorBidi" w:cstheme="majorBidi"/>
          <w:b/>
          <w:sz w:val="24"/>
          <w:szCs w:val="24"/>
        </w:rPr>
        <w:t>«</w:t>
      </w:r>
      <w:r w:rsidRPr="002B4C8A">
        <w:rPr>
          <w:rFonts w:asciiTheme="majorBidi" w:hAnsiTheme="majorBidi" w:cstheme="majorBidi"/>
          <w:b/>
          <w:sz w:val="24"/>
          <w:szCs w:val="24"/>
          <w:lang w:val="uk-UA"/>
        </w:rPr>
        <w:t>ЗОВНІШНЯ ПОЛІТИКА ТУРЕЧЧИНИ</w:t>
      </w:r>
      <w:r w:rsidRPr="002B4C8A">
        <w:rPr>
          <w:rFonts w:asciiTheme="majorBidi" w:hAnsiTheme="majorBidi" w:cstheme="majorBidi"/>
          <w:b/>
          <w:sz w:val="24"/>
          <w:szCs w:val="24"/>
          <w:lang w:val="ru-RU"/>
        </w:rPr>
        <w:t>:</w:t>
      </w:r>
      <w:r w:rsidRPr="002B4C8A">
        <w:rPr>
          <w:rFonts w:asciiTheme="majorBidi" w:hAnsiTheme="majorBidi" w:cstheme="majorBidi"/>
          <w:b/>
          <w:sz w:val="24"/>
          <w:szCs w:val="24"/>
          <w:lang w:val="uk-UA"/>
        </w:rPr>
        <w:t xml:space="preserve"> ІСЛАМСЬКИЙ ЧИННИК</w:t>
      </w:r>
      <w:r w:rsidRPr="002B4C8A">
        <w:rPr>
          <w:rFonts w:asciiTheme="majorBidi" w:hAnsiTheme="majorBidi" w:cstheme="majorBidi"/>
          <w:b/>
          <w:sz w:val="24"/>
          <w:szCs w:val="24"/>
        </w:rPr>
        <w:t>»</w:t>
      </w:r>
    </w:p>
    <w:p w14:paraId="24E86A65" w14:textId="77777777" w:rsidR="00532053" w:rsidRPr="002B4C8A" w:rsidRDefault="00532053" w:rsidP="00532053">
      <w:pPr>
        <w:tabs>
          <w:tab w:val="right" w:pos="9355"/>
        </w:tabs>
        <w:spacing w:line="240" w:lineRule="auto"/>
        <w:jc w:val="center"/>
        <w:rPr>
          <w:rFonts w:asciiTheme="majorBidi" w:hAnsiTheme="majorBidi" w:cstheme="majorBidi"/>
          <w:b/>
          <w:sz w:val="24"/>
          <w:szCs w:val="24"/>
        </w:rPr>
      </w:pPr>
      <w:r w:rsidRPr="002B4C8A">
        <w:rPr>
          <w:rFonts w:asciiTheme="majorBidi" w:hAnsiTheme="majorBidi" w:cstheme="majorBidi"/>
          <w:b/>
          <w:sz w:val="24"/>
          <w:szCs w:val="24"/>
        </w:rPr>
        <w:t>(тема кваліфікаційної роботи українською мовою)</w:t>
      </w:r>
    </w:p>
    <w:p w14:paraId="03467CA9" w14:textId="77777777" w:rsidR="00532053" w:rsidRPr="002B4C8A" w:rsidRDefault="00532053" w:rsidP="00532053">
      <w:pPr>
        <w:tabs>
          <w:tab w:val="right" w:pos="9355"/>
        </w:tabs>
        <w:spacing w:line="240" w:lineRule="auto"/>
        <w:jc w:val="center"/>
        <w:rPr>
          <w:rFonts w:asciiTheme="majorBidi" w:hAnsiTheme="majorBidi" w:cstheme="majorBidi"/>
          <w:b/>
          <w:sz w:val="24"/>
          <w:szCs w:val="24"/>
        </w:rPr>
      </w:pPr>
      <w:r w:rsidRPr="002B4C8A">
        <w:rPr>
          <w:rFonts w:asciiTheme="majorBidi" w:hAnsiTheme="majorBidi" w:cstheme="majorBidi"/>
          <w:b/>
          <w:sz w:val="24"/>
          <w:szCs w:val="24"/>
        </w:rPr>
        <w:t>«FOREIGN POLICY OF TURKEY: THE ISLAMIC FACTOR»</w:t>
      </w:r>
    </w:p>
    <w:p w14:paraId="42291C50" w14:textId="77777777" w:rsidR="00532053" w:rsidRPr="002B4C8A" w:rsidRDefault="00532053" w:rsidP="00532053">
      <w:pPr>
        <w:tabs>
          <w:tab w:val="left" w:pos="2445"/>
        </w:tabs>
        <w:spacing w:line="240" w:lineRule="auto"/>
        <w:jc w:val="center"/>
        <w:rPr>
          <w:rFonts w:asciiTheme="majorBidi" w:hAnsiTheme="majorBidi" w:cstheme="majorBidi"/>
          <w:sz w:val="24"/>
          <w:szCs w:val="24"/>
        </w:rPr>
      </w:pPr>
      <w:r w:rsidRPr="002B4C8A">
        <w:rPr>
          <w:rFonts w:asciiTheme="majorBidi" w:hAnsiTheme="majorBidi" w:cstheme="majorBidi"/>
          <w:b/>
          <w:sz w:val="24"/>
          <w:szCs w:val="24"/>
        </w:rPr>
        <w:t xml:space="preserve"> (тема кваліфікаційної роботи англійською мовою)</w:t>
      </w:r>
    </w:p>
    <w:p w14:paraId="3E2FF664" w14:textId="77777777" w:rsidR="00532053" w:rsidRPr="002B4C8A" w:rsidRDefault="00532053" w:rsidP="00532053">
      <w:pPr>
        <w:tabs>
          <w:tab w:val="right" w:pos="9355"/>
        </w:tabs>
        <w:spacing w:line="240" w:lineRule="auto"/>
        <w:jc w:val="center"/>
        <w:rPr>
          <w:rFonts w:asciiTheme="majorBidi" w:hAnsiTheme="majorBidi" w:cstheme="majorBidi"/>
          <w:sz w:val="24"/>
          <w:szCs w:val="24"/>
        </w:rPr>
      </w:pPr>
    </w:p>
    <w:p w14:paraId="510C3631" w14:textId="77777777" w:rsidR="00532053" w:rsidRPr="002B4C8A" w:rsidRDefault="00532053" w:rsidP="00532053">
      <w:pPr>
        <w:tabs>
          <w:tab w:val="right" w:pos="9355"/>
        </w:tabs>
        <w:spacing w:line="240" w:lineRule="auto"/>
        <w:jc w:val="both"/>
        <w:rPr>
          <w:rFonts w:asciiTheme="majorBidi" w:hAnsiTheme="majorBidi" w:cstheme="majorBidi"/>
          <w:sz w:val="24"/>
          <w:szCs w:val="24"/>
          <w:u w:val="single"/>
        </w:rPr>
      </w:pPr>
    </w:p>
    <w:p w14:paraId="5C87C3CD" w14:textId="77777777" w:rsidR="00532053" w:rsidRPr="002B4C8A" w:rsidRDefault="00532053" w:rsidP="00532053">
      <w:pPr>
        <w:spacing w:line="240" w:lineRule="auto"/>
        <w:jc w:val="both"/>
        <w:rPr>
          <w:rFonts w:asciiTheme="majorBidi" w:hAnsiTheme="majorBidi" w:cstheme="majorBidi"/>
          <w:sz w:val="24"/>
          <w:szCs w:val="24"/>
        </w:rPr>
      </w:pPr>
      <w:r w:rsidRPr="002B4C8A">
        <w:rPr>
          <w:rFonts w:asciiTheme="majorBidi" w:hAnsiTheme="majorBidi" w:cstheme="majorBidi"/>
          <w:sz w:val="24"/>
          <w:szCs w:val="24"/>
        </w:rPr>
        <w:t xml:space="preserve">                           </w:t>
      </w:r>
      <w:r w:rsidRPr="002B4C8A">
        <w:rPr>
          <w:rFonts w:asciiTheme="majorBidi" w:hAnsiTheme="majorBidi" w:cstheme="majorBidi"/>
          <w:sz w:val="24"/>
          <w:szCs w:val="24"/>
          <w:lang w:val="uk-UA"/>
        </w:rPr>
        <w:t xml:space="preserve">                  </w:t>
      </w:r>
      <w:r w:rsidRPr="002B4C8A">
        <w:rPr>
          <w:rFonts w:asciiTheme="majorBidi" w:hAnsiTheme="majorBidi" w:cstheme="majorBidi"/>
          <w:sz w:val="24"/>
          <w:szCs w:val="24"/>
        </w:rPr>
        <w:t>Виконав(ла): здобувач(ка) денної форми</w:t>
      </w:r>
      <w:r w:rsidRPr="002B4C8A">
        <w:rPr>
          <w:rFonts w:asciiTheme="majorBidi" w:hAnsiTheme="majorBidi" w:cstheme="majorBidi"/>
          <w:sz w:val="24"/>
          <w:szCs w:val="24"/>
          <w:lang w:val="uk-UA"/>
        </w:rPr>
        <w:t xml:space="preserve"> </w:t>
      </w:r>
      <w:r w:rsidRPr="002B4C8A">
        <w:rPr>
          <w:rFonts w:asciiTheme="majorBidi" w:hAnsiTheme="majorBidi" w:cstheme="majorBidi"/>
          <w:sz w:val="24"/>
          <w:szCs w:val="24"/>
        </w:rPr>
        <w:t>навчання</w:t>
      </w:r>
      <w:r w:rsidRPr="002B4C8A">
        <w:rPr>
          <w:rFonts w:asciiTheme="majorBidi" w:hAnsiTheme="majorBidi" w:cstheme="majorBidi"/>
          <w:sz w:val="24"/>
          <w:szCs w:val="24"/>
          <w:lang w:val="uk-UA"/>
        </w:rPr>
        <w:t xml:space="preserve">      </w:t>
      </w:r>
      <w:r w:rsidRPr="002B4C8A">
        <w:rPr>
          <w:rFonts w:asciiTheme="majorBidi" w:hAnsiTheme="majorBidi" w:cstheme="majorBidi"/>
          <w:sz w:val="24"/>
          <w:szCs w:val="24"/>
        </w:rPr>
        <w:t xml:space="preserve">пеціальності </w:t>
      </w:r>
      <w:r w:rsidRPr="002B4C8A">
        <w:rPr>
          <w:rFonts w:asciiTheme="majorBidi" w:hAnsiTheme="majorBidi" w:cstheme="majorBidi"/>
          <w:sz w:val="24"/>
          <w:szCs w:val="24"/>
          <w:u w:val="single"/>
        </w:rPr>
        <w:t>291Міжнародні відносини</w:t>
      </w:r>
      <w:r w:rsidRPr="002B4C8A">
        <w:rPr>
          <w:rFonts w:asciiTheme="majorBidi" w:hAnsiTheme="majorBidi" w:cstheme="majorBidi"/>
          <w:sz w:val="24"/>
          <w:szCs w:val="24"/>
          <w:u w:val="single"/>
          <w:lang w:val="uk-UA"/>
        </w:rPr>
        <w:t xml:space="preserve"> </w:t>
      </w:r>
      <w:r w:rsidRPr="002B4C8A">
        <w:rPr>
          <w:rFonts w:asciiTheme="majorBidi" w:hAnsiTheme="majorBidi" w:cstheme="majorBidi"/>
          <w:sz w:val="24"/>
          <w:szCs w:val="24"/>
          <w:u w:val="single"/>
        </w:rPr>
        <w:t>суспільні</w:t>
      </w:r>
      <w:r w:rsidRPr="002B4C8A">
        <w:rPr>
          <w:rFonts w:asciiTheme="majorBidi" w:hAnsiTheme="majorBidi" w:cstheme="majorBidi"/>
          <w:sz w:val="24"/>
          <w:szCs w:val="24"/>
          <w:lang w:val="uk-UA"/>
        </w:rPr>
        <w:t xml:space="preserve"> </w:t>
      </w:r>
      <w:r w:rsidRPr="002B4C8A">
        <w:rPr>
          <w:rFonts w:asciiTheme="majorBidi" w:hAnsiTheme="majorBidi" w:cstheme="majorBidi"/>
          <w:sz w:val="24"/>
          <w:szCs w:val="24"/>
          <w:u w:val="single"/>
        </w:rPr>
        <w:t>комунікації</w:t>
      </w:r>
      <w:r w:rsidRPr="002B4C8A">
        <w:rPr>
          <w:rFonts w:asciiTheme="majorBidi" w:hAnsiTheme="majorBidi" w:cstheme="majorBidi"/>
          <w:sz w:val="24"/>
          <w:szCs w:val="24"/>
          <w:u w:val="single"/>
          <w:lang w:val="uk-UA"/>
        </w:rPr>
        <w:t xml:space="preserve">  </w:t>
      </w:r>
      <w:r w:rsidRPr="002B4C8A">
        <w:rPr>
          <w:rFonts w:asciiTheme="majorBidi" w:hAnsiTheme="majorBidi" w:cstheme="majorBidi"/>
          <w:sz w:val="24"/>
          <w:szCs w:val="24"/>
          <w:u w:val="single"/>
        </w:rPr>
        <w:t>та</w:t>
      </w:r>
      <w:r w:rsidRPr="002B4C8A">
        <w:rPr>
          <w:rFonts w:asciiTheme="majorBidi" w:hAnsiTheme="majorBidi" w:cstheme="majorBidi"/>
          <w:sz w:val="24"/>
          <w:szCs w:val="24"/>
          <w:u w:val="single"/>
          <w:lang w:val="uk-UA"/>
        </w:rPr>
        <w:t xml:space="preserve"> </w:t>
      </w:r>
      <w:r w:rsidRPr="002B4C8A">
        <w:rPr>
          <w:rFonts w:asciiTheme="majorBidi" w:hAnsiTheme="majorBidi" w:cstheme="majorBidi"/>
          <w:sz w:val="24"/>
          <w:szCs w:val="24"/>
          <w:u w:val="single"/>
        </w:rPr>
        <w:t>регіональні</w:t>
      </w:r>
      <w:r w:rsidRPr="002B4C8A">
        <w:rPr>
          <w:rFonts w:asciiTheme="majorBidi" w:hAnsiTheme="majorBidi" w:cstheme="majorBidi"/>
          <w:sz w:val="24"/>
          <w:szCs w:val="24"/>
          <w:u w:val="single"/>
          <w:lang w:val="uk-UA"/>
        </w:rPr>
        <w:t xml:space="preserve">  </w:t>
      </w:r>
      <w:r w:rsidRPr="002B4C8A">
        <w:rPr>
          <w:rFonts w:asciiTheme="majorBidi" w:hAnsiTheme="majorBidi" w:cstheme="majorBidi"/>
          <w:sz w:val="24"/>
          <w:szCs w:val="24"/>
          <w:u w:val="single"/>
        </w:rPr>
        <w:t>студії</w:t>
      </w:r>
    </w:p>
    <w:p w14:paraId="5F6F6CAF" w14:textId="77777777" w:rsidR="00532053" w:rsidRPr="002B4C8A" w:rsidRDefault="00532053" w:rsidP="00532053">
      <w:pPr>
        <w:spacing w:line="240" w:lineRule="auto"/>
        <w:jc w:val="both"/>
        <w:rPr>
          <w:rFonts w:asciiTheme="majorBidi" w:hAnsiTheme="majorBidi" w:cstheme="majorBidi"/>
          <w:sz w:val="24"/>
          <w:szCs w:val="24"/>
          <w:u w:val="single"/>
          <w:lang w:val="uk-UA"/>
        </w:rPr>
      </w:pPr>
      <w:r w:rsidRPr="002B4C8A">
        <w:rPr>
          <w:rFonts w:asciiTheme="majorBidi" w:hAnsiTheme="majorBidi" w:cstheme="majorBidi"/>
          <w:sz w:val="24"/>
          <w:szCs w:val="24"/>
        </w:rPr>
        <w:t xml:space="preserve">Освітня програма </w:t>
      </w:r>
      <w:r w:rsidRPr="002B4C8A">
        <w:rPr>
          <w:rFonts w:asciiTheme="majorBidi" w:hAnsiTheme="majorBidi" w:cstheme="majorBidi"/>
          <w:sz w:val="24"/>
          <w:szCs w:val="24"/>
          <w:u w:val="single"/>
        </w:rPr>
        <w:t>Міжнародні відносини, суспільні комунікації</w:t>
      </w:r>
      <w:r w:rsidRPr="002B4C8A">
        <w:rPr>
          <w:rFonts w:asciiTheme="majorBidi" w:hAnsiTheme="majorBidi" w:cstheme="majorBidi"/>
          <w:sz w:val="24"/>
          <w:szCs w:val="24"/>
          <w:lang w:val="uk-UA"/>
        </w:rPr>
        <w:t xml:space="preserve"> </w:t>
      </w:r>
      <w:r w:rsidRPr="002B4C8A">
        <w:rPr>
          <w:rFonts w:asciiTheme="majorBidi" w:hAnsiTheme="majorBidi" w:cstheme="majorBidi"/>
          <w:sz w:val="24"/>
          <w:szCs w:val="24"/>
          <w:u w:val="single"/>
        </w:rPr>
        <w:t>та регіональні студії</w:t>
      </w:r>
    </w:p>
    <w:p w14:paraId="50A94DEA" w14:textId="77777777" w:rsidR="00532053" w:rsidRPr="002B4C8A" w:rsidRDefault="00532053" w:rsidP="00532053">
      <w:pPr>
        <w:spacing w:line="240" w:lineRule="auto"/>
        <w:jc w:val="both"/>
        <w:rPr>
          <w:rFonts w:asciiTheme="majorBidi" w:hAnsiTheme="majorBidi" w:cstheme="majorBidi"/>
          <w:sz w:val="24"/>
          <w:szCs w:val="24"/>
          <w:lang w:val="uk-UA"/>
        </w:rPr>
      </w:pPr>
    </w:p>
    <w:p w14:paraId="0A1EE9C5" w14:textId="77777777" w:rsidR="00532053" w:rsidRPr="002B4C8A" w:rsidRDefault="00532053" w:rsidP="00532053">
      <w:pPr>
        <w:spacing w:line="240" w:lineRule="auto"/>
        <w:jc w:val="both"/>
        <w:rPr>
          <w:rFonts w:asciiTheme="majorBidi" w:hAnsiTheme="majorBidi" w:cstheme="majorBidi"/>
          <w:sz w:val="24"/>
          <w:szCs w:val="24"/>
          <w:lang w:val="uk-UA"/>
        </w:rPr>
      </w:pPr>
      <w:r w:rsidRPr="002B4C8A">
        <w:rPr>
          <w:rFonts w:asciiTheme="majorBidi" w:hAnsiTheme="majorBidi" w:cstheme="majorBidi"/>
          <w:sz w:val="24"/>
          <w:szCs w:val="24"/>
        </w:rPr>
        <w:t xml:space="preserve">                                 </w:t>
      </w:r>
      <w:r w:rsidRPr="002B4C8A">
        <w:rPr>
          <w:rFonts w:asciiTheme="majorBidi" w:hAnsiTheme="majorBidi" w:cstheme="majorBidi"/>
          <w:sz w:val="24"/>
          <w:szCs w:val="24"/>
          <w:lang w:val="uk-UA"/>
        </w:rPr>
        <w:t xml:space="preserve">                                                 Дерменжи Альбіна Володимирівна</w:t>
      </w:r>
      <w:r w:rsidRPr="002B4C8A">
        <w:rPr>
          <w:rFonts w:asciiTheme="majorBidi" w:hAnsiTheme="majorBidi" w:cstheme="majorBidi"/>
          <w:sz w:val="24"/>
          <w:szCs w:val="24"/>
        </w:rPr>
        <w:t xml:space="preserve"> </w:t>
      </w:r>
    </w:p>
    <w:p w14:paraId="5EFAE349" w14:textId="77777777" w:rsidR="00532053" w:rsidRPr="002B4C8A" w:rsidRDefault="00532053" w:rsidP="00532053">
      <w:pPr>
        <w:spacing w:line="240" w:lineRule="auto"/>
        <w:jc w:val="both"/>
        <w:rPr>
          <w:rFonts w:asciiTheme="majorBidi" w:hAnsiTheme="majorBidi" w:cstheme="majorBidi"/>
          <w:sz w:val="24"/>
          <w:szCs w:val="24"/>
        </w:rPr>
      </w:pPr>
      <w:r w:rsidRPr="002B4C8A">
        <w:rPr>
          <w:rFonts w:asciiTheme="majorBidi" w:hAnsiTheme="majorBidi" w:cstheme="majorBidi"/>
          <w:sz w:val="24"/>
          <w:szCs w:val="24"/>
        </w:rPr>
        <w:t xml:space="preserve"> </w:t>
      </w:r>
      <w:r w:rsidRPr="002B4C8A">
        <w:rPr>
          <w:rFonts w:asciiTheme="majorBidi" w:hAnsiTheme="majorBidi" w:cstheme="majorBidi"/>
          <w:sz w:val="24"/>
          <w:szCs w:val="24"/>
          <w:lang w:val="uk-UA"/>
        </w:rPr>
        <w:t xml:space="preserve">                                                                               </w:t>
      </w:r>
      <w:r w:rsidRPr="002B4C8A">
        <w:rPr>
          <w:rFonts w:asciiTheme="majorBidi" w:hAnsiTheme="majorBidi" w:cstheme="majorBidi"/>
          <w:sz w:val="24"/>
          <w:szCs w:val="24"/>
        </w:rPr>
        <w:t>(прізвище, ім’я, по-батькові здобувача)</w:t>
      </w:r>
    </w:p>
    <w:p w14:paraId="59EE549D" w14:textId="77777777" w:rsidR="00532053" w:rsidRPr="002B4C8A" w:rsidRDefault="00532053" w:rsidP="00532053">
      <w:pPr>
        <w:tabs>
          <w:tab w:val="left" w:pos="5245"/>
          <w:tab w:val="right" w:pos="9355"/>
        </w:tabs>
        <w:spacing w:before="120" w:line="240" w:lineRule="auto"/>
        <w:jc w:val="both"/>
        <w:rPr>
          <w:rFonts w:asciiTheme="majorBidi" w:hAnsiTheme="majorBidi" w:cstheme="majorBidi"/>
          <w:sz w:val="24"/>
          <w:szCs w:val="24"/>
          <w:lang w:val="uk-UA"/>
        </w:rPr>
      </w:pPr>
      <w:r w:rsidRPr="002B4C8A">
        <w:rPr>
          <w:rFonts w:asciiTheme="majorBidi" w:hAnsiTheme="majorBidi" w:cstheme="majorBidi"/>
          <w:sz w:val="24"/>
          <w:szCs w:val="24"/>
        </w:rPr>
        <w:t xml:space="preserve">                                 </w:t>
      </w:r>
    </w:p>
    <w:p w14:paraId="2B9F682B" w14:textId="77777777" w:rsidR="00CF3906" w:rsidRPr="00CF3906" w:rsidRDefault="00CF3906" w:rsidP="00CF3906">
      <w:pPr>
        <w:tabs>
          <w:tab w:val="left" w:pos="5245"/>
          <w:tab w:val="right" w:pos="9355"/>
        </w:tabs>
        <w:spacing w:before="120" w:line="240" w:lineRule="auto"/>
        <w:rPr>
          <w:rFonts w:ascii="Times New Roman" w:eastAsia="Times New Roman" w:hAnsi="Times New Roman" w:cs="Times New Roman"/>
          <w:sz w:val="28"/>
          <w:szCs w:val="28"/>
          <w:lang w:val="uk-UA" w:eastAsia="en-US"/>
        </w:rPr>
      </w:pPr>
      <w:r w:rsidRPr="00CF3906">
        <w:rPr>
          <w:rFonts w:ascii="Times New Roman" w:eastAsia="Times New Roman" w:hAnsi="Times New Roman" w:cs="Times New Roman"/>
          <w:sz w:val="28"/>
          <w:szCs w:val="28"/>
          <w:lang w:val="uk-UA" w:eastAsia="en-US"/>
        </w:rPr>
        <w:t xml:space="preserve">                                 Керівник      ____</w:t>
      </w:r>
      <w:r w:rsidRPr="00CF3906">
        <w:rPr>
          <w:rFonts w:ascii="Times New Roman" w:eastAsia="Times New Roman" w:hAnsi="Times New Roman" w:cs="Times New Roman"/>
          <w:sz w:val="28"/>
          <w:szCs w:val="28"/>
          <w:u w:val="single"/>
          <w:lang w:val="uk-UA" w:eastAsia="en-US"/>
        </w:rPr>
        <w:t>к.політ.н., доц. Майстренко Ю.І.</w:t>
      </w:r>
      <w:r w:rsidRPr="00CF3906">
        <w:rPr>
          <w:rFonts w:ascii="Times New Roman" w:eastAsia="Times New Roman" w:hAnsi="Times New Roman" w:cs="Times New Roman"/>
          <w:sz w:val="28"/>
          <w:szCs w:val="28"/>
          <w:lang w:val="uk-UA" w:eastAsia="en-US"/>
        </w:rPr>
        <w:t>____</w:t>
      </w:r>
    </w:p>
    <w:p w14:paraId="1D6C0B85" w14:textId="77777777" w:rsidR="00CF3906" w:rsidRPr="00CF3906" w:rsidRDefault="00CF3906" w:rsidP="00CF3906">
      <w:pPr>
        <w:tabs>
          <w:tab w:val="left" w:pos="5245"/>
          <w:tab w:val="right" w:pos="9355"/>
        </w:tabs>
        <w:spacing w:before="120" w:line="240" w:lineRule="auto"/>
        <w:ind w:firstLine="2160"/>
        <w:jc w:val="center"/>
        <w:rPr>
          <w:rFonts w:ascii="Times New Roman" w:eastAsia="Times New Roman" w:hAnsi="Times New Roman" w:cs="Times New Roman"/>
          <w:sz w:val="20"/>
          <w:szCs w:val="20"/>
          <w:lang w:val="uk-UA" w:eastAsia="en-US"/>
        </w:rPr>
      </w:pPr>
      <w:r w:rsidRPr="00CF3906">
        <w:rPr>
          <w:rFonts w:ascii="Times New Roman" w:eastAsia="Times New Roman" w:hAnsi="Times New Roman" w:cs="Times New Roman"/>
          <w:sz w:val="20"/>
          <w:szCs w:val="20"/>
          <w:lang w:val="uk-UA" w:eastAsia="en-US"/>
        </w:rPr>
        <w:t xml:space="preserve">                  (науковий ступінь, вчене звання, прізвище, ініціали)  (підпис)</w:t>
      </w:r>
    </w:p>
    <w:p w14:paraId="5502B53F" w14:textId="67BB2191" w:rsidR="00CF3906" w:rsidRPr="00CF3906" w:rsidRDefault="00CF3906" w:rsidP="00CF3906">
      <w:pPr>
        <w:tabs>
          <w:tab w:val="left" w:pos="5245"/>
          <w:tab w:val="right" w:pos="9355"/>
        </w:tabs>
        <w:spacing w:before="120" w:line="240" w:lineRule="auto"/>
        <w:rPr>
          <w:rFonts w:ascii="Times New Roman" w:eastAsia="Times New Roman" w:hAnsi="Times New Roman" w:cs="Times New Roman"/>
          <w:sz w:val="28"/>
          <w:szCs w:val="28"/>
          <w:lang w:val="uk-UA" w:eastAsia="en-US"/>
        </w:rPr>
      </w:pPr>
      <w:r w:rsidRPr="00CF3906">
        <w:rPr>
          <w:rFonts w:ascii="Times New Roman" w:eastAsia="Times New Roman" w:hAnsi="Times New Roman" w:cs="Times New Roman"/>
          <w:sz w:val="28"/>
          <w:szCs w:val="28"/>
          <w:lang w:val="uk-UA" w:eastAsia="en-US"/>
        </w:rPr>
        <w:t xml:space="preserve">                                 Рецензент    ___</w:t>
      </w:r>
      <w:r>
        <w:rPr>
          <w:rFonts w:ascii="Times New Roman" w:eastAsia="Times New Roman" w:hAnsi="Times New Roman" w:cs="Times New Roman"/>
          <w:sz w:val="28"/>
          <w:szCs w:val="28"/>
          <w:u w:val="single"/>
          <w:lang w:val="uk-UA" w:eastAsia="en-US"/>
        </w:rPr>
        <w:t>к</w:t>
      </w:r>
      <w:r w:rsidRPr="00CF3906">
        <w:rPr>
          <w:rFonts w:ascii="Times New Roman" w:eastAsia="Times New Roman" w:hAnsi="Times New Roman" w:cs="Times New Roman"/>
          <w:sz w:val="28"/>
          <w:szCs w:val="28"/>
          <w:u w:val="single"/>
          <w:lang w:val="uk-UA" w:eastAsia="en-US"/>
        </w:rPr>
        <w:t xml:space="preserve">.політ.н., </w:t>
      </w:r>
      <w:r>
        <w:rPr>
          <w:rFonts w:ascii="Times New Roman" w:eastAsia="Times New Roman" w:hAnsi="Times New Roman" w:cs="Times New Roman"/>
          <w:sz w:val="28"/>
          <w:szCs w:val="28"/>
          <w:u w:val="single"/>
          <w:lang w:val="uk-UA" w:eastAsia="en-US"/>
        </w:rPr>
        <w:t>доц</w:t>
      </w:r>
      <w:r w:rsidRPr="00CF3906">
        <w:rPr>
          <w:rFonts w:ascii="Times New Roman" w:eastAsia="Times New Roman" w:hAnsi="Times New Roman" w:cs="Times New Roman"/>
          <w:sz w:val="28"/>
          <w:szCs w:val="28"/>
          <w:u w:val="single"/>
          <w:lang w:val="uk-UA" w:eastAsia="en-US"/>
        </w:rPr>
        <w:t xml:space="preserve">. </w:t>
      </w:r>
      <w:r>
        <w:rPr>
          <w:rFonts w:ascii="Times New Roman" w:eastAsia="Times New Roman" w:hAnsi="Times New Roman" w:cs="Times New Roman"/>
          <w:sz w:val="28"/>
          <w:szCs w:val="28"/>
          <w:u w:val="single"/>
          <w:lang w:val="uk-UA" w:eastAsia="en-US"/>
        </w:rPr>
        <w:t>Захарченко А.М.</w:t>
      </w:r>
    </w:p>
    <w:p w14:paraId="63F01A1C" w14:textId="77777777" w:rsidR="00CF3906" w:rsidRPr="00CF3906" w:rsidRDefault="00CF3906" w:rsidP="00CF3906">
      <w:pPr>
        <w:tabs>
          <w:tab w:val="left" w:pos="5245"/>
          <w:tab w:val="right" w:pos="9355"/>
        </w:tabs>
        <w:spacing w:before="120" w:line="240" w:lineRule="auto"/>
        <w:rPr>
          <w:rFonts w:ascii="Times New Roman" w:eastAsia="Times New Roman" w:hAnsi="Times New Roman" w:cs="Times New Roman"/>
          <w:sz w:val="20"/>
          <w:szCs w:val="20"/>
          <w:lang w:val="ru-RU" w:eastAsia="en-US"/>
        </w:rPr>
      </w:pPr>
      <w:r w:rsidRPr="00CF3906">
        <w:rPr>
          <w:rFonts w:ascii="Times New Roman" w:eastAsia="Times New Roman" w:hAnsi="Times New Roman" w:cs="Times New Roman"/>
          <w:sz w:val="20"/>
          <w:szCs w:val="20"/>
          <w:lang w:val="uk-UA" w:eastAsia="en-US"/>
        </w:rPr>
        <w:t xml:space="preserve">                                                                                 (науковий ступінь, вчене звання, прізвище, ініціали)</w:t>
      </w:r>
    </w:p>
    <w:p w14:paraId="0D26976A" w14:textId="77777777" w:rsidR="00CF3906" w:rsidRPr="00CF3906" w:rsidRDefault="00CF3906" w:rsidP="00CF3906">
      <w:pPr>
        <w:tabs>
          <w:tab w:val="left" w:pos="5245"/>
          <w:tab w:val="right" w:pos="9355"/>
        </w:tabs>
        <w:spacing w:before="120" w:line="240" w:lineRule="auto"/>
        <w:jc w:val="both"/>
        <w:rPr>
          <w:rFonts w:ascii="Times New Roman" w:eastAsia="Times New Roman" w:hAnsi="Times New Roman" w:cs="Times New Roman"/>
          <w:sz w:val="20"/>
          <w:szCs w:val="20"/>
          <w:lang w:val="uk-UA" w:eastAsia="en-US"/>
        </w:rPr>
      </w:pPr>
    </w:p>
    <w:p w14:paraId="0E1F3223" w14:textId="77777777" w:rsidR="00532053" w:rsidRPr="002B4C8A" w:rsidRDefault="00532053" w:rsidP="00532053">
      <w:pPr>
        <w:tabs>
          <w:tab w:val="left" w:pos="5245"/>
          <w:tab w:val="right" w:pos="9355"/>
        </w:tabs>
        <w:spacing w:before="120" w:line="240" w:lineRule="auto"/>
        <w:jc w:val="both"/>
        <w:rPr>
          <w:rFonts w:asciiTheme="majorBidi" w:hAnsiTheme="majorBidi" w:cstheme="majorBidi"/>
          <w:sz w:val="24"/>
          <w:szCs w:val="24"/>
        </w:rPr>
      </w:pPr>
    </w:p>
    <w:tbl>
      <w:tblPr>
        <w:tblW w:w="9868" w:type="dxa"/>
        <w:tblLayout w:type="fixed"/>
        <w:tblLook w:val="0000" w:firstRow="0" w:lastRow="0" w:firstColumn="0" w:lastColumn="0" w:noHBand="0" w:noVBand="0"/>
      </w:tblPr>
      <w:tblGrid>
        <w:gridCol w:w="5082"/>
        <w:gridCol w:w="4786"/>
      </w:tblGrid>
      <w:tr w:rsidR="00532053" w:rsidRPr="002B4C8A" w14:paraId="198AEF5F" w14:textId="77777777" w:rsidTr="00A206A1">
        <w:tc>
          <w:tcPr>
            <w:tcW w:w="5082" w:type="dxa"/>
          </w:tcPr>
          <w:p w14:paraId="5DD311ED" w14:textId="77777777" w:rsidR="00532053" w:rsidRPr="002B4C8A" w:rsidRDefault="00532053" w:rsidP="00A206A1">
            <w:pPr>
              <w:spacing w:line="240" w:lineRule="auto"/>
              <w:rPr>
                <w:rFonts w:asciiTheme="majorBidi" w:hAnsiTheme="majorBidi" w:cstheme="majorBidi"/>
                <w:sz w:val="24"/>
                <w:szCs w:val="24"/>
              </w:rPr>
            </w:pPr>
            <w:bookmarkStart w:id="0" w:name="_heading=h.gjdgxs" w:colFirst="0" w:colLast="0"/>
            <w:bookmarkEnd w:id="0"/>
            <w:r w:rsidRPr="002B4C8A">
              <w:rPr>
                <w:rFonts w:asciiTheme="majorBidi" w:hAnsiTheme="majorBidi" w:cstheme="majorBidi"/>
                <w:sz w:val="24"/>
                <w:szCs w:val="24"/>
              </w:rPr>
              <w:t>Рекомендовано до захисту:</w:t>
            </w:r>
          </w:p>
          <w:p w14:paraId="05638732" w14:textId="77777777" w:rsidR="00532053" w:rsidRPr="002B4C8A" w:rsidRDefault="00532053" w:rsidP="00A206A1">
            <w:pPr>
              <w:spacing w:line="240" w:lineRule="auto"/>
              <w:rPr>
                <w:rFonts w:asciiTheme="majorBidi" w:hAnsiTheme="majorBidi" w:cstheme="majorBidi"/>
                <w:sz w:val="24"/>
                <w:szCs w:val="24"/>
              </w:rPr>
            </w:pPr>
            <w:r w:rsidRPr="002B4C8A">
              <w:rPr>
                <w:rFonts w:asciiTheme="majorBidi" w:hAnsiTheme="majorBidi" w:cstheme="majorBidi"/>
                <w:sz w:val="24"/>
                <w:szCs w:val="24"/>
              </w:rPr>
              <w:t>Протокол засідання кафедри</w:t>
            </w:r>
          </w:p>
          <w:p w14:paraId="56463153" w14:textId="77777777" w:rsidR="00532053" w:rsidRPr="002B4C8A" w:rsidRDefault="00532053" w:rsidP="00A206A1">
            <w:pPr>
              <w:spacing w:line="240" w:lineRule="auto"/>
              <w:rPr>
                <w:rFonts w:asciiTheme="majorBidi" w:hAnsiTheme="majorBidi" w:cstheme="majorBidi"/>
                <w:sz w:val="24"/>
                <w:szCs w:val="24"/>
              </w:rPr>
            </w:pPr>
            <w:r w:rsidRPr="002B4C8A">
              <w:rPr>
                <w:rFonts w:asciiTheme="majorBidi" w:hAnsiTheme="majorBidi" w:cstheme="majorBidi"/>
                <w:sz w:val="24"/>
                <w:szCs w:val="24"/>
              </w:rPr>
              <w:t>__________________________</w:t>
            </w:r>
          </w:p>
          <w:p w14:paraId="5DDF24C7" w14:textId="77777777" w:rsidR="00532053" w:rsidRPr="002B4C8A" w:rsidRDefault="00532053" w:rsidP="00A206A1">
            <w:pPr>
              <w:spacing w:line="240" w:lineRule="auto"/>
              <w:rPr>
                <w:rFonts w:asciiTheme="majorBidi" w:hAnsiTheme="majorBidi" w:cstheme="majorBidi"/>
                <w:sz w:val="24"/>
                <w:szCs w:val="24"/>
              </w:rPr>
            </w:pPr>
            <w:r w:rsidRPr="002B4C8A">
              <w:rPr>
                <w:rFonts w:asciiTheme="majorBidi" w:hAnsiTheme="majorBidi" w:cstheme="majorBidi"/>
                <w:sz w:val="24"/>
                <w:szCs w:val="24"/>
              </w:rPr>
              <w:t xml:space="preserve">№ ___   від ____.____. 20___ р. </w:t>
            </w:r>
          </w:p>
          <w:p w14:paraId="5492C826" w14:textId="77777777" w:rsidR="00532053" w:rsidRPr="002B4C8A" w:rsidRDefault="00532053" w:rsidP="00A206A1">
            <w:pPr>
              <w:spacing w:line="240" w:lineRule="auto"/>
              <w:rPr>
                <w:rFonts w:asciiTheme="majorBidi" w:hAnsiTheme="majorBidi" w:cstheme="majorBidi"/>
                <w:sz w:val="24"/>
                <w:szCs w:val="24"/>
              </w:rPr>
            </w:pPr>
          </w:p>
          <w:p w14:paraId="1E153C30" w14:textId="77777777" w:rsidR="00532053" w:rsidRPr="002B4C8A" w:rsidRDefault="00532053" w:rsidP="00A206A1">
            <w:pPr>
              <w:spacing w:line="240" w:lineRule="auto"/>
              <w:rPr>
                <w:rFonts w:asciiTheme="majorBidi" w:hAnsiTheme="majorBidi" w:cstheme="majorBidi"/>
                <w:sz w:val="24"/>
                <w:szCs w:val="24"/>
              </w:rPr>
            </w:pPr>
            <w:r w:rsidRPr="002B4C8A">
              <w:rPr>
                <w:rFonts w:asciiTheme="majorBidi" w:hAnsiTheme="majorBidi" w:cstheme="majorBidi"/>
                <w:sz w:val="24"/>
                <w:szCs w:val="24"/>
              </w:rPr>
              <w:t>Завідувач(ка) кафедри</w:t>
            </w:r>
          </w:p>
          <w:p w14:paraId="2FB2C3DF" w14:textId="77777777" w:rsidR="00532053" w:rsidRPr="002B4C8A" w:rsidRDefault="00532053" w:rsidP="00A206A1">
            <w:pPr>
              <w:tabs>
                <w:tab w:val="left" w:pos="1168"/>
                <w:tab w:val="left" w:pos="3861"/>
              </w:tabs>
              <w:spacing w:line="240" w:lineRule="auto"/>
              <w:rPr>
                <w:rFonts w:asciiTheme="majorBidi" w:hAnsiTheme="majorBidi" w:cstheme="majorBidi"/>
                <w:sz w:val="24"/>
                <w:szCs w:val="24"/>
                <w:u w:val="single"/>
              </w:rPr>
            </w:pPr>
            <w:r w:rsidRPr="002B4C8A">
              <w:rPr>
                <w:rFonts w:asciiTheme="majorBidi" w:hAnsiTheme="majorBidi" w:cstheme="majorBidi"/>
                <w:sz w:val="24"/>
                <w:szCs w:val="24"/>
                <w:u w:val="single"/>
              </w:rPr>
              <w:tab/>
            </w:r>
            <w:r w:rsidRPr="002B4C8A">
              <w:rPr>
                <w:rFonts w:asciiTheme="majorBidi" w:hAnsiTheme="majorBidi" w:cstheme="majorBidi"/>
                <w:sz w:val="24"/>
                <w:szCs w:val="24"/>
              </w:rPr>
              <w:t xml:space="preserve">              _____________</w:t>
            </w:r>
          </w:p>
          <w:p w14:paraId="781111F5" w14:textId="77777777" w:rsidR="00532053" w:rsidRPr="002B4C8A" w:rsidRDefault="00532053" w:rsidP="00A206A1">
            <w:pPr>
              <w:tabs>
                <w:tab w:val="left" w:pos="284"/>
                <w:tab w:val="left" w:pos="1767"/>
              </w:tabs>
              <w:spacing w:line="240" w:lineRule="auto"/>
              <w:rPr>
                <w:rFonts w:asciiTheme="majorBidi" w:hAnsiTheme="majorBidi" w:cstheme="majorBidi"/>
                <w:sz w:val="24"/>
                <w:szCs w:val="24"/>
              </w:rPr>
            </w:pPr>
            <w:r w:rsidRPr="002B4C8A">
              <w:rPr>
                <w:rFonts w:asciiTheme="majorBidi" w:hAnsiTheme="majorBidi" w:cstheme="majorBidi"/>
                <w:sz w:val="24"/>
                <w:szCs w:val="24"/>
              </w:rPr>
              <w:t xml:space="preserve">     (підпис)</w:t>
            </w:r>
            <w:r w:rsidRPr="002B4C8A">
              <w:rPr>
                <w:rFonts w:asciiTheme="majorBidi" w:hAnsiTheme="majorBidi" w:cstheme="majorBidi"/>
                <w:sz w:val="24"/>
                <w:szCs w:val="24"/>
              </w:rPr>
              <w:tab/>
              <w:t xml:space="preserve">     </w:t>
            </w:r>
            <w:r w:rsidRPr="002B4C8A">
              <w:rPr>
                <w:rFonts w:asciiTheme="majorBidi" w:hAnsiTheme="majorBidi" w:cstheme="majorBidi"/>
                <w:sz w:val="24"/>
                <w:szCs w:val="24"/>
                <w:lang w:val="en-US"/>
              </w:rPr>
              <w:t xml:space="preserve">      </w:t>
            </w:r>
            <w:r w:rsidRPr="002B4C8A">
              <w:rPr>
                <w:rFonts w:asciiTheme="majorBidi" w:hAnsiTheme="majorBidi" w:cstheme="majorBidi"/>
                <w:sz w:val="24"/>
                <w:szCs w:val="24"/>
              </w:rPr>
              <w:t xml:space="preserve"> (прізвище,ім’я)</w:t>
            </w:r>
          </w:p>
        </w:tc>
        <w:tc>
          <w:tcPr>
            <w:tcW w:w="4786" w:type="dxa"/>
          </w:tcPr>
          <w:p w14:paraId="41EADCF0" w14:textId="77777777" w:rsidR="00532053" w:rsidRPr="002B4C8A" w:rsidRDefault="00532053" w:rsidP="00A206A1">
            <w:pPr>
              <w:tabs>
                <w:tab w:val="right" w:pos="4462"/>
              </w:tabs>
              <w:spacing w:line="240" w:lineRule="auto"/>
              <w:rPr>
                <w:rFonts w:asciiTheme="majorBidi" w:hAnsiTheme="majorBidi" w:cstheme="majorBidi"/>
                <w:sz w:val="24"/>
                <w:szCs w:val="24"/>
              </w:rPr>
            </w:pPr>
            <w:r w:rsidRPr="002B4C8A">
              <w:rPr>
                <w:rFonts w:asciiTheme="majorBidi" w:hAnsiTheme="majorBidi" w:cstheme="majorBidi"/>
                <w:sz w:val="24"/>
                <w:szCs w:val="24"/>
              </w:rPr>
              <w:t>Захищено на засіданні ЕК № _____</w:t>
            </w:r>
          </w:p>
          <w:p w14:paraId="6A2AC378" w14:textId="77777777" w:rsidR="00532053" w:rsidRPr="002B4C8A" w:rsidRDefault="00532053" w:rsidP="00A206A1">
            <w:pPr>
              <w:spacing w:line="240" w:lineRule="auto"/>
              <w:rPr>
                <w:rFonts w:asciiTheme="majorBidi" w:hAnsiTheme="majorBidi" w:cstheme="majorBidi"/>
                <w:sz w:val="24"/>
                <w:szCs w:val="24"/>
              </w:rPr>
            </w:pPr>
            <w:r w:rsidRPr="002B4C8A">
              <w:rPr>
                <w:rFonts w:asciiTheme="majorBidi" w:hAnsiTheme="majorBidi" w:cstheme="majorBidi"/>
                <w:sz w:val="24"/>
                <w:szCs w:val="24"/>
              </w:rPr>
              <w:t>протокол № __від ____.____.20___ р.</w:t>
            </w:r>
          </w:p>
          <w:p w14:paraId="0599BC19" w14:textId="77777777" w:rsidR="00532053" w:rsidRPr="002B4C8A" w:rsidRDefault="00532053" w:rsidP="00A206A1">
            <w:pPr>
              <w:spacing w:line="240" w:lineRule="auto"/>
              <w:rPr>
                <w:rFonts w:asciiTheme="majorBidi" w:hAnsiTheme="majorBidi" w:cstheme="majorBidi"/>
                <w:sz w:val="24"/>
                <w:szCs w:val="24"/>
              </w:rPr>
            </w:pPr>
          </w:p>
          <w:p w14:paraId="75D1B4F7" w14:textId="77777777" w:rsidR="00532053" w:rsidRPr="002B4C8A" w:rsidRDefault="00532053" w:rsidP="00A206A1">
            <w:pPr>
              <w:tabs>
                <w:tab w:val="right" w:pos="4462"/>
              </w:tabs>
              <w:spacing w:line="240" w:lineRule="auto"/>
              <w:rPr>
                <w:rFonts w:asciiTheme="majorBidi" w:hAnsiTheme="majorBidi" w:cstheme="majorBidi"/>
                <w:sz w:val="24"/>
                <w:szCs w:val="24"/>
              </w:rPr>
            </w:pPr>
            <w:r w:rsidRPr="002B4C8A">
              <w:rPr>
                <w:rFonts w:asciiTheme="majorBidi" w:hAnsiTheme="majorBidi" w:cstheme="majorBidi"/>
                <w:sz w:val="24"/>
                <w:szCs w:val="24"/>
              </w:rPr>
              <w:t>Оцінка______________/___</w:t>
            </w:r>
            <w:r w:rsidRPr="002B4C8A">
              <w:rPr>
                <w:rFonts w:asciiTheme="majorBidi" w:hAnsiTheme="majorBidi" w:cstheme="majorBidi"/>
                <w:sz w:val="24"/>
                <w:szCs w:val="24"/>
              </w:rPr>
              <w:tab/>
              <w:t>___/_____</w:t>
            </w:r>
          </w:p>
          <w:p w14:paraId="0918562E" w14:textId="77777777" w:rsidR="00532053" w:rsidRPr="002B4C8A" w:rsidRDefault="00532053" w:rsidP="00A206A1">
            <w:pPr>
              <w:spacing w:line="240" w:lineRule="auto"/>
              <w:jc w:val="center"/>
              <w:rPr>
                <w:rFonts w:asciiTheme="majorBidi" w:hAnsiTheme="majorBidi" w:cstheme="majorBidi"/>
                <w:sz w:val="24"/>
                <w:szCs w:val="24"/>
              </w:rPr>
            </w:pPr>
            <w:r w:rsidRPr="002B4C8A">
              <w:rPr>
                <w:rFonts w:asciiTheme="majorBidi" w:hAnsiTheme="majorBidi" w:cstheme="majorBidi"/>
                <w:sz w:val="24"/>
                <w:szCs w:val="24"/>
              </w:rPr>
              <w:t>(за національною шкалою/шкалою ЕСТS/ бали)</w:t>
            </w:r>
          </w:p>
          <w:p w14:paraId="05AECC26" w14:textId="77777777" w:rsidR="00532053" w:rsidRPr="002B4C8A" w:rsidRDefault="00532053" w:rsidP="00A206A1">
            <w:pPr>
              <w:spacing w:line="240" w:lineRule="auto"/>
              <w:rPr>
                <w:rFonts w:asciiTheme="majorBidi" w:hAnsiTheme="majorBidi" w:cstheme="majorBidi"/>
                <w:sz w:val="24"/>
                <w:szCs w:val="24"/>
              </w:rPr>
            </w:pPr>
            <w:r w:rsidRPr="002B4C8A">
              <w:rPr>
                <w:rFonts w:asciiTheme="majorBidi" w:hAnsiTheme="majorBidi" w:cstheme="majorBidi"/>
                <w:sz w:val="24"/>
                <w:szCs w:val="24"/>
              </w:rPr>
              <w:t>Голова ЕК</w:t>
            </w:r>
          </w:p>
          <w:p w14:paraId="1DDA9271" w14:textId="77777777" w:rsidR="00532053" w:rsidRPr="002B4C8A" w:rsidRDefault="00532053" w:rsidP="00A206A1">
            <w:pPr>
              <w:spacing w:line="240" w:lineRule="auto"/>
              <w:rPr>
                <w:rFonts w:asciiTheme="majorBidi" w:hAnsiTheme="majorBidi" w:cstheme="majorBidi"/>
                <w:sz w:val="24"/>
                <w:szCs w:val="24"/>
                <w:u w:val="single"/>
              </w:rPr>
            </w:pPr>
            <w:r w:rsidRPr="002B4C8A">
              <w:rPr>
                <w:rFonts w:asciiTheme="majorBidi" w:hAnsiTheme="majorBidi" w:cstheme="majorBidi"/>
                <w:sz w:val="24"/>
                <w:szCs w:val="24"/>
                <w:u w:val="single"/>
              </w:rPr>
              <w:tab/>
            </w:r>
            <w:r w:rsidRPr="002B4C8A">
              <w:rPr>
                <w:rFonts w:asciiTheme="majorBidi" w:hAnsiTheme="majorBidi" w:cstheme="majorBidi"/>
                <w:sz w:val="24"/>
                <w:szCs w:val="24"/>
              </w:rPr>
              <w:t xml:space="preserve">              _____________</w:t>
            </w:r>
          </w:p>
          <w:p w14:paraId="6530BB36" w14:textId="77777777" w:rsidR="00532053" w:rsidRPr="002B4C8A" w:rsidRDefault="00532053" w:rsidP="00A206A1">
            <w:pPr>
              <w:tabs>
                <w:tab w:val="left" w:pos="454"/>
                <w:tab w:val="left" w:pos="2155"/>
              </w:tabs>
              <w:spacing w:line="240" w:lineRule="auto"/>
              <w:rPr>
                <w:rFonts w:asciiTheme="majorBidi" w:hAnsiTheme="majorBidi" w:cstheme="majorBidi"/>
                <w:sz w:val="24"/>
                <w:szCs w:val="24"/>
                <w:lang w:val="ru-RU"/>
              </w:rPr>
            </w:pPr>
            <w:r w:rsidRPr="002B4C8A">
              <w:rPr>
                <w:rFonts w:asciiTheme="majorBidi" w:hAnsiTheme="majorBidi" w:cstheme="majorBidi"/>
                <w:sz w:val="24"/>
                <w:szCs w:val="24"/>
              </w:rPr>
              <w:t xml:space="preserve"> (підпис)            </w:t>
            </w:r>
            <w:r w:rsidRPr="002B4C8A">
              <w:rPr>
                <w:rFonts w:asciiTheme="majorBidi" w:hAnsiTheme="majorBidi" w:cstheme="majorBidi"/>
                <w:sz w:val="24"/>
                <w:szCs w:val="24"/>
                <w:lang w:val="ru-RU"/>
              </w:rPr>
              <w:t xml:space="preserve">      </w:t>
            </w:r>
            <w:r w:rsidRPr="002B4C8A">
              <w:rPr>
                <w:rFonts w:asciiTheme="majorBidi" w:hAnsiTheme="majorBidi" w:cstheme="majorBidi"/>
                <w:sz w:val="24"/>
                <w:szCs w:val="24"/>
              </w:rPr>
              <w:t xml:space="preserve">       (прізвище, ім’я</w:t>
            </w:r>
            <w:r w:rsidRPr="002B4C8A">
              <w:rPr>
                <w:rFonts w:asciiTheme="majorBidi" w:hAnsiTheme="majorBidi" w:cstheme="majorBidi"/>
                <w:sz w:val="24"/>
                <w:szCs w:val="24"/>
                <w:lang w:val="ru-RU"/>
              </w:rPr>
              <w:t>)</w:t>
            </w:r>
          </w:p>
        </w:tc>
      </w:tr>
      <w:tr w:rsidR="00532053" w:rsidRPr="002B4C8A" w14:paraId="62005E3D" w14:textId="77777777" w:rsidTr="00A206A1">
        <w:tc>
          <w:tcPr>
            <w:tcW w:w="5082" w:type="dxa"/>
          </w:tcPr>
          <w:p w14:paraId="020DC072" w14:textId="77777777" w:rsidR="00532053" w:rsidRPr="002B4C8A" w:rsidRDefault="00532053" w:rsidP="00A206A1">
            <w:pPr>
              <w:spacing w:line="240" w:lineRule="auto"/>
              <w:rPr>
                <w:rFonts w:asciiTheme="majorBidi" w:hAnsiTheme="majorBidi" w:cstheme="majorBidi"/>
                <w:sz w:val="24"/>
                <w:szCs w:val="24"/>
              </w:rPr>
            </w:pPr>
          </w:p>
        </w:tc>
        <w:tc>
          <w:tcPr>
            <w:tcW w:w="4786" w:type="dxa"/>
          </w:tcPr>
          <w:p w14:paraId="649C79FA" w14:textId="77777777" w:rsidR="00532053" w:rsidRPr="002B4C8A" w:rsidRDefault="00532053" w:rsidP="00A206A1">
            <w:pPr>
              <w:spacing w:line="240" w:lineRule="auto"/>
              <w:rPr>
                <w:rFonts w:asciiTheme="majorBidi" w:hAnsiTheme="majorBidi" w:cstheme="majorBidi"/>
                <w:sz w:val="24"/>
                <w:szCs w:val="24"/>
              </w:rPr>
            </w:pPr>
          </w:p>
        </w:tc>
      </w:tr>
    </w:tbl>
    <w:p w14:paraId="432C22A7" w14:textId="77777777" w:rsidR="00532053" w:rsidRPr="002B4C8A" w:rsidRDefault="00532053" w:rsidP="00532053">
      <w:pPr>
        <w:spacing w:line="240" w:lineRule="auto"/>
        <w:jc w:val="center"/>
        <w:rPr>
          <w:rFonts w:asciiTheme="majorBidi" w:hAnsiTheme="majorBidi" w:cstheme="majorBidi"/>
          <w:b/>
          <w:sz w:val="24"/>
          <w:szCs w:val="24"/>
          <w:lang w:val="ru-RU"/>
        </w:rPr>
      </w:pPr>
    </w:p>
    <w:p w14:paraId="0F3A2801" w14:textId="77777777" w:rsidR="00532053" w:rsidRPr="002B4C8A" w:rsidRDefault="00532053" w:rsidP="00532053">
      <w:pPr>
        <w:spacing w:line="240" w:lineRule="auto"/>
        <w:jc w:val="center"/>
        <w:rPr>
          <w:rFonts w:asciiTheme="majorBidi" w:hAnsiTheme="majorBidi" w:cstheme="majorBidi"/>
          <w:b/>
          <w:sz w:val="24"/>
          <w:szCs w:val="24"/>
          <w:lang w:val="ru-RU"/>
        </w:rPr>
      </w:pPr>
    </w:p>
    <w:p w14:paraId="451D5ED8" w14:textId="77777777" w:rsidR="00532053" w:rsidRPr="002B4C8A" w:rsidRDefault="00532053" w:rsidP="00532053">
      <w:pPr>
        <w:spacing w:line="240" w:lineRule="auto"/>
        <w:jc w:val="center"/>
        <w:rPr>
          <w:rFonts w:asciiTheme="majorBidi" w:hAnsiTheme="majorBidi" w:cstheme="majorBidi"/>
          <w:b/>
          <w:sz w:val="24"/>
          <w:szCs w:val="24"/>
          <w:lang w:val="ru-RU"/>
        </w:rPr>
      </w:pPr>
    </w:p>
    <w:p w14:paraId="12CC4BF4" w14:textId="77777777" w:rsidR="00532053" w:rsidRPr="002B4C8A" w:rsidRDefault="00532053" w:rsidP="00532053">
      <w:pPr>
        <w:spacing w:line="240" w:lineRule="auto"/>
        <w:jc w:val="center"/>
        <w:rPr>
          <w:rFonts w:asciiTheme="majorBidi" w:hAnsiTheme="majorBidi" w:cstheme="majorBidi"/>
          <w:b/>
          <w:sz w:val="24"/>
          <w:szCs w:val="24"/>
          <w:lang w:val="en-US"/>
        </w:rPr>
      </w:pPr>
      <w:r w:rsidRPr="002B4C8A">
        <w:rPr>
          <w:rFonts w:asciiTheme="majorBidi" w:hAnsiTheme="majorBidi" w:cstheme="majorBidi"/>
          <w:b/>
          <w:sz w:val="24"/>
          <w:szCs w:val="24"/>
        </w:rPr>
        <w:t>Одеса 20</w:t>
      </w:r>
      <w:r w:rsidRPr="002B4C8A">
        <w:rPr>
          <w:rFonts w:asciiTheme="majorBidi" w:hAnsiTheme="majorBidi" w:cstheme="majorBidi"/>
          <w:b/>
          <w:sz w:val="24"/>
          <w:szCs w:val="24"/>
          <w:lang w:val="en-US"/>
        </w:rPr>
        <w:t>24</w:t>
      </w:r>
    </w:p>
    <w:p w14:paraId="594C2D54" w14:textId="77777777" w:rsidR="00532053" w:rsidRDefault="00532053" w:rsidP="00F45923">
      <w:pPr>
        <w:rPr>
          <w:rFonts w:ascii="Times New Roman" w:eastAsia="Times New Roman" w:hAnsi="Times New Roman" w:cs="Times New Roman"/>
          <w:b/>
          <w:sz w:val="32"/>
          <w:szCs w:val="32"/>
          <w:lang w:val="uk-UA"/>
        </w:rPr>
      </w:pPr>
    </w:p>
    <w:p w14:paraId="2B89C57C" w14:textId="77777777" w:rsidR="00532053" w:rsidRDefault="00532053" w:rsidP="00B34B13">
      <w:pPr>
        <w:jc w:val="center"/>
        <w:rPr>
          <w:rFonts w:ascii="Times New Roman" w:eastAsia="Times New Roman" w:hAnsi="Times New Roman" w:cs="Times New Roman"/>
          <w:b/>
          <w:sz w:val="32"/>
          <w:szCs w:val="32"/>
          <w:lang w:val="uk-UA"/>
        </w:rPr>
      </w:pPr>
    </w:p>
    <w:p w14:paraId="7E2ED44B" w14:textId="77777777" w:rsidR="00532053" w:rsidRDefault="00532053" w:rsidP="00B34B13">
      <w:pPr>
        <w:jc w:val="center"/>
        <w:rPr>
          <w:rFonts w:ascii="Times New Roman" w:eastAsia="Times New Roman" w:hAnsi="Times New Roman" w:cs="Times New Roman"/>
          <w:b/>
          <w:sz w:val="32"/>
          <w:szCs w:val="32"/>
          <w:lang w:val="uk-UA"/>
        </w:rPr>
      </w:pPr>
    </w:p>
    <w:p w14:paraId="04CC8CA5" w14:textId="5F69F026" w:rsidR="00C335A4" w:rsidRPr="00BB1782" w:rsidRDefault="00B34B13" w:rsidP="00B34B13">
      <w:pPr>
        <w:jc w:val="center"/>
        <w:rPr>
          <w:rFonts w:ascii="Times New Roman" w:eastAsia="Times New Roman" w:hAnsi="Times New Roman" w:cs="Times New Roman"/>
          <w:b/>
          <w:sz w:val="32"/>
          <w:szCs w:val="32"/>
          <w:lang w:val="uk-UA"/>
        </w:rPr>
      </w:pPr>
      <w:r w:rsidRPr="00BB1782">
        <w:rPr>
          <w:rFonts w:ascii="Times New Roman" w:eastAsia="Times New Roman" w:hAnsi="Times New Roman" w:cs="Times New Roman"/>
          <w:b/>
          <w:sz w:val="32"/>
          <w:szCs w:val="32"/>
          <w:lang w:val="uk-UA"/>
        </w:rPr>
        <w:t>ЗМІСТ</w:t>
      </w:r>
    </w:p>
    <w:sdt>
      <w:sdtPr>
        <w:rPr>
          <w:rFonts w:ascii="Arial" w:eastAsia="Arial" w:hAnsi="Arial" w:cs="Arial"/>
          <w:color w:val="auto"/>
          <w:sz w:val="22"/>
          <w:szCs w:val="22"/>
          <w:lang w:val="ru-RU"/>
        </w:rPr>
        <w:id w:val="-578597961"/>
        <w:docPartObj>
          <w:docPartGallery w:val="Table of Contents"/>
          <w:docPartUnique/>
        </w:docPartObj>
      </w:sdtPr>
      <w:sdtEndPr>
        <w:rPr>
          <w:b/>
          <w:bCs/>
        </w:rPr>
      </w:sdtEndPr>
      <w:sdtContent>
        <w:p w14:paraId="4D63A4E5" w14:textId="004ADC0E" w:rsidR="00C335A4" w:rsidRPr="00BB1782" w:rsidRDefault="00C335A4">
          <w:pPr>
            <w:pStyle w:val="a9"/>
            <w:rPr>
              <w:color w:val="auto"/>
            </w:rPr>
          </w:pPr>
        </w:p>
        <w:p w14:paraId="37956FFD" w14:textId="22CB4E73" w:rsidR="00C335A4" w:rsidRPr="00BB1782" w:rsidRDefault="00C335A4">
          <w:pPr>
            <w:pStyle w:val="11"/>
            <w:tabs>
              <w:tab w:val="right" w:leader="dot" w:pos="9062"/>
            </w:tabs>
            <w:rPr>
              <w:rFonts w:ascii="Times New Roman" w:eastAsiaTheme="minorEastAsia" w:hAnsi="Times New Roman" w:cs="Times New Roman"/>
              <w:noProof/>
              <w:sz w:val="28"/>
              <w:szCs w:val="28"/>
            </w:rPr>
          </w:pPr>
          <w:r w:rsidRPr="00BB1782">
            <w:fldChar w:fldCharType="begin"/>
          </w:r>
          <w:r w:rsidRPr="00BB1782">
            <w:instrText xml:space="preserve"> TOC \o "1-3" \h \z \u </w:instrText>
          </w:r>
          <w:r w:rsidRPr="00BB1782">
            <w:fldChar w:fldCharType="separate"/>
          </w:r>
          <w:hyperlink w:anchor="_Toc183727745" w:history="1">
            <w:r w:rsidRPr="00BB1782">
              <w:rPr>
                <w:rStyle w:val="aa"/>
                <w:rFonts w:ascii="Times New Roman" w:eastAsia="Times New Roman" w:hAnsi="Times New Roman" w:cs="Times New Roman"/>
                <w:noProof/>
                <w:color w:val="auto"/>
                <w:sz w:val="28"/>
                <w:szCs w:val="28"/>
              </w:rPr>
              <w:t>ВСТУП</w:t>
            </w:r>
            <w:r w:rsidRPr="00BB1782">
              <w:rPr>
                <w:rFonts w:ascii="Times New Roman" w:hAnsi="Times New Roman" w:cs="Times New Roman"/>
                <w:noProof/>
                <w:webHidden/>
                <w:sz w:val="28"/>
                <w:szCs w:val="28"/>
              </w:rPr>
              <w:tab/>
            </w:r>
            <w:r w:rsidRPr="00BB1782">
              <w:rPr>
                <w:rFonts w:ascii="Times New Roman" w:hAnsi="Times New Roman" w:cs="Times New Roman"/>
                <w:noProof/>
                <w:webHidden/>
                <w:sz w:val="28"/>
                <w:szCs w:val="28"/>
              </w:rPr>
              <w:fldChar w:fldCharType="begin"/>
            </w:r>
            <w:r w:rsidRPr="00BB1782">
              <w:rPr>
                <w:rFonts w:ascii="Times New Roman" w:hAnsi="Times New Roman" w:cs="Times New Roman"/>
                <w:noProof/>
                <w:webHidden/>
                <w:sz w:val="28"/>
                <w:szCs w:val="28"/>
              </w:rPr>
              <w:instrText xml:space="preserve"> PAGEREF _Toc183727745 \h </w:instrText>
            </w:r>
            <w:r w:rsidRPr="00BB1782">
              <w:rPr>
                <w:rFonts w:ascii="Times New Roman" w:hAnsi="Times New Roman" w:cs="Times New Roman"/>
                <w:noProof/>
                <w:webHidden/>
                <w:sz w:val="28"/>
                <w:szCs w:val="28"/>
              </w:rPr>
            </w:r>
            <w:r w:rsidRPr="00BB1782">
              <w:rPr>
                <w:rFonts w:ascii="Times New Roman" w:hAnsi="Times New Roman" w:cs="Times New Roman"/>
                <w:noProof/>
                <w:webHidden/>
                <w:sz w:val="28"/>
                <w:szCs w:val="28"/>
              </w:rPr>
              <w:fldChar w:fldCharType="separate"/>
            </w:r>
            <w:r w:rsidR="00B34B13" w:rsidRPr="00BB1782">
              <w:rPr>
                <w:rFonts w:ascii="Times New Roman" w:hAnsi="Times New Roman" w:cs="Times New Roman"/>
                <w:noProof/>
                <w:webHidden/>
                <w:sz w:val="28"/>
                <w:szCs w:val="28"/>
              </w:rPr>
              <w:t>3</w:t>
            </w:r>
            <w:r w:rsidRPr="00BB1782">
              <w:rPr>
                <w:rFonts w:ascii="Times New Roman" w:hAnsi="Times New Roman" w:cs="Times New Roman"/>
                <w:noProof/>
                <w:webHidden/>
                <w:sz w:val="28"/>
                <w:szCs w:val="28"/>
              </w:rPr>
              <w:fldChar w:fldCharType="end"/>
            </w:r>
          </w:hyperlink>
        </w:p>
        <w:p w14:paraId="7AF5FF98" w14:textId="6BA87EA2" w:rsidR="00C335A4" w:rsidRPr="00BB1782" w:rsidRDefault="00A206A1">
          <w:pPr>
            <w:pStyle w:val="11"/>
            <w:tabs>
              <w:tab w:val="right" w:leader="dot" w:pos="9062"/>
            </w:tabs>
            <w:rPr>
              <w:rFonts w:ascii="Times New Roman" w:eastAsiaTheme="minorEastAsia" w:hAnsi="Times New Roman" w:cs="Times New Roman"/>
              <w:noProof/>
              <w:sz w:val="28"/>
              <w:szCs w:val="28"/>
            </w:rPr>
          </w:pPr>
          <w:hyperlink w:anchor="_Toc183727746" w:history="1">
            <w:r w:rsidR="00C335A4" w:rsidRPr="00BB1782">
              <w:rPr>
                <w:rStyle w:val="aa"/>
                <w:rFonts w:ascii="Times New Roman" w:eastAsia="Times New Roman" w:hAnsi="Times New Roman" w:cs="Times New Roman"/>
                <w:noProof/>
                <w:color w:val="auto"/>
                <w:sz w:val="28"/>
                <w:szCs w:val="28"/>
              </w:rPr>
              <w:t>РОЗДІЛ 1. ТЕОРЕТИЧНІ ЗАСАДИ ДОСЛІДЖЕННЯ</w:t>
            </w:r>
            <w:r w:rsidR="00C335A4" w:rsidRPr="00BB1782">
              <w:rPr>
                <w:rFonts w:ascii="Times New Roman" w:hAnsi="Times New Roman" w:cs="Times New Roman"/>
                <w:noProof/>
                <w:webHidden/>
                <w:sz w:val="28"/>
                <w:szCs w:val="28"/>
              </w:rPr>
              <w:tab/>
            </w:r>
            <w:r w:rsidR="00C335A4" w:rsidRPr="00BB1782">
              <w:rPr>
                <w:rFonts w:ascii="Times New Roman" w:hAnsi="Times New Roman" w:cs="Times New Roman"/>
                <w:noProof/>
                <w:webHidden/>
                <w:sz w:val="28"/>
                <w:szCs w:val="28"/>
              </w:rPr>
              <w:fldChar w:fldCharType="begin"/>
            </w:r>
            <w:r w:rsidR="00C335A4" w:rsidRPr="00BB1782">
              <w:rPr>
                <w:rFonts w:ascii="Times New Roman" w:hAnsi="Times New Roman" w:cs="Times New Roman"/>
                <w:noProof/>
                <w:webHidden/>
                <w:sz w:val="28"/>
                <w:szCs w:val="28"/>
              </w:rPr>
              <w:instrText xml:space="preserve"> PAGEREF _Toc183727746 \h </w:instrText>
            </w:r>
            <w:r w:rsidR="00C335A4" w:rsidRPr="00BB1782">
              <w:rPr>
                <w:rFonts w:ascii="Times New Roman" w:hAnsi="Times New Roman" w:cs="Times New Roman"/>
                <w:noProof/>
                <w:webHidden/>
                <w:sz w:val="28"/>
                <w:szCs w:val="28"/>
              </w:rPr>
            </w:r>
            <w:r w:rsidR="00C335A4" w:rsidRPr="00BB1782">
              <w:rPr>
                <w:rFonts w:ascii="Times New Roman" w:hAnsi="Times New Roman" w:cs="Times New Roman"/>
                <w:noProof/>
                <w:webHidden/>
                <w:sz w:val="28"/>
                <w:szCs w:val="28"/>
              </w:rPr>
              <w:fldChar w:fldCharType="separate"/>
            </w:r>
            <w:r w:rsidR="00B34B13" w:rsidRPr="00BB1782">
              <w:rPr>
                <w:rFonts w:ascii="Times New Roman" w:hAnsi="Times New Roman" w:cs="Times New Roman"/>
                <w:noProof/>
                <w:webHidden/>
                <w:sz w:val="28"/>
                <w:szCs w:val="28"/>
              </w:rPr>
              <w:t>7</w:t>
            </w:r>
            <w:r w:rsidR="00C335A4" w:rsidRPr="00BB1782">
              <w:rPr>
                <w:rFonts w:ascii="Times New Roman" w:hAnsi="Times New Roman" w:cs="Times New Roman"/>
                <w:noProof/>
                <w:webHidden/>
                <w:sz w:val="28"/>
                <w:szCs w:val="28"/>
              </w:rPr>
              <w:fldChar w:fldCharType="end"/>
            </w:r>
          </w:hyperlink>
        </w:p>
        <w:p w14:paraId="4A5B5D62" w14:textId="2B3C72C3" w:rsidR="00C335A4" w:rsidRPr="00BB1782" w:rsidRDefault="00A206A1">
          <w:pPr>
            <w:pStyle w:val="11"/>
            <w:tabs>
              <w:tab w:val="right" w:leader="dot" w:pos="9062"/>
            </w:tabs>
            <w:rPr>
              <w:rFonts w:ascii="Times New Roman" w:eastAsiaTheme="minorEastAsia" w:hAnsi="Times New Roman" w:cs="Times New Roman"/>
              <w:noProof/>
              <w:sz w:val="28"/>
              <w:szCs w:val="28"/>
            </w:rPr>
          </w:pPr>
          <w:hyperlink w:anchor="_Toc183727747" w:history="1">
            <w:r w:rsidR="00C335A4" w:rsidRPr="00BB1782">
              <w:rPr>
                <w:rStyle w:val="aa"/>
                <w:rFonts w:ascii="Times New Roman" w:eastAsia="Times New Roman" w:hAnsi="Times New Roman" w:cs="Times New Roman"/>
                <w:noProof/>
                <w:color w:val="auto"/>
                <w:sz w:val="28"/>
                <w:szCs w:val="28"/>
              </w:rPr>
              <w:t xml:space="preserve">РОЗДІЛ 2. </w:t>
            </w:r>
            <w:r w:rsidR="00C335A4" w:rsidRPr="00BB1782">
              <w:rPr>
                <w:rStyle w:val="aa"/>
                <w:rFonts w:ascii="Times New Roman" w:eastAsia="Times New Roman" w:hAnsi="Times New Roman" w:cs="Times New Roman"/>
                <w:noProof/>
                <w:color w:val="auto"/>
                <w:sz w:val="28"/>
                <w:szCs w:val="28"/>
                <w:lang w:val="uk-UA"/>
              </w:rPr>
              <w:t>ЗНАЧЕННЯ РЕЛІГІЙНОГО ЧИННИКА У ФОРМУВАННІ ВІДНОСИН ТУРЕЦЬКОЇ РЕСПУБЛІКИ З МУСУЛЬМАНСЬКИМИ КРАЇНАМИ</w:t>
            </w:r>
            <w:r w:rsidR="00C335A4" w:rsidRPr="00BB1782">
              <w:rPr>
                <w:rFonts w:ascii="Times New Roman" w:hAnsi="Times New Roman" w:cs="Times New Roman"/>
                <w:noProof/>
                <w:webHidden/>
                <w:sz w:val="28"/>
                <w:szCs w:val="28"/>
              </w:rPr>
              <w:tab/>
            </w:r>
            <w:r w:rsidR="00C335A4" w:rsidRPr="00BB1782">
              <w:rPr>
                <w:rFonts w:ascii="Times New Roman" w:hAnsi="Times New Roman" w:cs="Times New Roman"/>
                <w:noProof/>
                <w:webHidden/>
                <w:sz w:val="28"/>
                <w:szCs w:val="28"/>
              </w:rPr>
              <w:fldChar w:fldCharType="begin"/>
            </w:r>
            <w:r w:rsidR="00C335A4" w:rsidRPr="00BB1782">
              <w:rPr>
                <w:rFonts w:ascii="Times New Roman" w:hAnsi="Times New Roman" w:cs="Times New Roman"/>
                <w:noProof/>
                <w:webHidden/>
                <w:sz w:val="28"/>
                <w:szCs w:val="28"/>
              </w:rPr>
              <w:instrText xml:space="preserve"> PAGEREF _Toc183727747 \h </w:instrText>
            </w:r>
            <w:r w:rsidR="00C335A4" w:rsidRPr="00BB1782">
              <w:rPr>
                <w:rFonts w:ascii="Times New Roman" w:hAnsi="Times New Roman" w:cs="Times New Roman"/>
                <w:noProof/>
                <w:webHidden/>
                <w:sz w:val="28"/>
                <w:szCs w:val="28"/>
              </w:rPr>
            </w:r>
            <w:r w:rsidR="00C335A4" w:rsidRPr="00BB1782">
              <w:rPr>
                <w:rFonts w:ascii="Times New Roman" w:hAnsi="Times New Roman" w:cs="Times New Roman"/>
                <w:noProof/>
                <w:webHidden/>
                <w:sz w:val="28"/>
                <w:szCs w:val="28"/>
              </w:rPr>
              <w:fldChar w:fldCharType="separate"/>
            </w:r>
            <w:r w:rsidR="00B34B13" w:rsidRPr="00BB1782">
              <w:rPr>
                <w:rFonts w:ascii="Times New Roman" w:hAnsi="Times New Roman" w:cs="Times New Roman"/>
                <w:noProof/>
                <w:webHidden/>
                <w:sz w:val="28"/>
                <w:szCs w:val="28"/>
              </w:rPr>
              <w:t>27</w:t>
            </w:r>
            <w:r w:rsidR="00C335A4" w:rsidRPr="00BB1782">
              <w:rPr>
                <w:rFonts w:ascii="Times New Roman" w:hAnsi="Times New Roman" w:cs="Times New Roman"/>
                <w:noProof/>
                <w:webHidden/>
                <w:sz w:val="28"/>
                <w:szCs w:val="28"/>
              </w:rPr>
              <w:fldChar w:fldCharType="end"/>
            </w:r>
          </w:hyperlink>
        </w:p>
        <w:p w14:paraId="2E1A597C" w14:textId="243A664D" w:rsidR="00C335A4" w:rsidRPr="00BB1782" w:rsidRDefault="00A206A1">
          <w:pPr>
            <w:pStyle w:val="11"/>
            <w:tabs>
              <w:tab w:val="right" w:leader="dot" w:pos="9062"/>
            </w:tabs>
            <w:rPr>
              <w:rFonts w:ascii="Times New Roman" w:eastAsiaTheme="minorEastAsia" w:hAnsi="Times New Roman" w:cs="Times New Roman"/>
              <w:noProof/>
              <w:sz w:val="28"/>
              <w:szCs w:val="28"/>
            </w:rPr>
          </w:pPr>
          <w:hyperlink w:anchor="_Toc183727748" w:history="1">
            <w:r w:rsidR="00C335A4" w:rsidRPr="00BB1782">
              <w:rPr>
                <w:rStyle w:val="aa"/>
                <w:rFonts w:ascii="Times New Roman" w:eastAsia="Times New Roman" w:hAnsi="Times New Roman" w:cs="Times New Roman"/>
                <w:noProof/>
                <w:color w:val="auto"/>
                <w:sz w:val="28"/>
                <w:szCs w:val="28"/>
              </w:rPr>
              <w:t>РОЗДІЛ 3. РОЛЬ ІСЛАМСЬКОГО ЧИННИКА У ВІДНОСИНАХ ТУРЕЧЧИНИ З КРАЇНАМИ ЄВРОПИ</w:t>
            </w:r>
            <w:r w:rsidR="00C335A4" w:rsidRPr="00BB1782">
              <w:rPr>
                <w:rFonts w:ascii="Times New Roman" w:hAnsi="Times New Roman" w:cs="Times New Roman"/>
                <w:noProof/>
                <w:webHidden/>
                <w:sz w:val="28"/>
                <w:szCs w:val="28"/>
              </w:rPr>
              <w:tab/>
            </w:r>
            <w:r w:rsidR="00C335A4" w:rsidRPr="00BB1782">
              <w:rPr>
                <w:rFonts w:ascii="Times New Roman" w:hAnsi="Times New Roman" w:cs="Times New Roman"/>
                <w:noProof/>
                <w:webHidden/>
                <w:sz w:val="28"/>
                <w:szCs w:val="28"/>
              </w:rPr>
              <w:fldChar w:fldCharType="begin"/>
            </w:r>
            <w:r w:rsidR="00C335A4" w:rsidRPr="00BB1782">
              <w:rPr>
                <w:rFonts w:ascii="Times New Roman" w:hAnsi="Times New Roman" w:cs="Times New Roman"/>
                <w:noProof/>
                <w:webHidden/>
                <w:sz w:val="28"/>
                <w:szCs w:val="28"/>
              </w:rPr>
              <w:instrText xml:space="preserve"> PAGEREF _Toc183727748 \h </w:instrText>
            </w:r>
            <w:r w:rsidR="00C335A4" w:rsidRPr="00BB1782">
              <w:rPr>
                <w:rFonts w:ascii="Times New Roman" w:hAnsi="Times New Roman" w:cs="Times New Roman"/>
                <w:noProof/>
                <w:webHidden/>
                <w:sz w:val="28"/>
                <w:szCs w:val="28"/>
              </w:rPr>
            </w:r>
            <w:r w:rsidR="00C335A4" w:rsidRPr="00BB1782">
              <w:rPr>
                <w:rFonts w:ascii="Times New Roman" w:hAnsi="Times New Roman" w:cs="Times New Roman"/>
                <w:noProof/>
                <w:webHidden/>
                <w:sz w:val="28"/>
                <w:szCs w:val="28"/>
              </w:rPr>
              <w:fldChar w:fldCharType="separate"/>
            </w:r>
            <w:r w:rsidR="00B34B13" w:rsidRPr="00BB1782">
              <w:rPr>
                <w:rFonts w:ascii="Times New Roman" w:hAnsi="Times New Roman" w:cs="Times New Roman"/>
                <w:noProof/>
                <w:webHidden/>
                <w:sz w:val="28"/>
                <w:szCs w:val="28"/>
              </w:rPr>
              <w:t>48</w:t>
            </w:r>
            <w:r w:rsidR="00C335A4" w:rsidRPr="00BB1782">
              <w:rPr>
                <w:rFonts w:ascii="Times New Roman" w:hAnsi="Times New Roman" w:cs="Times New Roman"/>
                <w:noProof/>
                <w:webHidden/>
                <w:sz w:val="28"/>
                <w:szCs w:val="28"/>
              </w:rPr>
              <w:fldChar w:fldCharType="end"/>
            </w:r>
          </w:hyperlink>
        </w:p>
        <w:p w14:paraId="43E7BE91" w14:textId="50F745F4" w:rsidR="00C335A4" w:rsidRPr="00BB1782" w:rsidRDefault="00A206A1">
          <w:pPr>
            <w:pStyle w:val="11"/>
            <w:tabs>
              <w:tab w:val="right" w:leader="dot" w:pos="9062"/>
            </w:tabs>
            <w:rPr>
              <w:rFonts w:ascii="Times New Roman" w:eastAsiaTheme="minorEastAsia" w:hAnsi="Times New Roman" w:cs="Times New Roman"/>
              <w:noProof/>
              <w:sz w:val="28"/>
              <w:szCs w:val="28"/>
            </w:rPr>
          </w:pPr>
          <w:hyperlink w:anchor="_Toc183727749" w:history="1">
            <w:r w:rsidR="00C335A4" w:rsidRPr="00BB1782">
              <w:rPr>
                <w:rStyle w:val="aa"/>
                <w:rFonts w:ascii="Times New Roman" w:eastAsia="Times New Roman" w:hAnsi="Times New Roman" w:cs="Times New Roman"/>
                <w:noProof/>
                <w:color w:val="auto"/>
                <w:sz w:val="28"/>
                <w:szCs w:val="28"/>
              </w:rPr>
              <w:t>ВИСНОВКИ</w:t>
            </w:r>
            <w:r w:rsidR="00C335A4" w:rsidRPr="00BB1782">
              <w:rPr>
                <w:rFonts w:ascii="Times New Roman" w:hAnsi="Times New Roman" w:cs="Times New Roman"/>
                <w:noProof/>
                <w:webHidden/>
                <w:sz w:val="28"/>
                <w:szCs w:val="28"/>
              </w:rPr>
              <w:tab/>
            </w:r>
            <w:r w:rsidR="00C335A4" w:rsidRPr="00BB1782">
              <w:rPr>
                <w:rFonts w:ascii="Times New Roman" w:hAnsi="Times New Roman" w:cs="Times New Roman"/>
                <w:noProof/>
                <w:webHidden/>
                <w:sz w:val="28"/>
                <w:szCs w:val="28"/>
              </w:rPr>
              <w:fldChar w:fldCharType="begin"/>
            </w:r>
            <w:r w:rsidR="00C335A4" w:rsidRPr="00BB1782">
              <w:rPr>
                <w:rFonts w:ascii="Times New Roman" w:hAnsi="Times New Roman" w:cs="Times New Roman"/>
                <w:noProof/>
                <w:webHidden/>
                <w:sz w:val="28"/>
                <w:szCs w:val="28"/>
              </w:rPr>
              <w:instrText xml:space="preserve"> PAGEREF _Toc183727749 \h </w:instrText>
            </w:r>
            <w:r w:rsidR="00C335A4" w:rsidRPr="00BB1782">
              <w:rPr>
                <w:rFonts w:ascii="Times New Roman" w:hAnsi="Times New Roman" w:cs="Times New Roman"/>
                <w:noProof/>
                <w:webHidden/>
                <w:sz w:val="28"/>
                <w:szCs w:val="28"/>
              </w:rPr>
            </w:r>
            <w:r w:rsidR="00C335A4" w:rsidRPr="00BB1782">
              <w:rPr>
                <w:rFonts w:ascii="Times New Roman" w:hAnsi="Times New Roman" w:cs="Times New Roman"/>
                <w:noProof/>
                <w:webHidden/>
                <w:sz w:val="28"/>
                <w:szCs w:val="28"/>
              </w:rPr>
              <w:fldChar w:fldCharType="separate"/>
            </w:r>
            <w:r w:rsidR="00B34B13" w:rsidRPr="00BB1782">
              <w:rPr>
                <w:rFonts w:ascii="Times New Roman" w:hAnsi="Times New Roman" w:cs="Times New Roman"/>
                <w:noProof/>
                <w:webHidden/>
                <w:sz w:val="28"/>
                <w:szCs w:val="28"/>
              </w:rPr>
              <w:t>69</w:t>
            </w:r>
            <w:r w:rsidR="00C335A4" w:rsidRPr="00BB1782">
              <w:rPr>
                <w:rFonts w:ascii="Times New Roman" w:hAnsi="Times New Roman" w:cs="Times New Roman"/>
                <w:noProof/>
                <w:webHidden/>
                <w:sz w:val="28"/>
                <w:szCs w:val="28"/>
              </w:rPr>
              <w:fldChar w:fldCharType="end"/>
            </w:r>
          </w:hyperlink>
        </w:p>
        <w:p w14:paraId="2C869652" w14:textId="0974AF8F" w:rsidR="00C335A4" w:rsidRPr="00BB1782" w:rsidRDefault="00A206A1">
          <w:pPr>
            <w:pStyle w:val="11"/>
            <w:tabs>
              <w:tab w:val="right" w:leader="dot" w:pos="9062"/>
            </w:tabs>
            <w:rPr>
              <w:rFonts w:ascii="Times New Roman" w:eastAsiaTheme="minorEastAsia" w:hAnsi="Times New Roman" w:cs="Times New Roman"/>
              <w:noProof/>
              <w:sz w:val="28"/>
              <w:szCs w:val="28"/>
            </w:rPr>
          </w:pPr>
          <w:hyperlink w:anchor="_Toc183727750" w:history="1">
            <w:r w:rsidR="00C335A4" w:rsidRPr="00BB1782">
              <w:rPr>
                <w:rStyle w:val="aa"/>
                <w:rFonts w:ascii="Times New Roman" w:eastAsia="Times New Roman" w:hAnsi="Times New Roman" w:cs="Times New Roman"/>
                <w:noProof/>
                <w:color w:val="auto"/>
                <w:sz w:val="28"/>
                <w:szCs w:val="28"/>
              </w:rPr>
              <w:t>СПИСОК ДЖЕРЕЛ ПОСИЛАНЬ</w:t>
            </w:r>
            <w:r w:rsidR="00C335A4" w:rsidRPr="00BB1782">
              <w:rPr>
                <w:rFonts w:ascii="Times New Roman" w:hAnsi="Times New Roman" w:cs="Times New Roman"/>
                <w:noProof/>
                <w:webHidden/>
                <w:sz w:val="28"/>
                <w:szCs w:val="28"/>
              </w:rPr>
              <w:tab/>
            </w:r>
            <w:r w:rsidR="00C335A4" w:rsidRPr="00BB1782">
              <w:rPr>
                <w:rFonts w:ascii="Times New Roman" w:hAnsi="Times New Roman" w:cs="Times New Roman"/>
                <w:noProof/>
                <w:webHidden/>
                <w:sz w:val="28"/>
                <w:szCs w:val="28"/>
              </w:rPr>
              <w:fldChar w:fldCharType="begin"/>
            </w:r>
            <w:r w:rsidR="00C335A4" w:rsidRPr="00BB1782">
              <w:rPr>
                <w:rFonts w:ascii="Times New Roman" w:hAnsi="Times New Roman" w:cs="Times New Roman"/>
                <w:noProof/>
                <w:webHidden/>
                <w:sz w:val="28"/>
                <w:szCs w:val="28"/>
              </w:rPr>
              <w:instrText xml:space="preserve"> PAGEREF _Toc183727750 \h </w:instrText>
            </w:r>
            <w:r w:rsidR="00C335A4" w:rsidRPr="00BB1782">
              <w:rPr>
                <w:rFonts w:ascii="Times New Roman" w:hAnsi="Times New Roman" w:cs="Times New Roman"/>
                <w:noProof/>
                <w:webHidden/>
                <w:sz w:val="28"/>
                <w:szCs w:val="28"/>
              </w:rPr>
            </w:r>
            <w:r w:rsidR="00C335A4" w:rsidRPr="00BB1782">
              <w:rPr>
                <w:rFonts w:ascii="Times New Roman" w:hAnsi="Times New Roman" w:cs="Times New Roman"/>
                <w:noProof/>
                <w:webHidden/>
                <w:sz w:val="28"/>
                <w:szCs w:val="28"/>
              </w:rPr>
              <w:fldChar w:fldCharType="separate"/>
            </w:r>
            <w:r w:rsidR="00B34B13" w:rsidRPr="00BB1782">
              <w:rPr>
                <w:rFonts w:ascii="Times New Roman" w:hAnsi="Times New Roman" w:cs="Times New Roman"/>
                <w:noProof/>
                <w:webHidden/>
                <w:sz w:val="28"/>
                <w:szCs w:val="28"/>
              </w:rPr>
              <w:t>77</w:t>
            </w:r>
            <w:r w:rsidR="00C335A4" w:rsidRPr="00BB1782">
              <w:rPr>
                <w:rFonts w:ascii="Times New Roman" w:hAnsi="Times New Roman" w:cs="Times New Roman"/>
                <w:noProof/>
                <w:webHidden/>
                <w:sz w:val="28"/>
                <w:szCs w:val="28"/>
              </w:rPr>
              <w:fldChar w:fldCharType="end"/>
            </w:r>
          </w:hyperlink>
        </w:p>
        <w:p w14:paraId="02B9D12B" w14:textId="08F845AB" w:rsidR="00C335A4" w:rsidRPr="00BB1782" w:rsidRDefault="00C335A4">
          <w:r w:rsidRPr="00BB1782">
            <w:rPr>
              <w:b/>
              <w:bCs/>
              <w:lang w:val="ru-RU"/>
            </w:rPr>
            <w:fldChar w:fldCharType="end"/>
          </w:r>
        </w:p>
      </w:sdtContent>
    </w:sdt>
    <w:p w14:paraId="33763D85" w14:textId="236C1774" w:rsidR="00C6458D" w:rsidRPr="00BB1782" w:rsidRDefault="00C6458D">
      <w:pPr>
        <w:rPr>
          <w:rFonts w:ascii="Times New Roman" w:eastAsia="Times New Roman" w:hAnsi="Times New Roman" w:cs="Times New Roman"/>
          <w:b/>
          <w:sz w:val="32"/>
          <w:szCs w:val="32"/>
        </w:rPr>
      </w:pPr>
      <w:r w:rsidRPr="00BB1782">
        <w:rPr>
          <w:rFonts w:ascii="Times New Roman" w:eastAsia="Times New Roman" w:hAnsi="Times New Roman" w:cs="Times New Roman"/>
          <w:b/>
          <w:sz w:val="32"/>
          <w:szCs w:val="32"/>
        </w:rPr>
        <w:br w:type="page"/>
      </w:r>
    </w:p>
    <w:p w14:paraId="00000001" w14:textId="479B7F7A" w:rsidR="009123BC" w:rsidRPr="00BB1782" w:rsidRDefault="00712845" w:rsidP="00C6458D">
      <w:pPr>
        <w:pStyle w:val="1"/>
        <w:jc w:val="center"/>
        <w:rPr>
          <w:rFonts w:ascii="Times New Roman" w:eastAsia="Times New Roman" w:hAnsi="Times New Roman" w:cs="Times New Roman"/>
          <w:b/>
          <w:sz w:val="32"/>
          <w:szCs w:val="32"/>
          <w:lang w:val="uk-UA"/>
        </w:rPr>
      </w:pPr>
      <w:bookmarkStart w:id="1" w:name="_Toc183727745"/>
      <w:r w:rsidRPr="00BB1782">
        <w:rPr>
          <w:rFonts w:ascii="Times New Roman" w:eastAsia="Times New Roman" w:hAnsi="Times New Roman" w:cs="Times New Roman"/>
          <w:b/>
          <w:sz w:val="32"/>
          <w:szCs w:val="32"/>
        </w:rPr>
        <w:lastRenderedPageBreak/>
        <w:t>ВСТУП</w:t>
      </w:r>
      <w:bookmarkEnd w:id="1"/>
    </w:p>
    <w:p w14:paraId="00000002" w14:textId="77777777" w:rsidR="009123BC" w:rsidRPr="00BB1782" w:rsidRDefault="00712845">
      <w:pPr>
        <w:spacing w:line="432" w:lineRule="auto"/>
        <w:jc w:val="center"/>
        <w:rPr>
          <w:rFonts w:ascii="Times New Roman" w:eastAsia="Times New Roman" w:hAnsi="Times New Roman" w:cs="Times New Roman"/>
          <w:sz w:val="27"/>
          <w:szCs w:val="27"/>
        </w:rPr>
      </w:pPr>
      <w:r w:rsidRPr="00BB1782">
        <w:rPr>
          <w:rFonts w:ascii="Times New Roman" w:eastAsia="Times New Roman" w:hAnsi="Times New Roman" w:cs="Times New Roman"/>
          <w:sz w:val="27"/>
          <w:szCs w:val="27"/>
        </w:rPr>
        <w:t xml:space="preserve"> </w:t>
      </w:r>
    </w:p>
    <w:p w14:paraId="00000003" w14:textId="77777777"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b/>
          <w:sz w:val="28"/>
          <w:szCs w:val="28"/>
        </w:rPr>
        <w:t>Актуальність дослідження теми</w:t>
      </w:r>
      <w:r w:rsidRPr="00BB1782">
        <w:rPr>
          <w:rFonts w:ascii="Times New Roman" w:eastAsia="Times New Roman" w:hAnsi="Times New Roman" w:cs="Times New Roman"/>
          <w:sz w:val="28"/>
          <w:szCs w:val="28"/>
        </w:rPr>
        <w:t xml:space="preserve"> «Зовнішня політика Туреччини: Ісламський фактор» зумовлена значним впливом релігійних чинників на сучасні геополітичні процеси, особливо в контексті посилення ролі ісламу у внутрішній та зовнішній політиці Туреччини. Після приходу до влади Партії справедливості та розвитку на чолі з Реджепом Тайїпом Ердоганом іслам став важливим елементом турецької ідентичності та зовнішньополітичної стратегії. Це перетворення вплинуло на регіональні та глобальні процеси і привернуло увагу науковців та міжнародної спільноти.</w:t>
      </w:r>
    </w:p>
    <w:p w14:paraId="00000004" w14:textId="77777777"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По-перше, посилення ісламського чинника у зовнішній політиці Туреччини виражається у прагненні Анкари зміцнити свої позиції в мусульманському світі. Туреччина активно розвиває дипломатичні та культурні зв'язки з країнами Близького Сходу, Північної Африки та Центральної Азії, позиціонуючи себе як захисник прав мусульман і важливий гравець в ісламському світі. Це надає особливого значення дослідженню зовнішньої політики Туреччини в контексті ісламського фактору, оскільки такі дії впливають на баланс сил у регіоні та на глобальну безпеку.</w:t>
      </w:r>
    </w:p>
    <w:p w14:paraId="00000005" w14:textId="77777777"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По-друге, ісламський фактор відіграє важливу роль у взаємовідносинах Туреччини з Європейським Союзом. Секулярність та релігійні свободи, закладені в основу європейських цінностей, часто вступають у протиріччя з зростаючим впливом ісламу в турецькому суспільстві. Аналіз цих суперечностей є необхідним для розуміння перспектив і викликів євроінтеграції Туреччини, а також впливу ісламського фактора на міжнародні відносини.</w:t>
      </w:r>
    </w:p>
    <w:p w14:paraId="00000006" w14:textId="77777777"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По-третє, Туреччина також використовує ісламський фактор як інструмент м'якої сили у своїй зовнішній політиці. Це проявляється у культурній дипломатії, підтримці мусульманських меншин у Європі та Африці, а також у релігійних ініціативах, які сприяють розширенню турецького впливу. Така активна роль Туреччини в ісламській дипломатії підкреслює важливість теми для сучасних досліджень, оскільки вплив Анкари на мусульманські громади і міжнародні організації може змінювати політичні розклади у багатьох регіонах світу.</w:t>
      </w:r>
    </w:p>
    <w:p w14:paraId="00000007" w14:textId="03F2A292"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По-четверте, зростання ісламського впливу в зовнішній політиці Туреччини також спричинило конфлікти з іншими регіональними та глобальними гравцями. Це включає суперечки у Східному Середземномор'ї, розбіжності з арабськими державами через підтримку різних ісламістських рухів і напруженість у відносинах із західними країнами. Дослідження цих аспектів є актуальним для розуміння того, як релігійні чинники впливають на сучасну міжнародну систему та створюють нові виклики для глобальної безпеки.</w:t>
      </w:r>
    </w:p>
    <w:p w14:paraId="00000008" w14:textId="77777777"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Отже, дослідження впливу ісламського фактора на зовнішню політику Туреччини є надзвичайно важливим для розуміння сучасних геополітичних процесів. Зростаючий вплив релігії на міжнародні відносини Туреччини має як позитивні, так і негативні наслідки, які потребують детального аналізу. Це дозволяє краще оцінити майбутнє Туреччини на міжнародній арені та визначити, як її дії можуть вплинути на глобальну стабільність.</w:t>
      </w:r>
    </w:p>
    <w:p w14:paraId="00000009" w14:textId="37642F13"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b/>
          <w:sz w:val="28"/>
          <w:szCs w:val="28"/>
        </w:rPr>
        <w:t>Мета</w:t>
      </w:r>
      <w:r w:rsidRPr="00BB1782">
        <w:rPr>
          <w:rFonts w:ascii="Times New Roman" w:eastAsia="Times New Roman" w:hAnsi="Times New Roman" w:cs="Times New Roman"/>
          <w:sz w:val="28"/>
          <w:szCs w:val="28"/>
        </w:rPr>
        <w:t xml:space="preserve"> роботи – визначити вплив ісламського чинника на формування та реалізацію зовнішньої політики Туреччини, а також оцінити його значення для регіональн</w:t>
      </w:r>
      <w:r w:rsidR="00532FB5" w:rsidRPr="00BB1782">
        <w:rPr>
          <w:rFonts w:ascii="Times New Roman" w:eastAsia="Times New Roman" w:hAnsi="Times New Roman" w:cs="Times New Roman"/>
          <w:sz w:val="28"/>
          <w:szCs w:val="28"/>
        </w:rPr>
        <w:t xml:space="preserve">ої та глобальної стабільності. </w:t>
      </w:r>
      <w:r w:rsidRPr="00BB1782">
        <w:rPr>
          <w:rFonts w:ascii="Times New Roman" w:eastAsia="Times New Roman" w:hAnsi="Times New Roman" w:cs="Times New Roman"/>
          <w:sz w:val="28"/>
          <w:szCs w:val="28"/>
        </w:rPr>
        <w:t xml:space="preserve">Означена мета передбачає вирішення таких науково-дослідницьких </w:t>
      </w:r>
      <w:r w:rsidRPr="00BB1782">
        <w:rPr>
          <w:rFonts w:ascii="Times New Roman" w:eastAsia="Times New Roman" w:hAnsi="Times New Roman" w:cs="Times New Roman"/>
          <w:b/>
          <w:sz w:val="28"/>
          <w:szCs w:val="28"/>
        </w:rPr>
        <w:t>завдань</w:t>
      </w:r>
      <w:r w:rsidRPr="00BB1782">
        <w:rPr>
          <w:rFonts w:ascii="Times New Roman" w:eastAsia="Times New Roman" w:hAnsi="Times New Roman" w:cs="Times New Roman"/>
          <w:sz w:val="28"/>
          <w:szCs w:val="28"/>
        </w:rPr>
        <w:t>:</w:t>
      </w:r>
    </w:p>
    <w:p w14:paraId="0000000A" w14:textId="77777777"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розкрити теоретичні засади дослідження;</w:t>
      </w:r>
    </w:p>
    <w:p w14:paraId="0000000B" w14:textId="77777777"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проаналізувати політику Туреччини в мусульманському світі;</w:t>
      </w:r>
    </w:p>
    <w:p w14:paraId="0000000C" w14:textId="77777777"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red"/>
          <w:lang w:val="uk-UA"/>
        </w:rPr>
      </w:pPr>
      <w:r w:rsidRPr="00BB1782">
        <w:rPr>
          <w:rFonts w:ascii="Times New Roman" w:eastAsia="Times New Roman" w:hAnsi="Times New Roman" w:cs="Times New Roman"/>
          <w:sz w:val="28"/>
          <w:szCs w:val="28"/>
        </w:rPr>
        <w:lastRenderedPageBreak/>
        <w:t xml:space="preserve">– </w:t>
      </w:r>
      <w:r w:rsidRPr="00BB1782">
        <w:rPr>
          <w:rFonts w:ascii="Times New Roman" w:eastAsia="Times New Roman" w:hAnsi="Times New Roman" w:cs="Times New Roman"/>
          <w:sz w:val="28"/>
          <w:szCs w:val="28"/>
          <w:highlight w:val="white"/>
        </w:rPr>
        <w:t>окреслити роль ісламського чинника у відносинах Туреччини з країнами Європи.</w:t>
      </w:r>
    </w:p>
    <w:p w14:paraId="71050B42" w14:textId="27C71E18" w:rsidR="00E520E4" w:rsidRPr="00BB1782" w:rsidRDefault="00125723" w:rsidP="00C6458D">
      <w:pPr>
        <w:spacing w:line="360" w:lineRule="auto"/>
        <w:ind w:firstLine="567"/>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b/>
          <w:sz w:val="28"/>
          <w:szCs w:val="28"/>
          <w:lang w:val="uk-UA"/>
        </w:rPr>
        <w:t>Гіпотеза</w:t>
      </w:r>
      <w:r w:rsidRPr="00BB1782">
        <w:rPr>
          <w:rFonts w:ascii="Times New Roman" w:eastAsia="Times New Roman" w:hAnsi="Times New Roman" w:cs="Times New Roman"/>
          <w:sz w:val="28"/>
          <w:szCs w:val="28"/>
          <w:lang w:val="uk-UA"/>
        </w:rPr>
        <w:t xml:space="preserve"> дослідження полягає у тому, що релігійний чинник має вирішальне значення для зовнішньої політики Туреччини як у мусульманському світі, так і на Європейському континенті.</w:t>
      </w:r>
    </w:p>
    <w:p w14:paraId="0000000D" w14:textId="20BA18F8"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b/>
          <w:sz w:val="28"/>
          <w:szCs w:val="28"/>
        </w:rPr>
        <w:t>Об’єкт</w:t>
      </w:r>
      <w:r w:rsidRPr="00BB1782">
        <w:rPr>
          <w:rFonts w:ascii="Times New Roman" w:eastAsia="Times New Roman" w:hAnsi="Times New Roman" w:cs="Times New Roman"/>
          <w:sz w:val="28"/>
          <w:szCs w:val="28"/>
        </w:rPr>
        <w:t xml:space="preserve"> дослідження – зовнішня політика Турецької Республіки у ХХІ столітті.</w:t>
      </w:r>
      <w:r w:rsidR="00125723" w:rsidRPr="00BB1782">
        <w:rPr>
          <w:rFonts w:ascii="Times New Roman" w:eastAsia="Times New Roman" w:hAnsi="Times New Roman" w:cs="Times New Roman"/>
          <w:sz w:val="28"/>
          <w:szCs w:val="28"/>
        </w:rPr>
        <w:t xml:space="preserve"> </w:t>
      </w:r>
    </w:p>
    <w:p w14:paraId="0000000E" w14:textId="60FF926A"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b/>
          <w:sz w:val="28"/>
          <w:szCs w:val="28"/>
        </w:rPr>
        <w:t>Предмет</w:t>
      </w:r>
      <w:r w:rsidRPr="00BB1782">
        <w:rPr>
          <w:rFonts w:ascii="Times New Roman" w:eastAsia="Times New Roman" w:hAnsi="Times New Roman" w:cs="Times New Roman"/>
          <w:sz w:val="28"/>
          <w:szCs w:val="28"/>
        </w:rPr>
        <w:t xml:space="preserve"> дослідження – вплив ісламського чинника на формування та реалізацію зовнішньої політики Туреччини, зокрема її взаємодію з країнами мусульманського світу та Європи.</w:t>
      </w:r>
      <w:r w:rsidR="00125723" w:rsidRPr="00BB1782">
        <w:rPr>
          <w:rFonts w:ascii="Times New Roman" w:eastAsia="Times New Roman" w:hAnsi="Times New Roman" w:cs="Times New Roman"/>
          <w:sz w:val="28"/>
          <w:szCs w:val="28"/>
        </w:rPr>
        <w:t xml:space="preserve"> </w:t>
      </w:r>
    </w:p>
    <w:p w14:paraId="0000000F" w14:textId="0327597C"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b/>
          <w:sz w:val="28"/>
          <w:szCs w:val="28"/>
        </w:rPr>
        <w:t>Методологія і методи</w:t>
      </w:r>
      <w:r w:rsidRPr="00BB1782">
        <w:rPr>
          <w:rFonts w:ascii="Times New Roman" w:eastAsia="Times New Roman" w:hAnsi="Times New Roman" w:cs="Times New Roman"/>
          <w:sz w:val="28"/>
          <w:szCs w:val="28"/>
        </w:rPr>
        <w:t xml:space="preserve"> дослідження. Використані такі методи:</w:t>
      </w:r>
      <w:r w:rsidR="00125723" w:rsidRPr="00BB1782">
        <w:rPr>
          <w:rFonts w:ascii="Times New Roman" w:eastAsia="Times New Roman" w:hAnsi="Times New Roman" w:cs="Times New Roman"/>
          <w:sz w:val="28"/>
          <w:szCs w:val="28"/>
        </w:rPr>
        <w:t xml:space="preserve"> </w:t>
      </w:r>
    </w:p>
    <w:p w14:paraId="00000010" w14:textId="0624423D"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історичний метод для аналізу розвитку турецької зовнішньої політики;</w:t>
      </w:r>
      <w:r w:rsidR="00125723" w:rsidRPr="00BB1782">
        <w:rPr>
          <w:rFonts w:ascii="Times New Roman" w:eastAsia="Times New Roman" w:hAnsi="Times New Roman" w:cs="Times New Roman"/>
          <w:sz w:val="28"/>
          <w:szCs w:val="28"/>
          <w:highlight w:val="white"/>
        </w:rPr>
        <w:t xml:space="preserve"> </w:t>
      </w:r>
    </w:p>
    <w:p w14:paraId="00000011" w14:textId="06BFB9EA"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метод контент-аналізу для дослідження політичних заяв та офіційних документів;</w:t>
      </w:r>
      <w:r w:rsidR="00125723" w:rsidRPr="00BB1782">
        <w:rPr>
          <w:rFonts w:ascii="Times New Roman" w:eastAsia="Times New Roman" w:hAnsi="Times New Roman" w:cs="Times New Roman"/>
          <w:sz w:val="28"/>
          <w:szCs w:val="28"/>
          <w:highlight w:val="white"/>
        </w:rPr>
        <w:t xml:space="preserve"> </w:t>
      </w:r>
    </w:p>
    <w:p w14:paraId="00000012" w14:textId="77777777"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 xml:space="preserve">порівняльний метод для зіставлення політики Туреччини у різних регіонах; </w:t>
      </w:r>
    </w:p>
    <w:p w14:paraId="00000013" w14:textId="720237F7"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метод кейс-стаді для вивчення конкретних випадків взаємодії Туреччини з мусульманськими та європейськими країнами.</w:t>
      </w:r>
      <w:r w:rsidR="00125723" w:rsidRPr="00BB1782">
        <w:rPr>
          <w:rFonts w:ascii="Times New Roman" w:eastAsia="Times New Roman" w:hAnsi="Times New Roman" w:cs="Times New Roman"/>
          <w:sz w:val="28"/>
          <w:szCs w:val="28"/>
          <w:highlight w:val="white"/>
        </w:rPr>
        <w:t xml:space="preserve"> </w:t>
      </w:r>
    </w:p>
    <w:p w14:paraId="00000014" w14:textId="176B110E"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b/>
          <w:sz w:val="28"/>
          <w:szCs w:val="28"/>
        </w:rPr>
        <w:t>Наукова новизна</w:t>
      </w:r>
      <w:r w:rsidRPr="00BB1782">
        <w:rPr>
          <w:rFonts w:ascii="Times New Roman" w:eastAsia="Times New Roman" w:hAnsi="Times New Roman" w:cs="Times New Roman"/>
          <w:sz w:val="28"/>
          <w:szCs w:val="28"/>
        </w:rPr>
        <w:t>:</w:t>
      </w:r>
      <w:r w:rsidR="00125723" w:rsidRPr="00BB1782">
        <w:rPr>
          <w:rFonts w:ascii="Times New Roman" w:eastAsia="Times New Roman" w:hAnsi="Times New Roman" w:cs="Times New Roman"/>
          <w:sz w:val="28"/>
          <w:szCs w:val="28"/>
        </w:rPr>
        <w:t xml:space="preserve"> </w:t>
      </w:r>
    </w:p>
    <w:p w14:paraId="00000015" w14:textId="415364DF"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визначення нових тенденцій у зовнішній політиці Туреччини, зокрема посилення ісламського впливу у міжнародних відносинах;</w:t>
      </w:r>
      <w:r w:rsidR="00125723" w:rsidRPr="00BB1782">
        <w:rPr>
          <w:rFonts w:ascii="Times New Roman" w:eastAsia="Times New Roman" w:hAnsi="Times New Roman" w:cs="Times New Roman"/>
          <w:sz w:val="28"/>
          <w:szCs w:val="28"/>
          <w:highlight w:val="white"/>
        </w:rPr>
        <w:t xml:space="preserve"> </w:t>
      </w:r>
    </w:p>
    <w:p w14:paraId="00000016" w14:textId="77777777"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 xml:space="preserve">оцінка взаємозв’язку між ісламським чинником та геополітичними інтересами Туреччини; </w:t>
      </w:r>
    </w:p>
    <w:p w14:paraId="00000017" w14:textId="4E31398D"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внесок у розробку концепцій релігійної дипломатії та аналіз ісламської «м'якої сили».</w:t>
      </w:r>
      <w:r w:rsidR="00125723" w:rsidRPr="00BB1782">
        <w:rPr>
          <w:rFonts w:ascii="Times New Roman" w:eastAsia="Times New Roman" w:hAnsi="Times New Roman" w:cs="Times New Roman"/>
          <w:sz w:val="28"/>
          <w:szCs w:val="28"/>
          <w:highlight w:val="white"/>
        </w:rPr>
        <w:t xml:space="preserve"> </w:t>
      </w:r>
    </w:p>
    <w:p w14:paraId="00000018" w14:textId="42D1B997" w:rsidR="009123BC" w:rsidRPr="00BB1782" w:rsidRDefault="00712845" w:rsidP="00C6458D">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b/>
          <w:sz w:val="28"/>
          <w:szCs w:val="28"/>
        </w:rPr>
        <w:t>Практичне значення</w:t>
      </w:r>
      <w:r w:rsidRPr="00BB1782">
        <w:rPr>
          <w:rFonts w:ascii="Times New Roman" w:eastAsia="Times New Roman" w:hAnsi="Times New Roman" w:cs="Times New Roman"/>
          <w:sz w:val="28"/>
          <w:szCs w:val="28"/>
        </w:rPr>
        <w:t>:</w:t>
      </w:r>
      <w:r w:rsidR="00125723" w:rsidRPr="00BB1782">
        <w:rPr>
          <w:rFonts w:ascii="Times New Roman" w:eastAsia="Times New Roman" w:hAnsi="Times New Roman" w:cs="Times New Roman"/>
          <w:sz w:val="28"/>
          <w:szCs w:val="28"/>
        </w:rPr>
        <w:t xml:space="preserve"> </w:t>
      </w:r>
    </w:p>
    <w:p w14:paraId="00000019" w14:textId="0E8E4F87"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рекомендації для державних і міжнародних інституцій щодо взаємодії з Туреччиною.</w:t>
      </w:r>
      <w:r w:rsidR="00125723" w:rsidRPr="00BB1782">
        <w:rPr>
          <w:rFonts w:ascii="Times New Roman" w:eastAsia="Times New Roman" w:hAnsi="Times New Roman" w:cs="Times New Roman"/>
          <w:sz w:val="28"/>
          <w:szCs w:val="28"/>
          <w:highlight w:val="white"/>
        </w:rPr>
        <w:t xml:space="preserve"> </w:t>
      </w:r>
    </w:p>
    <w:p w14:paraId="0000001A" w14:textId="4B4333EB" w:rsidR="009123BC" w:rsidRPr="00BB1782" w:rsidRDefault="00712845" w:rsidP="00C6458D">
      <w:pPr>
        <w:spacing w:line="360" w:lineRule="auto"/>
        <w:ind w:left="1000" w:hanging="26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lastRenderedPageBreak/>
        <w:t xml:space="preserve">– </w:t>
      </w:r>
      <w:r w:rsidRPr="00BB1782">
        <w:rPr>
          <w:rFonts w:ascii="Times New Roman" w:eastAsia="Times New Roman" w:hAnsi="Times New Roman" w:cs="Times New Roman"/>
          <w:sz w:val="28"/>
          <w:szCs w:val="28"/>
          <w:highlight w:val="white"/>
        </w:rPr>
        <w:t>використання результатів дослідження у розробці зовнішньополітичних стратегій та міжкультурних ініціатив.</w:t>
      </w:r>
      <w:r w:rsidR="00125723" w:rsidRPr="00BB1782">
        <w:rPr>
          <w:rFonts w:ascii="Times New Roman" w:eastAsia="Times New Roman" w:hAnsi="Times New Roman" w:cs="Times New Roman"/>
          <w:sz w:val="28"/>
          <w:szCs w:val="28"/>
          <w:highlight w:val="white"/>
        </w:rPr>
        <w:t xml:space="preserve"> </w:t>
      </w:r>
    </w:p>
    <w:p w14:paraId="0000001B"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Хронологічні рамки дослідження охоплюють період з 2002 року, коли до влади прийшла Партія справедливості та розвитку (ПСР) на чолі з Реджепом Тайїпом Ердоганом, до сьогодення. Цей період обрано через активізацію зовнішньої політики Туреччини, зокрема в мусульманському світі, та зростання ролі ісламського чинника.</w:t>
      </w:r>
    </w:p>
    <w:p w14:paraId="0000001D" w14:textId="6E79EA26"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b/>
          <w:sz w:val="28"/>
          <w:szCs w:val="28"/>
        </w:rPr>
        <w:t>Апробація результатів дослідження</w:t>
      </w:r>
      <w:r w:rsidRPr="00BB1782">
        <w:rPr>
          <w:rFonts w:ascii="Times New Roman" w:eastAsia="Times New Roman" w:hAnsi="Times New Roman" w:cs="Times New Roman"/>
          <w:sz w:val="28"/>
          <w:szCs w:val="28"/>
        </w:rPr>
        <w:t xml:space="preserve"> була представлена у вигляді тез на студентській науковій конференції «Міжнародні відносини: виклики сучасності» (2024), а також у статті в журналі «Політичні дослідження» (№ 12, 2024).</w:t>
      </w:r>
    </w:p>
    <w:p w14:paraId="3B119DF5" w14:textId="014C9C55" w:rsidR="00972315" w:rsidRPr="00BB1782" w:rsidRDefault="00712845" w:rsidP="00C6458D">
      <w:pPr>
        <w:spacing w:line="360" w:lineRule="auto"/>
        <w:ind w:firstLine="720"/>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t xml:space="preserve">Структурно дослідження складається зі вступу, трьох розділів, які містять у своєму складі підрозділи, висновків, списку джерел і літератури, а також додатків. У розділі 1 повідомляється про теоретичні засади дослідження. </w:t>
      </w:r>
      <w:r w:rsidR="00972315" w:rsidRPr="00BB1782">
        <w:rPr>
          <w:rFonts w:ascii="Times New Roman" w:eastAsia="Times New Roman" w:hAnsi="Times New Roman" w:cs="Times New Roman"/>
          <w:sz w:val="28"/>
          <w:szCs w:val="28"/>
          <w:lang w:val="uk-UA"/>
        </w:rPr>
        <w:t xml:space="preserve">Розкрите використання сучасних теорій міжнародних відносин, зокрема м’якої сили, через призму зовнішньої політики Анкари. Крім того, здійснений аналіз методології дослідження.  </w:t>
      </w:r>
    </w:p>
    <w:p w14:paraId="44C18A08" w14:textId="047958C3" w:rsidR="00466EE3" w:rsidRPr="00BB1782" w:rsidRDefault="00712845" w:rsidP="00C6458D">
      <w:pPr>
        <w:spacing w:line="360" w:lineRule="auto"/>
        <w:ind w:firstLine="720"/>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t xml:space="preserve">У розділі 2 розкривається політика Туреччини в мусульманському світі. </w:t>
      </w:r>
      <w:r w:rsidR="00466EE3" w:rsidRPr="00BB1782">
        <w:rPr>
          <w:rFonts w:ascii="Times New Roman" w:eastAsia="Times New Roman" w:hAnsi="Times New Roman" w:cs="Times New Roman"/>
          <w:sz w:val="28"/>
          <w:szCs w:val="28"/>
          <w:lang w:val="uk-UA"/>
        </w:rPr>
        <w:t>Окремо проведений розбір ісламського чинника у відносинах Туреччини з Саудівською Аравією, Єгиптом і Сирією. Проведене дослідження впливу відмінностей між суннітською й шиїтською гілками ісламу на відносини Туреччини з Іраном.</w:t>
      </w:r>
    </w:p>
    <w:p w14:paraId="0000001E" w14:textId="7054896D"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У розділі 3 аналізується роль ісламського чинника у відносинах Туреччини з країнами Європи. </w:t>
      </w:r>
      <w:r w:rsidR="00466EE3" w:rsidRPr="00BB1782">
        <w:rPr>
          <w:rFonts w:ascii="Times New Roman" w:eastAsia="Times New Roman" w:hAnsi="Times New Roman" w:cs="Times New Roman"/>
          <w:sz w:val="28"/>
          <w:szCs w:val="28"/>
          <w:lang w:val="uk-UA"/>
        </w:rPr>
        <w:t xml:space="preserve">Аналіз проведено у відповідності із важливістю для офіційної Анкари відносин з кожною провідною країною Європейського континенту. </w:t>
      </w:r>
      <w:r w:rsidR="00C6458D" w:rsidRPr="00BB1782">
        <w:rPr>
          <w:rFonts w:ascii="Times New Roman" w:eastAsia="Times New Roman" w:hAnsi="Times New Roman" w:cs="Times New Roman"/>
          <w:sz w:val="28"/>
          <w:szCs w:val="28"/>
          <w:lang w:val="uk-UA"/>
        </w:rPr>
        <w:t xml:space="preserve">Крім того, окремо досліджуються відносини Туреччини з Великою Британією. </w:t>
      </w:r>
      <w:r w:rsidRPr="00BB1782">
        <w:rPr>
          <w:rFonts w:ascii="Times New Roman" w:eastAsia="Times New Roman" w:hAnsi="Times New Roman" w:cs="Times New Roman"/>
          <w:sz w:val="28"/>
          <w:szCs w:val="28"/>
        </w:rPr>
        <w:t xml:space="preserve">Обсяг роботи </w:t>
      </w:r>
      <w:r w:rsidR="00EC771B">
        <w:rPr>
          <w:rFonts w:ascii="Times New Roman" w:eastAsia="Times New Roman" w:hAnsi="Times New Roman" w:cs="Times New Roman"/>
          <w:sz w:val="28"/>
          <w:szCs w:val="28"/>
        </w:rPr>
        <w:t>–</w:t>
      </w:r>
      <w:r w:rsidRPr="00BB1782">
        <w:rPr>
          <w:rFonts w:ascii="Times New Roman" w:eastAsia="Times New Roman" w:hAnsi="Times New Roman" w:cs="Times New Roman"/>
          <w:sz w:val="28"/>
          <w:szCs w:val="28"/>
        </w:rPr>
        <w:t xml:space="preserve"> </w:t>
      </w:r>
      <w:r w:rsidR="00EC771B">
        <w:rPr>
          <w:rFonts w:ascii="Times New Roman" w:eastAsia="Times New Roman" w:hAnsi="Times New Roman" w:cs="Times New Roman"/>
          <w:sz w:val="28"/>
          <w:szCs w:val="28"/>
          <w:lang w:val="uk-UA"/>
        </w:rPr>
        <w:t xml:space="preserve">88 </w:t>
      </w:r>
      <w:r w:rsidRPr="00BB1782">
        <w:rPr>
          <w:rFonts w:ascii="Times New Roman" w:eastAsia="Times New Roman" w:hAnsi="Times New Roman" w:cs="Times New Roman"/>
          <w:sz w:val="28"/>
          <w:szCs w:val="28"/>
        </w:rPr>
        <w:t>друкованих аркушів.</w:t>
      </w:r>
    </w:p>
    <w:p w14:paraId="0000002C" w14:textId="3C354B94" w:rsidR="00572BAF" w:rsidRPr="00BB1782" w:rsidRDefault="00572BAF">
      <w:pPr>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br w:type="page"/>
      </w:r>
    </w:p>
    <w:p w14:paraId="00000037" w14:textId="77777777" w:rsidR="009123BC" w:rsidRPr="00BB1782" w:rsidRDefault="00712845" w:rsidP="00C6458D">
      <w:pPr>
        <w:pStyle w:val="1"/>
        <w:jc w:val="center"/>
        <w:rPr>
          <w:rFonts w:ascii="Times New Roman" w:eastAsia="Times New Roman" w:hAnsi="Times New Roman" w:cs="Times New Roman"/>
          <w:b/>
          <w:sz w:val="28"/>
          <w:szCs w:val="28"/>
        </w:rPr>
      </w:pPr>
      <w:bookmarkStart w:id="2" w:name="_Toc183727746"/>
      <w:r w:rsidRPr="00BB1782">
        <w:rPr>
          <w:rFonts w:ascii="Times New Roman" w:eastAsia="Times New Roman" w:hAnsi="Times New Roman" w:cs="Times New Roman"/>
          <w:b/>
          <w:sz w:val="28"/>
          <w:szCs w:val="28"/>
        </w:rPr>
        <w:lastRenderedPageBreak/>
        <w:t>РОЗДІЛ 1. ТЕОРЕТИЧНІ ЗАСАДИ ДОСЛІДЖЕННЯ</w:t>
      </w:r>
      <w:bookmarkEnd w:id="2"/>
    </w:p>
    <w:p w14:paraId="0000003A" w14:textId="77777777" w:rsidR="009123BC" w:rsidRPr="00BB1782" w:rsidRDefault="009123BC">
      <w:pPr>
        <w:spacing w:line="360" w:lineRule="auto"/>
        <w:jc w:val="both"/>
        <w:rPr>
          <w:rFonts w:ascii="Times New Roman" w:eastAsia="Times New Roman" w:hAnsi="Times New Roman" w:cs="Times New Roman"/>
          <w:sz w:val="28"/>
          <w:szCs w:val="28"/>
        </w:rPr>
      </w:pPr>
    </w:p>
    <w:p w14:paraId="0000003B"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Зовнішня політика Туреччини за останні десятиліття все більше демонструє зростання впливу ісламського фактору. Ця зміна спонукала до аналізу її особливостей через призму концепції “м’якої сили” (англ. soft power), яка є однією з центральних у неоліберальній школі міжнародних відносин та є ключовою для цього дослідження.</w:t>
      </w:r>
    </w:p>
    <w:p w14:paraId="0000003C"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Концепція «м’якої сили» (англ. soft power), розроблена професором Гарвардського університету Джозефом Наєм, передбачає здатність держави досягати своїх зовнішньополітичних цілей через привабливість культури, цінностей, ідей та дипломатії, а не через примус чи військову силу. На відміну від «жорсткої сили» (hard power), що базується на економічному тиску чи військових загрозах, «м’яка сила» спирається на культурні, релігійні та моральні ресурси, які здатні впливати на міжнародних партнерів через їхнє захоплення чи переконання (Nye, 2012).</w:t>
      </w:r>
    </w:p>
    <w:p w14:paraId="0000003D"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М’яка сила базується на трьох ключових елементах: культурі, цінностях і зовнішній політиці. Її ефективність проявляється через співпрацю між зацікавленими сторонами, засновану на спільних переконаннях і цінностях. На думку Дж. Ная, такий підхід забезпечує більш тривалий вплив, сприяючи лояльності міжнародної спільноти та можливості впливати на ухвалення необхідних політичних рішень (Тарасюк, Шаглі, 2021).</w:t>
      </w:r>
    </w:p>
    <w:p w14:paraId="0000003E"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Для Туреччини «м’яка сила» стала основним елементом її зовнішньополітичної стратегії, зокрема в мусульманському світі. Основна ідея полягає у використанні спільної історичної спадщини, культурної дипломатії та ісламських цінностей для побудови довіри та зміцнення зв’язків із країнами, де іслам є домінуючою релігією (Тарасюк, Шаглі, 2021).</w:t>
      </w:r>
    </w:p>
    <w:p w14:paraId="0000003F"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 xml:space="preserve">Неоліберальна школа міжнародних відносин, представлена такими дослідниками, як Джозеф Най та Роберт Кеохейн, акцентує увагу на значенні співпраці, взаємозалежності та ролі міжнародних інституцій у сучасній системі. Вона визнає, що влада держави не обмежується військовими чи економічними ресурсами, а включає здатність впливати через культуру, цінності та ідеї. </w:t>
      </w:r>
    </w:p>
    <w:p w14:paraId="00000040"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Джозеф Най у своїх роботах (“Bound to Lead: The Changing Nature of American Power”, 1990; “Soft Power: The Means to Success in World Politics”, 2004) запровадив термін “м’яка сила”, підкресливши, що ефективність держави залежить від її здатності приваблювати інших через спільні цінності, переконання та культурну дипломатію. Роберт Кеохейн, у свою чергу, доповнив концепцію, наголосивши на важливості міжнародних інституцій у поширенні норм та ідей, які формують глобальний порядок.</w:t>
      </w:r>
    </w:p>
    <w:p w14:paraId="00000041"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У контексті зовнішньої політики Туреччини концепція «м’якої сили» допомагає зрозуміти, як країна використовує культурні та релігійні зв’язки для зміцнення своїх позицій на міжнародній арені. Туреччина активно застосовує інструменти «м’якої сили», такі як культурна дипломатія, освітні програми та гуманітарна допомога, для зміцнення зв’язків з країнами, з якими вона має спільні історичні та релігійні корені (Kalin, 2011).</w:t>
      </w:r>
    </w:p>
    <w:p w14:paraId="00000042" w14:textId="0FF2C4BF"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Зокрема, Туреччина використовує ісламський фактор у своїй «м’якій силі» для: зміцнення дипломатичних зв’язків з країнами ісламського світу через спільні р</w:t>
      </w:r>
      <w:r w:rsidR="00AF770D" w:rsidRPr="00BB1782">
        <w:rPr>
          <w:rFonts w:ascii="Times New Roman" w:eastAsia="Times New Roman" w:hAnsi="Times New Roman" w:cs="Times New Roman"/>
          <w:sz w:val="28"/>
          <w:szCs w:val="28"/>
        </w:rPr>
        <w:t>елігійні та культурні цінності;</w:t>
      </w:r>
      <w:r w:rsidRPr="00BB1782">
        <w:rPr>
          <w:rFonts w:ascii="Times New Roman" w:eastAsia="Times New Roman" w:hAnsi="Times New Roman" w:cs="Times New Roman"/>
          <w:sz w:val="28"/>
          <w:szCs w:val="28"/>
        </w:rPr>
        <w:t xml:space="preserve"> для створення привабливого міжнародного іміджу як захисника ісламських цінностей та традицій та для зміцнення внутрішньої підтримки політики правлячої партії, апелюючи до ісламської ідентичності та цінностей.</w:t>
      </w:r>
    </w:p>
    <w:p w14:paraId="00000043"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Таким чином, концепція «м’якої сили» у неоліберальному контексті надає інструменти для аналізу зовнішньої політики Туреччини, </w:t>
      </w:r>
      <w:r w:rsidRPr="00BB1782">
        <w:rPr>
          <w:rFonts w:ascii="Times New Roman" w:eastAsia="Times New Roman" w:hAnsi="Times New Roman" w:cs="Times New Roman"/>
          <w:sz w:val="28"/>
          <w:szCs w:val="28"/>
        </w:rPr>
        <w:lastRenderedPageBreak/>
        <w:t>підкреслюючи важливість нематеріальних чинників, таких як культура та релігія, у досягненні зовнішньополітичних цілей.</w:t>
      </w:r>
    </w:p>
    <w:p w14:paraId="00000044"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Не дивлячись на те, що вченим важко пояснити причини посилення турецького потенціалу «мʼякої сили», але відомо коли Туреччина почала використовувати «мʼякі» інструменти впливу - після періоду біполярності. </w:t>
      </w:r>
    </w:p>
    <w:p w14:paraId="00000045"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Кардинальні зміни у міжнародній системі, зокрема завершення біполярної епохи наприкінці ХХ століття, створили нові виклики та можливості для зовнішньої політики держав. У цих умовах Туреччина активно адаптувала свою стратегію, використовуючи концепцію «м’якої сили» як інструмент для зміцнення свого впливу на міжнародній арені.</w:t>
      </w:r>
    </w:p>
    <w:p w14:paraId="00000046"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«М’яка сила», полягає у здатності держави досягати своїх цілей через привабливість культури, політичних ідеалів та дипломатії. Для Туреччини ключовими ресурсами «м’якої сили» стали її ісламська ідентичність, історична спадщина Османської імперії, а також активна гуманітарна та культурна дипломатія. Ці інструменти дозволяють Анкарі впливати на сусідні країни та регіони, зокрема на Близький Схід, Центральну Азію та Балкани, без використання примусу чи військових засобів (Тарасюк, Шаглі, 2021)</w:t>
      </w:r>
    </w:p>
    <w:p w14:paraId="00000047"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 приходом до влади Партії справедливості та розвитку (ПСР) у 2000-х роках відбулося поступове повернення релігії в суспільне життя. Цей процес сприяв тому, що Анкара почала активно цікавитися регіонами, населеними мусульманами.</w:t>
      </w:r>
    </w:p>
    <w:p w14:paraId="00000048"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На думку І. Гьозайдина, експерта зі Стамбульського технічного університету, сьогодні Туреччина використовує релігію та діяльність своїх неурядових організацій як інструмент «м’якої сили» (Gözaydin, 2010). Турецький дослідник Кемаль Октем навіть пропонує термін «близьке мусульманське зарубіжжя» («near Muslim abroad») для позначення нової сфери впливу Туреччини (Öktem, 2013).</w:t>
      </w:r>
    </w:p>
    <w:p w14:paraId="00000049"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Турецька влада змогла звернутися до концепції «м’якої сили» лише після досягнення економічного процвітання, відносної стабільності в регіоні завдяки політиці «нульових проблем із сусідами» та посиленню взаємозалежності з регіональними й нерегіональними акторами. На думку Т. Огузлу, експерта Білкентського університету (Анкара), «м’яка сила» стала можливою завдяки процесу «десек’юритизації». Завдяки конструктивній дипломатії та сприятливій регіональній ситуації Туреччина змогла більше зосередитися на невійськових аспектах своєї зовнішньої політики, що, своєю чергою, підвищило її авторитет як серед країн Заходу, так і Близького Сходу (Oguzlu, 2007). Таким чином, забезпечення безпеки створило необхідні передумови для практичного застосування інструментів «м’якої сили».</w:t>
      </w:r>
    </w:p>
    <w:p w14:paraId="0000004A"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Концептуальні основи та особливості використання «м’якої сили» в різних аспектах сучасної світової політики досліджуються не лише західними, а й багатьма вітчизняними науковцями. Наприклад, у культурно-цивілізаційному контексті «м’яка сила» розглядається як результат становлення нової політичної культури, що характеризується переходом від жорсткої до більш витонченої форми впливу; у ментальному вимірі важливим компонентом «м’якої сили» в умовах конфронтації є непрямі дії, такі як морально-психологічний та інформаційно-пропагандистський тиск на супротивника; у глобалізаційному контексті значна роль у структурі «м’якої сили» надається засобам тиску та елементам насилля. У воєнній політиці та національній обороні близькою за змістом до «м’якої сили» є концепція «громадянської оборони», сутність якої полягає в можливості залякування потенційного агресора через опір населення (Цюрупа, 2007).</w:t>
      </w:r>
    </w:p>
    <w:p w14:paraId="0000004B"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Цей підхід акцентує увагу на структурі міжнародної системи, де держави прагнуть до максимізації своєї безпеки та влади. З точки зору «м’якої сили», Туреччина, як і інші держави, прагне дотримуватися своїх </w:t>
      </w:r>
      <w:r w:rsidRPr="00BB1782">
        <w:rPr>
          <w:rFonts w:ascii="Times New Roman" w:eastAsia="Times New Roman" w:hAnsi="Times New Roman" w:cs="Times New Roman"/>
          <w:sz w:val="28"/>
          <w:szCs w:val="28"/>
        </w:rPr>
        <w:lastRenderedPageBreak/>
        <w:t>національних інтересів у міжнародній системі, де домінують великі держави. Ісламський чинник може впливати на зовнішню політику Туреччини, оскільки він може мотивувати її до співпраці з іншими мусульманськими країнами або до протистояння Заходу.</w:t>
      </w:r>
    </w:p>
    <w:p w14:paraId="0000004C"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Ісламський фактор у «м’якій силі» може використовуватися для мобілізації підтримки всередині країни. Це може бути особливо корисно для правлячої партії ПСР, яка має сильну ісламістську базу підтримки.</w:t>
      </w:r>
    </w:p>
    <w:p w14:paraId="0000004D"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може використовувати свою ісламську ідентичність для посилення своїх зв'язків з іншими мусульманськими країнами, щоб розширити свою сферу впливу та протистояти західному впливу.</w:t>
      </w:r>
    </w:p>
    <w:p w14:paraId="0000004E" w14:textId="601EF9EA"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Ісламський фактор може використовуватися для</w:t>
      </w:r>
      <w:r w:rsidR="00125723"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rPr>
        <w:t>виправдання військової інтервенції. Наприклад, Туреччина втрутилася в сирійську громадянську війну частково з міркувань захисту сунітського населення. Аналіз втручання Туреччини в сирійську громадянську війну з точки зору захисту сунітського населення та протидії поширенню впливу ІДІЛ.</w:t>
      </w:r>
    </w:p>
    <w:p w14:paraId="0000004F"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«М’яка сила» кидає виклик традиційним уявленням про міжнародні відносини, стверджуючи, що не існує єдиної «істини» щодо зовнішньої політики (Nye, 2021). З точки зору «м’якої сили», ісламський чинник не можна розглядати як єдиний та чітко визначений фактор, який впливає на зовнішню політику Туреччини. Натомість, ісламський дискурс може інтерпретуватися по-різному залежно від контексту та акторів.</w:t>
      </w:r>
    </w:p>
    <w:p w14:paraId="00000050"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Зовнішня політика Туреччини може бути інтерпретована по-різному залежно від контексту. Наприклад, деякі люди можуть розглядати її як загрозу, тоді як інші можуть бачити в ній можливість для співпраці.</w:t>
      </w:r>
    </w:p>
    <w:p w14:paraId="00000051"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 точки зору «м’якої сили», не можна дати єдине пояснення зростання ісламського фактору в турецькій політиці та його впливу на зовнішню політику країни. Це складне явище, яке має множинні причини та може інтерпретуватися по-різному.</w:t>
      </w:r>
    </w:p>
    <w:p w14:paraId="00000052"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Науковці підкреслюють важливість аналізу дискурсів, які циркулюють у турецькому суспільстві, для розуміння зовнішньої політики країни. Ці дискурси можуть формувати уявлення про іслам, Захід, роль Туреччини в світі та інші важливі теми.</w:t>
      </w:r>
    </w:p>
    <w:p w14:paraId="00000053"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Підхід «м’якої сили» також наголошує на важливості контексту при аналізі зовнішньої політики Туреччини. Різні події, такі як терористичні атаки, зміни в урядах сусідніх країн або економічні кризи, можуть впливати на те, як Туреччина формулює та реалізує свою зовнішню політику.</w:t>
      </w:r>
    </w:p>
    <w:p w14:paraId="00000054"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Різні актори, такі як турецькі урядовці, релігійні лідери, західні аналітики та звичайні громадяни, можуть по-різному інтерпретувати зростання ісламського впливу в Туреччині. Проводилися дослідження того, як дискурси про іслам та Захід впливають на зовнішню політику Туреччини. Ці дискурси можуть формувати уявлення про те, з ким </w:t>
      </w:r>
      <w:bookmarkStart w:id="3" w:name="_GoBack"/>
      <w:bookmarkEnd w:id="3"/>
      <w:r w:rsidRPr="00BB1782">
        <w:rPr>
          <w:rFonts w:ascii="Times New Roman" w:eastAsia="Times New Roman" w:hAnsi="Times New Roman" w:cs="Times New Roman"/>
          <w:sz w:val="28"/>
          <w:szCs w:val="28"/>
        </w:rPr>
        <w:t>Туреччині слід співпрацювати, проти кого їй слід боротися і яку роль вона має відігравати в світі.</w:t>
      </w:r>
    </w:p>
    <w:p w14:paraId="00000055"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Важливо зазначити, що концепт «м’якої сили» не дає готових відповідей на питання про зовнішню політику Туреччини. Натомість він пропонує нові рамки для аналізу цієї складної теми, які дозволяють враховувати множинність перспектив та контекстів (Yeşiltaş, 2024).</w:t>
      </w:r>
    </w:p>
    <w:p w14:paraId="00000056"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Отже, зовнішня політика Туреччини протягом останнього десятиліття зазнала значних змін під впливом зростання ісламського фактору. Аналіз цієї зміни через призму «м’якої сили» дозволяє отримати більш комплексне розуміння її причин та наслідків.</w:t>
      </w:r>
    </w:p>
    <w:p w14:paraId="00000058"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Аналіз впливу ісламського чинника на зовнішню політику Туреччини, зокрема в контексті концепції «м’якої сили», займає важливе місце в сучасній науковій літературі. Проблематика «м’якої сили» в контексті зовнішньої політики Туреччини була розглянута як іноземними, так і українськими дослідниками. У цьому підрозділі здійснюється </w:t>
      </w:r>
      <w:r w:rsidRPr="00BB1782">
        <w:rPr>
          <w:rFonts w:ascii="Times New Roman" w:eastAsia="Times New Roman" w:hAnsi="Times New Roman" w:cs="Times New Roman"/>
          <w:sz w:val="28"/>
          <w:szCs w:val="28"/>
        </w:rPr>
        <w:lastRenderedPageBreak/>
        <w:t>систематизація наукових джерел та визначення ступеня їхньої корисності для виконання цього дослідження.</w:t>
      </w:r>
    </w:p>
    <w:p w14:paraId="00000059"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 метою систематизації існуючих наукових розробок, що досліджують вплив ісламського фактору на зовнішню політику Туреччини, доцільно класифікувати їх за методологічним підходом. Це дозволить чітко окреслити основні теоретичні напрямки, які використовуються дослідниками.</w:t>
      </w:r>
    </w:p>
    <w:p w14:paraId="0000005A" w14:textId="1C985A34"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Роботи таких провідних дослідників, як Ібрагім Калин («Soft Power and Public Diplomacy in Turkey», 2011) та Джозеф Най («Bound to Lead», 1990), акцентують увагу на дискурсивному аналізі та культурних чинниках. Вони дозволяють виявити, як Туреччина використовує ісламські цінності, культурну дипломатію та історичну спадщину для зміцнення своїх позицій</w:t>
      </w:r>
      <w:r w:rsidR="00125723"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rPr>
        <w:t>у мусульманському світі. Дискурсивний аналіз допомагає простежити, як релігійні наративи формують імідж країни на міжнародній арені.</w:t>
      </w:r>
    </w:p>
    <w:p w14:paraId="0000005B"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Звіти Global Soft Power Index (2021) надають кількісну оцінку ефективності «м’якої сили» Туреччини, зокрема її позиції серед інших держав світу. Використання кількісних даних дозволяє проаналізувати, наскільки успішно Туреччина застосовує свої релігійні та культурні ресурси для досягнення зовнішньополітичних цілей. Ці дані також ілюструють зміни у сприйнятті Туреччини в мусульманських країнах у порівнянні з іншими державами, які використовують подібні підходи.</w:t>
      </w:r>
    </w:p>
    <w:p w14:paraId="0000005C"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Поєднання якісного та кількісного аналізу характерне для досліджень діяльності TİKA (Turkish Cooperation and Coordination Agency). Ця агенція відіграє ключову роль у реалізації гуманітарних та освітніх програм Туреччини, спрямованих на мусульманські країни. Вивчення її роботи дозволяє оцінити реальні результати застосування інструментів «м’якої сили», таких як допомога країнам Африки, Центральної Азії та Близького Сходу, а також зміцнення релігійних і культурних зв’язків.</w:t>
      </w:r>
    </w:p>
    <w:p w14:paraId="0000005D" w14:textId="79513DD4" w:rsidR="009123BC" w:rsidRPr="00BB1782" w:rsidRDefault="007B1944" w:rsidP="00881A14">
      <w:pPr>
        <w:spacing w:line="360" w:lineRule="auto"/>
        <w:ind w:firstLine="720"/>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lastRenderedPageBreak/>
        <w:t xml:space="preserve">Робота таких авторів як </w:t>
      </w:r>
      <w:r w:rsidR="00881A14" w:rsidRPr="00BB1782">
        <w:rPr>
          <w:rFonts w:ascii="Times New Roman" w:eastAsia="Times New Roman" w:hAnsi="Times New Roman" w:cs="Times New Roman"/>
          <w:sz w:val="28"/>
          <w:szCs w:val="28"/>
          <w:lang w:val="uk-UA"/>
        </w:rPr>
        <w:t xml:space="preserve">Йєзілтас, Мурат, Білгехан Озтюрк, Глорія Шкурті Юздемір </w:t>
      </w:r>
      <w:r w:rsidRPr="00BB1782">
        <w:rPr>
          <w:rFonts w:ascii="Times New Roman" w:eastAsia="Times New Roman" w:hAnsi="Times New Roman" w:cs="Times New Roman"/>
          <w:sz w:val="28"/>
          <w:szCs w:val="28"/>
        </w:rPr>
        <w:t>(2024)</w:t>
      </w:r>
      <w:r w:rsidR="00881A14" w:rsidRPr="00BB1782">
        <w:rPr>
          <w:rFonts w:ascii="Times New Roman" w:eastAsia="Times New Roman" w:hAnsi="Times New Roman" w:cs="Times New Roman"/>
          <w:sz w:val="28"/>
          <w:szCs w:val="28"/>
          <w:lang w:val="uk-UA"/>
        </w:rPr>
        <w:t xml:space="preserve"> </w:t>
      </w:r>
      <w:r w:rsidR="00712845" w:rsidRPr="00BB1782">
        <w:rPr>
          <w:rFonts w:ascii="Times New Roman" w:eastAsia="Times New Roman" w:hAnsi="Times New Roman" w:cs="Times New Roman"/>
          <w:sz w:val="28"/>
          <w:szCs w:val="28"/>
        </w:rPr>
        <w:t>аналізує, як Туреччина, використовуючи культурні проєкти та гуманітарну допомогу, намагається зміцнити свої позиції на Близькому Сході та в Африці. Це дослідження вказує на ефективність культурного впливу Туреччини, зокрема через освіту та серіали, як важливий інструмент розширення впливу. Аналіз показує, що гуманітарна допомога Туреччини в кризових регіонах (зокрема, в Сирії та Сомалі) також сприяє формуванню позитивного образу Туреччини як міжнародного гравця.</w:t>
      </w:r>
    </w:p>
    <w:p w14:paraId="0000005E"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ця робота звертає увагу на роль ідентичності Туреччини як спадкоємця Османської імперії у формуванні її зовнішньополітичної стратегії, особливо на Балканах та в Центральній Азії (Yeşiltaş, 2024). Туреччина використовує ці наративи для зміцнення зв'язків із країнами, які мають спільну історію та культуру.</w:t>
      </w:r>
    </w:p>
    <w:p w14:paraId="0000005F"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У науковій праці «Insight Turkey» (2024) підкреслено, що Туреччина також використовує культурну спадщину Османської імперії для зміцнення зв’язків з країнами Балканського регіону та Центральної Азії, акцентуючи увагу на спільних історичних та культурних коренях. Це забезпечує Туреччині більший доступ до політичного діалогу і впливу в цих регіонах.</w:t>
      </w:r>
    </w:p>
    <w:p w14:paraId="00000060"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«Insight Turkey» підкреслює, що турецька зовнішня політика значною мірою побудована на конструктивістських принципах, де ідентичність та релігійні фактори використовуються для просування дипломатичних відносин з країнами Близького Сходу та Північної Африки. Важливим аспектом є те, як Туреччина адаптує свою зовнішню політику відповідно до сприйняття власної ролі як регіонального лідера.</w:t>
      </w:r>
    </w:p>
    <w:p w14:paraId="00000061"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Більшість західних дослідників, таких як Ейтан Гілбоа та Ентоні Блінкен, зазначають, що успіх «м’якої сили» Туреччини базується на її здатності залучати країни мусульманського світу через релігійні та </w:t>
      </w:r>
      <w:r w:rsidRPr="00BB1782">
        <w:rPr>
          <w:rFonts w:ascii="Times New Roman" w:eastAsia="Times New Roman" w:hAnsi="Times New Roman" w:cs="Times New Roman"/>
          <w:sz w:val="28"/>
          <w:szCs w:val="28"/>
        </w:rPr>
        <w:lastRenderedPageBreak/>
        <w:t>культурні зв’язки. Гілбоа підкреслює важливість культурної дипломатії, що сприяє зміцненню зв’язків Туреччини з країнами Близького Сходу та Африки. Ентоні Блінкен у своїй роботі «Winning the War of Ideas» зазначає, що Туреччина використовує спільну релігійну спадщину як інструмент побудови довіри серед мусульманських країн, що допомагає їй утвердитися як авторитетний лідер у регіоні.</w:t>
      </w:r>
    </w:p>
    <w:p w14:paraId="00000062"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Турецькі науковці, зокрема Сімер Каатай та Сінем Єшил, акцентують увагу на трансформації Туреччини з регіонального в глобального гравця завдяки інструментам «м’якої сили». Каатай аналізує роль культурних ініціатив, таких як популяризація турецьких серіалів і освітніх програм, що формують позитивний імідж країни за кордоном. Єшил у своїй роботі «Transnationalization of Turkish Dramas» звертає увагу на те, як Туреччина через популяризацію медіаконтенту та гуманітарні проєкти розширює свій вплив на глобальному рівні.</w:t>
      </w:r>
    </w:p>
    <w:p w14:paraId="00000063"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Ібрагім Калин, радник президента Туреччини, у своїй роботі «Soft Power and Public Diplomacy in Turkey» наголошує, що успіх Туреччини у використанні «м’якої сили» значною мірою обумовлений історичними та релігійними зв’язками, які вона активно використовує для налагодження міжнародних відносин. Водночас Джозеф Най, розробник концепції «м’якої сили», зазначає, що Туреччина вдало поєднує її із «жорсткою силою», досягаючи балансу між дипломатією, економічним впливом і культурними інструментами.</w:t>
      </w:r>
    </w:p>
    <w:p w14:paraId="00000064"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Висновки західних і турецьких авторів демонструють, що Туреччина успішно адаптувала концепцію «м’якої сили» до своїх зовнішньополітичних завдань, використовуючи історичну, культурну та релігійну спадщину. Завдяки цьому країна трансформувалася з регіонального лідера в глобального гравця, активно впливаючи на мусульманський світ і міжнародну систему в цілому.</w:t>
      </w:r>
    </w:p>
    <w:p w14:paraId="00000065"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 xml:space="preserve">Таким чином, концепція «м'якої сили» у зовнішній політиці Туреччини є важливим елементом її стратегії в контексті зростаючої геополітичної напруги і забезпечує їй вагомі можливості для формування регіонального лідерства. </w:t>
      </w:r>
    </w:p>
    <w:p w14:paraId="00000066"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Незважаючи на певний прогрес у вивченні цієї теми, все ще залишаються «білі плями», які потребують подальшого дослідження. Необхідно більше досліджень того, як зростання ісламського впливу в Туреччині впливає на політичні інституції, суспільну думку та інші аспекти внутрішньої політики. Також, корисно порівняти зовнішню політику Туреччини з іншими мусульманськими країнами, щоб краще зрозуміти, як ісламський фактор впливає на зовнішню політику в цілому та дослідити в різних контекстах, таких як відносини з Заходом, відносини з сусідніми країнами та участь у міжнародних організаціях (Стародуб, 2011).</w:t>
      </w:r>
    </w:p>
    <w:p w14:paraId="00000067" w14:textId="27CFA9EA"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Наше дослідження спрямоване на поглиблення розуміння впливу ісламського фактору на зовнішню політику Туреччини.</w:t>
      </w:r>
      <w:r w:rsidR="001E1656" w:rsidRPr="00BB1782">
        <w:rPr>
          <w:rFonts w:ascii="Times New Roman" w:eastAsia="Times New Roman" w:hAnsi="Times New Roman" w:cs="Times New Roman"/>
          <w:sz w:val="28"/>
          <w:szCs w:val="28"/>
          <w:lang w:val="ru-RU"/>
        </w:rPr>
        <w:t xml:space="preserve"> </w:t>
      </w:r>
      <w:r w:rsidRPr="00BB1782">
        <w:rPr>
          <w:rFonts w:ascii="Times New Roman" w:eastAsia="Times New Roman" w:hAnsi="Times New Roman" w:cs="Times New Roman"/>
          <w:sz w:val="28"/>
          <w:szCs w:val="28"/>
        </w:rPr>
        <w:t>Ми аналізуємо цю тему через призму</w:t>
      </w:r>
      <w:r w:rsidR="007B1944" w:rsidRPr="00BB1782">
        <w:rPr>
          <w:rFonts w:ascii="Times New Roman" w:eastAsia="Times New Roman" w:hAnsi="Times New Roman" w:cs="Times New Roman"/>
          <w:sz w:val="28"/>
          <w:szCs w:val="28"/>
          <w:lang w:val="uk-UA"/>
        </w:rPr>
        <w:t xml:space="preserve"> концепції «мякої» сили</w:t>
      </w:r>
      <w:r w:rsidRPr="00BB1782">
        <w:rPr>
          <w:rFonts w:ascii="Times New Roman" w:eastAsia="Times New Roman" w:hAnsi="Times New Roman" w:cs="Times New Roman"/>
          <w:sz w:val="28"/>
          <w:szCs w:val="28"/>
        </w:rPr>
        <w:t xml:space="preserve"> неореалістичного підходу, що дозволяє врахувати структурні особливості міжнародної системи та вплив ідейно-культурних факторів на формування зовнішньополітичного курсу Туреччини. Для цього будуть використані методи якісного аналізу, зокрема аналіз дискурсів і історичних джерел, а також кількісний підхід, зосереджений на статистичному дослідженні ефективності “м’якої сили” у зовнішній політиці Туреччин</w:t>
      </w:r>
    </w:p>
    <w:p w14:paraId="00000068" w14:textId="6511EB90" w:rsidR="009123BC" w:rsidRPr="00BB1782" w:rsidRDefault="00712845" w:rsidP="00C6458D">
      <w:pPr>
        <w:spacing w:line="360" w:lineRule="auto"/>
        <w:ind w:firstLine="72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 xml:space="preserve">Таким чином, аналіз наукової літератури показав, що </w:t>
      </w:r>
      <w:r w:rsidR="002D746F" w:rsidRPr="00BB1782">
        <w:rPr>
          <w:rFonts w:ascii="Times New Roman" w:eastAsia="Times New Roman" w:hAnsi="Times New Roman" w:cs="Times New Roman"/>
          <w:sz w:val="28"/>
          <w:szCs w:val="28"/>
          <w:highlight w:val="white"/>
          <w:lang w:val="uk-UA"/>
        </w:rPr>
        <w:t xml:space="preserve">релігійний чинник – це інструмент за допомогою якого країна розширює свій вплив та досягає </w:t>
      </w:r>
      <w:r w:rsidR="00C64E7A" w:rsidRPr="00BB1782">
        <w:rPr>
          <w:rFonts w:ascii="Times New Roman" w:eastAsia="Times New Roman" w:hAnsi="Times New Roman" w:cs="Times New Roman"/>
          <w:sz w:val="28"/>
          <w:szCs w:val="28"/>
          <w:highlight w:val="white"/>
          <w:lang w:val="uk-UA"/>
        </w:rPr>
        <w:t>зовнішньополітичних цілей</w:t>
      </w:r>
      <w:r w:rsidR="00C6458D" w:rsidRPr="00BB1782">
        <w:rPr>
          <w:rFonts w:ascii="Times New Roman" w:eastAsia="Times New Roman" w:hAnsi="Times New Roman" w:cs="Times New Roman"/>
          <w:sz w:val="28"/>
          <w:szCs w:val="28"/>
          <w:highlight w:val="white"/>
          <w:lang w:val="uk-UA"/>
        </w:rPr>
        <w:t>,</w:t>
      </w:r>
      <w:r w:rsidRPr="00BB1782">
        <w:rPr>
          <w:rFonts w:ascii="Times New Roman" w:eastAsia="Times New Roman" w:hAnsi="Times New Roman" w:cs="Times New Roman"/>
          <w:sz w:val="28"/>
          <w:szCs w:val="28"/>
          <w:highlight w:val="white"/>
        </w:rPr>
        <w:t xml:space="preserve"> особливо в мусульманському світі. Використання ісламського чинника та культурної спадщини дозволяє Туреччині посилювати свій вплив і розвивати дипломатичні зв’язки. Однак залишаються прогалини у вивченні внутрішньої складової цього процесу, що потребує додаткових досліджень.</w:t>
      </w:r>
    </w:p>
    <w:p w14:paraId="0000006A"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Для написання наукової робити будуть використання 5 основних категорій:</w:t>
      </w:r>
    </w:p>
    <w:p w14:paraId="0000006B"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Міжнародні відносини: Система міжнародних відносин представляє собою багаторівневу мережу взаємопов’язаних громад, які характеризуються горизонтальними та вертикальними зв'язками. Дослідження моделі інтеграції осіб в ці спільноти (мережі), аналіз їх ідентичності, розуміння їх сприйняття соціальних меж та цінностей, а також стратегії міжнародної та транскордонної взаємодії різних агентів є ключовими для осягнення структури світового соціального простору.</w:t>
      </w:r>
    </w:p>
    <w:p w14:paraId="0000006C"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Міждержавні відносини представляють більш вузьке поняття порівняно з міжнародними відносинами, оскільки в останніх беруть участь не тільки держави, але й інші суб'єкти та об'єкти, що робить державні відносини лише однією зі складових міжнародного співробітництва. Для визначення сутності «міжнародних відносин», до яких залучена Туреччина, важливо врахувати всі існуючі міжнародні зв'язки, оцінюючи їх цілі і значення, що охоплює увесь світовий контекст і стосується практики міжнародного обміну як матеріальними, так і ідеями між учасниками міжнародних взаємодій.</w:t>
      </w:r>
    </w:p>
    <w:p w14:paraId="0000006D"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У контексті зовнішньої політики Туреччини можемо охарактеризувати міжнародні відносини як комплекс політичних, економічних, соціальних, юридичних, військових, дипломатичних, культурних, наукових та інших взаємодій і відносин між Туреччиною й ключовими акторами глобальної спільноти, серед яких народи, держави, неурядові організації, суспільні рухи і впливові особистості. Описані зв'язки та відносини, що представляють собою форму явища і включають їх функціональне значення, формують зміст міжнародної діяльності та вигляд сучасного світу. Крім того, міжнародні відносини – це наука, яка досліджує взаємодію держав, міжнародних організацій, неурядових організацій та інших акторів на глобальній арені. Вона включає аналіз </w:t>
      </w:r>
      <w:r w:rsidRPr="00BB1782">
        <w:rPr>
          <w:rFonts w:ascii="Times New Roman" w:eastAsia="Times New Roman" w:hAnsi="Times New Roman" w:cs="Times New Roman"/>
          <w:sz w:val="28"/>
          <w:szCs w:val="28"/>
        </w:rPr>
        <w:lastRenderedPageBreak/>
        <w:t>дипломатії, безпеки, економічного співробітництва, прав людини та екологічних викликів. Міжнародні відносини вивчають, як країни співпрацюють або конфліктують з метою забезпечення національних інтересів, міжнародної стабільності та розвитку. Важливими теоретичними підходами є реалізм, лібералізм і конструктивізм, кожен з яких пропонує власне пояснення глобальних процесів.</w:t>
      </w:r>
    </w:p>
    <w:p w14:paraId="0000006E"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Держави є найбільш активними учасниками міжнародних відносин і займають у них лідерські та динамічні позиції. До таких власне і налщежить Туреччина. Саме міждержавні відносини, в першу чергу, визначають характер, клімат та напрямки розвитку міжнародних взаємодій. Головна мета міждержавних відносин полягає у створенні оптимальних умов для функціонування та розвитку країн. Зрозуміло, що міждержавні відносини охоплюють різні області, як-от політичну, економічну, культурну, та інші, і в кожній з цих сфер можуть існувати специфічні підвиди відносин: наприклад, у політичній сфері це можуть бути дипломатичні і військові відносини, в економічній – торговельні, фінансові, кредитні, і так далі (Костиря, 2016).</w:t>
      </w:r>
    </w:p>
    <w:p w14:paraId="0000006F"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Ідентичність: Національна ідентичність означає визначення себе як частини національної громади, що підтримується стабільним емоційним зв'язком. Такий зв'язок виникає через осмислення та визнання національних традицій, культури, мови, політичних ідей, а також загальноприйнятих норм і цінностей. Відчуття приналежності до певної нації або держави є важливим аспектом цього. Національна ідентичність вбирає у себе сприйняття нації як єдиного цілого, яке характеризується унікальними традиціями, культурою та мовою. Ця ідентичність формується не від народження, а як соціальний конструкт, вихідний із «спільних точок» у нашому повсякденному досвіді, таких як національні символи, кольори, історія, культурні зв'язки, музика, кухня, і медіа. Під впливом соціального оточення, люди інтегрують національні вірування та </w:t>
      </w:r>
      <w:r w:rsidRPr="00BB1782">
        <w:rPr>
          <w:rFonts w:ascii="Times New Roman" w:eastAsia="Times New Roman" w:hAnsi="Times New Roman" w:cs="Times New Roman"/>
          <w:sz w:val="28"/>
          <w:szCs w:val="28"/>
        </w:rPr>
        <w:lastRenderedPageBreak/>
        <w:t>цінності в свою особисту ідентичність, що відображається в повсякденній поведінці і виборах.</w:t>
      </w:r>
    </w:p>
    <w:p w14:paraId="00000070" w14:textId="6E3118F3"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Ісламська ідентичність відіграє центральну роль у самоусвідомленні Туреччини та у формуванні її зовнішньополітичних цілей. Важливо дослідити, як ісламська ідентичність впливає на сприйняття Туреччиною себе та свого місця у світі; її ставлення до інших акторів міжнародної системи та її</w:t>
      </w:r>
      <w:r w:rsidR="00125723"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rPr>
        <w:t>пріоритети та цілі у зовнішній політиці.</w:t>
      </w:r>
    </w:p>
    <w:p w14:paraId="00000071"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Активізм: Туреччина активно використовує ісламський фактор у своїй зовнішній політиці. Важливо дослідити, як Туреччина застосовує ісламську риторику та інструменти для просування своїх інтересів на міжнародній арені; зміцнення своїх зв'язків з іншими мусульманськими країнами та впливу на динаміку міжнародних відносин.</w:t>
      </w:r>
    </w:p>
    <w:p w14:paraId="00000072" w14:textId="78A60D62"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Вплив: У дослідженні категорія «вплив» може бути використана для аналізу того, як ісламський фактор впливає на зовнішню політику інших країн та на динаміку міжнародних відносин. Важливо дослідити, як ісламський фактор впливає на сприйняття Туреччини іншими акторами міжнародної системи;</w:t>
      </w:r>
      <w:r w:rsidR="00125723"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rPr>
        <w:t>їхню реакцію на дії Туреччини та динаміку відносин між Туреччиною та іншими країнами (Костиря, 2016).</w:t>
      </w:r>
    </w:p>
    <w:p w14:paraId="00000073"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Сек’юритизація: Основні елементи теорії сек'юритизації включають:</w:t>
      </w:r>
    </w:p>
    <w:p w14:paraId="00000074"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актора, що виступає з проблемою, який може бути урядовим чи неурядовим представником, окремою особою або групою, яка не пов'язана з політикою;</w:t>
      </w:r>
    </w:p>
    <w:p w14:paraId="00000075"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об'єкт сек'юритизації, який є предметом загрози, наприклад, держава (у контексті військової безпеки), національний суверенітет або ідеологія (у контексті політичної безпеки), національна економіка (економічна безпека), колективна ідентичність (соціальна безпека), або біологічні види та їх середовища існування (екологічна безпека);</w:t>
      </w:r>
    </w:p>
    <w:p w14:paraId="00000076"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аудиторію, до якої звертаються з вимогою визнати проблему як потенційну загрозу.</w:t>
      </w:r>
    </w:p>
    <w:p w14:paraId="00000077"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Етапи сек'юритизації:</w:t>
      </w:r>
    </w:p>
    <w:p w14:paraId="00000078"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проголошення загрози існуванню важливих об'єктів;</w:t>
      </w:r>
    </w:p>
    <w:p w14:paraId="00000079"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rPr>
        <w:t xml:space="preserve">– </w:t>
      </w:r>
      <w:r w:rsidRPr="00BB1782">
        <w:rPr>
          <w:rFonts w:ascii="Times New Roman" w:eastAsia="Times New Roman" w:hAnsi="Times New Roman" w:cs="Times New Roman"/>
          <w:sz w:val="28"/>
          <w:szCs w:val="28"/>
          <w:highlight w:val="white"/>
        </w:rPr>
        <w:t>завершення процесу сек'юритизації, яке вважається успішним, якщо актор зміг переконати аудиторію у заявленій загрозі.</w:t>
      </w:r>
    </w:p>
    <w:p w14:paraId="0000007A"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часто сек’юритизує свої інтереси, використовуючи ісламські наративи. У контексті дослідження категорія «сек’юритизація» може бути використана для аналізу того, як Туреччина використовує ісламський фактор для сек’юритизації своїх інтересів та для виправдання певних політичних дій. Важливо дослідити, як Туреччина використовує ісламську риторику для обґрунтування своїх військових дій; мобілізації підтримки з боку свого населення та тиску на інші країни (Країнознавство, 2010).</w:t>
      </w:r>
    </w:p>
    <w:p w14:paraId="0000007B"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Ці 5 категорій дають можливість глибоко дослідити вплив ісламського фактору на зовнішню політику Туреччини та його значення для міжнародних відносин.</w:t>
      </w:r>
    </w:p>
    <w:p w14:paraId="0000007D"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Для написання даного дослідження було використано чотири види джерел: офіційні документи, наукові монографії, статті українських та зарубіжних вчених (у т.ч. розміщені в мережі Інтернет). За проблематикою джерела можуть бути розділені на дві великі групи: щодо міжнародних відносин загалом і щодо міжнародної політики Туреччини зокрема.</w:t>
      </w:r>
    </w:p>
    <w:p w14:paraId="0000007E"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Концепція «Неоосманізму»: Ця ідея передбачає активізацію Туреччини в регіонах, які колись входили до складу Османської імперії, з акцентом на культурні та релігійні зв'язки. Вона спрямована на посилення впливу Туреччини на Близькому Сході, Балканах та Північній Африці. Хоча офіційно ця концепція не закріплена в державних документах, вона відображена в багатьох виступах та діях турецьких лідерів.</w:t>
      </w:r>
    </w:p>
    <w:p w14:paraId="0000007F"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 Доктрина «Стратегічної глибини»: Розроблена колишнім міністром закордонних справ Ахметом Давутоглу, ця доктрина підкреслює важливість історичних, географічних та культурних зв'язків Туреччини з </w:t>
      </w:r>
      <w:r w:rsidRPr="00BB1782">
        <w:rPr>
          <w:rFonts w:ascii="Times New Roman" w:eastAsia="Times New Roman" w:hAnsi="Times New Roman" w:cs="Times New Roman"/>
          <w:sz w:val="28"/>
          <w:szCs w:val="28"/>
        </w:rPr>
        <w:lastRenderedPageBreak/>
        <w:t>сусідніми регіонами. Вона закликає до активної зовнішньої політики, що враховує ісламську ідентичність країни.</w:t>
      </w:r>
    </w:p>
    <w:p w14:paraId="00000080"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 «План дій щодо розвитку відносин з ісламським світом»: Цей документ, прийнятий Міністерством закордонних справ Туреччини, визначає стратегію поглиблення співпраці з країнами Організації ісламського співробітництва та іншими мусульманськими державами.</w:t>
      </w:r>
    </w:p>
    <w:p w14:paraId="00000081"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Ці документи та концепції свідчать про інтеграцію ісламського чинника в зовнішню політику Туреччини, що відображає прагнення країни посилити свій вплив у мусульманському світі та використовувати спільні релігійні цінності для зміцнення міжнародних відносин.</w:t>
      </w:r>
    </w:p>
    <w:p w14:paraId="00000082"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Говорячи про монографій й публікації, слід поділити їх на розвідки іноземних та вітчизняних учених.</w:t>
      </w:r>
    </w:p>
    <w:p w14:paraId="00000083"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Проблематика зовнішньої політики Туреччини традиційно привертала увагу зарубіжних вчених, зокрема турецьких (А.Давутоглу, С.Озуглу, Т.Дієз) та інших зарубіжних дослідників (Б. Бузан, О.Вевер, М.Біліджи). Натомість, в українській історіографії ця тема досі не стала предметом спеціалізованого дослідження, хоча окремі аспекти вже висвітлені у працях українських авторів, які займалися й займаються турецькою тематикою (А.Кримський, В.Сергійчук, Б. Сергійчук, С.Корсунський, О. Міщєнко, Н.Мхітарян, Н.Татаренко, Г. Фісун, В.Ціватий, Л. Чекаленко, О. Чубрикова та інші).</w:t>
      </w:r>
    </w:p>
    <w:p w14:paraId="00000084"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Ахмет Давутоглу, який носить титул доктора міжнародних відносин і служив радником чинного прем'єр-міністра ТР Р. Т. Ердогана, відомий через низку наукових робіт (у тому числі монографію «Стратегічне поглиблення» /тур. - Stratejik Dermlik/), в яких він стверджував про необхідність зміни політичного курсу Туреччини з ізоляційного або монополярного на такий, що базувався б на концепції Туреччини як суб'єкта на стику декількох міжнародних регіонів. За переконаннями А. Давутоглу, «національний інтерес Туреччини зумовлений умілим </w:t>
      </w:r>
      <w:r w:rsidRPr="00BB1782">
        <w:rPr>
          <w:rFonts w:ascii="Times New Roman" w:eastAsia="Times New Roman" w:hAnsi="Times New Roman" w:cs="Times New Roman"/>
          <w:sz w:val="28"/>
          <w:szCs w:val="28"/>
        </w:rPr>
        <w:lastRenderedPageBreak/>
        <w:t>використанням її географічного положення» (Davutoglu, 2008: 92), а основою геополітичної ідентичності Туреччини має стати її представлення як «центральної держави з численними регіональними ідентичностями» (Davutoglu, 2008: 78). Зокрема, він вважає, що Турецька Республіка одночасно є «близькосхідною, балканською, кавказькою, центральноазійською, каспійською, середземноморською... та чорноморською країною» (Davutoglu, 2008: 79). Згідно з цією концепцією, на кінець 2000-х років зовнішня політика Туреччини змінилась від однобічної співпраці з Європейським Союзом до політики, що передбачала активнішу взаємодію з країнами сусідніх цивілізаційних регіонів, включно з близькосхідними.</w:t>
      </w:r>
    </w:p>
    <w:p w14:paraId="00000085"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Згідно з думкою турецького вченого С. Озуглу, ключовим фактором є амбіційні плани офіційної Анкари. У документі «Horizon 2023» представлені довготривалі цілі уряду Туреччини в галузі економічного та соціального розвитку країни. Програма «Vision 2023» окреслює наступні цілі для Туреччини: вступити до Європейського Союзу; розвивати економіку на основі науки та інновацій; підвищувати економічні потужності як регіонального центру виробництва, особливо в галузях виробництва високоякісної продукції; забезпечити безпечне та стабільне постачання енергії з Кавказу та Близького Сходу до Європи; виконувати роль транспортного коридору для Азії та Близького Сходу. Незважаючи на амбітний план Туреччини увійти до десятки країн з найсильнішою економікою, країні необхідно вирішити низку багаторічних перешкод у сфері бізнесу, аби досягнути своїх цілей (Oguzlu, 2012: 15).</w:t>
      </w:r>
    </w:p>
    <w:p w14:paraId="00000086"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Турецький дослідник вважає, що за останнє десятиліття Туреччина досягла значних успіхів завдяки важливим макроекономічним і соціальним реформам. Основними двигунами розвитку були сприятлива міжнародна економічна ситуація та успішне впровадження макроекономічних стратегій в країні. Стабілізація цін та лібералізаційні реформи протягом </w:t>
      </w:r>
      <w:r w:rsidRPr="00BB1782">
        <w:rPr>
          <w:rFonts w:ascii="Times New Roman" w:eastAsia="Times New Roman" w:hAnsi="Times New Roman" w:cs="Times New Roman"/>
          <w:sz w:val="28"/>
          <w:szCs w:val="28"/>
        </w:rPr>
        <w:lastRenderedPageBreak/>
        <w:t>цього періоду, разом із вирішенням проблем у сферах податково-бюджетної політики та зовнішніх платежів, поклали основу для економічного розвитку (Oguzlu, 2012: 17).</w:t>
      </w:r>
    </w:p>
    <w:p w14:paraId="00000087"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зазнала значного економічного зростання та зміцнення свого політичного впливу, що стало основою для зростання її ролі на міжнародній арені. Цей розвиток включав активізацію турецької політики і подолання її «ізольованого» статусу. Євроінтеграційні ініціативи Анкари та її прагнення взяти участь у регіональному безпековому комплексі як лідер, а не як звичайний член, є важливими кроками у цьому процесі. Такі можливості, як вказує іноземний автор Т. Дієз (Diez, 2005: 173), підкреслюють її потенціал. Б. Бузан та О. Вевер також розглядали Анкару як можливого лідера Близькосхідного (Західноазіатського) регіону та велику державу в майбутньому (Buzan, Wæver, Wilde, 1998: 95).</w:t>
      </w:r>
    </w:p>
    <w:p w14:paraId="00000088"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Муджахит Біліджи, професор з Нью-Йорка у Коледжі Джон Джей з кримінального права, у своїй статті для квартального аналітичного журналу «Інсайт Тьоркей» (Insight Turkey) від СЕТА, звертає увагу на соціальну диверсифікацію в турецькому суспільстві, поділеному на «білих» і «чорних» турків. Він зазначає, що спочатку республіка ідентифікувала всіх своїх громадян як мусульман і турків, виключаючи з часом мусульман, які не вважали себе турками. Релігійний аспект залишається значущим незважаючи на світський характер держави. «Білими» турками вважають мусульман-сунітів, що дотримуються світських принципів, а «чорними» турками є курди або «гірські турки», прихильники шиїзму (Ronen, Yanarocak, 2011: 311).</w:t>
      </w:r>
    </w:p>
    <w:p w14:paraId="00000089"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Що стосується електронних ресурсів, то вони представлені такими категоріями як сайти посольства України в Туреччині (Матеріали), а також сайти офіційних джерел інформації, ЗМІ, нормативно-правові акти двосторонньої співпраці, сайти міжнародних організацій.</w:t>
      </w:r>
    </w:p>
    <w:p w14:paraId="0000008A"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В українській історіографії зазначена проблематика лише починає ставати предметом окремого комплексного наукового дослідження. Водночас окремі напрямки зовнішньої політики Туреччини відображені у працях вітчизняних дослідників із турецької тематики (слід назвати таких авторів як М. Воротнюк (Воротнюк, 2011: 44-47), А. Кримський (Кримський, 1996), Т. Орлова (Орлова, 2012), Н. Пророченко (Пророченко, 2005), Т. Стародуб (Стародуб, 2011) тощо). Зазначені роботи як бачимо виходячи з назв, стосувалися окремих чинників зовнішньої політики Туреччини в історії та сьогоденні – політичного, фінансово-економічного, культурного тощо.</w:t>
      </w:r>
    </w:p>
    <w:p w14:paraId="0000008B"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На початку 21-го століття Туреччина перебувала на перетині трьох комплексів регіональної безпеки (КРБ): Близькосхідного, зважаючи на сусідство з країнами Леванту, Іраком і Іраном, Європейського, що включає Балкани, та Пострадянського через Південний Кавказ і Чорне море (Barrinha, 2013: 2).</w:t>
      </w:r>
    </w:p>
    <w:p w14:paraId="0000008C" w14:textId="6D791EB1"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Отже, зростання</w:t>
      </w:r>
      <w:r w:rsidR="00552BE2" w:rsidRPr="00BB1782">
        <w:rPr>
          <w:rFonts w:ascii="Times New Roman" w:eastAsia="Times New Roman" w:hAnsi="Times New Roman" w:cs="Times New Roman"/>
          <w:sz w:val="28"/>
          <w:szCs w:val="28"/>
          <w:lang w:val="uk-UA"/>
        </w:rPr>
        <w:t xml:space="preserve"> впливу</w:t>
      </w:r>
      <w:r w:rsidRPr="00BB1782">
        <w:rPr>
          <w:rFonts w:ascii="Times New Roman" w:eastAsia="Times New Roman" w:hAnsi="Times New Roman" w:cs="Times New Roman"/>
          <w:sz w:val="28"/>
          <w:szCs w:val="28"/>
        </w:rPr>
        <w:t xml:space="preserve"> ісламського фактору в турецькій політиці протягом останнього десятиліття стало помітно впливати на зовнішню політику країни. Ця зміна викликала значний інтерес та дискусії серед дослідників міжнародних відносин, які прагнуть зрозуміти її причини та наслідки.</w:t>
      </w:r>
    </w:p>
    <w:p w14:paraId="0000008D"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Проблематика концепції «м’якої сили» широко досліджувалася представниками різних наукових шкіл. Значний внесок у розвиток цієї теми зробили такі закордонні дослідники, як Дж. Най (мол.), Дж. Акшай, Р.Армітідж, Зб. Бжезинський, Р. Кейган, Р. Кеохейн, А. Коен, М. Лібіцкі, С.Люкс, Дж. Меттерн, У. Оуенс, І. Пармар, Н. Сноу, С. Уолт, М. Фрейзер, Ф. Фукуяма, П. ван Хем, К. Хілл та інші. У 2024 році стратегія «м'якої сили» продовжує відігравати ключову роль у міжнародних відносинах, особливо на фоні асиметричної системи світового порядку, що розвивається після закінчення біполярної ери. </w:t>
      </w:r>
    </w:p>
    <w:p w14:paraId="0000008E"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З точки зору «м’якої сили», зовнішню політику Туреччини можна розглядати як прагнення максимізувати свою владу та вплив у регіоні шляхом використання інструментарію «soft power». Зростання ісламського впливу в країні може розглядатися як один з інструментів для досягнення цієї мети. Цей підхід акцентує увагу на структурі міжнародної системи, де держави прагнуть до максимізації своєї безпеки та влади. Туреччина може використовувати свою ісламську ідентичність для посилення своїх зв'язків з іншими мусульманськими країнами, щоб розширити свою сферу впливу та протистояти західному впливу.</w:t>
      </w:r>
    </w:p>
    <w:p w14:paraId="0000008F"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Таким чином, було проаналізовано концептуальні засади дослідження зовнішньої політики Туреччини крізь призму концепції «м’якої сили». Цей підхід надав можливість зрозуміти роль нематеріальних чинників, таких як культура, релігія, цінності та ідентичність, у формуванні зовнішньополітичної стратегії Туреччини.</w:t>
      </w:r>
    </w:p>
    <w:p w14:paraId="00000090"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Встановлено, що концепція «м’якої сили», розроблена Джозефом Наєм, є ефективним інструментом для впливу на міжнародній арені через привабливість ідей, культурну дипломатію та релігійні зв’язки. Цей підхід був адаптований Туреччиною, зокрема, для зміцнення її впливу у мусульманському світі.</w:t>
      </w:r>
    </w:p>
    <w:p w14:paraId="00000091"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Аналіз трансформаційних процесів у Туреччині показав, що прихід до влади Партії справедливості та розвитку (ПСР) ознаменував новий етап у використанні ісламського чинника як складової «м’якої сили». ПСР зосередила увагу на посиленні культурних і релігійних зв’язків із мусульманськими країнами, акцентуючи на спільній історичній і релігійній спадщині.</w:t>
      </w:r>
    </w:p>
    <w:p w14:paraId="00000092"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Під керівництвом ПСР було створено унікальну модель зовнішньої політики, що ґрунтувалася на культурно-історичній спадщині та стратегічному географічному розташуванні Туреччини. Основною метою цієї моделі стало перетворення країни на ключового регіонального, а </w:t>
      </w:r>
      <w:r w:rsidRPr="00BB1782">
        <w:rPr>
          <w:rFonts w:ascii="Times New Roman" w:eastAsia="Times New Roman" w:hAnsi="Times New Roman" w:cs="Times New Roman"/>
          <w:sz w:val="28"/>
          <w:szCs w:val="28"/>
        </w:rPr>
        <w:lastRenderedPageBreak/>
        <w:t>згодом і глобального гравця. Проведені реформи забезпечили Туреччині інтелектуальний, дипломатичний і ресурсний потенціал, що став основою для ефективного використання інструментів «м’якої сили».</w:t>
      </w:r>
    </w:p>
    <w:p w14:paraId="00000093"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Визначено, що інтеграція ісламського чинника у концепцію «м’якої сили» дала змогу Туреччині: зміцнити зв’язки з країнами Близького Сходу, Центральної Азії, Балкан та Африки; використовувати релігійні цінності для формування позитивного міжнародного іміджу; посилити вплив у мусульманському світі без прямого використання військових чи економічних важелів.</w:t>
      </w:r>
    </w:p>
    <w:p w14:paraId="00000094" w14:textId="77777777" w:rsidR="009123BC" w:rsidRPr="00BB1782" w:rsidRDefault="00712845" w:rsidP="00C6458D">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Таким чином, концепція «м’якої сили» виступає важливим теоретичним інструментом для аналізу зовнішньої політики Туреччини в контексті ісламського чинника. Вона демонструє, як Туреччина поєднує культурно-релігійні ресурси із сучасними політичними інструментами для досягнення своїх зовнішньополітичних цілей</w:t>
      </w:r>
    </w:p>
    <w:p w14:paraId="00000095" w14:textId="77777777" w:rsidR="009123BC" w:rsidRPr="00BB1782" w:rsidRDefault="009123BC">
      <w:pPr>
        <w:spacing w:line="360" w:lineRule="auto"/>
        <w:ind w:firstLine="520"/>
        <w:jc w:val="both"/>
        <w:rPr>
          <w:rFonts w:ascii="Times New Roman" w:eastAsia="Times New Roman" w:hAnsi="Times New Roman" w:cs="Times New Roman"/>
          <w:sz w:val="28"/>
          <w:szCs w:val="28"/>
        </w:rPr>
      </w:pPr>
    </w:p>
    <w:p w14:paraId="00000096" w14:textId="77777777" w:rsidR="009123BC" w:rsidRPr="00BB1782" w:rsidRDefault="009123BC">
      <w:pPr>
        <w:spacing w:line="360" w:lineRule="auto"/>
        <w:ind w:firstLine="520"/>
        <w:jc w:val="both"/>
        <w:rPr>
          <w:rFonts w:ascii="Times New Roman" w:eastAsia="Times New Roman" w:hAnsi="Times New Roman" w:cs="Times New Roman"/>
          <w:sz w:val="28"/>
          <w:szCs w:val="28"/>
        </w:rPr>
      </w:pPr>
    </w:p>
    <w:p w14:paraId="724082B6" w14:textId="77777777" w:rsidR="00841CA0" w:rsidRPr="00BB1782" w:rsidRDefault="00841CA0">
      <w:pPr>
        <w:rPr>
          <w:rFonts w:ascii="Times New Roman" w:eastAsia="Times New Roman" w:hAnsi="Times New Roman" w:cs="Times New Roman"/>
          <w:b/>
          <w:sz w:val="28"/>
          <w:szCs w:val="28"/>
        </w:rPr>
      </w:pPr>
      <w:r w:rsidRPr="00BB1782">
        <w:rPr>
          <w:rFonts w:ascii="Times New Roman" w:eastAsia="Times New Roman" w:hAnsi="Times New Roman" w:cs="Times New Roman"/>
          <w:b/>
          <w:sz w:val="28"/>
          <w:szCs w:val="28"/>
        </w:rPr>
        <w:br w:type="page"/>
      </w:r>
    </w:p>
    <w:p w14:paraId="000000A6" w14:textId="79D4C2C2" w:rsidR="009123BC" w:rsidRPr="00BB1782" w:rsidRDefault="00712845" w:rsidP="00841CA0">
      <w:pPr>
        <w:pStyle w:val="1"/>
        <w:spacing w:before="0" w:after="0" w:line="360" w:lineRule="auto"/>
        <w:jc w:val="center"/>
        <w:rPr>
          <w:rFonts w:ascii="Times New Roman" w:eastAsia="Times New Roman" w:hAnsi="Times New Roman" w:cs="Times New Roman"/>
          <w:b/>
          <w:sz w:val="28"/>
          <w:szCs w:val="28"/>
          <w:lang w:val="uk-UA"/>
        </w:rPr>
      </w:pPr>
      <w:bookmarkStart w:id="4" w:name="_Toc183727747"/>
      <w:r w:rsidRPr="00BB1782">
        <w:rPr>
          <w:rFonts w:ascii="Times New Roman" w:eastAsia="Times New Roman" w:hAnsi="Times New Roman" w:cs="Times New Roman"/>
          <w:b/>
          <w:sz w:val="28"/>
          <w:szCs w:val="28"/>
        </w:rPr>
        <w:lastRenderedPageBreak/>
        <w:t xml:space="preserve">РОЗДІЛ 2. </w:t>
      </w:r>
      <w:r w:rsidR="004F142B" w:rsidRPr="00BB1782">
        <w:rPr>
          <w:rFonts w:ascii="Times New Roman" w:eastAsia="Times New Roman" w:hAnsi="Times New Roman" w:cs="Times New Roman"/>
          <w:b/>
          <w:sz w:val="28"/>
          <w:szCs w:val="28"/>
          <w:lang w:val="uk-UA"/>
        </w:rPr>
        <w:t>ЗНАЧЕННЯ РЕЛІГІЙНОГО ЧИННИКА У ФОРМУВАННІ ВІДНОСИН ТУРЕЦЬКОЇ РЕСПУБЛІКИ З МУСУЛЬМАНСЬКИМИ КРАЇНАМИ</w:t>
      </w:r>
      <w:bookmarkEnd w:id="4"/>
    </w:p>
    <w:p w14:paraId="000000A8" w14:textId="6BB27508" w:rsidR="009123BC" w:rsidRPr="00BB1782" w:rsidRDefault="00712845" w:rsidP="00841CA0">
      <w:pPr>
        <w:spacing w:line="360" w:lineRule="auto"/>
        <w:jc w:val="both"/>
        <w:rPr>
          <w:rFonts w:ascii="Times New Roman" w:eastAsia="Times New Roman" w:hAnsi="Times New Roman" w:cs="Times New Roman"/>
          <w:sz w:val="27"/>
          <w:szCs w:val="27"/>
        </w:rPr>
      </w:pPr>
      <w:r w:rsidRPr="00BB1782">
        <w:rPr>
          <w:rFonts w:ascii="Times New Roman" w:eastAsia="Times New Roman" w:hAnsi="Times New Roman" w:cs="Times New Roman"/>
          <w:sz w:val="27"/>
          <w:szCs w:val="27"/>
        </w:rPr>
        <w:t xml:space="preserve">  </w:t>
      </w:r>
    </w:p>
    <w:p w14:paraId="000000A9"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Політика Туреччини у мусульманському світі є багатовекторною та ґрунтується на поєднанні геополітичних, економічних, релігійних та культурних інтересів. Після приходу до влади Партії справедливості та розвитку (ПСР) під керівництвом Реджепа Тайїпа Ердогана у 2002 році Туреччина значно активізувала свою зовнішню політику, спрямовану на посилення впливу в мусульманських країнах, особливо на Близькому Сході, в Північній Африці, Центральній Азії та частково в Південній Азії.</w:t>
      </w:r>
    </w:p>
    <w:p w14:paraId="000000AA"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Розглянемо більш докладно відносини Туреччини із Саудівською Аравією, Єгиптом та Сирією.</w:t>
      </w:r>
    </w:p>
    <w:p w14:paraId="000000AC"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Відносини між Туреччиною та Саудівською Аравією в ХХІ столітті є складними та багатогранними, зважаючи на різноманітні геополітичні, релігійні та економічні чинники. Незважаючи на спільні інтереси та членство в Організації ісламського співробітництва (ОІС), обидві країни мають розбіжності в низці питань регіональної політики, зокрема щодо конфліктів на Близькому Сході та змагання за лідерство у мусульманському світі. Проте, економічна співпраця та прагматичні інтереси дозволяють Туреччині та Саудівській Аравії підтримувати відносини, які часто коливаються між конкуренцією та співпрацею.</w:t>
      </w:r>
    </w:p>
    <w:p w14:paraId="000000AD"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Основний елемент суперечностей між Туреччиною та Саудівською Аравією полягає у їхньому різному підході до питань регіональної безпеки та зовнішньої політики на Близькому Сході. Туреччина, під керівництвом Партії справедливості та розвитку (AKP) і президента Реджепа Тайїпа Ердогана, проводить активну політику, спрямовану на підтримку ісламістських рухів, зокрема «Братів-мусульман», що часто вступає в протиріччя з політикою Саудівської Аравії. Ер-Ріяд, навпаки, бачить у цих </w:t>
      </w:r>
      <w:r w:rsidRPr="00BB1782">
        <w:rPr>
          <w:rFonts w:ascii="Times New Roman" w:eastAsia="Times New Roman" w:hAnsi="Times New Roman" w:cs="Times New Roman"/>
          <w:sz w:val="28"/>
          <w:szCs w:val="28"/>
        </w:rPr>
        <w:lastRenderedPageBreak/>
        <w:t>рухах загрозу своєму монархічному режиму і підтримує більш консервативні сунітські режими в регіоні (Altunişik &amp; Martin, 2014).</w:t>
      </w:r>
    </w:p>
    <w:p w14:paraId="000000AE"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Сирійська громадянська війна стала одним із найважливіших полів конфлікту між Туреччиною та Саудівською Аравією. Хоча обидві країни виступають проти режиму Башара Асада, їхні підходи до вирішення конфлікту різняться. Туреччина активно підтримує сунітську опозицію, включаючи ісламістські групи, тоді як Саудівська Аравія надає підтримку більш консервативним антиасадівським силам. Це призводить до напруженості між двома країнами, особливо у контексті того, як вони бачать майбутнє Сирії після конфлікту (Aydınlı &amp; Çandar, 2019).</w:t>
      </w:r>
    </w:p>
    <w:p w14:paraId="000000AF"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Конкуренція між Туреччиною та Саудівською Аравією також виявляється в їхньому суперництві за лідерство у мусульманському світі. Туреччина під керівництвом Ердогана намагається позиціонувати себе як провідного гравця в регіоні та захисника мусульманських інтересів, зокрема через підтримку палестинської справи та виступи проти ізраїльської політики. Саудівська Аравія, яка традиційно розглядається як лідер сунітського ісламського світу, також прагне зберегти свій вплив і часто вступає у протиріччя з Туреччиною на цьому тлі (Barkey, 2019).</w:t>
      </w:r>
    </w:p>
    <w:p w14:paraId="000000B0"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Відносини між Туреччиною та Саудівською Аравією особливо загострилися після вбивства саудівського журналіста Джамаля Хашоггі у жовтні 2018 року в консульстві Саудівської Аравії в Стамбулі. Це вбивство викликало глобальний скандал і серйозно зіпсувало відносини між країнами. Туреччина, яка відкрито виступила з критикою дій Саудівської Аравії, звинуватила Ер-Ріяд у причетності до вбивства та закликала до міжнародного розслідування. Президент Ердоган надав світовій спільноті численні докази, що вказували на те, що вбивство було сплановане на високому рівні (Aydınlı &amp; Çandar, 2019).</w:t>
      </w:r>
    </w:p>
    <w:p w14:paraId="000000B1"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Цей інцидент посилив напруженість між країнами та спричинив низку дипломатичних конфліктів. Саудівська Аравія відповіла на критику </w:t>
      </w:r>
      <w:r w:rsidRPr="00BB1782">
        <w:rPr>
          <w:rFonts w:ascii="Times New Roman" w:eastAsia="Times New Roman" w:hAnsi="Times New Roman" w:cs="Times New Roman"/>
          <w:sz w:val="28"/>
          <w:szCs w:val="28"/>
        </w:rPr>
        <w:lastRenderedPageBreak/>
        <w:t>з боку Туреччини економічними санкціями та торговими обмеженнями, зокрема закликом до бойкоту турецьких товарів у Саудівській Аравії. Вбивство Хашоггі показало, наскільки глибокими можуть бути розбіжності між двома країнами, навіть попри їхні спільні інтереси у сфері безпеки та економіки (Ulrichsen, 2020; Kirişci, 2019).</w:t>
      </w:r>
    </w:p>
    <w:p w14:paraId="000000B2"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Релігійний аспект також відіграє важливу роль у відносинах між Туреччиною та Саудівською Аравією, зважаючи на те, що обидві країни мають значний вплив у мусульманському світі. Саудівська Аравія розглядається як центр сунітського ісламу через розташування на її території святих міст ісламу — Мекки й Медіни. Туреччина, у свою чергу, намагається використовувати ісламську релігію як елемент своєї м’якої сили, особливо через діяльність організації Діянет (управління релігійних справ), яка активно пропагує ісламські цінності в регіоні (Altunişik, 2014).</w:t>
      </w:r>
    </w:p>
    <w:p w14:paraId="000000B3"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Проте релігійні відносини між країнами також мають свої суперечності, особливо через те, що Туреччина підтримує помірковані ісламістські рухи, такі як «Брати-мусульмани», яких Саудівська Аравія вважає загрозою для свого режиму. Це створює додаткові напруження у двосторонніх відносинах і підсилює ідеологічну конкуренцію між країнами за лідерство в сунітському світі (Kirişci, 2019).</w:t>
      </w:r>
    </w:p>
    <w:p w14:paraId="000000B4"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Незважаючи на релігійно-ідеологічні розбіжності, Туреччина та Саудівська Аравія підтримують співпрацю у сфері безпеки, оскільки обидві країни стикаються з подібними викликами, зокрема тероризмом, регіональною нестабільністю та впливом зовнішніх гравців у регіоні. Співпраця у сфері безпеки була особливо важливою під час боротьби з терористичними угрупованнями, такими як ІДІЛ (Ісламська держава), діяльність якої загрожувала стабільності як Туреччини, так і Саудівської Аравії.</w:t>
      </w:r>
    </w:p>
    <w:p w14:paraId="000000B5"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Обидві країни активно брали участь у міжнародних коаліціях, спрямованих на боротьбу з тероризмом у Сирії та Іраку, хоча підходи до </w:t>
      </w:r>
      <w:r w:rsidRPr="00BB1782">
        <w:rPr>
          <w:rFonts w:ascii="Times New Roman" w:eastAsia="Times New Roman" w:hAnsi="Times New Roman" w:cs="Times New Roman"/>
          <w:sz w:val="28"/>
          <w:szCs w:val="28"/>
        </w:rPr>
        <w:lastRenderedPageBreak/>
        <w:t>врегулювання конфліктів у цих країнах у них часто різнилися. Туреччина прагнула забезпечити безпеку своїх кордонів і стримувати вплив курдських збройних угруповань, тоді як Саудівська Аравія зосередилася на боротьбі з іранським впливом у регіоні та підтримці сунітських сил (Kirişci, 2019).</w:t>
      </w:r>
    </w:p>
    <w:p w14:paraId="000000B6"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Саудівська Аравія та Туреччина брали участь у різних міжнародних ініціативах щодо забезпечення стабільності в регіоні, включаючи співпрацю у сфері безпеки через Ради співробітництва арабських держав Перської затоки та Організацію ісламського співробітництва. Це дозволяє країнам підтримувати діалог і координувати дії у сфері безпеки, незважаючи на політичні та ідеологічні розбіжності (Ulrichsen, 2020).</w:t>
      </w:r>
    </w:p>
    <w:p w14:paraId="000000B7"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Отже, відносини між Туреччиною та Саудівською Аравією в ХХІ столітті є складними та динамічними, відображаючи як співпрацю, так і суперництво у сфері релігії, геополітики, безпеки. Обидві країни мають глибокі розбіжності у питаннях регіональної політики, особливо стосовно Сирії та підтримки ісламістських рухів. </w:t>
      </w:r>
    </w:p>
    <w:p w14:paraId="000000B8"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Релігійний чинник також відіграє важливу роль, оскільки обидві країни претендують на лідерство у мусульманському світі. Туреччина намагається використати іслам як елемент своєї м'якої сили, тоді як Саудівська Аравія розглядає себе як центр сунітського ісламу. Ця конкуренція впливає на двосторонні відносини, але вона не є достатньо сильною, щоб повністю зруйнувати їх. </w:t>
      </w:r>
    </w:p>
    <w:p w14:paraId="000000BA" w14:textId="7BE7C61A" w:rsidR="009123BC" w:rsidRPr="00BB1782" w:rsidRDefault="00712845" w:rsidP="00841CA0">
      <w:pPr>
        <w:spacing w:line="360" w:lineRule="auto"/>
        <w:ind w:firstLine="709"/>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t>Попри значні політичні розбіжності, Туреччина та Саудівська Аравія знаходять спільні інтереси в питаннях безпеки та боротьби з тероризмом, що допомагає їм підтримувати діалог та співпрацю. Надалі відносини між цими країнами будуть залежати від їхньої здатності подолати регіональні суперечності та зосередитися на спільних безпекових інтересах.</w:t>
      </w:r>
    </w:p>
    <w:p w14:paraId="000000BB"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Відносини між Туреччиною та Єгиптом у ХХІ столітті зазнали серйозних змін, характеризуючись періодами як співпраці, так і гострої напруженості. Обидві країни є важливими регіональними гравцями на Близькому Сході та в Східному Середземномор'ї, і їхні взаємодії мають значний вплив на політичні й економічні процеси в регіоні. Проте ці відносини зазнали серйозних випробувань після Арабської весни 2011 року, особливо після військового перевороту в Єгипті 2013 року, коли були усунуті від влади «Брати-мусульмани», яких підтримувала Туреччина.</w:t>
      </w:r>
    </w:p>
    <w:p w14:paraId="000000BC"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На початку ХХІ століття відносини між Туреччиною та Єгиптом були стабільними. У період правління президента Хосні Мубарака Єгипет був важливим партнером Туреччини на Близькому Сході. Економічні відносини між двома країнами значно зросли, що призвело до збільшення двосторонньої торгівлі, інвестицій і спільних проектів у галузі інфраструктури, енергетики та туризму (Altunişik, 2011).</w:t>
      </w:r>
    </w:p>
    <w:p w14:paraId="000000BD"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також використовувала свою м'яку силу для зміцнення зв'язків з Єгиптом. Зокрема, турецькі серіали набули великої популярності серед єгипетської аудиторії, що сприяло створенню позитивного іміджу Туреччини у єгипетському суспільстві (Kirişci, 2019). Крім того, обидві країни брали участь у регіональних ініціативах, спрямованих на забезпечення стабільності на Близькому Сході, таких як Організація ісламського співробітництва.</w:t>
      </w:r>
    </w:p>
    <w:p w14:paraId="000000BE"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Революція в Єгипті 2011 року, яка призвела до усунення від влади президента Хосні Мубарака, кардинально змінила політичний ландшафт у країні та регіоні загалом. Туреччина, під керівництвом Партії справедливості та розвитку (AKP) і президента Реджепа Тайїпа Ердогана, підтримала демократичні зміни, що відбулися в Єгипті. Особливу увагу Анкара приділила «Братам-мусульманам» — ісламістському руху, який </w:t>
      </w:r>
      <w:r w:rsidRPr="00BB1782">
        <w:rPr>
          <w:rFonts w:ascii="Times New Roman" w:eastAsia="Times New Roman" w:hAnsi="Times New Roman" w:cs="Times New Roman"/>
          <w:sz w:val="28"/>
          <w:szCs w:val="28"/>
        </w:rPr>
        <w:lastRenderedPageBreak/>
        <w:t>здобув політичну владу після виборів у 2012 році та привів до президентства Мухаммеда Мурсі (Aras, 2014).</w:t>
      </w:r>
    </w:p>
    <w:p w14:paraId="000000BF"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підтримувала уряд Мурсі як приклад ісламської демократії, що відповідає її власній моделі поєднання ісламу та демократії. Відносини між Туреччиною та Єгиптом під час правління Мурсі були дуже теплими, а економічні й дипломатичні зв'язки зміцнилися. Туреччина активно інвестувала в єгипетську економіку, зокрема в галузі енергетики та будівництва, а також збільшила обсяги торгівлі (Kirişci, 2019).</w:t>
      </w:r>
    </w:p>
    <w:p w14:paraId="000000C0"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Однак ці теплі відносини різко погіршилися після військового перевороту в Єгипті в липні 2013 року, коли армія усунула від влади президента Мурсі та заборонила діяльність «Братів-мусульман». Генерал Абдель Фаттах Ас-Сісі, який став новим лідером Єгипту, проводив жорстку політику проти ісламістів, що суперечило позиції Туреччини. Анкара відкрито засудила переворот і виступила з критикою нового режиму, що призвело до серйозної дипломатичної кризи між двома країнами (Barkey, 2019).</w:t>
      </w:r>
    </w:p>
    <w:p w14:paraId="000000C1"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розглядала переворот як напад на демократичні процеси, тоді як Єгипет звинуватив Туреччину у втручанні у внутрішні справи країни. У результаті Єгипет відкликав свого посла з Анкари, а Туреччина також вжила відповідних заходів. Це призвело до замороження двосторонніх відносин та погіршення економічних зв'язків. Торгові й інвестиційні потоки між країнами різко знизилися, а спільні проекти були припинені (Aras, 2014).</w:t>
      </w:r>
    </w:p>
    <w:p w14:paraId="000000C2"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Регіональні конфлікти, зокрема сирійська громадянська війна та лівійський конфлікт, також стали важливими факторами у відносинах між Туреччиною та Єгиптом. У Сирії Туреччина підтримує опозиційні сили проти режиму Башара Асада, тоді як Єгипет виступає за стабільність і підтримку чинного режиму, оскільки це відповідає його стратегії боротьби з ісламськими екстремістами (Larrabee &amp; Nader, 2013).</w:t>
      </w:r>
    </w:p>
    <w:p w14:paraId="000000C3"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Ще більш серйозною точкою конфлікту став лівійський конфлікт. Туреччина підтримує уряд національної згоди (УНЗ) в Тріполі, який визнаний ООН, тоді як Єгипет надає підтримку Лівійській національній армії під керівництвом генерала Халіфи Хафтара, який контролює східну частину Лівії. Це протистояння стало ще однією причиною напруженості у відносинах між Туреччиною та Єгиптом, оскільки обидві країни прагнуть посилити свій вплив у Північній Африці (Ulrichsen, 2020).</w:t>
      </w:r>
    </w:p>
    <w:p w14:paraId="000000C4"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Східне Середземномор'я стало ще однією точкою напруженості у відносинах між Туреччиною та Єгиптом через питання контролю над газовими родовищами. У 2019 році Туреччина підписала угоду з УНЗ Лівії, яка встановлювала нові морські кордони між країнами і надавала Туреччині право на розвідку енергоресурсів у регіоні. Це викликало різку критику з боку Єгипту, який має свої інтереси у видобутку газу в Східному Середземномор'ї. Єгипет є одним із лідерів регіону у видобутку природного газу і виступає за співпрацю з Грецією та Кіпром для розробки ресурсів (Robins, 2020).</w:t>
      </w:r>
    </w:p>
    <w:p w14:paraId="000000C5"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У 2021 році Туреччина почала робити кроки до нормалізації відносин із Єгиптом, зокрема через дипломатичні контакти на рівні міністрів закордонних справ та відкриття можливостей для співробітництва. Туреччина, яка зіткнулася з викликами та загостренням регіональної конкуренції, шукає нові можливості для покращення відносин із ключовими регіональними гравцями, і Єгипет займає важливе місце в цій стратегії (Ulrichsen, 2020; WITS Data, 2020; Aras, 2014).</w:t>
      </w:r>
    </w:p>
    <w:p w14:paraId="000000C6"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Таким чином, відносини між Туреччиною та Єгиптом у ХХІ столітті пройшли через значні злети і падіння. Після періоду тісної співпраці, особливо під час правління Мухаммеда Мурсі, відносини між країнами різко погіршилися після військового перевороту 2013 року. Регіональні конфлікти, зокрема у Лівії та Сирії, а також боротьба за вплив у Східному </w:t>
      </w:r>
      <w:r w:rsidRPr="00BB1782">
        <w:rPr>
          <w:rFonts w:ascii="Times New Roman" w:eastAsia="Times New Roman" w:hAnsi="Times New Roman" w:cs="Times New Roman"/>
          <w:sz w:val="28"/>
          <w:szCs w:val="28"/>
        </w:rPr>
        <w:lastRenderedPageBreak/>
        <w:t>Середземномор'ї, додатково ускладнили відносини між Туреччиною та Єгиптом.</w:t>
      </w:r>
    </w:p>
    <w:p w14:paraId="000000C7"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Однак у 2020-х роках обидві країни почали робити кроки до нормалізації відносин, зокрема через прагнення покращити економічне співробітництво та стабілізувати регіональну політику. Незважаючи на політичні розбіжності, економічні інтереси можуть стати ключовим чинником у відновленні відносин між Туреччиною та Єгиптом у майбутньому.</w:t>
      </w:r>
    </w:p>
    <w:p w14:paraId="000000C9"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Відносини між Туреччиною та Сирією в ХХІ столітті пройшли через кілька важливих фаз, від періоду тісної економічної та дипломатичної співпраці до глибокої кризи та військової конфронтації, особливо після початку громадянської війни в Сирії у 2011 році. Ці зміни відображають трансформації в регіональній політиці, внутрішні виклики в обох країнах та зовнішні чинники, що впливають на їхні відносини. </w:t>
      </w:r>
    </w:p>
    <w:p w14:paraId="000000CA"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На початку ХХІ століття відносини між Туреччиною та Сирією почали помітно покращуватися після багаторічної напруженості, пов’язаної з територіальними суперечками, підтримкою Сирією курдських сепаратистів (Робітничої партії Курдистану) та розбіжностями у водних ресурсах річки Євфрат. Зміна підходів у зовнішній політиці, ініційована президентом Башаром Асадом у Сирії та тодішнім прем'єр-міністром Туреччини Реджепом Тайїпом Ердоганом, сприяла нормалізації відносин. Цей період був відомий як «золота ера» турецько-сирійських відносин (Altunişik, 2014). </w:t>
      </w:r>
    </w:p>
    <w:p w14:paraId="000000CB"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Політична співпраця також стала більш конструктивною. Туреччина використовувала свою зростаючу регіональну вагу для посередництва у регіональних конфліктах, зокрема між Сирією та Ізраїлем. Хоча ці ініціативи не досягли значного успіху, вони продемонстрували готовність Анкари підтримувати стабільність у регіоні через дипломатичні зусилля (Aras, 2012).</w:t>
      </w:r>
    </w:p>
    <w:p w14:paraId="000000CC"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Однак із початком громадянської війни в Сирії у 2011 році відносини між Туреччиною та Сирією зазнали кардинальних змін. Туреччина, яка спочатку намагалася посередничати між урядом Башара Асада та протестувальниками, швидко перейшла до підтримки сирійської опозиції, коли стало зрозуміло, що режим Асада не піде на поступки. Туреччина почала активно допомагати опозиційним групам, включно з Вільною сирійською армією, та відкрито виступати проти режиму Асада, закликаючи до його повалення (Barkey, 2019).</w:t>
      </w:r>
    </w:p>
    <w:p w14:paraId="000000CD"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Цей розрив був спричинений не лише питанням підтримки різних сил у конфлікті, а й стратегічними амбіціями Туреччини в регіоні. Партія справедливості та розвитку (AKP), під керівництвом Ердогана, прагнула позиціонувати Туреччину як провідну силу на Близькому Сході, підтримуючи ісламістські рухи, що прагнули до політичних змін після Арабської весни. Сирія, зі своїм авторитарним режимом та близькими відносинами з Іраном, стала на заваді цим амбіціям (Robins, 2013).</w:t>
      </w:r>
    </w:p>
    <w:p w14:paraId="000000CE"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також зіткнулася з численними викликами через приплив біженців. За даними ООН, до 2020 року Туреччина прийняла понад 3,6 мільйона сирійських біженців, що стало серйозним випробуванням для її економіки та соціальної інфраструктури (UNHCR, 2020). Цей фактор також вплинув на внутрішньополітичну ситуацію в Туреччині, оскільки питання сирійських біженців стало важливим у політичних дебатах та викликало занепокоєння серед турецького населення.</w:t>
      </w:r>
    </w:p>
    <w:p w14:paraId="000000CF"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Одним із ключових аспектів турецько-сирійських відносин у ХХІ столітті є питання курдського сепаратизму. Туреччина завжди вважала діяльність Робітничої партії Курдистану (PKK) загрозою для своєї національної безпеки. Під час сирійського конфлікту з'явилися побоювання, що курдські збройні формування, такі як Загін народної самооборони (YPG), які контролюють значну частину північно-східної Сирії, можуть створити умови для появи курдської автономії вздовж </w:t>
      </w:r>
      <w:r w:rsidRPr="00BB1782">
        <w:rPr>
          <w:rFonts w:ascii="Times New Roman" w:eastAsia="Times New Roman" w:hAnsi="Times New Roman" w:cs="Times New Roman"/>
          <w:sz w:val="28"/>
          <w:szCs w:val="28"/>
        </w:rPr>
        <w:lastRenderedPageBreak/>
        <w:t>турецького кордону. Туреччина вважає YPG сирійським відгалуженням PKK і, відповідно, терористичною організацією (Kirişci, 2019).</w:t>
      </w:r>
    </w:p>
    <w:p w14:paraId="000000D0"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Ці дії викликали міжнародну критику, оскільки курдські сили були важливим союзником США та західної коаліції в боротьбі проти Ісламської держави (ІДІЛ). Проте Туреччина продовжує вважати боротьбу з курдським сепаратизмом пріоритетом своєї зовнішньої політики, особливо на тлі потенційної дестабілізації її південно-східних регіонів, населених курдами (Robins, 2020).</w:t>
      </w:r>
    </w:p>
    <w:p w14:paraId="000000D1"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Сирійський конфлікт також залучив до регіону низку міжнародних гравців, що додало складнощів у турецько-сирійські відносини. Росія та Іран, які підтримують режим Асада, є ключовими суперниками Туреччини в цьому конфлікті. Російська військова інтервенція у 2015 році на боці сирійського уряду значно зміцнила позиції Асада та ускладнила плани Туреччини щодо зміни режиму в Дамаску (Larrabee &amp; Nader, 2013).</w:t>
      </w:r>
    </w:p>
    <w:p w14:paraId="000000D2"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Попри це, Туреччина намагалася зберегти співпрацю з Росією, беручи участь у кількох мирних ініціативах, таких як Астанинський процес. У 2017 році Туреччина, Росія та Іран виступили гарантами цього процесу, метою якого було створення зон деескалації та припинення вогню в Сирії. Хоча ці зусилля не призвели до остаточного врегулювання конфлікту, вони дозволили Туреччині зберегти вплив у процесі вирішення сирійського питання (Barkey, 2019; Altunişik, 2014; UNHCR, 2020). </w:t>
      </w:r>
    </w:p>
    <w:p w14:paraId="000000D3"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Попри глибоку кризу у відносинах між Туреччиною та Сирією, з'являються ознаки можливості для певної нормалізації. Зокрема, у 2021 році Ердоган висловив зацікавленість у відновленні діалогу з сирійським урядом, хоча офіційний Дамаск поки що зберігає ворожу позицію щодо Туреччини. Туреччина, яка прагне стабілізувати свої південні кордони та вирішити проблему сирійських біженців, зацікавлена у припиненні військових дій та збереженні певного рівня політичної стабільності в Сирії (Barkey, 2019).</w:t>
      </w:r>
    </w:p>
    <w:p w14:paraId="000000D4"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Проте нормалізація відносин залежатиме від багатьох факторів, зокрема від позиції Росії та Ірану, а також від розвитку ситуації з курдським питанням. Туреччина продовжує вимагати створення «безпечних зон» на півночі Сирії, де вона могла б розмістити біженців та запобігти зміцненню курдських збройних формувань. Якщо ці інтереси Туреччини будуть враховані в ширшому контексті сирійського врегулювання, це може стати основою для поступового відновлення дипломатичних і економічних зв’язків між двома країнами (Robins, 2020).</w:t>
      </w:r>
    </w:p>
    <w:p w14:paraId="000000D5"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Таким чином, відносини між Туреччиною та Сирією у ХХІ столітті пройшли через значні зміни — від періоду тісної співпраці та економічного партнерства до конфронтації та глибокої кризи під час громадянської війни в Сирії. Підтримка Туреччиною сирійської опозиції, військові операції проти курдських сил та потужний приплив сирійських біженців стали ключовими викликами для Анкари. Водночас конфлікт у Сирії мав серйозні економічні наслідки для обох країн, зокрема втрата торгових зв'язків та фінансові витрати, пов’язані з гуманітарною кризою.</w:t>
      </w:r>
    </w:p>
    <w:p w14:paraId="000000D6" w14:textId="77777777" w:rsidR="009123BC" w:rsidRPr="00BB1782" w:rsidRDefault="00712845" w:rsidP="00841CA0">
      <w:pPr>
        <w:spacing w:after="100"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Незважаючи на глибоку кризу, Туреччина демонструє прагматичний підхід до врегулювання сирійського конфлікту, зокрема через співпрацю з Росією та Іраном у рамках Астанинського процесу. У майбутньому нормалізація відносин може стати можливою, якщо будуть знайдені рішення щодо питань безпеки та управління потоками біженців. Таким чином, відносини між Туреччиною та Сирією залишаються складними та багатовимірними, і їхній розвиток значною мірою залежатиме від зовнішніх чинників та регіональних динамік.</w:t>
      </w:r>
    </w:p>
    <w:p w14:paraId="000000D7"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У цілому, зовнішня політика Туреччини у мусульманському світі характеризується прагненням до відновлення її регіонального впливу через поєднання політичних, військових, економічних та культурних інструментів. Туреччина намагається стати провідним гравцем у регіоні, </w:t>
      </w:r>
      <w:r w:rsidRPr="00BB1782">
        <w:rPr>
          <w:rFonts w:ascii="Times New Roman" w:eastAsia="Times New Roman" w:hAnsi="Times New Roman" w:cs="Times New Roman"/>
          <w:sz w:val="28"/>
          <w:szCs w:val="28"/>
        </w:rPr>
        <w:lastRenderedPageBreak/>
        <w:t>водночас стикаючись із суперництвом з боку інших великих держав, таких як Саудівська Аравія та Іран.</w:t>
      </w:r>
    </w:p>
    <w:p w14:paraId="000000D9"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Відносини між Туреччиною та Іраном у ХХІ столітті відзначаються складною динамікою, що обумовлена взаємодією різних факторів: історичних, геополітичних, економічних та ідеологічних. Незважаючи на різні політичні орієнтири й суперництво в регіоні, обидві країни мають спільні інтереси, зокрема в економічній співпраці, енергетичному секторі та питаннях безпеки. Сучасні відносини Туреччини та Ірану можна охарактеризувати як поєднання суперництва і співпраці.</w:t>
      </w:r>
    </w:p>
    <w:p w14:paraId="000000DA"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Геополітична конкуренція між Туреччиною та Іраном бере свій початок ще з османсько-сефевідської епохи, коли обидві країни боролися за вплив у регіоні. У ХХІ столітті ця конкуренція продовжується, особливо на Близькому Сході, де Туреччина та Іран мають різні позиції з низки ключових питань. Наприклад, під час громадянської війни в Сирії Туреччина підтримувала опозиційні сили, тоді як Іран надавав військову й фінансову підтримку режиму Башара Асада (Ehteshami &amp; Wehrey, 2011). Цей конфлікт став одним із головних моментів напруженості у відносинах між двома країнами.</w:t>
      </w:r>
    </w:p>
    <w:p w14:paraId="000000DB"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Однак, попри геополітичну й релігійну конкуренцію, Туреччина та Іран намагаються підтримувати відносини на рівні стратегічного діалогу. Це пов’язано з їхніми спільними інтересами, зокрема в енергетичній сфері та регіональній стабільності. Наприклад, у 2001 році обидві країни підписали договір про співробітництво в питаннях безпеки, що передбачає спільні заходи для боротьби з тероризмом та контрабандою (Aydıntaşbaş, 2018).</w:t>
      </w:r>
    </w:p>
    <w:p w14:paraId="000000E0"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Окрім безпекових аспектів, важливим фактором у відносинах Туреччини та Ірану є релігійні й ідеологічні відмінності між країнами. Туреччина позиціонує себе як світська держава з поміркованою ісламською політикою, тоді як Іран залишається ісламською республікою, </w:t>
      </w:r>
      <w:r w:rsidRPr="00BB1782">
        <w:rPr>
          <w:rFonts w:ascii="Times New Roman" w:eastAsia="Times New Roman" w:hAnsi="Times New Roman" w:cs="Times New Roman"/>
          <w:sz w:val="28"/>
          <w:szCs w:val="28"/>
        </w:rPr>
        <w:lastRenderedPageBreak/>
        <w:t>заснованою на принципах шиїзму. Ці ідеологічні відмінності створюють додаткову напругу, особливо у контексті внутрішніх політичних процесів у кожній з країн (Barkey, 2019).</w:t>
      </w:r>
    </w:p>
    <w:p w14:paraId="000000E1"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Однак, попри ці відмінності, Туреччина та Іран продовжують співпрацювати у ключових сферах. Важливим аспектом цієї співпраці є прагматичний підхід обох країн до вирішення економічних і регіональних проблем, що дозволяє мінімізувати вплив ідеологічних розбіжностей на двосторонні відносини.</w:t>
      </w:r>
    </w:p>
    <w:p w14:paraId="000000E2"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Релігійний чинник відіграє важливу, хоча й неоднозначну роль у відносинах між Туреччиною та Іраном. Обидві країни мають значний вплив у мусульманському світі, але їхні релігійні системи та підходи до ісламу суттєво відрізняються. Туреччина історично є світською державою, в якій панує сунітська гілка ісламу, тоді як Іран є теократичною шиїтською державою, в основі якої лежить ідеологія Ісламської Республіки, що базується на принципах шиїтського ісламу. Ці релігійні відмінності впливають на регіональну політику обох держав і є важливим фактором у їхніх відносинах.</w:t>
      </w:r>
    </w:p>
    <w:p w14:paraId="000000E3"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Після встановлення Ісламської Республіки Іран у 1979 році країна перетворилася на глобальний центр шиїтського ісламу, який почав активно поширювати ідеї революції, зокрема серед шиїтських громад на Близькому Сході. Туреччина, натомість, після створення Турецької Республіки у 1923 році під керівництвом Мустафи Кемаля Ататюрка, стала світською державою, де релігія і держава були суворо відокремлені одна від одної. Ататюрк запровадив політику лаїцизму, яка обмежувала релігійну роль у політичному та громадському житті, що кардинально відрізнялося від ідеологічної основи Ірану, де релігія відіграє центральну роль у політиці (Barkey, 2019).</w:t>
      </w:r>
    </w:p>
    <w:p w14:paraId="000000E4"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Туреччина, будучи сунітською державою, довгий час займала стриману позицію щодо шиїтського Ірану, а ідеологічні відмінності </w:t>
      </w:r>
      <w:r w:rsidRPr="00BB1782">
        <w:rPr>
          <w:rFonts w:ascii="Times New Roman" w:eastAsia="Times New Roman" w:hAnsi="Times New Roman" w:cs="Times New Roman"/>
          <w:sz w:val="28"/>
          <w:szCs w:val="28"/>
        </w:rPr>
        <w:lastRenderedPageBreak/>
        <w:t>створювали напруженість у їхніх відносинах. Туреччина була скептично налаштована щодо поширення іранського впливу серед шиїтських громад у Лівані, Іраку та Сирії. Після Ісламської революції в Ірані Туреччина бачила в іранському режимі загрозу стабільності регіону через прагнення Ірану поширювати свій революційний ісламізм (Robins, 2013).</w:t>
      </w:r>
    </w:p>
    <w:p w14:paraId="000000E5"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Попри релігійні відмінності, обидві країни також використовують релігійні аспекти у своїй зовнішній політиці як елемент м'якої сили. Туреччина, особливо за часів правління Партії справедливості та розвитку (AKP), почала активно використовувати ісламські символи та цінності для зміцнення свого впливу у мусульманському світі. Зокрема, президент Туреччини Реджеп Тайїп Ердоган позиціонував себе як захисник мусульман, а Туреччина почала більше виступати на захист палестинців та мусульман у світі, що дозволило їй зміцнити свій вплив у сунітському світі (Altunişik, 2014).</w:t>
      </w:r>
    </w:p>
    <w:p w14:paraId="000000E6"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Іран, зі свого боку, продовжує використовувати шиїтську релігійну ідентичність для поширення свого впливу, зокрема через підтримку шиїтських політичних та військових організацій, таких як Хезболла в Лівані та шиїтські угруповання в Іраку. Проте, незважаючи на ідеологічні розбіжності, Іран і Туреччина іноді співпрацюють у релігійних питаннях, коли йдеться про загальні мусульманські цінності, особливо у контексті захисту прав мусульман у світі (Ehteshami &amp; Wehrey, 2011).</w:t>
      </w:r>
    </w:p>
    <w:p w14:paraId="000000E7"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Релігійний чинник також відіграє важливу роль у конфліктах, у яких Туреччина та Іран підтримують різні сторони. Сирійська війна стала однією з найяскравіших ілюстрацій цього протистояння. Іран підтримує режим Башара Асада, який є представником алавітської секти (шиїтська гілка), тоді як Туреччина підтримує сунітську опозицію. Цей релігійний розкол є важливим фактором у регіональній політиці обох країн, оскільки вони прагнуть зміцнити свій вплив у різних частинах Близького Сходу (Aydıntaşbaş, 2018).</w:t>
      </w:r>
    </w:p>
    <w:p w14:paraId="000000E8"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Крім того, війна в Ємені, де шиїтські хусити борються проти урядових військ, підтримуваних Саудівською Аравією, є ще одним прикладом протистояння сунітського і шиїтського блоків у регіоні. Хоча Туреччина і не бере безпосередньої участі у конфлікті в Ємені, її підтримка Саудівської Аравії як лідера сунітського світу також впливає на її відносини з Іраном, який підтримує хуситів (Robins, 2013).</w:t>
      </w:r>
    </w:p>
    <w:p w14:paraId="000000E9"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Релігійний чинник також відіграє непряму роль у курдському питанні, яке є важливим для безпеки як Туреччини, так і Ірану. Курдське населення переважно сунітське, але в Ірані є значна шиїтська курдська громада. Обидві країни занепокоєні потенційною автономією чи незалежністю курдів, яка може вплинути на їхню внутрішню стабільність. Незважаючи на різні релігійні ідентичності, Туреччина та Іран співпрацюють у боротьбі проти курдських сепаратистських рухів, таких як Робітнича партія Курдистану (PKK), що діє на території обох країн (Barkey, 2019).</w:t>
      </w:r>
    </w:p>
    <w:p w14:paraId="000000EA"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політичного виміру, релігія також відіграє важливу роль у культурній дипломатії обох країн. Туреччина активно використовує релігійні організації, такі як Діянет, для поширення свого впливу в мусульманських країнах, зокрема в країнах Балкан і Центральної Азії. Туреччина просуває модель поміркованого ісламу, яка поєднує релігійні цінності із сучасністю, що відрізняється від консервативного шиїтського підходу Ірану (Altunişik, 2014).</w:t>
      </w:r>
    </w:p>
    <w:p w14:paraId="000000EB"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Іран також використовує культурну та релігійну дипломатію для зміцнення свого впливу серед шиїтських громад. Іранські релігійні школи та культурні центри діють у багатьох країнах, де є значні шиїтські громади, зокрема в Іраку, Лівані, Афганістані та Бахрейні. Це дозволяє Ірану підтримувати тісні зв'язки зі своїми союзниками у регіоні та поширювати шиїтську ідеологію (Ehteshami &amp; Wehrey, 2011).</w:t>
      </w:r>
    </w:p>
    <w:p w14:paraId="000000EC"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У цілому релігійний чинник відіграє суперечливу роль у відносинах Туреччини та Ірану. Хоча обидві країни представляють різні гілки ісламу та мають історичні ідеологічні розбіжності, релігія також є важливим елементом їхньої дипломатії, особливо в рамках культурної та м’якої сили. Релігійна конкуренція у регіоні, зокрема у Сирії та Ємені, значно впливає на їхні відносини, проте спільні загрози, такі як курдське питання, змушують Туреччину та Іран знаходити спільні підходи у питаннях безпеки. Таким чином, релігійний чинник, незважаючи на свою амбівалентність, є важливою складовою двосторонніх відносин між Туреччиною та Іраном. Відносини між цими двома країнами демонструють, що, незважаючи на суттєві релігійні та ідеологічні розбіжності, спільні інтереси в економіці, безпеці та регіональній політиці можуть сприяти збереженню конструктивної взаємодії.</w:t>
      </w:r>
    </w:p>
    <w:p w14:paraId="000000ED"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Релігійний чинник впливає як на конкуренцію, так і на співпрацю між Туреччиною та Іраном. Хоча обидві країни претендують на роль лідера мусульманського світу, представляючи різні підходи до ісламу — сунітський у Туреччині і шиїтський в Ірані, — вони знаходять спільні точки дотику, особливо у боротьбі з курдськими сепаратистами та в питаннях регіональної стабільності. Релігійна дипломатія та культурні зв'язки залишаються важливими інструментами у зовнішньополітичних стратегіях обох країн, що дозволяє їм формувати власні зони впливу у мусульманському світі.</w:t>
      </w:r>
    </w:p>
    <w:p w14:paraId="000000EE"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Отже, відносини між Туреччиною та Іраном у ХХІ столітті є складними та багатогранними. Незважаючи на значні геополітичні та ідеологічні відмінності, обидві країни зуміли розвинути ефективну економічну та енергетичну співпрацю, а також підтримують діалог у питаннях безпеки. Туреччина та Іран демонструють прагматичний підхід до вирішення регіональних проблем, що дозволяє зберігати стабільні двосторонні відносини, попри конкуренцію в регіоні. Ці відносини є </w:t>
      </w:r>
      <w:r w:rsidRPr="00BB1782">
        <w:rPr>
          <w:rFonts w:ascii="Times New Roman" w:eastAsia="Times New Roman" w:hAnsi="Times New Roman" w:cs="Times New Roman"/>
          <w:sz w:val="28"/>
          <w:szCs w:val="28"/>
        </w:rPr>
        <w:lastRenderedPageBreak/>
        <w:t>прикладом того, як геополітичні й ідеологічні суперечності можуть бути подолані шляхом прагматичного підходу та економічної співпраці. Туреччина та Іран, хоча й мають різні погляди на багато регіональних питань, демонструють, що взаємний економічний інтерес і безпекова співпраця можуть стати важливими чинниками для збереження стабільних відносин.</w:t>
      </w:r>
    </w:p>
    <w:p w14:paraId="000000EF"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Релігійний чинник у відносинах Туреччини та Ірану є складним і багатогранним. З одного боку, він створює конкурентну динаміку в боротьбі за лідерство в регіоні, з іншого — є інструментом для дипломатичних ініціатив та налагодження співпраці. Подальший розвиток відносин між цими двома державами, без сумніву, залежатиме від їхньої здатності збалансувати релігійні розбіжності з прагматичними політичними та економічними інтересами.</w:t>
      </w:r>
    </w:p>
    <w:p w14:paraId="000000F0"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Таким чином, відносини між Туреччиною та Іраном у ХХІ столітті є поєднанням співпраці й суперництва. Туреччина та Іран продовжують впливати на регіональну політику Близького Сходу, використовуючи як дипломатичні, так і економічні інструменти. Незважаючи на ідеологічні розбіжності та регіональні амбіції, обидві країни демонструють готовність до конструктивного діалогу, що є важливим для забезпечення стабільності в регіоні (Tiftikçigil, 2015). Туреччина також активно співпрацює з країнами Північної Африки, зокрема з Єгиптом і Лівією, де турецькі компанії беруть участь у великих інфраструктурних проектах, таких як будівництво доріг, мостів та будівель.</w:t>
      </w:r>
    </w:p>
    <w:p w14:paraId="000000F1"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Статистичні дані (Додаток А) підкреслюють роль Туреччини як важливого торгового партнера для багатьох країн Близького Сходу, особливо в секторі енергетики, будівництва та сільського господарства.</w:t>
      </w:r>
    </w:p>
    <w:p w14:paraId="000000F4"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Одним із ключових інструментів м’якої сили Туреччини є Турецьке агентство зі співробітництва та координації (TİKA), яке надає допомогу в розвитку інфраструктури та соціальних програм у багатьох </w:t>
      </w:r>
      <w:r w:rsidRPr="00BB1782">
        <w:rPr>
          <w:rFonts w:ascii="Times New Roman" w:eastAsia="Times New Roman" w:hAnsi="Times New Roman" w:cs="Times New Roman"/>
          <w:sz w:val="28"/>
          <w:szCs w:val="28"/>
        </w:rPr>
        <w:lastRenderedPageBreak/>
        <w:t>мусульманських країнах, зокрема в Афганістані, Пакистані, Косово та Судані. Це сприяє зміцненню позитивного образу Туреччини як країни, яка підтримує мусульманські громади по всьому світу (Öniş &amp; Yılmaz, 2009).</w:t>
      </w:r>
    </w:p>
    <w:p w14:paraId="000000F5"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Юнус Емре Інститут активно просуває турецьку мову, культуру та освіту через мережу своїх центрів у мусульманських країнах. Цей інститут відіграє важливу роль у зміцненні культурних зв'язків між Туреччиною та мусульманським світом (Altunişik, 2014). Подібні програми допомагають Туреччині створювати позитивний імідж та забезпечувати культурну дипломатію, що зміцнює її позиції як сучасної мусульманської держави.</w:t>
      </w:r>
    </w:p>
    <w:p w14:paraId="000000F6"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активно інвестує в освітні програми для студентів із мусульманських країн, пропонуючи стипендії для навчання у турецьких університетах. Турецькі стипендії (Türkiye Bursları) дозволяють студентам з Африки, Центральної Азії, Балкан і Близького Сходу отримати освіту в Туреччині, що сприяє створенню тісніших культурних і політичних зв'язків між Туреччиною та країнами їх походження (Akçapar, 2010).</w:t>
      </w:r>
    </w:p>
    <w:p w14:paraId="000000F7"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Також важливу роль відіграють турецькі телесеріали та фільми, які стали дуже популярними в багатьох мусульманських країнах. Такі серіали, як «Величне століття» (Muhteşem Yüzyıl), створюють привабливий образ Туреччини, впливаючи на масову культуру мусульманських суспільств і сприяючи розумінню спільних історичних та культурних зв’язків (Aras &amp; Polat, 2012). Це ефективно працює як інструмент культурної дипломатії, оскільки розвиває позитивне ставлення до Туреччини серед широких верств населення.</w:t>
      </w:r>
    </w:p>
    <w:p w14:paraId="000000F8"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Релігія є важливим аспектом м’якої сили Туреччини, зокрема в мусульманському світі. Діянет, організація, відповідальна за релігійні справи в Туреччині, активно підтримує будівництво мечетей, ісламських шкіл та надає релігійну освіту в країнах з переважно мусульманським населенням. Це не тільки сприяє поширенню ісламських цінностей, але й </w:t>
      </w:r>
      <w:r w:rsidRPr="00BB1782">
        <w:rPr>
          <w:rFonts w:ascii="Times New Roman" w:eastAsia="Times New Roman" w:hAnsi="Times New Roman" w:cs="Times New Roman"/>
          <w:sz w:val="28"/>
          <w:szCs w:val="28"/>
        </w:rPr>
        <w:lastRenderedPageBreak/>
        <w:t>зміцнює релігійні зв’язки між Туреччиною та мусульманським світом (Erdogan, 2018).</w:t>
      </w:r>
    </w:p>
    <w:p w14:paraId="000000F9"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Особливо важливу роль релігійна дипломатія відіграє в таких країнах, як Боснія і Герцеговина, Албанія та Косово, де Туреччина підтримує ісламську ідентичність і відіграє важливу роль у відновленні релігійних установ. Крім того, Туреччина намагається позиціонувати себе як лідера мусульманського світу, просуваючи ідею «ісламу по-турецьки», який базується на принципах поміркованості та модернізму, що відрізняє її від інших гравців, таких як Саудівська Аравія або Іран (Yavuz, 2020).</w:t>
      </w:r>
    </w:p>
    <w:p w14:paraId="000000FA"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Політика м’якої сили Туреччини має також значення у контексті її зовнішньополітичної стратегії щодо мусульманських країн. Наприклад, Туреччина активно підтримує Палестину у її конфлікті з Ізраїлем, що викликає позитивний відгук серед багатьох мусульманських країн, особливо в арабському світі. Це підсилює позиції Туреччини як захисника мусульманських інтересів і додає їй впливу на міжнародній арені (Hinnebusch &amp; Ehteshami, 2002).</w:t>
      </w:r>
    </w:p>
    <w:p w14:paraId="000000FB"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Туреччина використовує м’яку силу для підтримки своїх економічних інтересів у мусульманських країнах. Наприклад, участь у будівельних проектах у країнах Близького Сходу, таких як Ірак та Лівія, створює економічні зв’язки, які мають довготривалі політичні наслідки (Robins, 2013). Це також посилює її роль як регіонального гравця, що здатен впливати на політичні процеси за межами власних кордонів.</w:t>
      </w:r>
    </w:p>
    <w:p w14:paraId="000000FD"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Використання «м'якої сили» Туреччиною для просування ідей пантюркізму є однією з важливих стратегій у зовнішній політиці Анкари. Пантюркізм, ідеологія, що спрямована на об’єднання всіх тюркомовних народів на основі спільної етнічної, культурної та історичної спадщини, став одним із важливих векторів м’якої сили Туреччини, особливо в країнах Центральної Азії, Кавказу та частково на Балканах.</w:t>
      </w:r>
    </w:p>
    <w:p w14:paraId="000000FE"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Корені пантюркізму сягають ще кінця ХІХ — початку ХХ століття, коли інтелектуали Османської імперії почали розвивати ідеї етнічної єдності тюркських народів. Однак ці ідеї набули нових обертів після розпаду Радянського Союзу, коли на політичній арені з’явилися незалежні тюркські держави, такі як Казахстан, Узбекистан, Азербайджан, Туркменістан і Киргизстан. Туреччина побачила в цьому можливість зміцнити свій вплив у цих регіонах, використовуючи історичні й культурні зв’язки (Robins, 2013).</w:t>
      </w:r>
    </w:p>
    <w:p w14:paraId="00000102"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Релігійна дипломатія також є важливим аспектом просування пантюркістських ідей. Через Діянет (Управління у справах релігії) Туреччина фінансує будівництво мечетей та ісламських центрів у тюркомовних країнах, сприяючи зміцненню релігійних зв'язків на основі поміркованої інтерпретації ісламу, яка базується на турецькій моделі (Yavuz, 2020). Це допомагає Туреччині відрізнитися від інших гравців, таких як Саудівська Аравія або Іран, які також намагаються поширювати свій вплив через релігійні канали.</w:t>
      </w:r>
    </w:p>
    <w:p w14:paraId="00000103"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На політичному рівні Туреччина активно просуває ідеї пантюркізму через міжнародні організації, такі як Тюркська рада (The Turkic Council), яка була створена у 2009 році. Ця організація об'єднує країни тюркомовного світу і працює над зміцненням економічної, культурної та політичної співпраці між ними. В рамках Тюркської ради Туреччина намагається позиціонувати себе як природного лідера тюркського світу, підкреслюючи свою історичну та культурну роль (Balci, 2014).</w:t>
      </w:r>
    </w:p>
    <w:p w14:paraId="00000104"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Попри успіхи Туреччини в просуванні пантюркізму, є й деякі обмеження. Одним із головних викликів є різні політичні інтереси та внутрішня динаміка країн Центральної Азії, що не завжди співпадають із зовнішньополітичними цілями Туреччини. Крім того, регіональні гравці, такі як Росія та Китай, також мають значний вплив у цьому регіоні, що </w:t>
      </w:r>
      <w:r w:rsidRPr="00BB1782">
        <w:rPr>
          <w:rFonts w:ascii="Times New Roman" w:eastAsia="Times New Roman" w:hAnsi="Times New Roman" w:cs="Times New Roman"/>
          <w:sz w:val="28"/>
          <w:szCs w:val="28"/>
        </w:rPr>
        <w:lastRenderedPageBreak/>
        <w:t>обмежує можливості Туреччини повністю реалізувати свої пантюркістські амбіції (Robins, 2013).</w:t>
      </w:r>
    </w:p>
    <w:p w14:paraId="00000105" w14:textId="3105F23E"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Отже, значення м’якої сили є суттєвим, особливо у мусульманському світі. Використовуючи культурні, релігійні та освітні інструменти, Туреччина змогла зміцнити свій імідж як поміркованої мусульманської держави та регіонального лідера. Впроваджуючи культурну та релігійну дипломатію, інвестуючи в освіту та інфраструктурні проекти, Туреччина посилює свій вплив серед мусульманських країн, що підвищує її авторитет на міжнародній арені (Nye, 2004; Kirişci, 2011).</w:t>
      </w:r>
    </w:p>
    <w:p w14:paraId="00000106"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М’яка сила є важливим інструментом просування пантюркізму в зовнішній політиці Туреччини, зокрема в тюркомовних країнах Центральної Азії та Кавказу. Використовуючи освітні програми, культурні ініціативи, релігійну дипломатію та економічну співпрацю, Туреччина зміцнює свій вплив у регіоні та просуває ідеї тюркської єдності. Проте вплив регіональних конкурентів та різні політичні інтереси в регіоні створюють певні виклики для реалізації пантюркістської стратегії Анкари.</w:t>
      </w:r>
    </w:p>
    <w:p w14:paraId="00000119" w14:textId="77777777" w:rsidR="009123BC" w:rsidRPr="00BB1782" w:rsidRDefault="00712845" w:rsidP="00841CA0">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просуває власну модель ісламу, яка поєднує релігійність із секулярними принципами. Це дозволяє Анкарі протидіяти радикальним течіям, таким як ваххабізм, і зміцнювати свій вплив у країнах із переважно мусульманським населенням.</w:t>
      </w:r>
    </w:p>
    <w:p w14:paraId="0000011A" w14:textId="77777777" w:rsidR="009123BC" w:rsidRPr="00BB1782" w:rsidRDefault="00712845" w:rsidP="00C335A4">
      <w:pPr>
        <w:spacing w:line="360" w:lineRule="auto"/>
        <w:ind w:firstLine="709"/>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Отже, Туреччина ефективно використовує іслам як інструмент м'якої сили, поєднуючи релігійний компонент із культурними, гуманітарними, економічними та політичними стратегіями. Це дозволяє їй не лише зміцнювати свої позиції в ісламському світі, але й формувати образ лідера, який об'єднує мусульманські країни навколо спільних цінностей і цілей.</w:t>
      </w:r>
    </w:p>
    <w:p w14:paraId="0000011B" w14:textId="4C2B109C" w:rsidR="009123BC" w:rsidRPr="00BB1782" w:rsidRDefault="009123BC" w:rsidP="00C335A4">
      <w:pPr>
        <w:spacing w:line="360" w:lineRule="auto"/>
        <w:ind w:firstLine="520"/>
        <w:jc w:val="both"/>
        <w:rPr>
          <w:rFonts w:ascii="Times New Roman" w:eastAsia="Times New Roman" w:hAnsi="Times New Roman" w:cs="Times New Roman"/>
          <w:sz w:val="32"/>
          <w:szCs w:val="32"/>
          <w:lang w:val="uk-UA"/>
        </w:rPr>
      </w:pPr>
    </w:p>
    <w:p w14:paraId="0000011C" w14:textId="57F8F004" w:rsidR="007D2621" w:rsidRPr="00BB1782" w:rsidRDefault="007D2621" w:rsidP="00C335A4">
      <w:pPr>
        <w:spacing w:line="360" w:lineRule="auto"/>
        <w:rPr>
          <w:rFonts w:ascii="Times New Roman" w:eastAsia="Times New Roman" w:hAnsi="Times New Roman" w:cs="Times New Roman"/>
          <w:sz w:val="32"/>
          <w:szCs w:val="32"/>
        </w:rPr>
      </w:pPr>
      <w:r w:rsidRPr="00BB1782">
        <w:rPr>
          <w:rFonts w:ascii="Times New Roman" w:eastAsia="Times New Roman" w:hAnsi="Times New Roman" w:cs="Times New Roman"/>
          <w:sz w:val="32"/>
          <w:szCs w:val="32"/>
        </w:rPr>
        <w:br w:type="page"/>
      </w:r>
    </w:p>
    <w:p w14:paraId="00000131" w14:textId="77777777" w:rsidR="009123BC" w:rsidRPr="00BB1782" w:rsidRDefault="00712845" w:rsidP="00C335A4">
      <w:pPr>
        <w:pStyle w:val="1"/>
        <w:spacing w:before="0" w:after="0" w:line="360" w:lineRule="auto"/>
        <w:jc w:val="center"/>
        <w:rPr>
          <w:rFonts w:ascii="Times New Roman" w:eastAsia="Times New Roman" w:hAnsi="Times New Roman" w:cs="Times New Roman"/>
          <w:b/>
          <w:sz w:val="28"/>
          <w:szCs w:val="28"/>
        </w:rPr>
      </w:pPr>
      <w:bookmarkStart w:id="5" w:name="_Toc183727748"/>
      <w:r w:rsidRPr="00BB1782">
        <w:rPr>
          <w:rFonts w:ascii="Times New Roman" w:eastAsia="Times New Roman" w:hAnsi="Times New Roman" w:cs="Times New Roman"/>
          <w:b/>
          <w:sz w:val="28"/>
          <w:szCs w:val="28"/>
        </w:rPr>
        <w:lastRenderedPageBreak/>
        <w:t>РОЗДІЛ 3. РОЛЬ ІСЛАМСЬКОГО ЧИННИКА У ВІДНОСИНАХ ТУРЕЧЧИНИ З КРАЇНАМИ ЄВРОПИ</w:t>
      </w:r>
      <w:bookmarkEnd w:id="5"/>
    </w:p>
    <w:p w14:paraId="00000132" w14:textId="77777777" w:rsidR="009123BC" w:rsidRPr="00BB1782" w:rsidRDefault="00712845" w:rsidP="00C335A4">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 </w:t>
      </w:r>
    </w:p>
    <w:p w14:paraId="0000013C" w14:textId="77777777" w:rsidR="009123BC" w:rsidRPr="00BB1782" w:rsidRDefault="00712845" w:rsidP="00C335A4">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Одним із ключових факторів, які впливають на політичне сприйняття Туреччини в Європі, є історико-релігійна спадщина Османської імперії та її тривале суперництво з європейськими державами. Історичні конфлікти, такі як облога Відня та інші османські вторгнення в Європу, створили культурні та релігійні стереотипи, які впливають на сучасне уявлення про Туреччину як про країну, що належить до «іншої» цивілізації (Finkel, 2005; Kafadar, 1996). Ці стереотипи частково пояснюють скептицизм деяких європейських країн щодо повної інтеграції Туреччини до ЄС.</w:t>
      </w:r>
    </w:p>
    <w:p w14:paraId="0000013D"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культурні та релігійні відмінності між переважно мусульманською Туреччиною і християнською Європою часто використовуються в політичному дискурсі, що призводить до складнощів у сприйнятті Туреччини як потенційного члена ЄС. Деякі європейські політичні діячі наголошують на важливості збереження європейської ідентичності та вважають, що Туреччина не відповідає цій ідентичності через свої культурні особливості (Kubicek, 2005).</w:t>
      </w:r>
    </w:p>
    <w:p w14:paraId="0000013E"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Зростання авторитаризму в Туреччині під керівництвом Реджепа Тайїпа Ердогана стало однією з основних причин критичного сприйняття країни в Європі. Європейські лідери часто висловлюють занепокоєння з приводу обмеження свободи слова, переслідування опозиційних політиків і журналістів, а також порушення прав людини. Ці проблеми значно ускладнюють перспективи вступу Туреччини до ЄС і викликають питання про відповідність Туреччини демократичним стандартам Європейського Союзу (Cagaptay, 2017; Inan &amp; Dede, 2018).</w:t>
      </w:r>
    </w:p>
    <w:p w14:paraId="0000013F"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З іншого боку, деякі європейські країни визнають стратегічне значення Туреччини як ключового партнера в регіоні, особливо у питаннях міграції та боротьби з тероризмом. Туреччина відіграє важливу роль у </w:t>
      </w:r>
      <w:r w:rsidRPr="00BB1782">
        <w:rPr>
          <w:rFonts w:ascii="Times New Roman" w:eastAsia="Times New Roman" w:hAnsi="Times New Roman" w:cs="Times New Roman"/>
          <w:sz w:val="28"/>
          <w:szCs w:val="28"/>
        </w:rPr>
        <w:lastRenderedPageBreak/>
        <w:t>зупинці потоку біженців до Європи, що стало основним елементом угоди між ЄС і Туреччиною у 2016 році (Kirisci, 2018). Це створює дилему для європейських політиків, які змушені співпрацювати з Туреччиною з питань безпеки, попри занепокоєння з приводу порушень демократії та прав людини.</w:t>
      </w:r>
    </w:p>
    <w:p w14:paraId="00000140"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Ісламський чинник також має значний вплив на політичне сприйняття Туреччини. Деякі європейські політичні сили, особливо праві партії, використовують страхи перед ісламізацією та міграційною кризою для мобілізації електорату і подальшої критики інтеграції Туреччини до ЄС. Вони часто аргументують свою позицію тим, що вступ Туреччини до ЄС може посилити культурні конфлікти і призвести до проблем з інтеграцією мусульманських громад (Yilmaz, 2012).</w:t>
      </w:r>
    </w:p>
    <w:p w14:paraId="00000141"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Водночас, Туреччина активно використовує релігійні та культурні зв’язки для зміцнення своїх позицій у Європі. Турецький уряд підтримує ісламські громади в Європі через освітні та релігійні ініціативи, що, на думку деяких європейських лідерів, може мати політичний вплив і підривати інтеграцію мусульман у європейські суспільства (Taspinar, 2011).</w:t>
      </w:r>
    </w:p>
    <w:p w14:paraId="00000142"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Геополітична роль Туреччини в Європі є ще одним фактором, що впливає на її сприйняття. Туреччина розташована на стратегічному перехресті між Європою та Близьким Сходом і відіграє важливу роль у питаннях енергетичної безпеки та стабільності в регіоні. Європейські країни змушені враховувати геополітичні реалії у відносинах із Туреччиною, особливо в контексті конфліктів у Сирії та питань безпеки в Східному Середземномор'ї (Mango, 1999; Kirisci, 2018).</w:t>
      </w:r>
    </w:p>
    <w:p w14:paraId="00000143"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Однак політика Туреччини в регіоні, зокрема військові операції в Сирії та Лівії, викликає критику з боку деяких європейських країн. Відносини ускладнюються також суперечками щодо прав на ресурси в </w:t>
      </w:r>
      <w:r w:rsidRPr="00BB1782">
        <w:rPr>
          <w:rFonts w:ascii="Times New Roman" w:eastAsia="Times New Roman" w:hAnsi="Times New Roman" w:cs="Times New Roman"/>
          <w:sz w:val="28"/>
          <w:szCs w:val="28"/>
        </w:rPr>
        <w:lastRenderedPageBreak/>
        <w:t>Східному Середземномор'ї, де Туреччина має територіальні претензії, що суперечать інтересам Кіпру та Греції (Dodd, 2010).</w:t>
      </w:r>
    </w:p>
    <w:p w14:paraId="00000144"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Перспективи відносин між Туреччиною та Європою у XXI столітті залишаються складними та багатогранними, охоплюючи питання політичної інтеграції, економічного співробітництва, міграційної політики, прав людини та геополітичних викликів. Туреччина продовжує відігравати важливу роль у забезпеченні безпеки Європи, але її віддалення від демократичних стандартів і зовнішньополітичні амбіції створюють серйозні перепони на шляху до повноцінної інтеграції в європейське співтовариство.</w:t>
      </w:r>
    </w:p>
    <w:p w14:paraId="00000145"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Одним із центральних питань у відносинах Туреччини та Європи є її потенційний вступ до Європейського Союзу. Незважаючи на те, що переговори про членство розпочалися у 2005 році, процес євроінтеграції Туреччини значно уповільнився через низку факторів, включаючи занепокоєння ЄС щодо стану демократії, свободи слова та прав людини в Туреччині (Kubicek, 2005; Cagaptay, 2017). Зростання авторитаризму в країні, особливо після невдалого перевороту 2016 року та наступних репресій, викликає серйозні побоювання серед європейських лідерів (Kirisci, 2018).</w:t>
      </w:r>
    </w:p>
    <w:p w14:paraId="00000146"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Проте деякі експерти зазначають, що повне припинення переговорів не є в інтересах жодної зі сторін. ЄС продовжує визнавати стратегічне значення Туреччини як партнера у питаннях міграції, безпеки та боротьби з тероризмом (Inan &amp; Dede, 2018). Водночас Туреччина розуміє, що збереження тісних економічних та політичних зв'язків з Європою є важливим для її довгострокового розвитку (Barysch, 2010).</w:t>
      </w:r>
    </w:p>
    <w:p w14:paraId="00000147"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Розвиток спільних проектів у сфері інфраструктури, енергетики та торгівлі також має перспективи, проте залежить від політичної стабільності в Туреччині та готовності уряду виконувати європейські стандарти. Якщо Анкара зможе поліпшити ситуацію з дотриманням прав </w:t>
      </w:r>
      <w:r w:rsidRPr="00BB1782">
        <w:rPr>
          <w:rFonts w:ascii="Times New Roman" w:eastAsia="Times New Roman" w:hAnsi="Times New Roman" w:cs="Times New Roman"/>
          <w:sz w:val="28"/>
          <w:szCs w:val="28"/>
        </w:rPr>
        <w:lastRenderedPageBreak/>
        <w:t>людини та забезпечити верховенство права, це може відкрити нові можливості для інвестицій та економічного співробітництва (Kirişci, 2018).</w:t>
      </w:r>
    </w:p>
    <w:p w14:paraId="00000149"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Геополітичні амбіції Туреччини під керівництвом Ердогана спричинили нові виклики для ЄС. Туреччина активно розширює свій вплив на Балканах, у Північній Африці та на Близькому Сході, що створює додаткову напруженість у відносинах з ЄС (Cagaptay, 2017). Європа зі свого боку намагається балансувати між стримуванням цих амбіцій та співпрацею з Туреччиною у питаннях безпеки та енергетики.</w:t>
      </w:r>
    </w:p>
    <w:p w14:paraId="0000014A"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Деякі експерти вважають, що у майбутньому відносини між Туреччиною та ЄС можуть розвиватися у форматі «привілейованого партнерства», яке не передбачає повноправного членства, але забезпечує тісну співпрацю у важливих сферах, таких як торгівля, безпека та культурний обмін (Barysch, 2010; Inan &amp; Dede, 2018).</w:t>
      </w:r>
    </w:p>
    <w:p w14:paraId="0000014B"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Отже, історичний розвиток відносин між Туреччиною та Європою є складним процесом, який поєднує періоди конфліктів і стратегічного партнерства. Сьогодні взаємодія Туреччини та Європи продовжує формуватися під впливом історичних спадщин, політичних реалій та взаємних інтересів.</w:t>
      </w:r>
    </w:p>
    <w:p w14:paraId="0000014C"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Політичне сприйняття Туреччини в країнах Європи є багатогранним і зумовлене поєднанням історичних, культурних, політичних і геополітичних факторів. Туреччина залишається важливим партнером для ЄС у питаннях міграції та безпеки, але її віддалення від демократичних стандартів і зростання ісламського впливу викликають серйозне занепокоєння серед європейських лідерів. Це створює складний і часто суперечливий контекст, у якому розвиваються відносини між Туреччиною та Європою.</w:t>
      </w:r>
    </w:p>
    <w:p w14:paraId="0000014D"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Перспективи відносин між Туреччиною та Європою у XXI столітті є неоднозначними і залежать від того, чи зможе Туреччина дотримуватися демократичних принципів та стандартів прав людини, яких вимагає ЄС. </w:t>
      </w:r>
      <w:r w:rsidRPr="00BB1782">
        <w:rPr>
          <w:rFonts w:ascii="Times New Roman" w:eastAsia="Times New Roman" w:hAnsi="Times New Roman" w:cs="Times New Roman"/>
          <w:sz w:val="28"/>
          <w:szCs w:val="28"/>
        </w:rPr>
        <w:lastRenderedPageBreak/>
        <w:t>Водночас прагматичні інтереси у сферах міграції, безпеки та економіки продовжуватимуть сприяти підтримці діалогу та співробітництва. Вирішення цих суперечностей вимагатиме стратегічної гнучкості та компромісів з обох сторін.</w:t>
      </w:r>
    </w:p>
    <w:p w14:paraId="0000014F"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Роль Туреччини у забезпеченні ісламської солідарності та захисту прав мусульман у Великій Британії є важливим аспектом її зовнішньої політики, спрямованої на зміцнення зв’язків з мусульманськими громадами за межами країни. Ця стратегія базується на релігійних, культурних і політичних факторах, які відображають прагнення Туреччини посилити свій вплив серед мусульманської діаспори та підтримати їх у питаннях прав і соціальної інтеграції.</w:t>
      </w:r>
    </w:p>
    <w:p w14:paraId="00000150"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активно підтримує ідею ісламської солідарності, зокрема через діяльність таких організацій, як Діянет — Управління у справах релігій, яке надає підтримку турецьким та мусульманським громадам у країнах Європи, включаючи Велику Британію. Діянет фінансує будівництво мечетей, проводить релігійні заходи та пропонує освітні програми, спрямовані на збереження ісламської ідентичності серед мусульманських громад (Yilmaz, 2012; Cagaptay, 2017).</w:t>
      </w:r>
    </w:p>
    <w:p w14:paraId="00000151"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Після 2010 року Туреччина почала ще активніше залучатися до захисту прав мусульман у Європі, зокрема через протидію ісламофобії та захист релігійних свобод. Турецькі лідери, включаючи президента Реджепа Тайїпа Ердогана, неодноразово критикували європейські уряди за неспроможність захистити мусульманські громади від дискримінації та насильства на релігійному ґрунті (Kirisci, 2018). Такі заяви мають на меті як підтримати мусульманські громади, так і зміцнити позиції Туреччини як провідного захисника прав мусульман у світі.</w:t>
      </w:r>
    </w:p>
    <w:p w14:paraId="00000152"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У Великій Британії проживає значна мусульманська громада, і Туреччина використовує культурні та релігійні ініціативи для розширення свого впливу серед цієї групи. Турецька держава підтримує діяльність </w:t>
      </w:r>
      <w:r w:rsidRPr="00BB1782">
        <w:rPr>
          <w:rFonts w:ascii="Times New Roman" w:eastAsia="Times New Roman" w:hAnsi="Times New Roman" w:cs="Times New Roman"/>
          <w:sz w:val="28"/>
          <w:szCs w:val="28"/>
        </w:rPr>
        <w:lastRenderedPageBreak/>
        <w:t>мечетей, фінансує ісламські освітні заклади та сприяє організації культурних заходів, які зміцнюють зв’язки з британськими мусульманами (Yilmaz, 2012).</w:t>
      </w:r>
    </w:p>
    <w:p w14:paraId="00000153"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У відповідь на зростання ісламофобських настроїв у Великій Британії Туреччина часто закликає британський уряд захищати права мусульман і протистояти дискримінації. Це особливо актуально у світлі дебатів про заборону хіджабу в деяких країнах Європи, а також зростання антиісламської риторики у політичному дискурсі. Туреччина використовує ці питання для підкреслення своєї ролі як захисника мусульманських інтересів (Inan &amp; Dede, 2018).</w:t>
      </w:r>
    </w:p>
    <w:p w14:paraId="00000154"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Хоча Туреччина намагається позиціонувати себе як захисник прав мусульман у Великій Британії, така політика викликає і певну критику. Деякі експерти стверджують, що Туреччина використовує ісламську солідарність як інструмент «м’якої сили», щоб розширити свій геополітичний вплив і просувати власні політичні інтереси за кордоном. Зокрема, деякі країни Європи побоюються, що турецький уряд може використовувати релігійні мережі для політичного впливу та контролю над мусульманською діаспорою (Cagaptay, 2017).</w:t>
      </w:r>
    </w:p>
    <w:p w14:paraId="00000155"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Інші дослідники зазначають, що підтримка мусульманських громад з боку Туреччини може сприяти зміцненню культурних зв’язків та інтеграції, але водночас створює ризик посилення розколів між різними релігійними та етнічними групами у британському суспільстві (Kirisci, 2018).</w:t>
      </w:r>
    </w:p>
    <w:p w14:paraId="00000156"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Отже, Туреччина відіграє активну роль у забезпеченні ісламської солідарності та захисті прав мусульман у Великій Британії, використовуючи релігійні, освітні та культурні ініціативи. Це дає можливість Анкарі зміцнити свій вплив у мусульманському світі та продемонструвати свою відданість захисту релігійних свобод. Проте така </w:t>
      </w:r>
      <w:r w:rsidRPr="00BB1782">
        <w:rPr>
          <w:rFonts w:ascii="Times New Roman" w:eastAsia="Times New Roman" w:hAnsi="Times New Roman" w:cs="Times New Roman"/>
          <w:sz w:val="28"/>
          <w:szCs w:val="28"/>
        </w:rPr>
        <w:lastRenderedPageBreak/>
        <w:t>політика також викликає занепокоєння щодо її геополітичних мотивів і впливу на інтеграцію мусульманських громад у європейські суспільства.</w:t>
      </w:r>
    </w:p>
    <w:p w14:paraId="00000158"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Політика Туреччини щодо захисту прав мусульман у Федеративній Республіці Німеччина є складним і багатогранним явищем, яке включає як позитивні, так і проблемні аспекти. Німеччина є домом для значної турецької діаспори, яка нараховує близько трьох мільйонів осіб, і тому взаємодія Туреччини з цією громадою має велике значення як для внутрішньої політики ФРН, так і для двосторонніх відносин між країнами.</w:t>
      </w:r>
    </w:p>
    <w:p w14:paraId="00000159"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відіграє важливу роль у підтримці культурної ідентичності та релігійних прав турецької діаспори в Німеччині. Через Управління у справах релігій (Діянет) турецький уряд фінансує будівництво мечетей, надає підтримку імамам та організовує релігійні заходи, що сприяє збереженню культурних традицій і зміцненню мусульманських громад (Yilmaz, 2012). Ця підтримка допомагає турецьким мусульманам у Німеччині відчувати зв’язок зі своєю релігійною та культурною спадщиною, що є важливим аспектом соціальної стабільності та інтеграції.</w:t>
      </w:r>
    </w:p>
    <w:p w14:paraId="0000015A"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Туреччина виступає на захист прав мусульман у Німеччині, піднімаючи питання дискримінації та ісламофобії на міжнародному рівні. Турецькі лідери часто закликають уряд ФРН забезпечити рівні права для мусульманських громад і захистити їх від нападів на релігійні установи. Такі дії підсилюють міжнародний діалог щодо релігійних свобод і сприяють підвищенню обізнаності про проблеми мусульман у Європі (Kirisci, 2018).</w:t>
      </w:r>
    </w:p>
    <w:p w14:paraId="0000015B"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Проте політика Туреччини у цьому контексті також викликає значну критику з боку німецьких політиків і громадськості. Основною проблемою є використання релігійних структур, підконтрольних Діянету, для політичного впливу на турецьку діаспору в Німеччині. Деякі дослідники стверджують, що турецький уряд використовує мечеті та культурні </w:t>
      </w:r>
      <w:r w:rsidRPr="00BB1782">
        <w:rPr>
          <w:rFonts w:ascii="Times New Roman" w:eastAsia="Times New Roman" w:hAnsi="Times New Roman" w:cs="Times New Roman"/>
          <w:sz w:val="28"/>
          <w:szCs w:val="28"/>
        </w:rPr>
        <w:lastRenderedPageBreak/>
        <w:t>організації для просування своїх політичних інтересів, поширення пропаганди і контролю над опозиційними голосами серед турецької громади (Cagaptay, 2017; Yildirim, 2017).</w:t>
      </w:r>
    </w:p>
    <w:p w14:paraId="0000015C"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Зокрема, після невдалого військового перевороту в Туреччині у 2016 році Діянет звинувачували у шпигунстві за опонентами Ердогана у Німеччині, що викликало серйозні занепокоєння серед німецьких політиків (Cagaptay, 2017). Такі дії загрожують соціальній згуртованості в Німеччині і можуть ускладнювати інтеграцію мусульманської громади у німецьке суспільство, створюючи напруженість між різними релігійними та політичними групами (Koehler &amp; Wittenberg, 2019).</w:t>
      </w:r>
    </w:p>
    <w:p w14:paraId="0000015D"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Діяльність Туреччини в Німеччині має неоднозначний вплив на процес інтеграції мусульманської діаспори. З одного боку, культурна та релігійна підтримка сприяє збереженню ідентичності турецьких мусульман, але з іншого боку, вона може перешкоджати їхній повній інтеграції у німецьке суспільство. Деякі експерти вважають, що посилення політичного впливу Анкари на діаспору поглиблює розкол між турецькою громадою та іншими групами в Німеччині (Yildirim, 2017).</w:t>
      </w:r>
    </w:p>
    <w:p w14:paraId="0000015E"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Двосторонні відносини між Туреччиною та Німеччиною також часто ускладнюються через питання релігійного впливу. Німеччина критикує Туреччину за втручання у внутрішні справи і за використання релігійних мереж для політичного тиску. Це створює напруження у дипломатичних відносинах, які, попри економічну взаємозалежність, залишаються непростими (Koehler &amp; Wittenberg, 2019).</w:t>
      </w:r>
    </w:p>
    <w:p w14:paraId="0000015F"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Таким чином, політика Туреччини щодо захисту прав мусульман у Німеччині має як позитивні, так і проблемні аспекти. Підтримка культурної та релігійної ідентичності турецької діаспори сприяє соціальній стабільності, але використання релігійних структур для політичного впливу викликає значне занепокоєння. Баланс між захистом прав мусульман і збереженням суверенітету та соціальної згуртованості у </w:t>
      </w:r>
      <w:r w:rsidRPr="00BB1782">
        <w:rPr>
          <w:rFonts w:ascii="Times New Roman" w:eastAsia="Times New Roman" w:hAnsi="Times New Roman" w:cs="Times New Roman"/>
          <w:sz w:val="28"/>
          <w:szCs w:val="28"/>
        </w:rPr>
        <w:lastRenderedPageBreak/>
        <w:t>Німеччині залишається складним завданням, яке впливає на майбутнє двосторонніх відносин між країнами.</w:t>
      </w:r>
    </w:p>
    <w:p w14:paraId="00000161"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Співробітництво між Туреччиною і Францією в питаннях релігійної солідарності та геополітичних інтересів є складним і багатошаровим, оскільки обидві країни мають глибокі історичні зв'язки з ісламом, різні підходи до його інтеграції в суспільне життя та суперечливі геополітичні амбіції.</w:t>
      </w:r>
    </w:p>
    <w:p w14:paraId="00000162"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активно позиціонує себе як захисник прав мусульман у всьому світі, і цей аспект її зовнішньої політики тісно пов'язаний із релігійною солідарністю. Зокрема, Анкара надає підтримку мусульманським громадам у Франції, зокрема через Управління у справах релігій (Діянет), яке фінансує релігійні установи і освітні програми для підтримки ісламської культури і практик. Турецька держава часто підкреслює важливість захисту прав мусульман у Франції, що має на меті збереження релігійної ідентичності турецької діаспори та сприяння її згуртованості (Kirişci, 2018; Yilmaz, 2012).</w:t>
      </w:r>
    </w:p>
    <w:p w14:paraId="00000163"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 іншого боку, Франція, яка дотримується суворих принципів секуляризму (laïcité), має глибоке занепокоєння щодо зростання ісламського впливу у своєму суспільстві. Французька держава вважає, що релігійні питання мають бути відокремлені від політики, і це призводить до напруженості у відносинах з Туреччиною, яка використовує релігійну солідарність як елемент своєї зовнішньої політики (Fetzer &amp; Soper, 2005; Bowen, 2007).</w:t>
      </w:r>
    </w:p>
    <w:p w14:paraId="00000164"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Геополітична складова співробітництва між Туреччиною і Францією має ще більш напружений характер. У багатьох питаннях, зокрема у Східному Середземномор'ї, Лівії та Сирії, обидві країни мають різні та часто суперечливі інтереси. Наприклад, Туреччина активізувала свої дії у Східному Середземномор'ї для захисту прав на енергетичні ресурси, що викликало критику з боку Франції, яка підтримує Грецію та Кіпр у їхньому </w:t>
      </w:r>
      <w:r w:rsidRPr="00BB1782">
        <w:rPr>
          <w:rFonts w:ascii="Times New Roman" w:eastAsia="Times New Roman" w:hAnsi="Times New Roman" w:cs="Times New Roman"/>
          <w:sz w:val="28"/>
          <w:szCs w:val="28"/>
        </w:rPr>
        <w:lastRenderedPageBreak/>
        <w:t>протистоянні з Анкарою (Cagaptay, 2017; Taspinar, 2011). Ці суперечки ще більше загострюють напруженість у двосторонніх відносинах і ускладнюють діалог з питань релігійної солідарності.</w:t>
      </w:r>
    </w:p>
    <w:p w14:paraId="00000165"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Франція активно підтримує лівійські сили, які протистоять турецьким союзникам у Лівії, що також підсилює суперечності між двома країнами. Туреччина і Франція намагаються просувати свої геополітичні інтереси через військову та дипломатичну активність у регіоні, що створює додаткові виклики для будь-якої форми співробітництва (Inan &amp; Dede, 2018).</w:t>
      </w:r>
    </w:p>
    <w:p w14:paraId="00000166"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Поєднання релігійної солідарності та геополітичних інтересів створює складний баланс у відносинах між Туреччиною і Францією. З одного боку, Туреччина продовжує використовувати питання релігії як важіль впливу, захищаючи права мусульман у Франції і виступаючи проти ісламофобських настроїв та політики секуляризму. З іншого боку, Франція висловлює занепокоєння з приводу політичного втручання Туреччини у внутрішні справи, що підриває соціальну згуртованість і підсилює міжрелігійні конфлікти (Bowen, 2007).</w:t>
      </w:r>
    </w:p>
    <w:p w14:paraId="00000167"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Анкара також активно критикує французьку політику щодо ісламу, включаючи закони, спрямовані на обмеження носіння релігійних символів і контроль за релігійними установами, що ще більше загострює ситуацію. Це відображає складність балансування між релігійною солідарністю і необхідністю враховувати геополітичні реалії (Kirişci, 2018; Fetzer &amp; Soper, 2005).</w:t>
      </w:r>
    </w:p>
    <w:p w14:paraId="00000168"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Отже, баланс між релігійною солідарністю та геополітичними інтересами в ході співробітництва Туреччини й Франції залишається складним завданням. Незважаючи на важливість захисту прав мусульман, суперечності щодо геополітичних питань, таких як конфлікти у Східному Середземномор'ї та Лівії, значно ускладнюють можливості для конструктивного діалогу. Подальший розвиток цих відносин залежатиме </w:t>
      </w:r>
      <w:r w:rsidRPr="00BB1782">
        <w:rPr>
          <w:rFonts w:ascii="Times New Roman" w:eastAsia="Times New Roman" w:hAnsi="Times New Roman" w:cs="Times New Roman"/>
          <w:sz w:val="28"/>
          <w:szCs w:val="28"/>
        </w:rPr>
        <w:lastRenderedPageBreak/>
        <w:t>від здатності обох країн знайти компроміс між своїми стратегічними інтересами та культурними відмінностями.</w:t>
      </w:r>
    </w:p>
    <w:p w14:paraId="0000016A"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Співробітництво Туреччини з країнами Центральної та Східної Європи має значний вплив на збереження релігійної ідентичності мусульманських громад у цьому регіоні, а також створює низку політичних викликів, пов’язаних із зростаючим впливом Анкари. Ці зв’язки базуються на релігійних, культурних і стратегічних аспектах, що сприяють розвитку двосторонніх відносин, але також викликають занепокоєння з боку політиків і суспільства.</w:t>
      </w:r>
    </w:p>
    <w:p w14:paraId="0000016B"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відіграє важливу роль у підтримці релігійної ідентичності мусульманських громад у країнах Центральної та Східної Європи. За останні десятиліття Анкара інвестувала значні ресурси у релігійні та культурні ініціативи, які включають будівництво мечетей, освітні програми та фінансування діяльності ісламських організацій. Зокрема, такі проекти підтримують мусульманські громади, надаючи їм необхідні ресурси для збереження їхніх культурних та релігійних традицій (Yilmaz, 2012; Kirişci, 2018).</w:t>
      </w:r>
    </w:p>
    <w:p w14:paraId="0000016C"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через Управління у справах релігій (Діянет) Туреччина пропонує релігійне навчання та підтримку для імамів, що забезпечує збереження ісламської ідентичності серед мусульманських спільнот у країнах, таких як Болгарія, Румунія та Боснія і Герцеговина. Діянет також сприяє інтеграції мусульман у європейські суспільства, допомагаючи їм зберігати релігійні традиції і при цьому дотримуватися місцевих законів і культурних норм (Inan &amp; Dede, 2018).</w:t>
      </w:r>
    </w:p>
    <w:p w14:paraId="0000016D"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Попри ці позитивні аспекти, зростаючий політичний вплив Туреччини у регіоні викликає занепокоєння з боку місцевих урядів і громадянського суспільства. Деякі країни Центральної та Східної Європи побоюються, що Анкара використовує релігійні мережі для посилення свого політичного впливу та просування власних інтересів. Наприклад, </w:t>
      </w:r>
      <w:r w:rsidRPr="00BB1782">
        <w:rPr>
          <w:rFonts w:ascii="Times New Roman" w:eastAsia="Times New Roman" w:hAnsi="Times New Roman" w:cs="Times New Roman"/>
          <w:sz w:val="28"/>
          <w:szCs w:val="28"/>
        </w:rPr>
        <w:lastRenderedPageBreak/>
        <w:t>Туреччину звинувачують у використанні мечетей і релігійних центрів для поширення політичних меседжів, які можуть підірвати внутрішню стабільність і створити напруженість між мусульманськими та немусульманськими громадами (Cagaptay, 2017; Yildirim, 2017).</w:t>
      </w:r>
    </w:p>
    <w:p w14:paraId="0000016E"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Зростання турецького впливу також пов’язане з політикою президента Реджепа Тайїпа Ердогана, який використовує ісламську солідарність як інструмент м’якої сили для зміцнення міжнародних позицій Туреччини. Це може сприяти загостренню політичних конфліктів, особливо в умовах зростання націоналістичних настроїв у багатьох країнах Центральної та Східної Європи, де політики іноді використовують антиісламську риторику для мобілізації виборців (Koehler &amp; Wittenberg, 2019).</w:t>
      </w:r>
    </w:p>
    <w:p w14:paraId="0000016F"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Попри ці виклики, Туреччина залишається важливим стратегічним партнером для багатьох країн Центральної та Східної Європи. Відносини в таких сферах, як енергетика, торгівля і безпека, підсилюють взаємозалежність і створюють передумови для подальшого співробітництва. Наприклад, країни регіону зацікавлені у співпраці з Туреччиною для диверсифікації своїх джерел енергії та посилення регіональної безпеки у світлі нестабільності на Близькому Сході (Taspinar, 2011; Kirişci, 2018).</w:t>
      </w:r>
    </w:p>
    <w:p w14:paraId="00000170"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Таким чином, співробітництво Туреччини з країнами Центральної та Східної Європи має як позитивні аспекти, пов’язані із збереженням релігійної ідентичності мусульманських громад, так і виклики, пов’язані з політичним впливом Анкари. Це співробітництво залишається важливим елементом геополітичної динаміки в регіоні і потребує збалансованого підходу для забезпечення стабільності та взаємної вигоди.</w:t>
      </w:r>
    </w:p>
    <w:p w14:paraId="00000171"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Ісламський чинник мав значний вплив на динаміку євроінтеграції Туреччини у ХХ столітті, формуючи як внутрішні, так і зовнішні перешкоди для реалізації цієї амбітної мети. Роль релігії у політичному та </w:t>
      </w:r>
      <w:r w:rsidRPr="00BB1782">
        <w:rPr>
          <w:rFonts w:ascii="Times New Roman" w:eastAsia="Times New Roman" w:hAnsi="Times New Roman" w:cs="Times New Roman"/>
          <w:sz w:val="28"/>
          <w:szCs w:val="28"/>
        </w:rPr>
        <w:lastRenderedPageBreak/>
        <w:t>соціальному житті Туреччини викликала суперечки як усередині країни, так і серед європейських держав, які розглядали можливість інтеграції Туреччини до Європейського Союзу.</w:t>
      </w:r>
    </w:p>
    <w:p w14:paraId="00000172"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Після створення сучасної Турецької Республіки у 1923 році Мустафа Кемаль Ататюрк запровадив суворі секулярні реформи, які передбачали розділення релігії і держави. Секуляризм став однією з головних ідеологічних основ нової держави, спрямованої на модернізацію та інтеграцію з Європою (Zürcher, 2004). Однак, попри ці заходи, іслам залишався важливим чинником у культурній і соціальній ідентичності населення Туреччини, і питання релігії часто виникало у політичних дебатах, особливо у контексті прагнення країни до євроінтеграції (Heper, 1997).</w:t>
      </w:r>
    </w:p>
    <w:p w14:paraId="00000173"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Відносини між Туреччиною та європейськими країнами на початку і середині ХХ століття були ускладнені стереотипами та побоюваннями щодо ісламського чинника. Європейські політики і суспільства часто розглядали Туреччину як країну, що культурно і релігійно відрізняється від християнської Європи. Це породило певний скептицизм щодо того, чи може Туреччина стати повноправним членом європейського співтовариства (Hale, 2000).</w:t>
      </w:r>
    </w:p>
    <w:p w14:paraId="00000174"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Після Другої світової війни і особливо у 1950-х роках, коли Туреччина стала членом НАТО, роль ісламу в політиці країни почала зростати. Партії, що представляли консервативні та релігійні інтереси, почали набирати популярність, зокрема Демократична партія Аднана Мендереса, яка сприяла поверненню релігії у публічний простір. Це викликало занепокоєння серед європейських держав, які стежили за політичним розвитком Туреччини і сумнівалися у її здатності підтримувати світський характер держави (Ahmad, 1993; Mango, 1999).</w:t>
      </w:r>
    </w:p>
    <w:p w14:paraId="00000175"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У 1980-х і 1990-х роках політична роль ісламу в Туреччині знову загострилася із зростанням ісламістських рухів, таких як Партія </w:t>
      </w:r>
      <w:r w:rsidRPr="00BB1782">
        <w:rPr>
          <w:rFonts w:ascii="Times New Roman" w:eastAsia="Times New Roman" w:hAnsi="Times New Roman" w:cs="Times New Roman"/>
          <w:sz w:val="28"/>
          <w:szCs w:val="28"/>
        </w:rPr>
        <w:lastRenderedPageBreak/>
        <w:t>благоденства. Її популярність та спроби вплинути на політику через релігію стали основною причиною занепокоєння як серед турецьких секулярних еліт, так і серед європейських політичних кіл (Toprak, 1981). Зростання ісламського впливу в політичному житті Туреччини підживлювало європейські побоювання щодо стабільності демократичних інститутів і дотримання прав людини, що стало серйозним бар’єром на шляху до євроінтеграції.</w:t>
      </w:r>
    </w:p>
    <w:p w14:paraId="00000176"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Прагнення Туреччини стати частиною Європейського Союзу виявило глибокі культурні та релігійні суперечності, які ставили під сумнів європейську ідентичність країни. Ісламський чинник відіграв центральну роль у цих дебатах, адже багато європейських політиків вважали, що Туреччина, як переважно мусульманська країна, не може стати частиною європейського християнського простору (Kubicek, 2005). Це питання піднімалося у дискусіях про європейські цінності, права людини і демократичні принципи.</w:t>
      </w:r>
    </w:p>
    <w:p w14:paraId="00000177"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У 1990-х роках європейські побоювання зросли через зростання ісламістських рухів у Туреччині, що ще більше ускладнило переговори про членство в ЄС. Деякі країни, зокрема Франція та Німеччина, відкрито висловлювали занепокоєння щодо впливу ісламського чинника на політику Туреччини та її здатності підтримувати світські і демократичні інститути (Müftüler-Baç, 1998).</w:t>
      </w:r>
    </w:p>
    <w:p w14:paraId="00000178"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На рубежі ХХ і ХХІ століть Туреччина провела низку реформ, спрямованих на поліпшення прав людини, зміцнення демократичних інститутів і гармонізацію законодавства з європейськими стандартами. Ці зусилля частково були спрямовані на зниження побоювань щодо ісламського впливу в політичному житті країни (Öniş, 2004). Однак питання релігії та культурної ідентичності залишалися важливими чинниками у процесі євроінтеграції, що створювало додаткові труднощі для Туреччини у переговорах з ЄС.</w:t>
      </w:r>
    </w:p>
    <w:p w14:paraId="00000179"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У ХХІ столітті ісламський чинник залишається важливим елементом, що впливає на динаміку євроінтеграції Туреччини, посилюючи як внутрішні політичні дискусії, так і формуючи реакцію з боку європейських країн. Релігійний аспект створює як можливості, так і перешкоди для Туреччини на її шляху до повноправного членства в Європейському Союзі.</w:t>
      </w:r>
    </w:p>
    <w:p w14:paraId="0000017A"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У ХХІ столітті, з приходом до влади Партії справедливості та розвитку (ПСР) на чолі з Реджепом Тайїпом Ердоганом, іслам почав відігравати все більшу роль у турецькому політичному та суспільному житті. ПСР, яка є консервативною ісламістською партією, провела низку реформ, які сприяли релігійній експансії в суспільному просторі, зокрема у сферах освіти та громадського життя (Cagaptay, 2017; Yavuz, 2009). Ці зміни стали предметом дискусій у європейських політичних колах і породили побоювання щодо відступу Туреччини від принципів світськості, закладених Мустафою Кемалем Ататюрком.</w:t>
      </w:r>
    </w:p>
    <w:p w14:paraId="0000017B"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Важливо відзначити, що прагнення ПСР до посилення ісламської ідентичності країни ускладнило відносини Туреччини з ЄС. Європейські лідери часто вказують на розширення впливу ісламу як на одну з причин, чому Туреччина не відповідає критеріям Копенгагена, що включають демократичне управління та дотримання прав людини (Kirisci, 2018). Відхід Туреччини від світських норм і посилення авторитарних тенденцій в управлінні стали серйозною перешкодою на шляху до членства в ЄС (Öniş, 2015).</w:t>
      </w:r>
    </w:p>
    <w:p w14:paraId="0000017C"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Ісламський чинник став ключовою причиною скептицизму з боку деяких європейських країн щодо перспектив членства Туреччини в ЄС. Наприклад, Франція та Німеччина неодноразово висловлювали побоювання з приводу того, як ісламізація турецької політики може вплинути на європейські цінності, такі як права жінок, свобода слова і релігійна свобода (Kubicek, 2011; Müftüler-Baç, 2016). Ці побоювання </w:t>
      </w:r>
      <w:r w:rsidRPr="00BB1782">
        <w:rPr>
          <w:rFonts w:ascii="Times New Roman" w:eastAsia="Times New Roman" w:hAnsi="Times New Roman" w:cs="Times New Roman"/>
          <w:sz w:val="28"/>
          <w:szCs w:val="28"/>
        </w:rPr>
        <w:lastRenderedPageBreak/>
        <w:t>поглиблюються з огляду на зростання ісламофобських настроїв у Європі, що посилюють політичний тиск на уряди європейських країн, які змушені бути обережними у своїх відносинах з Туреччиною.</w:t>
      </w:r>
    </w:p>
    <w:p w14:paraId="0000017D"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дискусії про те, чи відповідає Туреччина культурним і релігійним нормам Європи, стають ще більш актуальними у світлі міграційної кризи 2015 року. Туреччина, яка стала ключовим партнером ЄС у стримуванні потоків біженців з Близького Сходу, використовує свій стратегічний статус для посилення свого впливу в Європі. Однак це співробітництво також стало предметом суперечок через побоювання, що Туреччина може використовувати питання міграції як інструмент для політичного тиску (Taspinar, 2011).</w:t>
      </w:r>
    </w:p>
    <w:p w14:paraId="0000017E"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Ісламський чинник також має вплив на процеси євроінтеграції в контексті культурної та соціальної ідентичності. Багато європейців розглядають Туреччину як країну, що належить до іншої цивілізації, і це стає серйозною перешкодою для її інтеграції. Європейські націоналістичні та праві партії часто використовують ісламський аспект як аргумент проти членства Туреччини в ЄС, підкреслюючи культурні відмінності та потенційні загрози для європейської єдності (Yavuz, 2009; Öniş, 2015).</w:t>
      </w:r>
    </w:p>
    <w:p w14:paraId="0000017F"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Попри ці труднощі, Туреччина продовжує здійснювати спроби зберегти євроінтеграційний курс, зокрема через економічну співпрацю і стратегічні ініціативи. Анкара прагне продемонструвати, що її ісламська ідентичність не суперечить демократичним цінностям ЄС і що Туреччина може стати мостом між Європою та мусульманським світом (Cagaptay, 2017). Однак питання релігії та прав людини залишаються важливими елементами євроінтеграційного діалогу, і їх вирішення потребує значних зусиль як з боку Туреччини, так і з боку ЄС.</w:t>
      </w:r>
    </w:p>
    <w:p w14:paraId="00000180"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Перспективи євроінтеграції Туреччини після 2024 року значною мірою залежать від впливу ісламського чинника на внутрішню та зовнішню політику країни, а також від того, як цей аспект сприймається у </w:t>
      </w:r>
      <w:r w:rsidRPr="00BB1782">
        <w:rPr>
          <w:rFonts w:ascii="Times New Roman" w:eastAsia="Times New Roman" w:hAnsi="Times New Roman" w:cs="Times New Roman"/>
          <w:sz w:val="28"/>
          <w:szCs w:val="28"/>
        </w:rPr>
        <w:lastRenderedPageBreak/>
        <w:t>Європейському Союзі. Роль ісламу в турецькій політиці залишається предметом суперечок, оскільки вона впливає на демократичні стандарти, права людини та культурну інтеграцію Туреччини з європейським співтовариством.</w:t>
      </w:r>
    </w:p>
    <w:p w14:paraId="00000181"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Після 2024 року Туреччина може продовжувати політику, спрямовану на посилення ісламського впливу в суспільному житті, що буде значною мірою залежати від політичного лідерства та пріоритетів Партії справедливості та розвитку (ПСР). Режим Ердогана в останні роки зміцнив позиції ісламу як ключового елементу національної ідентичності, що відображається у законодавстві, освітній політиці та зовнішньополітичних ініціативах (Cagaptay, 2017; Yavuz, 2009). Якщо ця тенденція продовжиться, європейські політики можуть залишатися скептичними щодо інтеграції Туреччини, оскільки ісламський вплив може вважатися загрозою для європейських цінностей світськості та прав людини (Kirisci, 2018; Öniş, 2015).</w:t>
      </w:r>
    </w:p>
    <w:p w14:paraId="00000182"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Існує також питання демократичних стандартів, які залишаються ключовою перешкодою на шляху до членства в ЄС. Туреччина має продемонструвати здатність підтримувати світські демократичні інститути, які відповідатимуть критеріям Копенгагена, зокрема у сферах свободи слова, верховенства права та захисту меншин (Kubicek, 2011; Müftüler-Baç, 2016). Якщо вплив ісламських сил на державну політику продовжить зростати, це може ще більше ускладнити євроінтеграційний процес.</w:t>
      </w:r>
    </w:p>
    <w:p w14:paraId="00000183"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Європейські лідери й громадськість залишаються розділеними у питанні перспектив членства Туреччини в ЄС. Суспільні настрої в багатьох країнах Європи, особливо у Франції та Німеччині, часто негативно налаштовані щодо можливого приєднання Туреччини, що значною мірою зумовлено культурними та релігійними відмінностями (Yavuz, 2009; Müftüler-Baç, 2016). Європейські праві та націоналістичні партії </w:t>
      </w:r>
      <w:r w:rsidRPr="00BB1782">
        <w:rPr>
          <w:rFonts w:ascii="Times New Roman" w:eastAsia="Times New Roman" w:hAnsi="Times New Roman" w:cs="Times New Roman"/>
          <w:sz w:val="28"/>
          <w:szCs w:val="28"/>
        </w:rPr>
        <w:lastRenderedPageBreak/>
        <w:t>використовують ісламський чинник як аргумент для збереження статусу-кво, підкреслюючи ризики ісламізації Європи та загрозу для європейської культурної ідентичності (Kubicek, 2011).</w:t>
      </w:r>
    </w:p>
    <w:p w14:paraId="00000184"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Це сприйняття посилюється у світлі триваючих дебатів щодо інтеграції мусульманських громад у Європі та зростання ісламофобських настроїв, особливо після міграційної кризи. Туреччина, як ключовий гравець у міграційній політиці ЄС, має значний важіль впливу, але цей фактор також викликає побоювання, що Туреччина може використовувати свою стратегічну позицію для шантажу ЄС (Taspinar, 2011; Kirisci, 2018).</w:t>
      </w:r>
    </w:p>
    <w:p w14:paraId="00000185"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Залежно від політичних змін у Туреччині після 2024 року, країна може обрати різні стратегії для зниження напруженості, пов'язаної з ісламським чинником. Наприклад, посилення світськості та демократичних реформ може сприяти покращенню відносин з ЄС. Водночас, продовження ісламізації державних інституцій буде загострювати питання культурних і релігійних відмінностей між Туреччиною та Європою (Öniş, 2015).</w:t>
      </w:r>
    </w:p>
    <w:p w14:paraId="00000186"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Турецьке керівництво може також намагатися використати свою роль як моста між Європою та мусульманським світом, щоб продемонструвати важливість Туреччини для регіональної безпеки та енергетичної стабільності. Цей аргумент може бути привабливим для європейських лідерів, які бачать у Туреччині важливого стратегічного партнера (Cagaptay, 2017; Yavuz, 2009). Однак питання прав людини і демократичних стандартів залишатимуться основними перешкодами.</w:t>
      </w:r>
    </w:p>
    <w:p w14:paraId="00000187"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Отже, ісламський чинник відігравав важливу роль у динаміці євроінтеграції Туреччини у ХХ столітті, викликаючи суперечки щодо культурної ідентичності країни і її місця в європейському співтоваристві. Попри численні реформи і прагнення до інтеграції, релігійний аспект залишався серйозною перешкодою, яка формувала як внутрішню політику Туреччини, так і зовнішню реакцію з боку європейських країн.</w:t>
      </w:r>
    </w:p>
    <w:p w14:paraId="00000188"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Ісламський чинник у ХХІ столітті продовжує впливати на динаміку євроінтеграції Туреччини, створюючи як можливості, так і серйозні виклики. Піднесення ісламу в політичному житті Туреччини ускладнює відносини з Європейським Союзом, поглиблюючи розрив між світськими цінностями ЄС і релігійними аспектами турецької політики. Водночас збереження діалогу і пошук компромісів залишаються ключовими для майбутнього цих відносин.</w:t>
      </w:r>
    </w:p>
    <w:p w14:paraId="00000189"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Після 2024 року ісламський чинник продовжуватиме впливати на перспективи євроінтеграції Туреччини, створюючи як виклики, так і можливості. Посилення ісламського впливу в турецькій політиці може ускладнити переговори з ЄС і загострити культурні розбіжності, але збереження діалогу та потенційні реформи можуть створити основу для подальшого співробітництва. Вирішальним фактором буде здатність Туреччини знайти баланс між релігійною ідентичністю та демократичними цінностями, яких вимагає ЄС.</w:t>
      </w:r>
    </w:p>
    <w:p w14:paraId="0000018A"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У цілому роль ісламського чинника у відносинах Туреччини з країнами Європи є складною та суперечливою. Цей аспект впливає на політичні, економічні та культурні зв’язки Туреччини з Європейським Союзом і має історичне коріння, яке сягає століть. Сьогодні ісламський чинник відіграє важливу роль у формуванні зовнішньої політики Туреччини та у визначенні ставлення європейських країн до її євроінтеграційних прагнень.</w:t>
      </w:r>
    </w:p>
    <w:p w14:paraId="0000018C"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Однак у XXI столітті вплив ісламу в політичному житті Туреччини почав зростати, особливо з приходом до влади Партії справедливості та розвитку (ПСР) на чолі з Реджепом Тайїпом Ердоганом. ПСР поступово послабила політику секуляризму та посилила роль ісламу в суспільстві, що викликало занепокоєння серед європейських країн.</w:t>
      </w:r>
    </w:p>
    <w:p w14:paraId="0000018D"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Іслам відіграє важливу роль у визначенні зовнішньої політики Туреччини, особливо у відносинах із країнами Близького Сходу та </w:t>
      </w:r>
      <w:r w:rsidRPr="00BB1782">
        <w:rPr>
          <w:rFonts w:ascii="Times New Roman" w:eastAsia="Times New Roman" w:hAnsi="Times New Roman" w:cs="Times New Roman"/>
          <w:sz w:val="28"/>
          <w:szCs w:val="28"/>
        </w:rPr>
        <w:lastRenderedPageBreak/>
        <w:t>мусульманським світом. Проте цей чинник також впливає на європейський напрямок зовнішньої політики. Туреччина використовує релігійну ідентичність як інструмент для розширення своєї культурної дипломатії та зміцнення зв'язків із турецькими та мусульманськими діаспорами в країнах ЄС.</w:t>
      </w:r>
    </w:p>
    <w:p w14:paraId="0000018E"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Наприклад, Туреччина часто підкреслює важливість ісламської солідарності та захисту прав мусульман у Європі. Це особливо видно у риториці турецьких лідерів, які виступають проти ісламофобії та дискримінації мусульман у західних країнах. Така позиція викликає неоднозначну реакцію в Європі: одні політики вважають це важливою складовою діалогу між культурами, тоді як інші вбачають у цьому загрозу секулярним принципам і національній безпеці європейських держав.</w:t>
      </w:r>
    </w:p>
    <w:p w14:paraId="0000018F"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Переговори щодо вступу Туреччини до ЄС є ще однією сферою, де ісламський чинник відіграє значну роль. Багато європейських країн висловлюють занепокоєння щодо зростання впливу ісламу в турецькій політиці, вбачаючи у цьому загрозу європейським цінностям і правам людини. Критики також наголошують на порушеннях прав і свобод у Туреччині, які пов’язані із релігійними питаннями, такими як обмеження свободи слова та переслідування опозиційних лідерів.</w:t>
      </w:r>
    </w:p>
    <w:p w14:paraId="00000190"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 іншого боку, Туреччина наголошує на тому, що вона є унікальним містком між Заходом і мусульманським світом і може відігравати конструктивну роль у розв’язанні міжкультурних і міжрелігійних конфліктів. Турецькі лідери часто апелюють до важливості інтеграції мусульманського населення в Європі та використання Туреччини як партнера у діалозі між цивілізаціями.</w:t>
      </w:r>
    </w:p>
    <w:p w14:paraId="00000191" w14:textId="77777777" w:rsidR="009123BC" w:rsidRPr="00BB1782" w:rsidRDefault="00712845" w:rsidP="00C01051">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Ісламський чинник у відносинах Туреччини з Європою створює складну динаміку. З одного боку, це чинить тиск на європейські уряди з приводу необхідності вести конструктивний діалог із Туреччиною, особливо у питаннях міграції, безпеки та інтеграції мусульманських </w:t>
      </w:r>
      <w:r w:rsidRPr="00BB1782">
        <w:rPr>
          <w:rFonts w:ascii="Times New Roman" w:eastAsia="Times New Roman" w:hAnsi="Times New Roman" w:cs="Times New Roman"/>
          <w:sz w:val="28"/>
          <w:szCs w:val="28"/>
        </w:rPr>
        <w:lastRenderedPageBreak/>
        <w:t>громад. З іншого боку, існують побоювання, що зростання ісламського впливу в Туреччині може перешкодити євроінтеграційним процесам і викликати напруженість у відносинах з ЄС.</w:t>
      </w:r>
    </w:p>
    <w:p w14:paraId="00000192" w14:textId="4974A56E" w:rsidR="009123BC" w:rsidRPr="00BB1782" w:rsidRDefault="00712845" w:rsidP="00C01051">
      <w:pPr>
        <w:spacing w:line="360" w:lineRule="auto"/>
        <w:ind w:firstLine="720"/>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t>Водночас Туреччина продовжує активно використовувати іслам як частину своєї ідентичності та інструмент зовнішньої політики, що викликає суперечки у відносинах із європейськими партнерами. Вирішення цього питання потребує збалансованого підходу, який би враховував як права мусульманських громад, так і принципи секулярності та демократії, які є основоположними для Європейського Сою</w:t>
      </w:r>
      <w:r w:rsidR="006126C1" w:rsidRPr="00BB1782">
        <w:rPr>
          <w:rFonts w:ascii="Times New Roman" w:eastAsia="Times New Roman" w:hAnsi="Times New Roman" w:cs="Times New Roman"/>
          <w:sz w:val="28"/>
          <w:szCs w:val="28"/>
          <w:lang w:val="uk-UA"/>
        </w:rPr>
        <w:t xml:space="preserve">зу. </w:t>
      </w:r>
    </w:p>
    <w:p w14:paraId="3DAF46AD" w14:textId="77777777" w:rsidR="006126C1" w:rsidRPr="00BB1782" w:rsidRDefault="006126C1" w:rsidP="00C01051">
      <w:pPr>
        <w:spacing w:line="360" w:lineRule="auto"/>
        <w:ind w:firstLine="720"/>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br w:type="page"/>
      </w:r>
    </w:p>
    <w:p w14:paraId="0000019F" w14:textId="2DE823B9" w:rsidR="009123BC" w:rsidRPr="00BB1782" w:rsidRDefault="00712845" w:rsidP="00C335A4">
      <w:pPr>
        <w:pStyle w:val="1"/>
        <w:spacing w:before="0" w:after="0" w:line="360" w:lineRule="auto"/>
        <w:jc w:val="center"/>
        <w:rPr>
          <w:rFonts w:ascii="Times New Roman" w:eastAsia="Times New Roman" w:hAnsi="Times New Roman" w:cs="Times New Roman"/>
          <w:b/>
          <w:sz w:val="28"/>
          <w:szCs w:val="28"/>
        </w:rPr>
      </w:pPr>
      <w:bookmarkStart w:id="6" w:name="_Toc183727749"/>
      <w:r w:rsidRPr="00BB1782">
        <w:rPr>
          <w:rFonts w:ascii="Times New Roman" w:eastAsia="Times New Roman" w:hAnsi="Times New Roman" w:cs="Times New Roman"/>
          <w:b/>
          <w:sz w:val="28"/>
          <w:szCs w:val="28"/>
        </w:rPr>
        <w:lastRenderedPageBreak/>
        <w:t>ВИСНОВКИ</w:t>
      </w:r>
      <w:bookmarkEnd w:id="6"/>
    </w:p>
    <w:p w14:paraId="000001A0" w14:textId="77777777" w:rsidR="009123BC" w:rsidRPr="00BB1782" w:rsidRDefault="00712845" w:rsidP="00C335A4">
      <w:pPr>
        <w:spacing w:line="360" w:lineRule="auto"/>
        <w:jc w:val="center"/>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 </w:t>
      </w:r>
    </w:p>
    <w:p w14:paraId="2A1A5DE8"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lang w:val="uk-UA"/>
        </w:rPr>
        <w:t xml:space="preserve">У даному дослідженні з’ясовано, що </w:t>
      </w:r>
      <w:r w:rsidRPr="00BB1782">
        <w:rPr>
          <w:rFonts w:ascii="Times New Roman" w:eastAsia="Times New Roman" w:hAnsi="Times New Roman" w:cs="Times New Roman"/>
          <w:sz w:val="28"/>
          <w:szCs w:val="28"/>
        </w:rPr>
        <w:t>«</w:t>
      </w:r>
      <w:r w:rsidRPr="00BB1782">
        <w:rPr>
          <w:rFonts w:ascii="Times New Roman" w:eastAsia="Times New Roman" w:hAnsi="Times New Roman" w:cs="Times New Roman"/>
          <w:sz w:val="28"/>
          <w:szCs w:val="28"/>
          <w:lang w:val="uk-UA"/>
        </w:rPr>
        <w:t>м</w:t>
      </w:r>
      <w:r w:rsidRPr="00BB1782">
        <w:rPr>
          <w:rFonts w:ascii="Times New Roman" w:eastAsia="Times New Roman" w:hAnsi="Times New Roman" w:cs="Times New Roman"/>
          <w:sz w:val="28"/>
          <w:szCs w:val="28"/>
        </w:rPr>
        <w:t>’яка сила» (soft power) є ключовим інструментом сучасної міжнародної політики, що передбачає використання культурних, освітніх, релігійних та інших нематеріальних ресурсів для впливу на світову громадську думку та політичну поведінку. Туреччина активно застосовує концепцію м’якої сили, особливо в мусульманському світі, для просування своїх зовнішньополітичних цілей, зміцнення своїх позицій як регіонального лідера та підвищення свого впливу на міжнародній арені.</w:t>
      </w:r>
    </w:p>
    <w:p w14:paraId="509155F6"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t>Теорія м’якої сили підкреслює важливість не лише економічної або військової сили, але й впливу культурних, ідеологічних та дипломатичних засобів на світову спільноту. Туреччина ефективно використовує м’яку силу через різноманітні культурні, релігійні та економічні інструменти, а також через розвиток інфраструктурних проектів та надання гуманітарної допомоги. У мусульманському світі це має особливе значення, враховуючи історичну та релігійну роль Туреччини як спадкоємця Османської імперії, яка мала великий вплив на мусульманські країни Близького Сходу та Північної Африки</w:t>
      </w:r>
      <w:r w:rsidRPr="00BB1782">
        <w:rPr>
          <w:rFonts w:ascii="Times New Roman" w:eastAsia="Times New Roman" w:hAnsi="Times New Roman" w:cs="Times New Roman"/>
          <w:sz w:val="28"/>
          <w:szCs w:val="28"/>
          <w:lang w:val="uk-UA"/>
        </w:rPr>
        <w:t>.</w:t>
      </w:r>
    </w:p>
    <w:p w14:paraId="729B9F8C"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lang w:val="uk-UA"/>
        </w:rPr>
        <w:t>У відповідності до концепції м’якої сили,</w:t>
      </w:r>
      <w:r w:rsidRPr="00BB1782">
        <w:rPr>
          <w:rFonts w:ascii="Times New Roman" w:eastAsia="Times New Roman" w:hAnsi="Times New Roman" w:cs="Times New Roman"/>
          <w:sz w:val="28"/>
          <w:szCs w:val="28"/>
        </w:rPr>
        <w:t>, однією з ключових концепцій, яка формує зовнішню політику Туреччини у мусульманському світі, є ідеологія неоосманізму. Ця політика полягає в тому, щоб відродити вплив Туреччини на територіях, що раніше входили до складу Османської імперії. Туреччина прагне стати регіональним лідером, користуючись своїм історичним авторитетом та культурними зв'язками. Це особливо помітно в контексті країн Близького Сходу та Північної Африки, де Туреччина активно впливає на політичні процеси, зокрема під час «Арабської весни» (2011) та після неї.</w:t>
      </w:r>
    </w:p>
    <w:p w14:paraId="5744AE40"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Туреччина активно втручається у внутрішні конфлікти цих країн, підтримуючи певні політичні або військові сили. У Сирії Туреччина підтримує опозиційні угруповання, водночас намагаючись запобігти створенню автономних курдських регіонів уздовж свого кордону. У Лівії Анкара підтримала уряд національної згоди в Тріполі, надаючи йому військову допомогу у боротьбі з силами Халіфи Хафтара.</w:t>
      </w:r>
    </w:p>
    <w:p w14:paraId="00DDB8C7"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військової та політичної активності, Туреччина широко застосовує концепцію «м'якої сили», використовуючи культурні, релігійні та економічні інструменти для посилення свого впливу.</w:t>
      </w:r>
    </w:p>
    <w:p w14:paraId="55065081"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Управління у справах релігій (Diyanet) відіграє важливу роль у поширенні впливу Туреччини через будівництво мечетей, релігійну освіту та підтримку ісламських інституцій у мусульманських країнах. Зокрема, Туреччина фінансує релігійні заклади у країнах Балканського півострова, Північної Африки та Центральної Азії. Diyanet також відіграє важливу роль у підтримці турецьких діаспор у Західній Європі, сприяючи зміцненню зв'язків із турецькими громадами.</w:t>
      </w:r>
    </w:p>
    <w:p w14:paraId="6E4B5721"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Турецький уряд активно інвестує у створення освітніх та культурних програм, спрямованих на мусульманські країни. Туреччина фінансує стипендії для студентів з Африки, Близького Сходу та Центральної Азії, які навчаються в турецьких університетах. Через такі ініціативи країна зміцнює свої культурні та релігійні зв'язки з іншими мусульманськими державами.</w:t>
      </w:r>
    </w:p>
    <w:p w14:paraId="5B5A725D"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прагне бути економічним партнером для мусульманських країн, особливо в галузі будівництва, інфраструктури та торгівлі. Турецькі компанії активно беруть участь у великих проектах у регіоні, таких як будівництво доріг, мостів, аеропортів тощо. Зокрема, країни Північної Африки (Єгипет, Алжир, Туніс) є важливими економічними партнерами Туреччини, і в цих регіонах спостерігається зростання турецьких інвестицій.</w:t>
      </w:r>
    </w:p>
    <w:p w14:paraId="3C6114D0"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Розглядаючи яким чином Туреччина використовує релігію для досягнення своїх зовнішньополітичних цілей, слід вказати, що це здійснюється через низку стратегій та інструментів. Ці дії ґрунтуються на історичній спадщині Османської імперії, релігійних зв'язках і сучасних політичних інтересах.</w:t>
      </w:r>
    </w:p>
    <w:p w14:paraId="73683A1D"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використовує іслам як платформу для зміцнення культурних і політичних зв'язків з країнами ісламського світу:</w:t>
      </w:r>
    </w:p>
    <w:p w14:paraId="008A607A"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 - Діяльність Діянету (Управління у справах релігій): Турецька держава фінансує будівництво мечетей, релігійних центрів та навчання імамів у країнах ісламського світу. Ця діяльність сприяє поширенню турецької моделі поміркованого ісламу та зміцненню впливу Туреччини.</w:t>
      </w:r>
    </w:p>
    <w:p w14:paraId="57A3D833"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 - Організація ісламського співробітництва (ОІС): Туреччина активно бере участь у роботі ОІС, ініціюючи проєкти та підтримуючи ідеї єдності мусульманського світу.</w:t>
      </w:r>
    </w:p>
    <w:p w14:paraId="43A9F8FD"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того, Туреччина через агентство TİKA (Турецьке агентство співробітництва і координації) фінансує гуманітарні та інфраструктурні проєкти в країнах ісламського світу, таких як Сомалі, Сирія, Ємен та Афганістан. Ці ініціативи часто мають релігійний компонент, наприклад, відновлення історичних мечетей чи медресе, що посилює позитивний імідж Туреччини як лідера мусульманського світу.</w:t>
      </w:r>
    </w:p>
    <w:p w14:paraId="6AC1ECC1"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Також Туреччина використовує історичний чинник, апелюючи до спадщини Османської імперії, яка відігравала важливу роль у мусульманському світі. Через культурні ініціативи та символічні жести Анкара демонструє свою роль як наступника імперії, яка була центром ісламу.</w:t>
      </w:r>
    </w:p>
    <w:p w14:paraId="2CA4A911" w14:textId="77777777" w:rsidR="00C335A4" w:rsidRPr="00BB1782" w:rsidRDefault="00C335A4"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активно використовує палестинське питання як платформу для зміцнення свого авторитету в ісламському світі. Турецьке керівництво часто критикує дії Ізраїлю щодо Палестини, позиціонуючи себе як захисника мусульманської солідарності.</w:t>
      </w:r>
    </w:p>
    <w:p w14:paraId="000001A1" w14:textId="63ED6043" w:rsidR="009123BC" w:rsidRPr="00BB1782" w:rsidRDefault="00FE010C" w:rsidP="00C335A4">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lang w:val="uk-UA"/>
        </w:rPr>
        <w:lastRenderedPageBreak/>
        <w:t>З</w:t>
      </w:r>
      <w:r w:rsidR="00712845" w:rsidRPr="00BB1782">
        <w:rPr>
          <w:rFonts w:ascii="Times New Roman" w:eastAsia="Times New Roman" w:hAnsi="Times New Roman" w:cs="Times New Roman"/>
          <w:sz w:val="28"/>
          <w:szCs w:val="28"/>
        </w:rPr>
        <w:t>овнішня політика Туреччини, особливо в контексті використання ісламського фактору, демонструє її прагнення до посилення регіонального впливу та позиціонування як провідного гравця в мусульманському світі.</w:t>
      </w:r>
    </w:p>
    <w:p w14:paraId="000001A2" w14:textId="77777777" w:rsidR="009123BC" w:rsidRPr="00BB1782" w:rsidRDefault="00712845" w:rsidP="00C335A4">
      <w:pPr>
        <w:spacing w:line="360" w:lineRule="auto"/>
        <w:ind w:firstLine="7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Туреччина активно інтегрує ісламський чинник у свою зовнішню політику, використовуючи його як інструмент м’якої сили. Завдяки культурній дипломатії, гуманітарним проєктам, освітнім програмам і спільним релігійним цінностям Анкара змогла посилити свій вплив у мусульманських країнах Близького Сходу, Центральної Азії, Африки та Балкан. Ісламський фактор також використовується для формування позитивного іміджу Туреччини як захисника ісламських традицій і прав мусульманських громад.</w:t>
      </w:r>
    </w:p>
    <w:p w14:paraId="000001A3"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Зростання ісламського впливу всередині країни слугує засобом «м’якої сили», що підкреслює важливість структурного аналізу міжнародної системи, де держави намагаються посилити власну безпеку та владу. Туреччина може використовувати свою ісламську ідентичність, аби зміцнювати зв’язки з іншими мусульманськими державами, розширювати свій геополітичний вплив та протистояти домінуванню Заходу.</w:t>
      </w:r>
    </w:p>
    <w:p w14:paraId="000001A4"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Однією з основних ідеологій, яка формує зовнішньополітичну стратегію Туреччини у мусульманському світі, є неоосманізм. Ця концепція передбачає відновлення турецького впливу на територіях, які колись входили до складу Османської імперії. Туреччина прагне утвердитися як регіональний лідер, спираючись на свій історичний авторитет і культурні зв’язки, особливо в країнах Близького Сходу та Північної Африки. </w:t>
      </w:r>
    </w:p>
    <w:p w14:paraId="000001A5"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Туреччина бере участь у внутрішніх конфліктах у мусульманських країнах, підтримуючи певні політичні та військові сили. У Сирії Анкара підтримує опозиційні угруповання, одночасно протидіючи створенню курдських автономій уздовж свого кордону. У Лівії Туреччина надала </w:t>
      </w:r>
      <w:r w:rsidRPr="00BB1782">
        <w:rPr>
          <w:rFonts w:ascii="Times New Roman" w:eastAsia="Times New Roman" w:hAnsi="Times New Roman" w:cs="Times New Roman"/>
          <w:sz w:val="28"/>
          <w:szCs w:val="28"/>
        </w:rPr>
        <w:lastRenderedPageBreak/>
        <w:t>військову допомогу уряду національної згоди в Тріполі у боротьбі з військами Халіфи Хафтара.</w:t>
      </w:r>
    </w:p>
    <w:p w14:paraId="000001A6"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Крім військових і політичних заходів, Туреччина активно застосовує стратегію «м'якої сили», використовуючи культурні, релігійні та економічні інструменти для зміцнення свого впливу. Управління у справах релігій (Diyanet) відіграє ключову роль у поширенні турецького впливу через будівництво мечетей, надання релігійної освіти та підтримку ісламських інституцій у різних мусульманських країнах. Зокрема, Туреччина фінансує релігійні об’єкти на Балканах, у Північній Африці та Центральній Азії. Diyanet також підтримує турецькі діаспори у Західній Європі, допомагаючи зміцнити зв’язки з турецькими громадами.</w:t>
      </w:r>
    </w:p>
    <w:p w14:paraId="000001A7"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Зовнішня політика Туреччини у мусульманському світі характеризується не лише прагненням до співпраці, а й суперництвом з іншими регіональними гравцями, такими як Іран, Саудівська Аравія та ОАЕ. Туреччина і Саудівська Аравія мають різні підходи до регіональної політики, що особливо виявилося під час «Арабської весни». Анкара підтримувала ісламістські рухи, зокрема «Братів-мусульман», тоді як Саудівська Аравія захищала стабільність шляхом підтримки авторитарних режимів. Це суперництво проявляється і в боротьбі за вплив у таких країнах, як Єгипет, Лівія та Сирія.</w:t>
      </w:r>
    </w:p>
    <w:p w14:paraId="000001A8"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Відносини між Туреччиною та Іраном є складними: країни водночас співпрацюють і змагаються за лідерство у мусульманському світі. Хоча між ними існують економічні та дипломатичні зв'язки, їхні інтереси часто конфліктують у Сирії та Іраку, де Туреччина підтримує сунітські сили, а Іран — шиїтські угруповання.</w:t>
      </w:r>
    </w:p>
    <w:p w14:paraId="000001A9"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Туреччина також посилює свій вплив через участь у міжнародних мусульманських організаціях, зокрема в Організації ісламської співпраці (ОІС). Використовуючи ОІС як платформу для просування своїх інтересів, Туреччина зміцнює свою політичну позицію, особливо у питаннях захисту </w:t>
      </w:r>
      <w:r w:rsidRPr="00BB1782">
        <w:rPr>
          <w:rFonts w:ascii="Times New Roman" w:eastAsia="Times New Roman" w:hAnsi="Times New Roman" w:cs="Times New Roman"/>
          <w:sz w:val="28"/>
          <w:szCs w:val="28"/>
        </w:rPr>
        <w:lastRenderedPageBreak/>
        <w:t>прав палестинців, що сприяє підвищенню її авторитету серед мусульманських країн.</w:t>
      </w:r>
    </w:p>
    <w:p w14:paraId="000001AA"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Хоча Туреччина конституційно залишається світською державою, після приходу до влади Партії справедливості та розвитку іслам почав відігравати дедалі важливішу роль у внутрішній і зовнішній політиці. Президент Ердоган і його уряд активно використовують релігійні зв'язки для налагодження відносин з мусульманськими країнами, що особливо помітно у дипломатичних зусиллях на підтримку палестинців та захист прав мусульманських меншин.</w:t>
      </w:r>
    </w:p>
    <w:p w14:paraId="000001AB"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Ісламський фактор у відносинах Туреччини з країнами Європи залишається складним і суперечливим. Він впливає на політичні, економічні та культурні зв’язки Туреччини з Європейським Союзом, маючи глибоке історичне підґрунтя, що сягає століть. Сьогодні релігійний чинник відіграє ключову роль у формуванні зовнішньої політики Анкари, визначаючи також ставлення європейських країн до євроінтеграційних прагнень Туреччини.</w:t>
      </w:r>
    </w:p>
    <w:p w14:paraId="000001AC"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Відносини між Туреччиною та Європою завжди мали релігійний вимір, що бере початок ще з часів Османської імперії, яка тривалий період протистояла християнським державам Європи. Це історичне протистояння сформувало глибокі культурні та релігійні відмінності, які продовжують відігравати важливу роль і сьогодні. Після створення Турецької Республіки у 1923 році Мустафа Кемаль Ататюрк впровадив секуляризм як основоположний принцип державної політики, прагнучи наблизити країну до Заходу та зменшити вплив релігії в суспільному житті.</w:t>
      </w:r>
    </w:p>
    <w:p w14:paraId="000001AD"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Проте у XXI столітті вплив ісламу в турецькій політиці почав зростати, особливо з приходом до влади Партії справедливості та розвитку (ПСР) під керівництвом Реджепа Тайїпа Ердогана. ПСР поступово ослабила секулярні принципи і посилила роль ісламу в суспільстві, що викликало занепокоєння у європейських державах.</w:t>
      </w:r>
    </w:p>
    <w:p w14:paraId="000001AE"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Іслам відіграє значну роль у формуванні зовнішньої політики Туреччини, особливо у взаєминах з країнами Близького Сходу та мусульманським світом. Однак релігійний чинник також має вплив на європейський вектор зовнішньої політики. Туреччина використовує свою релігійну ідентичність для розширення культурної дипломатії та зміцнення зв’язків із турецькими та мусульманськими діаспорами в країнах ЄС.</w:t>
      </w:r>
    </w:p>
    <w:p w14:paraId="000001AF"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Зокрема, Анкара часто наголошує на важливості ісламської солідарності та захисту прав мусульман у Європі. Це проявляється у риториці турецьких лідерів, які засуджують ісламофобію та дискримінацію мусульман у західних державах. Така позиція має неоднозначний відгук у Європі: одні політики вважають її необхідною частиною міжкультурного діалогу, тоді як інші бачать у цьому загрозу секулярним цінностям і безпеці.</w:t>
      </w:r>
    </w:p>
    <w:p w14:paraId="000001B0"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Переговори про вступ Туреччини до ЄС є ще однією сферою, де ісламський фактор відіграє важливу роль. Багато європейських країн виражають занепокоєння щодо зростання ісламського впливу у турецькій політиці, розглядаючи це як загрозу європейським цінностям і правам людини. Критики також вказують на порушення прав і свобод у Туреччині, пов’язані з релігійними питаннями, включаючи обмеження свободи слова та переслідування опозиції.</w:t>
      </w:r>
    </w:p>
    <w:p w14:paraId="000001B1"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Водночас Туреччина акцентує увагу на своєму унікальному статусі мосту між Заходом і мусульманським світом, вважаючи себе важливим посередником у вирішенні міжкультурних та міжрелігійних конфліктів. Турецькі лідери підкреслюють значущість інтеграції мусульманського населення в Європі та можливість використання Туреччини як партнера у діалозі між цивілізаціями.</w:t>
      </w:r>
    </w:p>
    <w:p w14:paraId="000001B2" w14:textId="77777777" w:rsidR="009123BC" w:rsidRPr="00BB1782" w:rsidRDefault="00712845" w:rsidP="00C335A4">
      <w:pPr>
        <w:spacing w:line="360" w:lineRule="auto"/>
        <w:ind w:firstLine="520"/>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Таким чином, ісламський фактор у відносинах між Туреччиною та Європою створює складну динаміку. З одного боку, він чинить тиск на європейські уряди щодо необхідності вести діалог із Анкарою з питань </w:t>
      </w:r>
      <w:r w:rsidRPr="00BB1782">
        <w:rPr>
          <w:rFonts w:ascii="Times New Roman" w:eastAsia="Times New Roman" w:hAnsi="Times New Roman" w:cs="Times New Roman"/>
          <w:sz w:val="28"/>
          <w:szCs w:val="28"/>
        </w:rPr>
        <w:lastRenderedPageBreak/>
        <w:t>міграції, безпеки та інтеграції мусульманських громад. З іншого боку, побоювання з приводу зростання ісламського впливу можуть перешкодити євроінтеграційним процесам і спричинити напруженість у відносинах з ЄС.</w:t>
      </w:r>
    </w:p>
    <w:p w14:paraId="000001B3" w14:textId="36CC7FB6" w:rsidR="007376AD" w:rsidRPr="00BB1782" w:rsidRDefault="00712845" w:rsidP="00C335A4">
      <w:pPr>
        <w:spacing w:line="360" w:lineRule="auto"/>
        <w:ind w:firstLine="520"/>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t>Незважаючи на те, що Туреччина конституційно залишається світською державою, іслам став більш помітним елементом її внутрішньої і зовнішньої політики після приходу ПСР до влади. Уряд Ердогана активно використовує релігійні зв’язки для налагодження відносин із мусульманськими країнами та зміцнення своєї позиції у світі, що часто призводить до суперечок із європейськими партнерами. Розв'язання цих питань вимагає збалансованого підходу, який би враховував як права мусульманських громад, так і європейські принципи секулярності та демократії.</w:t>
      </w:r>
    </w:p>
    <w:p w14:paraId="5E4C3265" w14:textId="77777777" w:rsidR="007376AD" w:rsidRPr="00BB1782" w:rsidRDefault="007376AD" w:rsidP="00C335A4">
      <w:pPr>
        <w:spacing w:line="360" w:lineRule="auto"/>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br w:type="page"/>
      </w:r>
    </w:p>
    <w:p w14:paraId="523B4337" w14:textId="77777777" w:rsidR="00C335A4" w:rsidRPr="00BB1782" w:rsidRDefault="00C335A4" w:rsidP="00C335A4">
      <w:pPr>
        <w:pStyle w:val="1"/>
        <w:spacing w:before="0" w:after="0" w:line="360" w:lineRule="auto"/>
        <w:jc w:val="center"/>
        <w:rPr>
          <w:rFonts w:ascii="Times New Roman" w:eastAsia="Times New Roman" w:hAnsi="Times New Roman" w:cs="Times New Roman"/>
          <w:b/>
          <w:sz w:val="28"/>
          <w:szCs w:val="28"/>
          <w:lang w:val="uk-UA"/>
        </w:rPr>
      </w:pPr>
      <w:bookmarkStart w:id="7" w:name="_Toc183727750"/>
      <w:r w:rsidRPr="00BB1782">
        <w:rPr>
          <w:rFonts w:ascii="Times New Roman" w:eastAsia="Times New Roman" w:hAnsi="Times New Roman" w:cs="Times New Roman"/>
          <w:b/>
          <w:sz w:val="28"/>
          <w:szCs w:val="28"/>
        </w:rPr>
        <w:lastRenderedPageBreak/>
        <w:t>СПИСОК ДЖЕРЕЛ ПОСИЛАНЬ</w:t>
      </w:r>
      <w:bookmarkEnd w:id="7"/>
    </w:p>
    <w:p w14:paraId="468E824D" w14:textId="77777777" w:rsidR="00C335A4" w:rsidRPr="00BB1782" w:rsidRDefault="00C335A4" w:rsidP="00C335A4">
      <w:pPr>
        <w:spacing w:line="360" w:lineRule="auto"/>
        <w:jc w:val="center"/>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 </w:t>
      </w:r>
    </w:p>
    <w:p w14:paraId="31997CB5"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Воротнюк М. (2011). «Арабська весна» – шанс регіонального лідерства для Туреччини? </w:t>
      </w:r>
      <w:r w:rsidRPr="00BB1782">
        <w:rPr>
          <w:rFonts w:ascii="Times New Roman" w:eastAsia="Times New Roman" w:hAnsi="Times New Roman" w:cs="Times New Roman"/>
          <w:i/>
          <w:sz w:val="28"/>
          <w:szCs w:val="28"/>
        </w:rPr>
        <w:t>Зовнішні справи. Суспільно-політичний журнал</w:t>
      </w:r>
      <w:r w:rsidRPr="00BB1782">
        <w:rPr>
          <w:rFonts w:ascii="Times New Roman" w:eastAsia="Times New Roman" w:hAnsi="Times New Roman" w:cs="Times New Roman"/>
          <w:sz w:val="28"/>
          <w:szCs w:val="28"/>
        </w:rPr>
        <w:t>. 2011 11-12 44-47.</w:t>
      </w:r>
    </w:p>
    <w:p w14:paraId="6851F375"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Воротнюк М. Україна та Туреччина — (не)випадкове партнерство. URL: http://www.eurointegration.com.ua/articles/2016/04/13/7047681. (дата звернення: 03.11.2024).</w:t>
      </w:r>
    </w:p>
    <w:p w14:paraId="2AF5C930"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Горбунов Є. А. Пеньковський В. І. Павліковський А. К. (2015). Системотехніка оцінки воєнної безпеки та ескізного проектування її стратегії: монографія. Київ : Майстер книг 2015. 188 с.</w:t>
      </w:r>
    </w:p>
    <w:p w14:paraId="32340FAE"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Костиря І. О. (2016). Сучасні геокультурні стратегії в політиці трансрегіональної комунікативної взаємодії : автореф. дис. ... д-ра політ. наук : 23.00.03; Нац. пед. ун-т ім. М. П. Драгоманова. Київ.</w:t>
      </w:r>
    </w:p>
    <w:p w14:paraId="124A4681"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Країнознавство Туреччини (2010) / Київ. нац. ун-т ім. Т. Шевченка Ін-т філол Каф. тюркології ; уклад. Т. В. Нікітюк. Київ : Четверта хвиля.</w:t>
      </w:r>
    </w:p>
    <w:p w14:paraId="467F707F"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Кримський Агатангел (1996). Історія Туреччини / НАН України; Інститут сходознавства ім. А.Ю.Кримського. Київ : Олір.</w:t>
      </w:r>
    </w:p>
    <w:p w14:paraId="220B835E"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Матеріали Посольства України у Туреччині. URL: </w:t>
      </w:r>
      <w:hyperlink r:id="rId9">
        <w:r w:rsidRPr="00BB1782">
          <w:rPr>
            <w:rFonts w:ascii="Times New Roman" w:eastAsia="Times New Roman" w:hAnsi="Times New Roman" w:cs="Times New Roman"/>
            <w:sz w:val="28"/>
            <w:szCs w:val="28"/>
            <w:u w:val="single"/>
          </w:rPr>
          <w:t>https://turkey.mfa.gov.ua</w:t>
        </w:r>
      </w:hyperlink>
      <w:r w:rsidRPr="00BB1782">
        <w:rPr>
          <w:rFonts w:ascii="Times New Roman" w:eastAsia="Times New Roman" w:hAnsi="Times New Roman" w:cs="Times New Roman"/>
          <w:sz w:val="28"/>
          <w:szCs w:val="28"/>
        </w:rPr>
        <w:t>. (дата звернення: 03.11.2024).</w:t>
      </w:r>
    </w:p>
    <w:p w14:paraId="2EBB6EB6"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Машталір Я. П. (2011). Дипломатичне забезпечення зовнішньоекономічної діяльності : курс лекцій. Хмельницький : ХНУ.</w:t>
      </w:r>
    </w:p>
    <w:p w14:paraId="6793137B"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Орлова Т. В. (2012) Країнознавство Туреччини: історія і сучасність. Київ : Логос 2012. 177 с.</w:t>
      </w:r>
    </w:p>
    <w:p w14:paraId="105F4DF2"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Пророченко Н. О. (2005). Туреччина: Історія культура географія. Київ: Світ знань.</w:t>
      </w:r>
    </w:p>
    <w:p w14:paraId="333E04D9"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 xml:space="preserve">Стародуб Т. С. (2011). Сучасна політика Туреччини на Близькому Сході в контексті її залучення до революційних подій. </w:t>
      </w:r>
      <w:r w:rsidRPr="00BB1782">
        <w:rPr>
          <w:rFonts w:ascii="Times New Roman" w:eastAsia="Times New Roman" w:hAnsi="Times New Roman" w:cs="Times New Roman"/>
          <w:i/>
          <w:sz w:val="28"/>
          <w:szCs w:val="28"/>
        </w:rPr>
        <w:t>Відкриті очі</w:t>
      </w:r>
      <w:r w:rsidRPr="00BB1782">
        <w:rPr>
          <w:rFonts w:ascii="Times New Roman" w:eastAsia="Times New Roman" w:hAnsi="Times New Roman" w:cs="Times New Roman"/>
          <w:sz w:val="28"/>
          <w:szCs w:val="28"/>
        </w:rPr>
        <w:t xml:space="preserve">. URL: </w:t>
      </w:r>
      <w:hyperlink r:id="rId10">
        <w:r w:rsidRPr="00BB1782">
          <w:rPr>
            <w:rFonts w:ascii="Times New Roman" w:eastAsia="Times New Roman" w:hAnsi="Times New Roman" w:cs="Times New Roman"/>
            <w:sz w:val="28"/>
            <w:szCs w:val="28"/>
            <w:u w:val="single"/>
          </w:rPr>
          <w:t>http://www.vidkryti-ochi.org.ua/2011/11/2011.html</w:t>
        </w:r>
      </w:hyperlink>
      <w:r w:rsidRPr="00BB1782">
        <w:rPr>
          <w:rFonts w:ascii="Times New Roman" w:eastAsia="Times New Roman" w:hAnsi="Times New Roman" w:cs="Times New Roman"/>
          <w:sz w:val="28"/>
          <w:szCs w:val="28"/>
        </w:rPr>
        <w:t>. (дата звернення: 03.11.2024).</w:t>
      </w:r>
    </w:p>
    <w:p w14:paraId="6D4CBAB1"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u w:val="single"/>
        </w:rPr>
      </w:pPr>
      <w:r w:rsidRPr="00BB1782">
        <w:rPr>
          <w:rFonts w:ascii="Times New Roman" w:eastAsia="Times New Roman" w:hAnsi="Times New Roman" w:cs="Times New Roman"/>
          <w:sz w:val="28"/>
          <w:szCs w:val="28"/>
        </w:rPr>
        <w:t>Тарасюк Ю. М., Шаглі Г. І. (2021). Мʼяка сила Турецької Республіки: культурно - освітні аспекти. URL:</w:t>
      </w:r>
      <w:r w:rsidRPr="00BB1782">
        <w:rPr>
          <w:rFonts w:ascii="Times New Roman" w:eastAsia="Times New Roman" w:hAnsi="Times New Roman" w:cs="Times New Roman"/>
          <w:sz w:val="28"/>
          <w:szCs w:val="28"/>
          <w:lang w:val="uk-UA"/>
        </w:rPr>
        <w:t xml:space="preserve"> </w:t>
      </w:r>
      <w:hyperlink r:id="rId11">
        <w:r w:rsidRPr="00BB1782">
          <w:rPr>
            <w:rFonts w:ascii="Times New Roman" w:eastAsia="Times New Roman" w:hAnsi="Times New Roman" w:cs="Times New Roman"/>
            <w:sz w:val="28"/>
            <w:szCs w:val="28"/>
            <w:u w:val="single"/>
          </w:rPr>
          <w:t>https://jpl.donnu.edu.ua/article/view/11920</w:t>
        </w:r>
      </w:hyperlink>
    </w:p>
    <w:p w14:paraId="33A30B8B"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Цюрупа М. (2007). Поняття «м’якої сили» держави та особливості її застосування в сучасній світовій політиці. </w:t>
      </w:r>
      <w:r w:rsidRPr="00BB1782">
        <w:rPr>
          <w:rFonts w:ascii="Times New Roman" w:eastAsia="Times New Roman" w:hAnsi="Times New Roman" w:cs="Times New Roman"/>
          <w:i/>
          <w:sz w:val="28"/>
          <w:szCs w:val="28"/>
        </w:rPr>
        <w:t>Наукові записки Інституту політичних і етнонаціональних досліджень ім. І. Ф. Кураса НАН України</w:t>
      </w:r>
      <w:r w:rsidRPr="00BB1782">
        <w:rPr>
          <w:rFonts w:ascii="Times New Roman" w:eastAsia="Times New Roman" w:hAnsi="Times New Roman" w:cs="Times New Roman"/>
          <w:sz w:val="28"/>
          <w:szCs w:val="28"/>
        </w:rPr>
        <w:t xml:space="preserve">. Київ : Знання України 47-59. </w:t>
      </w:r>
    </w:p>
    <w:p w14:paraId="78E6735B" w14:textId="11FAA47F"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Ahmad F. (1993). The Making of Modern Turkey. Routledge.</w:t>
      </w:r>
    </w:p>
    <w:p w14:paraId="3BE4597A"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 xml:space="preserve">Akçapar B. (2010). Turkey’s New Diaspora Policy: The Challenges of Integration and Outreach. </w:t>
      </w:r>
      <w:r w:rsidRPr="00BB1782">
        <w:rPr>
          <w:rFonts w:ascii="Times New Roman" w:eastAsia="Times New Roman" w:hAnsi="Times New Roman" w:cs="Times New Roman"/>
          <w:i/>
          <w:sz w:val="28"/>
          <w:szCs w:val="28"/>
          <w:highlight w:val="white"/>
        </w:rPr>
        <w:t>Turkish Policy Quarterly</w:t>
      </w:r>
      <w:r w:rsidRPr="00BB1782">
        <w:rPr>
          <w:rFonts w:ascii="Times New Roman" w:eastAsia="Times New Roman" w:hAnsi="Times New Roman" w:cs="Times New Roman"/>
          <w:sz w:val="28"/>
          <w:szCs w:val="28"/>
          <w:highlight w:val="white"/>
        </w:rPr>
        <w:t xml:space="preserve"> 9(3) 135-143.</w:t>
      </w:r>
    </w:p>
    <w:p w14:paraId="42497B0E"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Altunişik M. &amp; Martin L. (2011). Making Sense of Turkish Foreign Policy in the Middle East under AKP. Turkish Studies 12(4) 569-587.</w:t>
      </w:r>
    </w:p>
    <w:p w14:paraId="1802AAD8"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Altunişik M. &amp; Martin L. (2014). Turkey and Syria: From Cooperation to Conflict. Turkish Studies 15(4) 569-587.</w:t>
      </w:r>
    </w:p>
    <w:p w14:paraId="3960E36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Altunişik M. &amp; Martin L. (2014). Turkey’s Soft Power in the Arab World: The Role of Civil Society. Insight Turkey 16(1) 39-52.</w:t>
      </w:r>
    </w:p>
    <w:p w14:paraId="54FFE1F2"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 xml:space="preserve">Altunişik M. B. (2014). Turkey as an 'Emerging Donor' and the Arab Uprisings. </w:t>
      </w:r>
      <w:r w:rsidRPr="00BB1782">
        <w:rPr>
          <w:rFonts w:ascii="Times New Roman" w:eastAsia="Times New Roman" w:hAnsi="Times New Roman" w:cs="Times New Roman"/>
          <w:i/>
          <w:sz w:val="28"/>
          <w:szCs w:val="28"/>
          <w:highlight w:val="white"/>
        </w:rPr>
        <w:t>Mediterranean Politics</w:t>
      </w:r>
      <w:r w:rsidRPr="00BB1782">
        <w:rPr>
          <w:rFonts w:ascii="Times New Roman" w:eastAsia="Times New Roman" w:hAnsi="Times New Roman" w:cs="Times New Roman"/>
          <w:sz w:val="28"/>
          <w:szCs w:val="28"/>
          <w:highlight w:val="white"/>
        </w:rPr>
        <w:t xml:space="preserve"> 19(3) 333-350.</w:t>
      </w:r>
    </w:p>
    <w:p w14:paraId="778BD55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Aras B. &amp; Polat R. K. (2012). Turkey and the Middle East: Frontiers of the New Geographic Imagination. Turkish Studies 14(1) 187-197.</w:t>
      </w:r>
    </w:p>
    <w:p w14:paraId="4A84F91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Aras B. &amp; Polat R. K. (2012). Turkey and the Middle East: Frontline of the New Geopolitical Landscape. Turkish Studies 13(1) 23-41.</w:t>
      </w:r>
    </w:p>
    <w:p w14:paraId="6A55036E"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Aras B. (2012). The Syrian Conflict and Turkey's Foreign Policy. Middle East Policy 19(3) 92-104.</w:t>
      </w:r>
    </w:p>
    <w:p w14:paraId="5A717A83"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lastRenderedPageBreak/>
        <w:t>Aras B. (2014). Turkey and Egypt: Shifting Dynamics in Bilateral Relations. Middle East Policy 21(3) 92-104.</w:t>
      </w:r>
    </w:p>
    <w:p w14:paraId="4E75CE7A"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Aydınlı E. &amp; Çandar C. (2019). Turkey-Saudi Relations: Divergences and Alignments in Regional Security Dynamics. Turkish Policy Quarterly 18(2) 54-69.</w:t>
      </w:r>
    </w:p>
    <w:p w14:paraId="187F04D3"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Aydıntaşbaş A. (2018). The New Middle East: Turkish-Iranian Relations in a Changing Region. European Council on Foreign Relations Policy Brief 34-45.</w:t>
      </w:r>
    </w:p>
    <w:p w14:paraId="5BE8D8B5"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Aydıntaşbaş А. (2019). From myth to reality: How to understand Turkey’s role in the Western Balkans. European council on foreign policy relation. 2019. URL: </w:t>
      </w:r>
      <w:hyperlink r:id="rId12">
        <w:r w:rsidRPr="00BB1782">
          <w:rPr>
            <w:rFonts w:ascii="Times New Roman" w:eastAsia="Times New Roman" w:hAnsi="Times New Roman" w:cs="Times New Roman"/>
            <w:sz w:val="28"/>
            <w:szCs w:val="28"/>
            <w:u w:val="single"/>
          </w:rPr>
          <w:t>https://ecfr.eu/publication/from_myth_to_reality_how_to_understand_turkeys_role_in_the_western_balkans</w:t>
        </w:r>
      </w:hyperlink>
      <w:r w:rsidRPr="00BB1782">
        <w:rPr>
          <w:rFonts w:ascii="Times New Roman" w:eastAsia="Times New Roman" w:hAnsi="Times New Roman" w:cs="Times New Roman"/>
          <w:sz w:val="28"/>
          <w:szCs w:val="28"/>
        </w:rPr>
        <w:t xml:space="preserve"> (дата звернення: 03.11.2024).</w:t>
      </w:r>
    </w:p>
    <w:p w14:paraId="0ECE9197"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Babakr M. Turkey’s Economic Development: Luck or Wise Administration? URL:http://strategicoutlook.org/publications/Turkey’s_economic_development.pdf. (дата звернення: 03.11.2024).</w:t>
      </w:r>
    </w:p>
    <w:p w14:paraId="25B40EA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Balci B. (2014). The Rise of Turkish Influence in the Turkic-Speaking Countries. Central Asian Affairs 1(2) 176-200.</w:t>
      </w:r>
    </w:p>
    <w:p w14:paraId="07A3948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Barkey H. J. (2019). Turkey and Iran: From Rivalry to Potential Cooperation. Carnegie Endowment for International Peace 28-36.</w:t>
      </w:r>
    </w:p>
    <w:p w14:paraId="2985FA27"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Barkey H. J. (2019). Turkey and Saudi Arabia: From Competition to Cooperation?. Carnegie Endowment for International Peace 35-44.</w:t>
      </w:r>
    </w:p>
    <w:p w14:paraId="13DA6E5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Barkey H. J. (2019). Turkey and the Syrian Conflict: Domestic Regional and International Dimensions. Carnegie Endowment for International Peace 34-48.</w:t>
      </w:r>
    </w:p>
    <w:p w14:paraId="3DC857C6"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Barkey H. J. (2019). Turkey-Egypt Relations in the Context of Regional Rivalries. Carnegie Endowment for International Peace 34-48.</w:t>
      </w:r>
    </w:p>
    <w:p w14:paraId="49DC220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 xml:space="preserve">Barrinha A. (2013). The Ambitious Insulator: Revisiting Turkey’s Position in Regional Security Complex Theory. </w:t>
      </w:r>
      <w:r w:rsidRPr="00BB1782">
        <w:rPr>
          <w:rFonts w:ascii="Times New Roman" w:eastAsia="Times New Roman" w:hAnsi="Times New Roman" w:cs="Times New Roman"/>
          <w:i/>
          <w:sz w:val="28"/>
          <w:szCs w:val="28"/>
        </w:rPr>
        <w:t>Mediterranean Politics</w:t>
      </w:r>
      <w:r w:rsidRPr="00BB1782">
        <w:rPr>
          <w:rFonts w:ascii="Times New Roman" w:eastAsia="Times New Roman" w:hAnsi="Times New Roman" w:cs="Times New Roman"/>
          <w:sz w:val="28"/>
          <w:szCs w:val="28"/>
        </w:rPr>
        <w:t xml:space="preserve"> 1-18.</w:t>
      </w:r>
    </w:p>
    <w:p w14:paraId="1D12D50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Barysch K. (2010). Turkey and the European Union: Can a Divided Partnership Be Repaired?. Centre for European Reform Essays.</w:t>
      </w:r>
    </w:p>
    <w:p w14:paraId="7683C0B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Başkan F. (2010).Religious versus secular groups in the age of globalisation in Turkey. </w:t>
      </w:r>
      <w:r w:rsidRPr="00BB1782">
        <w:rPr>
          <w:rFonts w:ascii="Times New Roman" w:eastAsia="Times New Roman" w:hAnsi="Times New Roman" w:cs="Times New Roman"/>
          <w:i/>
          <w:sz w:val="28"/>
          <w:szCs w:val="28"/>
        </w:rPr>
        <w:t>Totalitarian movements and political religions</w:t>
      </w:r>
      <w:r w:rsidRPr="00BB1782">
        <w:rPr>
          <w:rFonts w:ascii="Times New Roman" w:eastAsia="Times New Roman" w:hAnsi="Times New Roman" w:cs="Times New Roman"/>
          <w:sz w:val="28"/>
          <w:szCs w:val="28"/>
        </w:rPr>
        <w:t>. L. 11 2 167–1</w:t>
      </w:r>
    </w:p>
    <w:p w14:paraId="37841AE5"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Bowen J. R. (2007). Why the French Don’t Like Headscarves: Islam the State and Public Space. Princeton University Press.</w:t>
      </w:r>
    </w:p>
    <w:p w14:paraId="62089FE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Buzan B. Wæver O. (2003). Regions and Powers. The Structure of International Security. Cambridge : Cambridge University Press.</w:t>
      </w:r>
    </w:p>
    <w:p w14:paraId="7FEA48A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Buzan B. Wæver O. Wilde J. (1998). De. Security: A New Framework for Analysis. London : Routledge.</w:t>
      </w:r>
    </w:p>
    <w:p w14:paraId="59F2780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Cagaptay S. (2017). The New Sultan: Erdogan and the Crisis of Modern Turkey. I.B. Tauris.</w:t>
      </w:r>
    </w:p>
    <w:p w14:paraId="45F2748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Çolak Y. (2016). Ottoman Past and Turkish Present: Islamic Discourses and Europe. Middle Eastern Studies 32(3) 5-24.</w:t>
      </w:r>
    </w:p>
    <w:p w14:paraId="016D922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 xml:space="preserve">Coplen Michaela. Soft Power and the Future of US Foreign Policy. International Affairs Volume 99 Issue 6 November 2023 2551–2552. </w:t>
      </w:r>
    </w:p>
    <w:p w14:paraId="638B8DBF"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Dagi İ. (2012). İslamcıların demokrasi ile sınavı. </w:t>
      </w:r>
      <w:r w:rsidRPr="00BB1782">
        <w:rPr>
          <w:rFonts w:ascii="Times New Roman" w:eastAsia="Times New Roman" w:hAnsi="Times New Roman" w:cs="Times New Roman"/>
          <w:i/>
          <w:sz w:val="28"/>
          <w:szCs w:val="28"/>
        </w:rPr>
        <w:t>Zaman</w:t>
      </w:r>
      <w:r w:rsidRPr="00BB1782">
        <w:rPr>
          <w:rFonts w:ascii="Times New Roman" w:eastAsia="Times New Roman" w:hAnsi="Times New Roman" w:cs="Times New Roman"/>
          <w:sz w:val="28"/>
          <w:szCs w:val="28"/>
        </w:rPr>
        <w:t xml:space="preserve">. Istanbul. </w:t>
      </w:r>
    </w:p>
    <w:p w14:paraId="7BC9B41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Davison R. H. (1963). Turkey: A Short History. Praeger.</w:t>
      </w:r>
    </w:p>
    <w:p w14:paraId="040F14FA"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Davutoglu A. (2008). Turkey’s Foreign Policy Vision: An Assessment of 2007 </w:t>
      </w:r>
      <w:r w:rsidRPr="00BB1782">
        <w:rPr>
          <w:rFonts w:ascii="Times New Roman" w:eastAsia="Times New Roman" w:hAnsi="Times New Roman" w:cs="Times New Roman"/>
          <w:i/>
          <w:sz w:val="28"/>
          <w:szCs w:val="28"/>
        </w:rPr>
        <w:t>Insight Turkey</w:t>
      </w:r>
      <w:r w:rsidRPr="00BB1782">
        <w:rPr>
          <w:rFonts w:ascii="Times New Roman" w:eastAsia="Times New Roman" w:hAnsi="Times New Roman" w:cs="Times New Roman"/>
          <w:sz w:val="28"/>
          <w:szCs w:val="28"/>
        </w:rPr>
        <w:t xml:space="preserve"> 10 (1) 77-97.</w:t>
      </w:r>
    </w:p>
    <w:p w14:paraId="51A471E4"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Davutoglu A. The Three Major Earthquakes in the International System and Turkey. </w:t>
      </w:r>
      <w:r w:rsidRPr="00BB1782">
        <w:rPr>
          <w:rFonts w:ascii="Times New Roman" w:eastAsia="Times New Roman" w:hAnsi="Times New Roman" w:cs="Times New Roman"/>
          <w:i/>
          <w:sz w:val="28"/>
          <w:szCs w:val="28"/>
        </w:rPr>
        <w:t>The International Spectator : Italian Journal of International Affairs</w:t>
      </w:r>
      <w:r w:rsidRPr="00BB1782">
        <w:rPr>
          <w:rFonts w:ascii="Times New Roman" w:eastAsia="Times New Roman" w:hAnsi="Times New Roman" w:cs="Times New Roman"/>
          <w:sz w:val="28"/>
          <w:szCs w:val="28"/>
        </w:rPr>
        <w:t>. 48 (2) 1-11.</w:t>
      </w:r>
    </w:p>
    <w:p w14:paraId="2CB22513"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 xml:space="preserve">Davutoğlu Ahmet. Stratejik derinlik. Türkiye’nin Uluslararası Konumu. URL: </w:t>
      </w:r>
      <w:hyperlink r:id="rId13">
        <w:r w:rsidRPr="00BB1782">
          <w:rPr>
            <w:rFonts w:ascii="Times New Roman" w:eastAsia="Times New Roman" w:hAnsi="Times New Roman" w:cs="Times New Roman"/>
            <w:sz w:val="28"/>
            <w:szCs w:val="28"/>
            <w:u w:val="single"/>
          </w:rPr>
          <w:t>http://www.altinicizdiklerim.com/resimler/StratejikDerinlik.pdf</w:t>
        </w:r>
      </w:hyperlink>
      <w:r w:rsidRPr="00BB1782">
        <w:rPr>
          <w:rFonts w:ascii="Times New Roman" w:eastAsia="Times New Roman" w:hAnsi="Times New Roman" w:cs="Times New Roman"/>
          <w:sz w:val="28"/>
          <w:szCs w:val="28"/>
        </w:rPr>
        <w:t xml:space="preserve"> (дата звернення: 03.11.2024).</w:t>
      </w:r>
    </w:p>
    <w:p w14:paraId="49451D4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Democracy Islam and Secularism in Turkey (Religion Culture and Public Life) (2012). / Kuru A. Stepan A (eds.). Columbia Univ. Press. </w:t>
      </w:r>
    </w:p>
    <w:p w14:paraId="7B81CCD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Diez T. (2005). Turkey the European Union and Security Complexes Revisited. </w:t>
      </w:r>
      <w:r w:rsidRPr="00BB1782">
        <w:rPr>
          <w:rFonts w:ascii="Times New Roman" w:eastAsia="Times New Roman" w:hAnsi="Times New Roman" w:cs="Times New Roman"/>
          <w:i/>
          <w:sz w:val="28"/>
          <w:szCs w:val="28"/>
        </w:rPr>
        <w:t>Mediterranean Politics</w:t>
      </w:r>
      <w:r w:rsidRPr="00BB1782">
        <w:rPr>
          <w:rFonts w:ascii="Times New Roman" w:eastAsia="Times New Roman" w:hAnsi="Times New Roman" w:cs="Times New Roman"/>
          <w:sz w:val="28"/>
          <w:szCs w:val="28"/>
        </w:rPr>
        <w:t xml:space="preserve"> 10 (2) 167-180.</w:t>
      </w:r>
    </w:p>
    <w:p w14:paraId="3D9B5075"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Dodd C. H. (2010). The History and Politics of the Cyprus Conflict. Palgrave Macmillan.</w:t>
      </w:r>
    </w:p>
    <w:p w14:paraId="0A6A6CF4"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Ehteshami A. &amp; Wehrey F. (2011). Turkish-Iranian Relations since the Arab Spring: Rivals Partners and Regional Power Struggles. Middle East Journal 65(4) 545-559.</w:t>
      </w:r>
    </w:p>
    <w:p w14:paraId="2FE274F4"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Esposito J. L. (2010). The Future of Islam. N.Y. Oxford: Oxford Univ.Press.</w:t>
      </w:r>
    </w:p>
    <w:p w14:paraId="1DAD83D8"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Esposito J. L. Sonn T. Voll John O. (2016). Islam and democracy after the Arab Spring. New York : Oxford University Press.</w:t>
      </w:r>
    </w:p>
    <w:p w14:paraId="24A7A8B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Esposito. J. L. (1998). Islam: The Straight Path. N.Y. Oxford: Oxford Univ.Press.</w:t>
      </w:r>
    </w:p>
    <w:p w14:paraId="4F007DF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Factors driving Turkish foreign policy. URL: </w:t>
      </w:r>
      <w:hyperlink r:id="rId14">
        <w:r w:rsidRPr="00BB1782">
          <w:rPr>
            <w:rFonts w:ascii="Times New Roman" w:eastAsia="Times New Roman" w:hAnsi="Times New Roman" w:cs="Times New Roman"/>
            <w:sz w:val="28"/>
            <w:szCs w:val="28"/>
            <w:u w:val="single"/>
          </w:rPr>
          <w:t>https://repository.lsu.edu/cgi/viewcontent.cgi?article=4089&amp;context=gradschool_theses</w:t>
        </w:r>
      </w:hyperlink>
      <w:r w:rsidRPr="00BB1782">
        <w:rPr>
          <w:rFonts w:ascii="Times New Roman" w:eastAsia="Times New Roman" w:hAnsi="Times New Roman" w:cs="Times New Roman"/>
          <w:sz w:val="28"/>
          <w:szCs w:val="28"/>
        </w:rPr>
        <w:t xml:space="preserve"> (дата звернення: 03.11.2024).</w:t>
      </w:r>
    </w:p>
    <w:p w14:paraId="60ED9F35"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Fetzer J. S. &amp; Soper J. C. (2005). Muslims and the State in Britain France and Germany. Cambridge University Press.</w:t>
      </w:r>
    </w:p>
    <w:p w14:paraId="1701A7B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Finkel C. (2005). Osman's Dream: The History of the Ottoman Empire. Basic Books.</w:t>
      </w:r>
    </w:p>
    <w:p w14:paraId="358C142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Global Soft Power Index // URL: </w:t>
      </w:r>
      <w:hyperlink r:id="rId15" w:history="1">
        <w:r w:rsidRPr="00BB1782">
          <w:rPr>
            <w:rStyle w:val="aa"/>
            <w:rFonts w:ascii="Times New Roman" w:eastAsia="Times New Roman" w:hAnsi="Times New Roman" w:cs="Times New Roman"/>
            <w:color w:val="auto"/>
            <w:sz w:val="28"/>
            <w:szCs w:val="28"/>
          </w:rPr>
          <w:t>https://brandirectory.com/globalsoftpower/download/brand-finance-global-soft-power-index-2021.pdf</w:t>
        </w:r>
      </w:hyperlink>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(дата звернення: 03.11.2024)</w:t>
      </w:r>
    </w:p>
    <w:p w14:paraId="59EE4C53"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 xml:space="preserve">Grigoriadis I. N. (2009). Islam and democratization in Turkey: Secularism and trust in a divided society. </w:t>
      </w:r>
      <w:r w:rsidRPr="00BB1782">
        <w:rPr>
          <w:rFonts w:ascii="Times New Roman" w:eastAsia="Times New Roman" w:hAnsi="Times New Roman" w:cs="Times New Roman"/>
          <w:i/>
          <w:sz w:val="28"/>
          <w:szCs w:val="28"/>
        </w:rPr>
        <w:t>Democratization.</w:t>
      </w:r>
      <w:r w:rsidRPr="00BB1782">
        <w:rPr>
          <w:rFonts w:ascii="Times New Roman" w:eastAsia="Times New Roman" w:hAnsi="Times New Roman" w:cs="Times New Roman"/>
          <w:sz w:val="28"/>
          <w:szCs w:val="28"/>
        </w:rPr>
        <w:t xml:space="preserve"> Cambridge UK.</w:t>
      </w:r>
    </w:p>
    <w:p w14:paraId="25F2E76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Guliev I. A. Azerbaijan-Turkey energy cooperation: new burdens new opportunities. – URL: </w:t>
      </w:r>
      <w:hyperlink r:id="rId16">
        <w:r w:rsidRPr="00BB1782">
          <w:rPr>
            <w:rFonts w:ascii="Times New Roman" w:eastAsia="Times New Roman" w:hAnsi="Times New Roman" w:cs="Times New Roman"/>
            <w:sz w:val="28"/>
            <w:szCs w:val="28"/>
            <w:u w:val="single"/>
          </w:rPr>
          <w:t>http://www.eppen.org/en/index.php?sayfa=Yorumlar&amp;lin-k=&amp;makale=125</w:t>
        </w:r>
      </w:hyperlink>
      <w:r w:rsidRPr="00BB1782">
        <w:rPr>
          <w:rFonts w:ascii="Times New Roman" w:eastAsia="Times New Roman" w:hAnsi="Times New Roman" w:cs="Times New Roman"/>
          <w:sz w:val="28"/>
          <w:szCs w:val="28"/>
        </w:rPr>
        <w:t>. (дата звернення: 03.11.2024).</w:t>
      </w:r>
    </w:p>
    <w:p w14:paraId="72A4B07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Hale W. (2000). Turkish Foreign Policy 1774-2000. Frank Cass Publishers.</w:t>
      </w:r>
    </w:p>
    <w:p w14:paraId="3313833A"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Heper M. (1997). Islam and Democracy in Turkey: Toward a Reconciliation?. Middle East Journal 51(1) 32-45.</w:t>
      </w:r>
    </w:p>
    <w:p w14:paraId="0E9E1D6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Hobsbawm Julia. (2001). On Public Relations: How They Held All of Us Hostage. </w:t>
      </w:r>
      <w:r w:rsidRPr="00BB1782">
        <w:rPr>
          <w:rFonts w:ascii="Times New Roman" w:eastAsia="Times New Roman" w:hAnsi="Times New Roman" w:cs="Times New Roman"/>
          <w:i/>
          <w:sz w:val="28"/>
          <w:szCs w:val="28"/>
        </w:rPr>
        <w:t>The Observer</w:t>
      </w:r>
      <w:r w:rsidRPr="00BB1782">
        <w:rPr>
          <w:rFonts w:ascii="Times New Roman" w:eastAsia="Times New Roman" w:hAnsi="Times New Roman" w:cs="Times New Roman"/>
          <w:sz w:val="28"/>
          <w:szCs w:val="28"/>
        </w:rPr>
        <w:t>. September 16 5-6.</w:t>
      </w:r>
    </w:p>
    <w:p w14:paraId="62DB4113"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Hursoy S. Changing Dimensions of Turkey’s Foreign Policy. </w:t>
      </w:r>
      <w:r w:rsidRPr="00BB1782">
        <w:rPr>
          <w:rFonts w:ascii="Times New Roman" w:eastAsia="Times New Roman" w:hAnsi="Times New Roman" w:cs="Times New Roman"/>
          <w:i/>
          <w:sz w:val="28"/>
          <w:szCs w:val="28"/>
        </w:rPr>
        <w:t>International Studies</w:t>
      </w:r>
      <w:r w:rsidRPr="00BB1782">
        <w:rPr>
          <w:rFonts w:ascii="Times New Roman" w:eastAsia="Times New Roman" w:hAnsi="Times New Roman" w:cs="Times New Roman"/>
          <w:sz w:val="28"/>
          <w:szCs w:val="28"/>
        </w:rPr>
        <w:t xml:space="preserve"> 48 (2) 139-164.</w:t>
      </w:r>
    </w:p>
    <w:p w14:paraId="105C606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Hüsrev Tabak. Manifestations of Islam in Turkey's foreign policy: islamic internationalism and turkish Islam. URL: </w:t>
      </w:r>
      <w:hyperlink r:id="rId17">
        <w:r w:rsidRPr="00BB1782">
          <w:rPr>
            <w:rFonts w:ascii="Times New Roman" w:eastAsia="Times New Roman" w:hAnsi="Times New Roman" w:cs="Times New Roman"/>
            <w:sz w:val="28"/>
            <w:szCs w:val="28"/>
            <w:u w:val="single"/>
          </w:rPr>
          <w:t>http://cejsh.icm.edu.pl/cejsh/element/bwmeta1.element.ojs-doi-10_12775_CJPS_2017_001/c/CJPS.2017.001-17187.pdf</w:t>
        </w:r>
      </w:hyperlink>
      <w:r w:rsidRPr="00BB1782">
        <w:rPr>
          <w:rFonts w:ascii="Times New Roman" w:eastAsia="Times New Roman" w:hAnsi="Times New Roman" w:cs="Times New Roman"/>
          <w:sz w:val="28"/>
          <w:szCs w:val="28"/>
        </w:rPr>
        <w:t xml:space="preserve"> (дата звернення: 03.11.2024).</w:t>
      </w:r>
    </w:p>
    <w:p w14:paraId="42EA20F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Inan K. &amp; Dede O. (2018). Turkish Soft Power and Europe: Bridging the Cultural Divide. European Foreign Affairs Review 23(2) 243-258.</w:t>
      </w:r>
    </w:p>
    <w:p w14:paraId="2B0042C8"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 xml:space="preserve">Insight Turkey (2024). Turkish Foreign Policy at the Turn of the 'Century of Türkiye'. Insight Turkey URL: </w:t>
      </w:r>
      <w:hyperlink r:id="rId18">
        <w:r w:rsidRPr="00BB1782">
          <w:rPr>
            <w:rFonts w:ascii="Times New Roman" w:eastAsia="Times New Roman" w:hAnsi="Times New Roman" w:cs="Times New Roman"/>
            <w:sz w:val="28"/>
            <w:szCs w:val="28"/>
            <w:highlight w:val="white"/>
            <w:u w:val="single"/>
          </w:rPr>
          <w:t>https://www.insightturkey.com</w:t>
        </w:r>
      </w:hyperlink>
      <w:r w:rsidRPr="00BB1782">
        <w:rPr>
          <w:rFonts w:ascii="Times New Roman" w:eastAsia="Times New Roman" w:hAnsi="Times New Roman" w:cs="Times New Roman"/>
          <w:sz w:val="28"/>
          <w:szCs w:val="28"/>
          <w:highlight w:val="white"/>
        </w:rPr>
        <w:t xml:space="preserve"> (дата звернення: 03.11.2024)</w:t>
      </w:r>
    </w:p>
    <w:p w14:paraId="440EC753"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Islam and Foreign Policy: Turkey’s Ambivalent Religious Soft Power in the Authoritarian Turn. URL: </w:t>
      </w:r>
      <w:hyperlink r:id="rId19">
        <w:r w:rsidRPr="00BB1782">
          <w:rPr>
            <w:rFonts w:ascii="Times New Roman" w:eastAsia="Times New Roman" w:hAnsi="Times New Roman" w:cs="Times New Roman"/>
            <w:sz w:val="28"/>
            <w:szCs w:val="28"/>
            <w:u w:val="single"/>
          </w:rPr>
          <w:t>https://www.mdpi.com/2077-1444/12/1/38</w:t>
        </w:r>
      </w:hyperlink>
      <w:r w:rsidRPr="00BB1782">
        <w:rPr>
          <w:rFonts w:ascii="Times New Roman" w:eastAsia="Times New Roman" w:hAnsi="Times New Roman" w:cs="Times New Roman"/>
          <w:sz w:val="28"/>
          <w:szCs w:val="28"/>
        </w:rPr>
        <w:t>(дата звернення: 03.11.2024).</w:t>
      </w:r>
    </w:p>
    <w:p w14:paraId="06019EB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Kafadar C. (1996). Between Two Worlds: The Construction of the Ottoman State. University of California Press.</w:t>
      </w:r>
    </w:p>
    <w:p w14:paraId="07335523" w14:textId="4915A27A"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Kalin I.</w:t>
      </w:r>
      <w:r w:rsidRPr="00BB1782">
        <w:rPr>
          <w:rFonts w:ascii="Times New Roman" w:eastAsia="Times New Roman" w:hAnsi="Times New Roman" w:cs="Times New Roman"/>
          <w:sz w:val="28"/>
          <w:szCs w:val="28"/>
          <w:lang w:val="uk-UA"/>
        </w:rPr>
        <w:t xml:space="preserve"> (2011).</w:t>
      </w:r>
      <w:r w:rsidRPr="00BB1782">
        <w:rPr>
          <w:rFonts w:ascii="Times New Roman" w:eastAsia="Times New Roman" w:hAnsi="Times New Roman" w:cs="Times New Roman"/>
          <w:sz w:val="28"/>
          <w:szCs w:val="28"/>
        </w:rPr>
        <w:t xml:space="preserve"> Soft Power and Public Diplomacy in Turkey. Perceptions,</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Vol. 16</w:t>
      </w:r>
      <w:r w:rsidRPr="00BB1782">
        <w:rPr>
          <w:rFonts w:ascii="Times New Roman" w:eastAsia="Times New Roman" w:hAnsi="Times New Roman" w:cs="Times New Roman"/>
          <w:sz w:val="28"/>
          <w:szCs w:val="28"/>
          <w:lang w:val="uk-UA"/>
        </w:rPr>
        <w:t>,</w:t>
      </w:r>
      <w:r w:rsidRPr="00BB1782">
        <w:rPr>
          <w:rFonts w:ascii="Times New Roman" w:eastAsia="Times New Roman" w:hAnsi="Times New Roman" w:cs="Times New Roman"/>
          <w:sz w:val="28"/>
          <w:szCs w:val="28"/>
        </w:rPr>
        <w:t xml:space="preserve"> 3 (Autumn)</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5</w:t>
      </w:r>
    </w:p>
    <w:p w14:paraId="4EF2EC52" w14:textId="77777777" w:rsidR="009B087A" w:rsidRPr="00BB1782" w:rsidRDefault="009B087A" w:rsidP="009B087A">
      <w:pPr>
        <w:pStyle w:val="ad"/>
        <w:numPr>
          <w:ilvl w:val="0"/>
          <w:numId w:val="1"/>
        </w:numPr>
        <w:spacing w:line="360" w:lineRule="auto"/>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t xml:space="preserve">Каlin І. (2018). What does Turkey want in the Balkans? Daily Sabah. URL: </w:t>
      </w:r>
      <w:hyperlink r:id="rId20">
        <w:r w:rsidRPr="00BB1782">
          <w:rPr>
            <w:rFonts w:ascii="Times New Roman" w:eastAsia="Times New Roman" w:hAnsi="Times New Roman" w:cs="Times New Roman"/>
            <w:sz w:val="28"/>
            <w:szCs w:val="28"/>
            <w:u w:val="single"/>
          </w:rPr>
          <w:t>https://www.dailysabah.com/columns/ibrahim-kalin/2018/06/02/what-does-turkey-want-in-the-balkans</w:t>
        </w:r>
      </w:hyperlink>
      <w:r w:rsidRPr="00BB1782">
        <w:rPr>
          <w:rFonts w:ascii="Times New Roman" w:eastAsia="Times New Roman" w:hAnsi="Times New Roman" w:cs="Times New Roman"/>
          <w:sz w:val="28"/>
          <w:szCs w:val="28"/>
        </w:rPr>
        <w:t xml:space="preserve"> (дата звернення: 03.11.2024).</w:t>
      </w:r>
    </w:p>
    <w:p w14:paraId="5755D417"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Kaya A. (2018). Turkey's Soft Power: The Role of Culture and Education. Insight Turkey 20(2) 13-24.</w:t>
      </w:r>
    </w:p>
    <w:p w14:paraId="12B64EE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Kim Y. Blank S. (2016) The new great game of caspian energy in 2013-14: «Turk stream» Russia and Turkey. </w:t>
      </w:r>
      <w:r w:rsidRPr="00BB1782">
        <w:rPr>
          <w:rFonts w:ascii="Times New Roman" w:eastAsia="Times New Roman" w:hAnsi="Times New Roman" w:cs="Times New Roman"/>
          <w:i/>
          <w:sz w:val="28"/>
          <w:szCs w:val="28"/>
        </w:rPr>
        <w:t>Journal of Balkan and Near Eastern Studies</w:t>
      </w:r>
      <w:r w:rsidRPr="00BB1782">
        <w:rPr>
          <w:rFonts w:ascii="Times New Roman" w:eastAsia="Times New Roman" w:hAnsi="Times New Roman" w:cs="Times New Roman"/>
          <w:sz w:val="28"/>
          <w:szCs w:val="28"/>
        </w:rPr>
        <w:t>. 2016. Vol. 18. № 1. P. 37-55.</w:t>
      </w:r>
    </w:p>
    <w:p w14:paraId="76FE8208"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Kirişci K. (2011). Turkey's 'Demonstrative Effect' and the Transformation of the Middle East. Insight Turkey 13(2) 33-55.</w:t>
      </w:r>
    </w:p>
    <w:p w14:paraId="1CCF65FE"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Kirisci K. (2018). Turkey and the West: Fault Lines in a Troubled Alliance. Brookings Institution Press.</w:t>
      </w:r>
    </w:p>
    <w:p w14:paraId="5B88892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Kirişci K. (2019). Turkey and the Middle East: Frontiers of Regional Competition. Turkish Studies 20(4) 571-589.</w:t>
      </w:r>
    </w:p>
    <w:p w14:paraId="2001983F"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Kirişci K. (2019). Turkey's Role in the Syrian Crisis: Refugees Borders and Geopolitical Challenges. Turkish Studies 20(2) 571-589.</w:t>
      </w:r>
    </w:p>
    <w:p w14:paraId="783A79E2"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Kirisci K. Tocci N. Walker J. A Neighborhood Rediscovered. Turkey’s Transatlantic Value in the Middle East. </w:t>
      </w:r>
      <w:r w:rsidRPr="00BB1782">
        <w:rPr>
          <w:rFonts w:ascii="Times New Roman" w:eastAsia="Times New Roman" w:hAnsi="Times New Roman" w:cs="Times New Roman"/>
          <w:i/>
          <w:sz w:val="28"/>
          <w:szCs w:val="28"/>
        </w:rPr>
        <w:t>Brussels Forum Paper Series</w:t>
      </w:r>
      <w:r w:rsidRPr="00BB1782">
        <w:rPr>
          <w:rFonts w:ascii="Times New Roman" w:eastAsia="Times New Roman" w:hAnsi="Times New Roman" w:cs="Times New Roman"/>
          <w:sz w:val="28"/>
          <w:szCs w:val="28"/>
        </w:rPr>
        <w:t xml:space="preserve"> / The German Marshall Fund of the United States. URL: </w:t>
      </w:r>
      <w:hyperlink r:id="rId21">
        <w:r w:rsidRPr="00BB1782">
          <w:rPr>
            <w:rFonts w:ascii="Times New Roman" w:eastAsia="Times New Roman" w:hAnsi="Times New Roman" w:cs="Times New Roman"/>
            <w:sz w:val="28"/>
            <w:szCs w:val="28"/>
            <w:u w:val="single"/>
          </w:rPr>
          <w:t>http://www.gmfus.org/brusselsforum/2010/docs/BF2010-Paper-Kirisci-Tocci-Walker.pdf</w:t>
        </w:r>
      </w:hyperlink>
      <w:r w:rsidRPr="00BB1782">
        <w:rPr>
          <w:rFonts w:ascii="Times New Roman" w:eastAsia="Times New Roman" w:hAnsi="Times New Roman" w:cs="Times New Roman"/>
          <w:sz w:val="28"/>
          <w:szCs w:val="28"/>
        </w:rPr>
        <w:t>. (дата звернення: 03.11.2024).</w:t>
      </w:r>
    </w:p>
    <w:p w14:paraId="7662BA8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Kirisci K. Turkey’s Engagement with Its Neighborhood: A «Synthetic» and Multidimensional Look at Turkey’s Foreign Policy Transformation / K. Kirisci. </w:t>
      </w:r>
      <w:r w:rsidRPr="00BB1782">
        <w:rPr>
          <w:rFonts w:ascii="Times New Roman" w:eastAsia="Times New Roman" w:hAnsi="Times New Roman" w:cs="Times New Roman"/>
          <w:i/>
          <w:sz w:val="28"/>
          <w:szCs w:val="28"/>
        </w:rPr>
        <w:t>Turkish Studies</w:t>
      </w:r>
      <w:r w:rsidRPr="00BB1782">
        <w:rPr>
          <w:rFonts w:ascii="Times New Roman" w:eastAsia="Times New Roman" w:hAnsi="Times New Roman" w:cs="Times New Roman"/>
          <w:sz w:val="28"/>
          <w:szCs w:val="28"/>
        </w:rPr>
        <w:t xml:space="preserve"> 13 (3) 319-341.</w:t>
      </w:r>
    </w:p>
    <w:p w14:paraId="4499B3D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Kirişçi К. (2015). Post Second World War Immigration from Balian Countries to Turkey. Cambridge University Press. URL: </w:t>
      </w:r>
      <w:hyperlink r:id="rId22">
        <w:r w:rsidRPr="00BB1782">
          <w:rPr>
            <w:rFonts w:ascii="Times New Roman" w:eastAsia="Times New Roman" w:hAnsi="Times New Roman" w:cs="Times New Roman"/>
            <w:sz w:val="28"/>
            <w:szCs w:val="28"/>
            <w:u w:val="single"/>
          </w:rPr>
          <w:t>https://www.cambridge.org/core/journals/new-perspectives-on-turkey/article/abs/post-second-world-war-immigration-from-balkan-countries-to-turkey</w:t>
        </w:r>
      </w:hyperlink>
      <w:r w:rsidRPr="00BB1782">
        <w:rPr>
          <w:rFonts w:ascii="Times New Roman" w:eastAsia="Times New Roman" w:hAnsi="Times New Roman" w:cs="Times New Roman"/>
          <w:sz w:val="28"/>
          <w:szCs w:val="28"/>
        </w:rPr>
        <w:t xml:space="preserve"> (дата звернення: 03.11.2024).</w:t>
      </w:r>
    </w:p>
    <w:p w14:paraId="5794216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Koehler K. &amp; Wittenberg J. (2019). Religion and Political Influence: Turkish Religious Networks in Central and Eastern Europe. Journal of Contemporary European Studies 27(1) 112-129.</w:t>
      </w:r>
    </w:p>
    <w:p w14:paraId="68D178E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Kubicek P. (2005). Turkish Accession to the European Union: Challenges and Opportunities. World Affairs 168(3) 103-112.</w:t>
      </w:r>
    </w:p>
    <w:p w14:paraId="4717262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Kubicek P. (2011). Political Conditionality and Democratic Norms: The EU's Ambiguous Relationship with Turkey. Journal of Contemporary European Studies 19(3) 363-377.</w:t>
      </w:r>
    </w:p>
    <w:p w14:paraId="5E1EAA63"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Larrabee S. F. &amp; Nader A. (2013). Turkey and Egypt: Diverging Interests in the Middle East. RAND Corporation.</w:t>
      </w:r>
    </w:p>
    <w:p w14:paraId="597B6F1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Larrabee S. F. &amp; Nader A. (2013). Turkey's Evolving Role in the Syrian Crisis. RAND Corporation.</w:t>
      </w:r>
    </w:p>
    <w:p w14:paraId="6F62422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Mango A. (1999). Atatürk: The Biography of the Founder of Modern Turkey. Overlook Press.</w:t>
      </w:r>
    </w:p>
    <w:p w14:paraId="2791198E"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Migration and Remittances: Recent Developments and Outlook. </w:t>
      </w:r>
      <w:r w:rsidRPr="00BB1782">
        <w:rPr>
          <w:rFonts w:ascii="Times New Roman" w:eastAsia="Times New Roman" w:hAnsi="Times New Roman" w:cs="Times New Roman"/>
          <w:i/>
          <w:sz w:val="28"/>
          <w:szCs w:val="28"/>
        </w:rPr>
        <w:t>World Bank</w:t>
      </w:r>
      <w:r w:rsidRPr="00BB1782">
        <w:rPr>
          <w:rFonts w:ascii="Times New Roman" w:eastAsia="Times New Roman" w:hAnsi="Times New Roman" w:cs="Times New Roman"/>
          <w:sz w:val="28"/>
          <w:szCs w:val="28"/>
        </w:rPr>
        <w:t>. 2014. URL: http://siteresources.worldbank.org/INTPROSPECTS/Resources/334934-1288990760745/MigrationandDevelopmentBrief22.pdf. (дата звернення: 03.11.2024).</w:t>
      </w:r>
    </w:p>
    <w:p w14:paraId="048E1D67"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Müftüler-Baç M. (1998). The Never-Ending Story: Turkey and the European Union. Middle Eastern Studies 34(2) 240-258.</w:t>
      </w:r>
    </w:p>
    <w:p w14:paraId="5B0AB077"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Müftüler-Baç M. (2016). Turkey's Political Reforms and the Impact of the European Union. South European Society and Politics 21(1) 1-14.</w:t>
      </w:r>
    </w:p>
    <w:p w14:paraId="442099F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lang w:val="uk-UA"/>
        </w:rPr>
      </w:pPr>
      <w:r w:rsidRPr="00BB1782">
        <w:rPr>
          <w:rFonts w:ascii="Times New Roman" w:eastAsia="Times New Roman" w:hAnsi="Times New Roman" w:cs="Times New Roman"/>
          <w:sz w:val="28"/>
          <w:szCs w:val="28"/>
        </w:rPr>
        <w:t xml:space="preserve">Nye J. </w:t>
      </w:r>
      <w:r w:rsidRPr="00BB1782">
        <w:rPr>
          <w:rFonts w:ascii="Times New Roman" w:eastAsia="Times New Roman" w:hAnsi="Times New Roman" w:cs="Times New Roman"/>
          <w:sz w:val="28"/>
          <w:szCs w:val="28"/>
          <w:lang w:val="uk-UA"/>
        </w:rPr>
        <w:t xml:space="preserve">(1990). </w:t>
      </w:r>
      <w:r w:rsidRPr="00BB1782">
        <w:rPr>
          <w:rFonts w:ascii="Times New Roman" w:eastAsia="Times New Roman" w:hAnsi="Times New Roman" w:cs="Times New Roman"/>
          <w:sz w:val="28"/>
          <w:szCs w:val="28"/>
        </w:rPr>
        <w:t>Bound to Lead: The Changing Nature of American Power.</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New York</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 Basic Books</w:t>
      </w:r>
      <w:r w:rsidRPr="00BB1782">
        <w:rPr>
          <w:rFonts w:ascii="Times New Roman" w:eastAsia="Times New Roman" w:hAnsi="Times New Roman" w:cs="Times New Roman"/>
          <w:sz w:val="28"/>
          <w:szCs w:val="28"/>
          <w:lang w:val="uk-UA"/>
        </w:rPr>
        <w:t>.</w:t>
      </w:r>
    </w:p>
    <w:p w14:paraId="31BFD002"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 xml:space="preserve">Nye J. </w:t>
      </w:r>
      <w:r w:rsidRPr="00BB1782">
        <w:rPr>
          <w:rFonts w:ascii="Times New Roman" w:eastAsia="Times New Roman" w:hAnsi="Times New Roman" w:cs="Times New Roman"/>
          <w:sz w:val="28"/>
          <w:szCs w:val="28"/>
          <w:lang w:val="uk-UA"/>
        </w:rPr>
        <w:t>(2004).</w:t>
      </w:r>
      <w:r w:rsidRPr="00BB1782">
        <w:rPr>
          <w:rFonts w:ascii="Times New Roman" w:eastAsia="Times New Roman" w:hAnsi="Times New Roman" w:cs="Times New Roman"/>
          <w:sz w:val="28"/>
          <w:szCs w:val="28"/>
        </w:rPr>
        <w:t xml:space="preserve"> Soft Power. The Means to success in world politics. N.Y. :</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Public Affairs.</w:t>
      </w:r>
    </w:p>
    <w:p w14:paraId="269B9B72"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Nye J. (2004). Soft Power: The Means to Success in World Politics. New York: PublicAffairs 191 с.</w:t>
      </w:r>
    </w:p>
    <w:p w14:paraId="3AA7192A"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Nye J., Armitage R. S. </w:t>
      </w:r>
      <w:r w:rsidRPr="00BB1782">
        <w:rPr>
          <w:rFonts w:ascii="Times New Roman" w:eastAsia="Times New Roman" w:hAnsi="Times New Roman" w:cs="Times New Roman"/>
          <w:sz w:val="28"/>
          <w:szCs w:val="28"/>
          <w:lang w:val="uk-UA"/>
        </w:rPr>
        <w:t xml:space="preserve"> (2007). </w:t>
      </w:r>
      <w:r w:rsidRPr="00BB1782">
        <w:rPr>
          <w:rFonts w:ascii="Times New Roman" w:eastAsia="Times New Roman" w:hAnsi="Times New Roman" w:cs="Times New Roman"/>
          <w:sz w:val="28"/>
          <w:szCs w:val="28"/>
        </w:rPr>
        <w:t>A Smarter, More Secure America: Report of</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the Commission on Smart Power, Center</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for Strategic and International Studies.</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Armitage</w:t>
      </w:r>
      <w:r w:rsidRPr="00BB1782">
        <w:rPr>
          <w:rFonts w:ascii="Times New Roman" w:eastAsia="Times New Roman" w:hAnsi="Times New Roman" w:cs="Times New Roman"/>
          <w:sz w:val="28"/>
          <w:szCs w:val="28"/>
          <w:lang w:val="uk-UA"/>
        </w:rPr>
        <w:t>.</w:t>
      </w:r>
      <w:r w:rsidRPr="00BB1782">
        <w:rPr>
          <w:rFonts w:ascii="Times New Roman" w:eastAsia="Times New Roman" w:hAnsi="Times New Roman" w:cs="Times New Roman"/>
          <w:sz w:val="28"/>
          <w:szCs w:val="28"/>
        </w:rPr>
        <w:t xml:space="preserve"> November.</w:t>
      </w:r>
    </w:p>
    <w:p w14:paraId="377D354D"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 xml:space="preserve">Nye Joseph S. (2021). Soft Power: The Evolution of a Concept. Journal of Political Power Volume 14 Issue 1 February 196-208. </w:t>
      </w:r>
    </w:p>
    <w:p w14:paraId="5972AB08"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Nye, J.</w:t>
      </w:r>
      <w:r w:rsidRPr="00BB1782">
        <w:rPr>
          <w:rFonts w:ascii="Times New Roman" w:eastAsia="Times New Roman" w:hAnsi="Times New Roman" w:cs="Times New Roman"/>
          <w:sz w:val="28"/>
          <w:szCs w:val="28"/>
          <w:lang w:val="uk-UA"/>
        </w:rPr>
        <w:t xml:space="preserve"> (2012).</w:t>
      </w:r>
      <w:r w:rsidRPr="00BB1782">
        <w:rPr>
          <w:rFonts w:ascii="Times New Roman" w:eastAsia="Times New Roman" w:hAnsi="Times New Roman" w:cs="Times New Roman"/>
          <w:sz w:val="28"/>
          <w:szCs w:val="28"/>
        </w:rPr>
        <w:t xml:space="preserve"> Get Smart: Combining Hard and Soft Power. Foreign Affairs.</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2012. Vol. 88</w:t>
      </w:r>
      <w:r w:rsidRPr="00BB1782">
        <w:rPr>
          <w:rFonts w:ascii="Times New Roman" w:eastAsia="Times New Roman" w:hAnsi="Times New Roman" w:cs="Times New Roman"/>
          <w:sz w:val="28"/>
          <w:szCs w:val="28"/>
          <w:lang w:val="uk-UA"/>
        </w:rPr>
        <w:t>,</w:t>
      </w:r>
      <w:r w:rsidRPr="00BB1782">
        <w:rPr>
          <w:rFonts w:ascii="Times New Roman" w:eastAsia="Times New Roman" w:hAnsi="Times New Roman" w:cs="Times New Roman"/>
          <w:sz w:val="28"/>
          <w:szCs w:val="28"/>
        </w:rPr>
        <w:t xml:space="preserve"> 4</w:t>
      </w:r>
      <w:r w:rsidRPr="00BB1782">
        <w:rPr>
          <w:rFonts w:ascii="Times New Roman" w:eastAsia="Times New Roman" w:hAnsi="Times New Roman" w:cs="Times New Roman"/>
          <w:sz w:val="28"/>
          <w:szCs w:val="28"/>
          <w:lang w:val="uk-UA"/>
        </w:rPr>
        <w:t>,</w:t>
      </w:r>
      <w:r w:rsidRPr="00BB1782">
        <w:rPr>
          <w:rFonts w:ascii="Times New Roman" w:eastAsia="Times New Roman" w:hAnsi="Times New Roman" w:cs="Times New Roman"/>
          <w:sz w:val="28"/>
          <w:szCs w:val="28"/>
        </w:rPr>
        <w:t xml:space="preserve"> 160-163.</w:t>
      </w:r>
    </w:p>
    <w:p w14:paraId="1F18268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Nyе J. S.</w:t>
      </w:r>
      <w:r w:rsidRPr="00BB1782">
        <w:rPr>
          <w:rFonts w:ascii="Times New Roman" w:eastAsia="Times New Roman" w:hAnsi="Times New Roman" w:cs="Times New Roman"/>
          <w:sz w:val="28"/>
          <w:szCs w:val="28"/>
          <w:lang w:val="uk-UA"/>
        </w:rPr>
        <w:t xml:space="preserve"> (2003).</w:t>
      </w:r>
      <w:r w:rsidRPr="00BB1782">
        <w:rPr>
          <w:rFonts w:ascii="Times New Roman" w:eastAsia="Times New Roman" w:hAnsi="Times New Roman" w:cs="Times New Roman"/>
          <w:sz w:val="28"/>
          <w:szCs w:val="28"/>
        </w:rPr>
        <w:t xml:space="preserve"> The Paradox of American Power: Why the World’s Only</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Superpower Can’t Go It Alone. New York :</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Oxford University Press</w:t>
      </w:r>
    </w:p>
    <w:p w14:paraId="7C89D91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Oguzlu T. (2012). The «Arab Spring» and the Rise of the 2.0 Version of Turkey’s «zero problems with neighbors» Policy. </w:t>
      </w:r>
      <w:r w:rsidRPr="00BB1782">
        <w:rPr>
          <w:rFonts w:ascii="Times New Roman" w:eastAsia="Times New Roman" w:hAnsi="Times New Roman" w:cs="Times New Roman"/>
          <w:i/>
          <w:sz w:val="28"/>
          <w:szCs w:val="28"/>
        </w:rPr>
        <w:t>SAM Papers</w:t>
      </w:r>
      <w:r w:rsidRPr="00BB1782">
        <w:rPr>
          <w:rFonts w:ascii="Times New Roman" w:eastAsia="Times New Roman" w:hAnsi="Times New Roman" w:cs="Times New Roman"/>
          <w:sz w:val="28"/>
          <w:szCs w:val="28"/>
        </w:rPr>
        <w:t xml:space="preserve"> / Center for Strategic Research Republic of Turkey Ministry of Foreign Affairs. February 1 1-22.</w:t>
      </w:r>
    </w:p>
    <w:p w14:paraId="4F5AF47E"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Öniş Z. &amp; Yılmaz Ş. (2009). Between Europeanization and Euro-Asianism: Foreign Policy Activism in Turkey during the AKP Era. Turkish Studies 10(1) 7-24.</w:t>
      </w:r>
    </w:p>
    <w:p w14:paraId="6F626036"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Öniş Z. (2004). Turkey and the European Union: Domestic Politics Economic Integration and International Dynamics. Turkish Studies 4(2) 25-44.</w:t>
      </w:r>
    </w:p>
    <w:p w14:paraId="2C11DAAD"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Öniş Z. (2015). Monopolizing the Center: The AKP and the Uncertain Path of Turkish Democracy. New Perspectives on Turkey 53 5-28.</w:t>
      </w:r>
    </w:p>
    <w:p w14:paraId="43FED76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Özçelik Ali Onur. Changing Dynamics of Regional Policy in Turkey: Resistance for Multi-level Governance? URL: </w:t>
      </w:r>
      <w:hyperlink r:id="rId23">
        <w:r w:rsidRPr="00BB1782">
          <w:rPr>
            <w:rFonts w:ascii="Times New Roman" w:eastAsia="Times New Roman" w:hAnsi="Times New Roman" w:cs="Times New Roman"/>
            <w:sz w:val="28"/>
            <w:szCs w:val="28"/>
            <w:u w:val="single"/>
          </w:rPr>
          <w:t>https://dergipark.org.tr/tr/download/article-file/19345</w:t>
        </w:r>
      </w:hyperlink>
      <w:r w:rsidRPr="00BB1782">
        <w:rPr>
          <w:rFonts w:ascii="Times New Roman" w:eastAsia="Times New Roman" w:hAnsi="Times New Roman" w:cs="Times New Roman"/>
          <w:sz w:val="28"/>
          <w:szCs w:val="28"/>
        </w:rPr>
        <w:t xml:space="preserve"> (дата звернення: 03.11.2024).</w:t>
      </w:r>
    </w:p>
    <w:p w14:paraId="229B0308"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lastRenderedPageBreak/>
        <w:t xml:space="preserve">Petrović Z. Reljić D. Turkish Interests and Involvement in the Western Balkans: A Score-Card. Insight Turkey. 2011. URL: </w:t>
      </w:r>
      <w:hyperlink r:id="rId24">
        <w:r w:rsidRPr="00BB1782">
          <w:rPr>
            <w:rFonts w:ascii="Times New Roman" w:eastAsia="Times New Roman" w:hAnsi="Times New Roman" w:cs="Times New Roman"/>
            <w:sz w:val="28"/>
            <w:szCs w:val="28"/>
            <w:u w:val="single"/>
          </w:rPr>
          <w:t>https://www.insightturkey.com/articles/turkish-interests-and-involvement-in-the-western-balkans-a-score-card</w:t>
        </w:r>
      </w:hyperlink>
      <w:r w:rsidRPr="00BB1782">
        <w:rPr>
          <w:rFonts w:ascii="Times New Roman" w:eastAsia="Times New Roman" w:hAnsi="Times New Roman" w:cs="Times New Roman"/>
          <w:sz w:val="28"/>
          <w:szCs w:val="28"/>
        </w:rPr>
        <w:t xml:space="preserve"> (дата звернення: 03.11.2024</w:t>
      </w:r>
    </w:p>
    <w:p w14:paraId="2FD0179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Power: The Means to Success in World Politics</w:t>
      </w:r>
      <w:r w:rsidRPr="00BB1782">
        <w:rPr>
          <w:rFonts w:ascii="Times New Roman" w:eastAsia="Times New Roman" w:hAnsi="Times New Roman" w:cs="Times New Roman"/>
          <w:sz w:val="28"/>
          <w:szCs w:val="28"/>
          <w:lang w:val="uk-UA"/>
        </w:rPr>
        <w:t xml:space="preserve"> (2004)</w:t>
      </w:r>
      <w:r w:rsidRPr="00BB1782">
        <w:rPr>
          <w:rFonts w:ascii="Times New Roman" w:eastAsia="Times New Roman" w:hAnsi="Times New Roman" w:cs="Times New Roman"/>
          <w:sz w:val="28"/>
          <w:szCs w:val="28"/>
        </w:rPr>
        <w:t>. New York: Public</w:t>
      </w:r>
      <w:r w:rsidRPr="00BB1782">
        <w:rPr>
          <w:rFonts w:ascii="Times New Roman" w:eastAsia="Times New Roman" w:hAnsi="Times New Roman" w:cs="Times New Roman"/>
          <w:sz w:val="28"/>
          <w:szCs w:val="28"/>
          <w:lang w:val="uk-UA"/>
        </w:rPr>
        <w:t xml:space="preserve"> </w:t>
      </w:r>
      <w:r w:rsidRPr="00BB1782">
        <w:rPr>
          <w:rFonts w:ascii="Times New Roman" w:eastAsia="Times New Roman" w:hAnsi="Times New Roman" w:cs="Times New Roman"/>
          <w:sz w:val="28"/>
          <w:szCs w:val="28"/>
        </w:rPr>
        <w:t>Affairs Group</w:t>
      </w:r>
    </w:p>
    <w:p w14:paraId="5D267D02"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Pupcenoks J. (2012). Democratic islamization in Pakistan and Turkey: Lessons for the post-Arab spring Muslim world. </w:t>
      </w:r>
      <w:r w:rsidRPr="00BB1782">
        <w:rPr>
          <w:rFonts w:ascii="Times New Roman" w:eastAsia="Times New Roman" w:hAnsi="Times New Roman" w:cs="Times New Roman"/>
          <w:i/>
          <w:sz w:val="28"/>
          <w:szCs w:val="28"/>
        </w:rPr>
        <w:t>The Middle East journal</w:t>
      </w:r>
      <w:r w:rsidRPr="00BB1782">
        <w:rPr>
          <w:rFonts w:ascii="Times New Roman" w:eastAsia="Times New Roman" w:hAnsi="Times New Roman" w:cs="Times New Roman"/>
          <w:sz w:val="28"/>
          <w:szCs w:val="28"/>
        </w:rPr>
        <w:t>. Wash..</w:t>
      </w:r>
    </w:p>
    <w:p w14:paraId="28969E8E"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Robins P. (2013). Turkey and Iran: Exploring Regional Rivalries and Mutual Interests. Middle East Policy 20(3) 68-78.</w:t>
      </w:r>
    </w:p>
    <w:p w14:paraId="354D657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Robins P. (2013). Turkey and the Middle East: Frontiers of the New Geographic Imagination. Turkish Studies 14(1) 187-197.</w:t>
      </w:r>
    </w:p>
    <w:p w14:paraId="753B0CDA"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Robins P. (2013). Turkey’s Role in the Arab Spring and Regional Dynamics. Middle East Policy 20(2) 23-35.</w:t>
      </w:r>
    </w:p>
    <w:p w14:paraId="7568F9F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Robins P. (2013). Turkey’s Role in the Muslim World: Leadership Influence and Economic Diplomacy. Middle East Policy 20(2) 1-18.</w:t>
      </w:r>
    </w:p>
    <w:p w14:paraId="574B1CE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Robins P. (2020). Turkey and the Eastern Mediterranean: A New Geopolitical Chessboard. Middle East Journal 24(1) 23-36.</w:t>
      </w:r>
    </w:p>
    <w:p w14:paraId="779F9F9A"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Robins P. (2020). Turkey and the Syrian Quagmire: Regional Rivalries and Domestic Constraints. Middle East Journal 24(1) 23-36.</w:t>
      </w:r>
    </w:p>
    <w:p w14:paraId="41BADC2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Ronen Y. Yanarocak H. E. C. (2013). Casting off the Shackles of Libya’s Arab-Middle Eastern Foreign Policy: A Unique Case of Rapprochement with non-Arab Turkey (1970s-2011). </w:t>
      </w:r>
      <w:r w:rsidRPr="00BB1782">
        <w:rPr>
          <w:rFonts w:ascii="Times New Roman" w:eastAsia="Times New Roman" w:hAnsi="Times New Roman" w:cs="Times New Roman"/>
          <w:i/>
          <w:sz w:val="28"/>
          <w:szCs w:val="28"/>
        </w:rPr>
        <w:t>The Journal of North African Studies</w:t>
      </w:r>
      <w:r w:rsidRPr="00BB1782">
        <w:rPr>
          <w:rFonts w:ascii="Times New Roman" w:eastAsia="Times New Roman" w:hAnsi="Times New Roman" w:cs="Times New Roman"/>
          <w:sz w:val="28"/>
          <w:szCs w:val="28"/>
        </w:rPr>
        <w:t>. 18 (3) 494-508.</w:t>
      </w:r>
    </w:p>
    <w:p w14:paraId="389D35F6"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Taspinar O. (2011). Turkey's Middle East Policies: Between Neo-Ottomanism and Kemalism. International Journal 66(1) 127-140.</w:t>
      </w:r>
    </w:p>
    <w:p w14:paraId="022BFE2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Taylor А. (2022). Turkey steps up soft power efforts neglecting domestic issues. 2022. URL: </w:t>
      </w:r>
      <w:hyperlink r:id="rId25">
        <w:r w:rsidRPr="00BB1782">
          <w:rPr>
            <w:rFonts w:ascii="Times New Roman" w:eastAsia="Times New Roman" w:hAnsi="Times New Roman" w:cs="Times New Roman"/>
            <w:sz w:val="28"/>
            <w:szCs w:val="28"/>
            <w:u w:val="single"/>
          </w:rPr>
          <w:t>https://www.euractiv.com/section/global-</w:t>
        </w:r>
        <w:r w:rsidRPr="00BB1782">
          <w:rPr>
            <w:rFonts w:ascii="Times New Roman" w:eastAsia="Times New Roman" w:hAnsi="Times New Roman" w:cs="Times New Roman"/>
            <w:sz w:val="28"/>
            <w:szCs w:val="28"/>
            <w:u w:val="single"/>
          </w:rPr>
          <w:lastRenderedPageBreak/>
          <w:t>europe/news/turkey-steps-up-soft-power-efforts-neglecting-domestic-issues</w:t>
        </w:r>
      </w:hyperlink>
      <w:r w:rsidRPr="00BB1782">
        <w:rPr>
          <w:rFonts w:ascii="Times New Roman" w:eastAsia="Times New Roman" w:hAnsi="Times New Roman" w:cs="Times New Roman"/>
          <w:sz w:val="28"/>
          <w:szCs w:val="28"/>
        </w:rPr>
        <w:t xml:space="preserve"> (дата звернення: 03.11.2024).</w:t>
      </w:r>
    </w:p>
    <w:p w14:paraId="6CC0F0B5"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The Impact of Changing Islamic Identity on Turkey's New Foreign Policy. Martina Warning and Tuncay Kardas. URL: </w:t>
      </w:r>
      <w:hyperlink r:id="rId26">
        <w:r w:rsidRPr="00BB1782">
          <w:rPr>
            <w:rFonts w:ascii="Times New Roman" w:eastAsia="Times New Roman" w:hAnsi="Times New Roman" w:cs="Times New Roman"/>
            <w:sz w:val="28"/>
            <w:szCs w:val="28"/>
            <w:u w:val="single"/>
          </w:rPr>
          <w:t>https://dergipark.org.tr/tr/download/article-file/19272</w:t>
        </w:r>
      </w:hyperlink>
      <w:r w:rsidRPr="00BB1782">
        <w:rPr>
          <w:rFonts w:ascii="Times New Roman" w:eastAsia="Times New Roman" w:hAnsi="Times New Roman" w:cs="Times New Roman"/>
          <w:sz w:val="28"/>
          <w:szCs w:val="28"/>
        </w:rPr>
        <w:t xml:space="preserve"> (дата звернення: 03.11.2024).</w:t>
      </w:r>
    </w:p>
    <w:p w14:paraId="40DF3CDA"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The New Turn in Turkey’s Foreign Policy in the Middle East: Regional and Domestic Insecurities by Meliha Benli Altunışık. URL: </w:t>
      </w:r>
      <w:hyperlink r:id="rId27">
        <w:r w:rsidRPr="00BB1782">
          <w:rPr>
            <w:rFonts w:ascii="Times New Roman" w:eastAsia="Times New Roman" w:hAnsi="Times New Roman" w:cs="Times New Roman"/>
            <w:sz w:val="28"/>
            <w:szCs w:val="28"/>
            <w:u w:val="single"/>
          </w:rPr>
          <w:t>https://www.iai.it/sites/default/files/iaip2017.pdf</w:t>
        </w:r>
      </w:hyperlink>
      <w:r w:rsidRPr="00BB1782">
        <w:rPr>
          <w:rFonts w:ascii="Times New Roman" w:eastAsia="Times New Roman" w:hAnsi="Times New Roman" w:cs="Times New Roman"/>
          <w:sz w:val="28"/>
          <w:szCs w:val="28"/>
        </w:rPr>
        <w:t>(дата звернення: 03.11.2024).</w:t>
      </w:r>
    </w:p>
    <w:p w14:paraId="4F2E53BB"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Tiftikçigil B. (2015). Turkey’s Economic Diplomacy in the Middle East and North Africa. Insight Turkey 17(3) 45-57.</w:t>
      </w:r>
    </w:p>
    <w:p w14:paraId="3F4F1349"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Toprak B. (1981). Islam and Political Development in Turkey. Brill.</w:t>
      </w:r>
    </w:p>
    <w:p w14:paraId="57A3B60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Türk diş politikasinda islam dünyasina yönelişin ideoloji ve güç dengesi bağlaminda analizi. URL: </w:t>
      </w:r>
      <w:hyperlink r:id="rId28">
        <w:r w:rsidRPr="00BB1782">
          <w:rPr>
            <w:rFonts w:ascii="Times New Roman" w:eastAsia="Times New Roman" w:hAnsi="Times New Roman" w:cs="Times New Roman"/>
            <w:sz w:val="28"/>
            <w:szCs w:val="28"/>
            <w:u w:val="single"/>
          </w:rPr>
          <w:t>https://dergipark.org.tr/tr/download/article-file/929597</w:t>
        </w:r>
      </w:hyperlink>
      <w:r w:rsidRPr="00BB1782">
        <w:rPr>
          <w:rFonts w:ascii="Times New Roman" w:eastAsia="Times New Roman" w:hAnsi="Times New Roman" w:cs="Times New Roman"/>
          <w:sz w:val="28"/>
          <w:szCs w:val="28"/>
        </w:rPr>
        <w:t xml:space="preserve"> (дата звернення: 03.11.2024).</w:t>
      </w:r>
    </w:p>
    <w:p w14:paraId="3E8A2013"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Türk Dış Politikasında İslamcı-Kemalist Hesaplaşma: Erbakan Dönemi Libya Örneği/ Dilek Küçükboz. URL: </w:t>
      </w:r>
      <w:hyperlink r:id="rId29">
        <w:r w:rsidRPr="00BB1782">
          <w:rPr>
            <w:rFonts w:ascii="Times New Roman" w:eastAsia="Times New Roman" w:hAnsi="Times New Roman" w:cs="Times New Roman"/>
            <w:sz w:val="28"/>
            <w:szCs w:val="28"/>
            <w:u w:val="single"/>
          </w:rPr>
          <w:t>https://ormer.sakarya.edu.tr/uploads/files/turk_dis_politikasinda_islamci_kemalist_hesaplasma_erbakan_donemi_libya_ornegi_dilek_kucukboz.pdf</w:t>
        </w:r>
      </w:hyperlink>
      <w:r w:rsidRPr="00BB1782">
        <w:rPr>
          <w:rFonts w:ascii="Times New Roman" w:eastAsia="Times New Roman" w:hAnsi="Times New Roman" w:cs="Times New Roman"/>
          <w:sz w:val="28"/>
          <w:szCs w:val="28"/>
        </w:rPr>
        <w:t>(дата звернення: 03.11.2024).</w:t>
      </w:r>
    </w:p>
    <w:p w14:paraId="53FD5F54"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Turkey’s Pan-Islamist Foreign Policy. URL: </w:t>
      </w:r>
      <w:hyperlink r:id="rId30">
        <w:r w:rsidRPr="00BB1782">
          <w:rPr>
            <w:rFonts w:ascii="Times New Roman" w:eastAsia="Times New Roman" w:hAnsi="Times New Roman" w:cs="Times New Roman"/>
            <w:sz w:val="28"/>
            <w:szCs w:val="28"/>
            <w:u w:val="single"/>
          </w:rPr>
          <w:t>https://www.thecairoreview.com/essays/turkeys-pan-islamist-foreign-policy</w:t>
        </w:r>
      </w:hyperlink>
      <w:r w:rsidRPr="00BB1782">
        <w:rPr>
          <w:rFonts w:ascii="Times New Roman" w:eastAsia="Times New Roman" w:hAnsi="Times New Roman" w:cs="Times New Roman"/>
          <w:sz w:val="28"/>
          <w:szCs w:val="28"/>
        </w:rPr>
        <w:t xml:space="preserve"> (дата звернення: 03.11.2024). </w:t>
      </w:r>
    </w:p>
    <w:p w14:paraId="3A3EFEF8"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Turkish Foreign Policy in the Middle East During the Rule of the Justice and Development Party: Interaction of Interests and Future </w:t>
      </w:r>
      <w:r w:rsidRPr="00BB1782">
        <w:rPr>
          <w:rFonts w:ascii="Times New Roman" w:eastAsia="Times New Roman" w:hAnsi="Times New Roman" w:cs="Times New Roman"/>
          <w:sz w:val="28"/>
          <w:szCs w:val="28"/>
        </w:rPr>
        <w:lastRenderedPageBreak/>
        <w:t xml:space="preserve">Challenges. URL: </w:t>
      </w:r>
      <w:hyperlink r:id="rId31">
        <w:r w:rsidRPr="00BB1782">
          <w:rPr>
            <w:rFonts w:ascii="Times New Roman" w:eastAsia="Times New Roman" w:hAnsi="Times New Roman" w:cs="Times New Roman"/>
            <w:sz w:val="28"/>
            <w:szCs w:val="28"/>
            <w:u w:val="single"/>
          </w:rPr>
          <w:t>https://dergipark.org.tr/tr/download/article-file/2595870</w:t>
        </w:r>
      </w:hyperlink>
      <w:r w:rsidRPr="00BB1782">
        <w:rPr>
          <w:rFonts w:ascii="Times New Roman" w:eastAsia="Times New Roman" w:hAnsi="Times New Roman" w:cs="Times New Roman"/>
          <w:sz w:val="28"/>
          <w:szCs w:val="28"/>
        </w:rPr>
        <w:t xml:space="preserve"> (дата звернення: 03.11.2024).</w:t>
      </w:r>
    </w:p>
    <w:p w14:paraId="1DC847B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Türkiye İstatistik Kurumu (TÜİK) – Турецький статистичний інститут. URL: https://www.tuik.gov.tr. (дата звернення: 03.11.2024).</w:t>
      </w:r>
    </w:p>
    <w:p w14:paraId="2772EB6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Türkiye's Relations with the Arab Countries. URL: </w:t>
      </w:r>
      <w:hyperlink r:id="rId32" w:anchor=":~:text=In%20this%20context%2C%20T%C3%BCrkiye%20stands,challenges%20that%20these%20countries%20encounter">
        <w:r w:rsidRPr="00BB1782">
          <w:rPr>
            <w:rFonts w:ascii="Times New Roman" w:eastAsia="Times New Roman" w:hAnsi="Times New Roman" w:cs="Times New Roman"/>
            <w:sz w:val="28"/>
            <w:szCs w:val="28"/>
            <w:u w:val="single"/>
          </w:rPr>
          <w:t>https://www.mfa.gov.tr/turkiye_s-relations-with-the-arab-countries.en.mfa:~:text=In%20this%20context%2C%20Türkiye%20standschallenges%20that%20these%20countries%20encounter</w:t>
        </w:r>
      </w:hyperlink>
      <w:r w:rsidRPr="00BB1782">
        <w:rPr>
          <w:rFonts w:ascii="Times New Roman" w:eastAsia="Times New Roman" w:hAnsi="Times New Roman" w:cs="Times New Roman"/>
          <w:sz w:val="28"/>
          <w:szCs w:val="28"/>
        </w:rPr>
        <w:t xml:space="preserve"> (дата звернення: 03.11.2024).</w:t>
      </w:r>
    </w:p>
    <w:p w14:paraId="7EBCA3CE"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Ulrichsen K. C. (2020). The Geopolitics of the Gulf and Turkey’s Role in Regional Security. International Affairs 96(1) 115-130.</w:t>
      </w:r>
    </w:p>
    <w:p w14:paraId="25E4FF3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UNHCR (2020). Turkey Refugee Response: Syrian Refugees Overview. UNHCR Report.</w:t>
      </w:r>
    </w:p>
    <w:p w14:paraId="5D1E96E6"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WITS Data (2020) – World Integrated Trade Solution. URL: https://wits.worldbank.org. (дата звернення: 03.11.2024).</w:t>
      </w:r>
    </w:p>
    <w:p w14:paraId="798FD3D0"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WITS Data (2020). Turkey Trade Summary 2020. World Integrated Trade Solution.</w:t>
      </w:r>
    </w:p>
    <w:p w14:paraId="1DBDBFBC"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Yavuz H. (2020). Islamic Political Identity in Turkey. Oxford: Oxford University Press 320 с.</w:t>
      </w:r>
    </w:p>
    <w:p w14:paraId="13715BCD"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Yavuz M. H. (2009). Secularism and Muslim Democracy in Turkey. Cambridge University Press.</w:t>
      </w:r>
    </w:p>
    <w:p w14:paraId="7EDB8C67"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rPr>
      </w:pPr>
      <w:r w:rsidRPr="00BB1782">
        <w:rPr>
          <w:rFonts w:ascii="Times New Roman" w:eastAsia="Times New Roman" w:hAnsi="Times New Roman" w:cs="Times New Roman"/>
          <w:sz w:val="28"/>
          <w:szCs w:val="28"/>
        </w:rPr>
        <w:t xml:space="preserve">Yenigün С. (2009). Turkey as a Balkan Country. Turkey’s Role on Solving of Balkan Issues. 2009. URL: </w:t>
      </w:r>
      <w:hyperlink r:id="rId33">
        <w:r w:rsidRPr="00BB1782">
          <w:rPr>
            <w:rFonts w:ascii="Times New Roman" w:eastAsia="Times New Roman" w:hAnsi="Times New Roman" w:cs="Times New Roman"/>
            <w:sz w:val="28"/>
            <w:szCs w:val="28"/>
            <w:u w:val="single"/>
          </w:rPr>
          <w:t>https://www.researchgate.net/publication/281374247_Turkey's_Role_on_Solving_of_Balkan_Issues</w:t>
        </w:r>
      </w:hyperlink>
      <w:r w:rsidRPr="00BB1782">
        <w:rPr>
          <w:rFonts w:ascii="Times New Roman" w:eastAsia="Times New Roman" w:hAnsi="Times New Roman" w:cs="Times New Roman"/>
          <w:sz w:val="28"/>
          <w:szCs w:val="28"/>
        </w:rPr>
        <w:t>(дата звернення: 03.11.2024).</w:t>
      </w:r>
    </w:p>
    <w:p w14:paraId="47A64FD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 xml:space="preserve">Yeşiltaş Murat Bilgehan Öztürk Gloria Shkurti Özdemir et al. SETA Security Radar: Türkiye’s Geopolitical Landscape in 2024. SETA. URL: </w:t>
      </w:r>
      <w:hyperlink r:id="rId34">
        <w:r w:rsidRPr="00BB1782">
          <w:rPr>
            <w:rFonts w:ascii="Times New Roman" w:eastAsia="Times New Roman" w:hAnsi="Times New Roman" w:cs="Times New Roman"/>
            <w:sz w:val="28"/>
            <w:szCs w:val="28"/>
            <w:highlight w:val="white"/>
            <w:u w:val="single"/>
          </w:rPr>
          <w:t>https://www.setav.org</w:t>
        </w:r>
      </w:hyperlink>
      <w:r w:rsidRPr="00BB1782">
        <w:rPr>
          <w:rFonts w:ascii="Times New Roman" w:eastAsia="Times New Roman" w:hAnsi="Times New Roman" w:cs="Times New Roman"/>
          <w:sz w:val="28"/>
          <w:szCs w:val="28"/>
          <w:highlight w:val="white"/>
        </w:rPr>
        <w:t xml:space="preserve"> (дата звернення: 03.11.2024).</w:t>
      </w:r>
    </w:p>
    <w:p w14:paraId="5250DD44"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lastRenderedPageBreak/>
        <w:t>Yildirim A. (2017). Turkish Influence in European Muslim Communities: A Study of Diyanet's Activities in Central and Eastern Europe. European Politics and Society 18(2) 234-255.</w:t>
      </w:r>
    </w:p>
    <w:p w14:paraId="03455977"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Yilmaz I. (2012). Islam and European Secularism: A Turkish View. Journal of Muslim Minority Affairs 32(4) 65-81.</w:t>
      </w:r>
    </w:p>
    <w:p w14:paraId="1685E2F4"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 xml:space="preserve">Zeli Alfredo. (2024). The Positivist Research Agenda of Soft Power: A Critical Review. Journal of International Relations Security and Economic Studies Volume 3 Issue 4 April 21-27. </w:t>
      </w:r>
    </w:p>
    <w:p w14:paraId="29607161" w14:textId="77777777" w:rsidR="00E86D0A" w:rsidRPr="00BB1782" w:rsidRDefault="00E86D0A" w:rsidP="00E86D0A">
      <w:pPr>
        <w:pStyle w:val="ad"/>
        <w:numPr>
          <w:ilvl w:val="0"/>
          <w:numId w:val="1"/>
        </w:numPr>
        <w:spacing w:line="360" w:lineRule="auto"/>
        <w:jc w:val="both"/>
        <w:rPr>
          <w:rFonts w:ascii="Times New Roman" w:eastAsia="Times New Roman" w:hAnsi="Times New Roman" w:cs="Times New Roman"/>
          <w:sz w:val="28"/>
          <w:szCs w:val="28"/>
          <w:highlight w:val="white"/>
        </w:rPr>
      </w:pPr>
      <w:r w:rsidRPr="00BB1782">
        <w:rPr>
          <w:rFonts w:ascii="Times New Roman" w:eastAsia="Times New Roman" w:hAnsi="Times New Roman" w:cs="Times New Roman"/>
          <w:sz w:val="28"/>
          <w:szCs w:val="28"/>
          <w:highlight w:val="white"/>
        </w:rPr>
        <w:t>Zürcher E. J. (2004). Turkey: A Modern History. I.B. Tauris.</w:t>
      </w:r>
    </w:p>
    <w:sectPr w:rsidR="00E86D0A" w:rsidRPr="00BB1782" w:rsidSect="00F45923">
      <w:headerReference w:type="even" r:id="rId35"/>
      <w:headerReference w:type="default" r:id="rId36"/>
      <w:pgSz w:w="11909" w:h="16834"/>
      <w:pgMar w:top="1440" w:right="851" w:bottom="1440" w:left="1985"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A0855F" w14:textId="77777777" w:rsidR="00B02BA1" w:rsidRDefault="00B02BA1">
      <w:pPr>
        <w:spacing w:line="240" w:lineRule="auto"/>
      </w:pPr>
      <w:r>
        <w:separator/>
      </w:r>
    </w:p>
  </w:endnote>
  <w:endnote w:type="continuationSeparator" w:id="0">
    <w:p w14:paraId="62504B5C" w14:textId="77777777" w:rsidR="00B02BA1" w:rsidRDefault="00B02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837A39" w14:textId="77777777" w:rsidR="00B02BA1" w:rsidRDefault="00B02BA1">
      <w:pPr>
        <w:spacing w:line="240" w:lineRule="auto"/>
      </w:pPr>
      <w:r>
        <w:separator/>
      </w:r>
    </w:p>
  </w:footnote>
  <w:footnote w:type="continuationSeparator" w:id="0">
    <w:p w14:paraId="3C1DD7CC" w14:textId="77777777" w:rsidR="00B02BA1" w:rsidRDefault="00B02BA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e"/>
      </w:rPr>
      <w:id w:val="1052350363"/>
      <w:docPartObj>
        <w:docPartGallery w:val="Page Numbers (Top of Page)"/>
        <w:docPartUnique/>
      </w:docPartObj>
    </w:sdtPr>
    <w:sdtContent>
      <w:p w14:paraId="30716B62" w14:textId="244FAAEC" w:rsidR="00A206A1" w:rsidRDefault="00A206A1" w:rsidP="00F45923">
        <w:pPr>
          <w:pStyle w:val="a5"/>
          <w:framePr w:wrap="none" w:vAnchor="text" w:hAnchor="margin" w:xAlign="right" w:y="1"/>
          <w:rPr>
            <w:rStyle w:val="ae"/>
          </w:rPr>
        </w:pPr>
        <w:r>
          <w:rPr>
            <w:rStyle w:val="ae"/>
          </w:rPr>
          <w:fldChar w:fldCharType="begin"/>
        </w:r>
        <w:r>
          <w:rPr>
            <w:rStyle w:val="ae"/>
          </w:rPr>
          <w:instrText xml:space="preserve"> PAGE </w:instrText>
        </w:r>
        <w:r>
          <w:rPr>
            <w:rStyle w:val="ae"/>
          </w:rPr>
          <w:fldChar w:fldCharType="end"/>
        </w:r>
      </w:p>
    </w:sdtContent>
  </w:sdt>
  <w:p w14:paraId="08C4751B" w14:textId="77777777" w:rsidR="00A206A1" w:rsidRDefault="00A206A1" w:rsidP="00F45923">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e"/>
      </w:rPr>
      <w:id w:val="-445319678"/>
      <w:docPartObj>
        <w:docPartGallery w:val="Page Numbers (Top of Page)"/>
        <w:docPartUnique/>
      </w:docPartObj>
    </w:sdtPr>
    <w:sdtContent>
      <w:p w14:paraId="2557A4EE" w14:textId="49665E27" w:rsidR="00A206A1" w:rsidRDefault="00A206A1" w:rsidP="00A206A1">
        <w:pPr>
          <w:pStyle w:val="a5"/>
          <w:framePr w:wrap="none" w:vAnchor="text" w:hAnchor="margin" w:xAlign="right" w:y="1"/>
          <w:rPr>
            <w:rStyle w:val="ae"/>
          </w:rPr>
        </w:pPr>
        <w:r>
          <w:rPr>
            <w:rStyle w:val="ae"/>
          </w:rPr>
          <w:fldChar w:fldCharType="begin"/>
        </w:r>
        <w:r>
          <w:rPr>
            <w:rStyle w:val="ae"/>
          </w:rPr>
          <w:instrText xml:space="preserve"> PAGE </w:instrText>
        </w:r>
        <w:r>
          <w:rPr>
            <w:rStyle w:val="ae"/>
          </w:rPr>
          <w:fldChar w:fldCharType="separate"/>
        </w:r>
        <w:r w:rsidR="00CF3906">
          <w:rPr>
            <w:rStyle w:val="ae"/>
            <w:noProof/>
          </w:rPr>
          <w:t>77</w:t>
        </w:r>
        <w:r>
          <w:rPr>
            <w:rStyle w:val="ae"/>
          </w:rPr>
          <w:fldChar w:fldCharType="end"/>
        </w:r>
      </w:p>
    </w:sdtContent>
  </w:sdt>
  <w:p w14:paraId="0000025A" w14:textId="117121CD" w:rsidR="00A206A1" w:rsidRPr="00841CA0" w:rsidRDefault="00A206A1" w:rsidP="00F45923">
    <w:pPr>
      <w:pStyle w:val="a5"/>
      <w:ind w:right="360"/>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E720E"/>
    <w:multiLevelType w:val="hybridMultilevel"/>
    <w:tmpl w:val="C2A49B7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7CE6973"/>
    <w:multiLevelType w:val="hybridMultilevel"/>
    <w:tmpl w:val="4C20DC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3BC"/>
    <w:rsid w:val="00011622"/>
    <w:rsid w:val="000A26E2"/>
    <w:rsid w:val="000B5C4F"/>
    <w:rsid w:val="000D4814"/>
    <w:rsid w:val="00125723"/>
    <w:rsid w:val="00186D10"/>
    <w:rsid w:val="001A66A8"/>
    <w:rsid w:val="001E1656"/>
    <w:rsid w:val="001E506F"/>
    <w:rsid w:val="00226F11"/>
    <w:rsid w:val="002806AF"/>
    <w:rsid w:val="002D746F"/>
    <w:rsid w:val="00307D4D"/>
    <w:rsid w:val="003347E3"/>
    <w:rsid w:val="003C0033"/>
    <w:rsid w:val="003D3904"/>
    <w:rsid w:val="003E32CC"/>
    <w:rsid w:val="00466EE3"/>
    <w:rsid w:val="0047297D"/>
    <w:rsid w:val="004B6384"/>
    <w:rsid w:val="004C0064"/>
    <w:rsid w:val="004C7D77"/>
    <w:rsid w:val="004F142B"/>
    <w:rsid w:val="00532053"/>
    <w:rsid w:val="00532FB5"/>
    <w:rsid w:val="00552BE2"/>
    <w:rsid w:val="00572BAF"/>
    <w:rsid w:val="005A2E26"/>
    <w:rsid w:val="005A515E"/>
    <w:rsid w:val="005B0ADE"/>
    <w:rsid w:val="005B5ECC"/>
    <w:rsid w:val="005E5C87"/>
    <w:rsid w:val="006126C1"/>
    <w:rsid w:val="00671BA5"/>
    <w:rsid w:val="00712845"/>
    <w:rsid w:val="007376AD"/>
    <w:rsid w:val="007410F2"/>
    <w:rsid w:val="00771CAD"/>
    <w:rsid w:val="00776F3D"/>
    <w:rsid w:val="00792C2E"/>
    <w:rsid w:val="007B1944"/>
    <w:rsid w:val="007D2621"/>
    <w:rsid w:val="007F5287"/>
    <w:rsid w:val="00832A2D"/>
    <w:rsid w:val="00841CA0"/>
    <w:rsid w:val="00881A14"/>
    <w:rsid w:val="008B7EAF"/>
    <w:rsid w:val="008C27B4"/>
    <w:rsid w:val="008D4E95"/>
    <w:rsid w:val="00904544"/>
    <w:rsid w:val="009123BC"/>
    <w:rsid w:val="009318C9"/>
    <w:rsid w:val="00972315"/>
    <w:rsid w:val="009B087A"/>
    <w:rsid w:val="00A206A1"/>
    <w:rsid w:val="00A32863"/>
    <w:rsid w:val="00AF770D"/>
    <w:rsid w:val="00B02BA1"/>
    <w:rsid w:val="00B34B13"/>
    <w:rsid w:val="00B87CDE"/>
    <w:rsid w:val="00BB1782"/>
    <w:rsid w:val="00C01051"/>
    <w:rsid w:val="00C335A4"/>
    <w:rsid w:val="00C40C50"/>
    <w:rsid w:val="00C6458D"/>
    <w:rsid w:val="00C64E7A"/>
    <w:rsid w:val="00C9154A"/>
    <w:rsid w:val="00CF3906"/>
    <w:rsid w:val="00CF620C"/>
    <w:rsid w:val="00D45147"/>
    <w:rsid w:val="00DA02E1"/>
    <w:rsid w:val="00E13F83"/>
    <w:rsid w:val="00E4753D"/>
    <w:rsid w:val="00E520E4"/>
    <w:rsid w:val="00E86D0A"/>
    <w:rsid w:val="00EB1ECC"/>
    <w:rsid w:val="00EC771B"/>
    <w:rsid w:val="00F45923"/>
    <w:rsid w:val="00FC4F84"/>
    <w:rsid w:val="00FD6D40"/>
    <w:rsid w:val="00FE01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95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tr"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header"/>
    <w:basedOn w:val="a"/>
    <w:link w:val="a6"/>
    <w:uiPriority w:val="99"/>
    <w:unhideWhenUsed/>
    <w:rsid w:val="00841CA0"/>
    <w:pPr>
      <w:tabs>
        <w:tab w:val="center" w:pos="4677"/>
        <w:tab w:val="right" w:pos="9355"/>
      </w:tabs>
      <w:spacing w:line="240" w:lineRule="auto"/>
    </w:pPr>
  </w:style>
  <w:style w:type="character" w:customStyle="1" w:styleId="a6">
    <w:name w:val="Верхний колонтитул Знак"/>
    <w:basedOn w:val="a0"/>
    <w:link w:val="a5"/>
    <w:uiPriority w:val="99"/>
    <w:rsid w:val="00841CA0"/>
  </w:style>
  <w:style w:type="paragraph" w:styleId="a7">
    <w:name w:val="footer"/>
    <w:basedOn w:val="a"/>
    <w:link w:val="a8"/>
    <w:uiPriority w:val="99"/>
    <w:unhideWhenUsed/>
    <w:rsid w:val="00841CA0"/>
    <w:pPr>
      <w:tabs>
        <w:tab w:val="center" w:pos="4677"/>
        <w:tab w:val="right" w:pos="9355"/>
      </w:tabs>
      <w:spacing w:line="240" w:lineRule="auto"/>
    </w:pPr>
  </w:style>
  <w:style w:type="character" w:customStyle="1" w:styleId="a8">
    <w:name w:val="Нижний колонтитул Знак"/>
    <w:basedOn w:val="a0"/>
    <w:link w:val="a7"/>
    <w:uiPriority w:val="99"/>
    <w:rsid w:val="00841CA0"/>
  </w:style>
  <w:style w:type="character" w:customStyle="1" w:styleId="10">
    <w:name w:val="Заголовок 1 Знак"/>
    <w:basedOn w:val="a0"/>
    <w:link w:val="1"/>
    <w:rsid w:val="00C335A4"/>
    <w:rPr>
      <w:sz w:val="40"/>
      <w:szCs w:val="40"/>
    </w:rPr>
  </w:style>
  <w:style w:type="paragraph" w:styleId="a9">
    <w:name w:val="TOC Heading"/>
    <w:basedOn w:val="1"/>
    <w:next w:val="a"/>
    <w:uiPriority w:val="39"/>
    <w:unhideWhenUsed/>
    <w:qFormat/>
    <w:rsid w:val="00C335A4"/>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11">
    <w:name w:val="toc 1"/>
    <w:basedOn w:val="a"/>
    <w:next w:val="a"/>
    <w:autoRedefine/>
    <w:uiPriority w:val="39"/>
    <w:unhideWhenUsed/>
    <w:rsid w:val="00C335A4"/>
    <w:pPr>
      <w:spacing w:after="100"/>
    </w:pPr>
  </w:style>
  <w:style w:type="character" w:styleId="aa">
    <w:name w:val="Hyperlink"/>
    <w:basedOn w:val="a0"/>
    <w:uiPriority w:val="99"/>
    <w:unhideWhenUsed/>
    <w:rsid w:val="00C335A4"/>
    <w:rPr>
      <w:color w:val="0000FF" w:themeColor="hyperlink"/>
      <w:u w:val="single"/>
    </w:rPr>
  </w:style>
  <w:style w:type="paragraph" w:styleId="ab">
    <w:name w:val="Balloon Text"/>
    <w:basedOn w:val="a"/>
    <w:link w:val="ac"/>
    <w:uiPriority w:val="99"/>
    <w:semiHidden/>
    <w:unhideWhenUsed/>
    <w:rsid w:val="00B34B13"/>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B34B13"/>
    <w:rPr>
      <w:rFonts w:ascii="Tahoma" w:hAnsi="Tahoma" w:cs="Tahoma"/>
      <w:sz w:val="16"/>
      <w:szCs w:val="16"/>
    </w:rPr>
  </w:style>
  <w:style w:type="character" w:customStyle="1" w:styleId="12">
    <w:name w:val="Неразрешенное упоминание1"/>
    <w:basedOn w:val="a0"/>
    <w:uiPriority w:val="99"/>
    <w:semiHidden/>
    <w:unhideWhenUsed/>
    <w:rsid w:val="00E86D0A"/>
    <w:rPr>
      <w:color w:val="605E5C"/>
      <w:shd w:val="clear" w:color="auto" w:fill="E1DFDD"/>
    </w:rPr>
  </w:style>
  <w:style w:type="paragraph" w:styleId="ad">
    <w:name w:val="List Paragraph"/>
    <w:basedOn w:val="a"/>
    <w:uiPriority w:val="34"/>
    <w:qFormat/>
    <w:rsid w:val="00E86D0A"/>
    <w:pPr>
      <w:ind w:left="720"/>
      <w:contextualSpacing/>
    </w:pPr>
  </w:style>
  <w:style w:type="character" w:styleId="ae">
    <w:name w:val="page number"/>
    <w:basedOn w:val="a0"/>
    <w:uiPriority w:val="99"/>
    <w:semiHidden/>
    <w:unhideWhenUsed/>
    <w:rsid w:val="00F459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tr"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header"/>
    <w:basedOn w:val="a"/>
    <w:link w:val="a6"/>
    <w:uiPriority w:val="99"/>
    <w:unhideWhenUsed/>
    <w:rsid w:val="00841CA0"/>
    <w:pPr>
      <w:tabs>
        <w:tab w:val="center" w:pos="4677"/>
        <w:tab w:val="right" w:pos="9355"/>
      </w:tabs>
      <w:spacing w:line="240" w:lineRule="auto"/>
    </w:pPr>
  </w:style>
  <w:style w:type="character" w:customStyle="1" w:styleId="a6">
    <w:name w:val="Верхний колонтитул Знак"/>
    <w:basedOn w:val="a0"/>
    <w:link w:val="a5"/>
    <w:uiPriority w:val="99"/>
    <w:rsid w:val="00841CA0"/>
  </w:style>
  <w:style w:type="paragraph" w:styleId="a7">
    <w:name w:val="footer"/>
    <w:basedOn w:val="a"/>
    <w:link w:val="a8"/>
    <w:uiPriority w:val="99"/>
    <w:unhideWhenUsed/>
    <w:rsid w:val="00841CA0"/>
    <w:pPr>
      <w:tabs>
        <w:tab w:val="center" w:pos="4677"/>
        <w:tab w:val="right" w:pos="9355"/>
      </w:tabs>
      <w:spacing w:line="240" w:lineRule="auto"/>
    </w:pPr>
  </w:style>
  <w:style w:type="character" w:customStyle="1" w:styleId="a8">
    <w:name w:val="Нижний колонтитул Знак"/>
    <w:basedOn w:val="a0"/>
    <w:link w:val="a7"/>
    <w:uiPriority w:val="99"/>
    <w:rsid w:val="00841CA0"/>
  </w:style>
  <w:style w:type="character" w:customStyle="1" w:styleId="10">
    <w:name w:val="Заголовок 1 Знак"/>
    <w:basedOn w:val="a0"/>
    <w:link w:val="1"/>
    <w:rsid w:val="00C335A4"/>
    <w:rPr>
      <w:sz w:val="40"/>
      <w:szCs w:val="40"/>
    </w:rPr>
  </w:style>
  <w:style w:type="paragraph" w:styleId="a9">
    <w:name w:val="TOC Heading"/>
    <w:basedOn w:val="1"/>
    <w:next w:val="a"/>
    <w:uiPriority w:val="39"/>
    <w:unhideWhenUsed/>
    <w:qFormat/>
    <w:rsid w:val="00C335A4"/>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11">
    <w:name w:val="toc 1"/>
    <w:basedOn w:val="a"/>
    <w:next w:val="a"/>
    <w:autoRedefine/>
    <w:uiPriority w:val="39"/>
    <w:unhideWhenUsed/>
    <w:rsid w:val="00C335A4"/>
    <w:pPr>
      <w:spacing w:after="100"/>
    </w:pPr>
  </w:style>
  <w:style w:type="character" w:styleId="aa">
    <w:name w:val="Hyperlink"/>
    <w:basedOn w:val="a0"/>
    <w:uiPriority w:val="99"/>
    <w:unhideWhenUsed/>
    <w:rsid w:val="00C335A4"/>
    <w:rPr>
      <w:color w:val="0000FF" w:themeColor="hyperlink"/>
      <w:u w:val="single"/>
    </w:rPr>
  </w:style>
  <w:style w:type="paragraph" w:styleId="ab">
    <w:name w:val="Balloon Text"/>
    <w:basedOn w:val="a"/>
    <w:link w:val="ac"/>
    <w:uiPriority w:val="99"/>
    <w:semiHidden/>
    <w:unhideWhenUsed/>
    <w:rsid w:val="00B34B13"/>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B34B13"/>
    <w:rPr>
      <w:rFonts w:ascii="Tahoma" w:hAnsi="Tahoma" w:cs="Tahoma"/>
      <w:sz w:val="16"/>
      <w:szCs w:val="16"/>
    </w:rPr>
  </w:style>
  <w:style w:type="character" w:customStyle="1" w:styleId="12">
    <w:name w:val="Неразрешенное упоминание1"/>
    <w:basedOn w:val="a0"/>
    <w:uiPriority w:val="99"/>
    <w:semiHidden/>
    <w:unhideWhenUsed/>
    <w:rsid w:val="00E86D0A"/>
    <w:rPr>
      <w:color w:val="605E5C"/>
      <w:shd w:val="clear" w:color="auto" w:fill="E1DFDD"/>
    </w:rPr>
  </w:style>
  <w:style w:type="paragraph" w:styleId="ad">
    <w:name w:val="List Paragraph"/>
    <w:basedOn w:val="a"/>
    <w:uiPriority w:val="34"/>
    <w:qFormat/>
    <w:rsid w:val="00E86D0A"/>
    <w:pPr>
      <w:ind w:left="720"/>
      <w:contextualSpacing/>
    </w:pPr>
  </w:style>
  <w:style w:type="character" w:styleId="ae">
    <w:name w:val="page number"/>
    <w:basedOn w:val="a0"/>
    <w:uiPriority w:val="99"/>
    <w:semiHidden/>
    <w:unhideWhenUsed/>
    <w:rsid w:val="00F45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ltinicizdiklerim.com/resimler/StratejikDerinlik.pdf" TargetMode="External"/><Relationship Id="rId18" Type="http://schemas.openxmlformats.org/officeDocument/2006/relationships/hyperlink" Target="https://www.insightturkey.com" TargetMode="External"/><Relationship Id="rId26" Type="http://schemas.openxmlformats.org/officeDocument/2006/relationships/hyperlink" Target="https://dergipark.org.tr/tr/download/article-file/19272" TargetMode="External"/><Relationship Id="rId3" Type="http://schemas.openxmlformats.org/officeDocument/2006/relationships/styles" Target="styles.xml"/><Relationship Id="rId21" Type="http://schemas.openxmlformats.org/officeDocument/2006/relationships/hyperlink" Target="http://www.gmfus.org/brusselsforum/2010/docs/BF2010-Paper-Kirisci-Tocci-Walker.pdf" TargetMode="External"/><Relationship Id="rId34" Type="http://schemas.openxmlformats.org/officeDocument/2006/relationships/hyperlink" Target="https://www.setav.org" TargetMode="External"/><Relationship Id="rId7" Type="http://schemas.openxmlformats.org/officeDocument/2006/relationships/footnotes" Target="footnotes.xml"/><Relationship Id="rId12" Type="http://schemas.openxmlformats.org/officeDocument/2006/relationships/hyperlink" Target="https://ecfr.eu/publication/from_myth_to_reality_how_to_understand_turkeys_role_in_the_western_balkans" TargetMode="External"/><Relationship Id="rId17" Type="http://schemas.openxmlformats.org/officeDocument/2006/relationships/hyperlink" Target="http://cejsh.icm.edu.pl/cejsh/element/bwmeta1.element.ojs-doi-10_12775_CJPS_2017_001/c/CJPS.2017.001-17187.pdf" TargetMode="External"/><Relationship Id="rId25" Type="http://schemas.openxmlformats.org/officeDocument/2006/relationships/hyperlink" Target="https://www.euractiv.com/section/global-europe/news/turkey-steps-up-soft-power-efforts-neglecting-domestic-issues" TargetMode="External"/><Relationship Id="rId33" Type="http://schemas.openxmlformats.org/officeDocument/2006/relationships/hyperlink" Target="https://www.researchgate.net/publication/281374247_Turkey's_Role_on_Solving_of_Balkan_Issue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ppen.org/en/index.php?sayfa=Yorumlar&amp;lin-k=&amp;makale=125" TargetMode="External"/><Relationship Id="rId20" Type="http://schemas.openxmlformats.org/officeDocument/2006/relationships/hyperlink" Target="https://www.dailysabah.com/columns/ibrahim-kalin/2018/06/02/what-does-turkey-want-in-the-balkans" TargetMode="External"/><Relationship Id="rId29" Type="http://schemas.openxmlformats.org/officeDocument/2006/relationships/hyperlink" Target="https://ormer.sakarya.edu.tr/uploads/files/turk_dis_politikasinda_islamci_kemalist_hesaplasma_erbakan_donemi_libya_ornegi_dilek_kucukboz.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pl.donnu.edu.ua/article/view/11920" TargetMode="External"/><Relationship Id="rId24" Type="http://schemas.openxmlformats.org/officeDocument/2006/relationships/hyperlink" Target="https://www.insightturkey.com/articles/turkish-interests-and-involvement-in-the-western-balkans-a-score-card" TargetMode="External"/><Relationship Id="rId32" Type="http://schemas.openxmlformats.org/officeDocument/2006/relationships/hyperlink" Target="https://www.mfa.gov.tr/turkiye_s-relations-with-the-arab-countries.en.mfa"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randirectory.com/globalsoftpower/download/brand-finance-global-soft-power-index-2021.pdf" TargetMode="External"/><Relationship Id="rId23" Type="http://schemas.openxmlformats.org/officeDocument/2006/relationships/hyperlink" Target="https://dergipark.org.tr/tr/download/article-file/19345" TargetMode="External"/><Relationship Id="rId28" Type="http://schemas.openxmlformats.org/officeDocument/2006/relationships/hyperlink" Target="https://dergipark.org.tr/tr/download/article-file/929597" TargetMode="External"/><Relationship Id="rId36" Type="http://schemas.openxmlformats.org/officeDocument/2006/relationships/header" Target="header2.xml"/><Relationship Id="rId10" Type="http://schemas.openxmlformats.org/officeDocument/2006/relationships/hyperlink" Target="http://www.vidkryti-ochi.org.ua/2011/11/2011.html" TargetMode="External"/><Relationship Id="rId19" Type="http://schemas.openxmlformats.org/officeDocument/2006/relationships/hyperlink" Target="https://www.mdpi.com/2077-1444/12/1/38" TargetMode="External"/><Relationship Id="rId31" Type="http://schemas.openxmlformats.org/officeDocument/2006/relationships/hyperlink" Target="https://dergipark.org.tr/tr/download/article-file/2595870" TargetMode="External"/><Relationship Id="rId4" Type="http://schemas.microsoft.com/office/2007/relationships/stylesWithEffects" Target="stylesWithEffects.xml"/><Relationship Id="rId9" Type="http://schemas.openxmlformats.org/officeDocument/2006/relationships/hyperlink" Target="https://turkey.mfa.gov.ua" TargetMode="External"/><Relationship Id="rId14" Type="http://schemas.openxmlformats.org/officeDocument/2006/relationships/hyperlink" Target="https://repository.lsu.edu/cgi/viewcontent.cgi?article=4089&amp;context=gradschool_theses" TargetMode="External"/><Relationship Id="rId22" Type="http://schemas.openxmlformats.org/officeDocument/2006/relationships/hyperlink" Target="https://www.cambridge.org/core/journals/new-perspectives-on-turkey/article/abs/post-second-world-war-immigration-from-balkan-countries-to-turkey" TargetMode="External"/><Relationship Id="rId27" Type="http://schemas.openxmlformats.org/officeDocument/2006/relationships/hyperlink" Target="https://www.iai.it/sites/default/files/iaip2017.pdf" TargetMode="External"/><Relationship Id="rId30" Type="http://schemas.openxmlformats.org/officeDocument/2006/relationships/hyperlink" Target="https://www.thecairoreview.com/essays/turkeys-pan-islamist-foreign-policy/"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95482-6F6F-40FB-A04A-5959BAE39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89</Pages>
  <Words>22881</Words>
  <Characters>130428</Characters>
  <Application>Microsoft Office Word</Application>
  <DocSecurity>0</DocSecurity>
  <Lines>1086</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iwani</dc:creator>
  <cp:lastModifiedBy>asus</cp:lastModifiedBy>
  <cp:revision>6</cp:revision>
  <dcterms:created xsi:type="dcterms:W3CDTF">2024-12-01T14:03:00Z</dcterms:created>
  <dcterms:modified xsi:type="dcterms:W3CDTF">2024-12-04T21:42:00Z</dcterms:modified>
</cp:coreProperties>
</file>