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4381B72" w14:textId="77777777" w:rsidR="00532053" w:rsidRPr="002B4C8A" w:rsidRDefault="00532053" w:rsidP="00532053">
      <w:pPr>
        <w:pBdr>
          <w:bottom w:val="single" w:sz="4" w:space="1" w:color="000000"/>
        </w:pBdr>
        <w:spacing w:line="240" w:lineRule="auto"/>
        <w:jc w:val="center"/>
        <w:rPr>
          <w:rFonts w:asciiTheme="majorBidi" w:hAnsiTheme="majorBidi" w:cstheme="majorBidi"/>
          <w:sz w:val="24"/>
          <w:szCs w:val="24"/>
        </w:rPr>
      </w:pPr>
      <w:r w:rsidRPr="002B4C8A">
        <w:rPr>
          <w:rFonts w:asciiTheme="majorBidi" w:hAnsiTheme="majorBidi" w:cstheme="majorBidi"/>
          <w:sz w:val="24"/>
          <w:szCs w:val="24"/>
        </w:rPr>
        <w:t>ОДЕСЬКИЙ НАЦІОНАЛЬНИЙ УНІВЕРСИТЕТ ІМЕНІ І. І. МЕЧНИКОВА</w:t>
      </w:r>
    </w:p>
    <w:p w14:paraId="77819929" w14:textId="77777777" w:rsidR="00532053" w:rsidRPr="002B4C8A" w:rsidRDefault="00532053" w:rsidP="00532053">
      <w:pPr>
        <w:spacing w:line="240" w:lineRule="auto"/>
        <w:jc w:val="center"/>
        <w:rPr>
          <w:rFonts w:asciiTheme="majorBidi" w:hAnsiTheme="majorBidi" w:cstheme="majorBidi"/>
          <w:sz w:val="24"/>
          <w:szCs w:val="24"/>
        </w:rPr>
      </w:pPr>
      <w:r w:rsidRPr="002B4C8A">
        <w:rPr>
          <w:rFonts w:asciiTheme="majorBidi" w:hAnsiTheme="majorBidi" w:cstheme="majorBidi"/>
          <w:sz w:val="24"/>
          <w:szCs w:val="24"/>
        </w:rPr>
        <w:t>(повне найменування закладу вищої освіти)</w:t>
      </w:r>
    </w:p>
    <w:p w14:paraId="41DDB54D" w14:textId="77777777" w:rsidR="00532053" w:rsidRPr="002B4C8A" w:rsidRDefault="00532053" w:rsidP="00532053">
      <w:pPr>
        <w:pBdr>
          <w:bottom w:val="single" w:sz="4" w:space="1" w:color="000000"/>
        </w:pBdr>
        <w:tabs>
          <w:tab w:val="center" w:pos="4677"/>
        </w:tabs>
        <w:spacing w:before="240" w:line="240" w:lineRule="auto"/>
        <w:rPr>
          <w:rFonts w:asciiTheme="majorBidi" w:hAnsiTheme="majorBidi" w:cstheme="majorBidi"/>
          <w:sz w:val="24"/>
          <w:szCs w:val="24"/>
        </w:rPr>
      </w:pPr>
      <w:r w:rsidRPr="002B4C8A">
        <w:rPr>
          <w:rFonts w:asciiTheme="majorBidi" w:hAnsiTheme="majorBidi" w:cstheme="majorBidi"/>
          <w:sz w:val="24"/>
          <w:szCs w:val="24"/>
        </w:rPr>
        <w:tab/>
        <w:t>Факультет міжнародних відносин, політології та соціології</w:t>
      </w:r>
    </w:p>
    <w:p w14:paraId="71812B1A" w14:textId="77777777" w:rsidR="00532053" w:rsidRPr="002B4C8A" w:rsidRDefault="00532053" w:rsidP="00532053">
      <w:pPr>
        <w:spacing w:line="240" w:lineRule="auto"/>
        <w:jc w:val="center"/>
        <w:rPr>
          <w:rFonts w:asciiTheme="majorBidi" w:hAnsiTheme="majorBidi" w:cstheme="majorBidi"/>
          <w:sz w:val="24"/>
          <w:szCs w:val="24"/>
        </w:rPr>
      </w:pPr>
      <w:r w:rsidRPr="002B4C8A">
        <w:rPr>
          <w:rFonts w:asciiTheme="majorBidi" w:hAnsiTheme="majorBidi" w:cstheme="majorBidi"/>
          <w:sz w:val="24"/>
          <w:szCs w:val="24"/>
        </w:rPr>
        <w:t>(повне найменування факультету)</w:t>
      </w:r>
    </w:p>
    <w:p w14:paraId="035F8660" w14:textId="77777777" w:rsidR="00532053" w:rsidRPr="002B4C8A" w:rsidRDefault="00532053" w:rsidP="00532053">
      <w:pPr>
        <w:pBdr>
          <w:bottom w:val="single" w:sz="4" w:space="1" w:color="000000"/>
        </w:pBdr>
        <w:spacing w:before="240" w:line="240" w:lineRule="auto"/>
        <w:jc w:val="center"/>
        <w:rPr>
          <w:rFonts w:asciiTheme="majorBidi" w:hAnsiTheme="majorBidi" w:cstheme="majorBidi"/>
          <w:sz w:val="24"/>
          <w:szCs w:val="24"/>
        </w:rPr>
      </w:pPr>
      <w:r w:rsidRPr="002B4C8A">
        <w:rPr>
          <w:rFonts w:asciiTheme="majorBidi" w:hAnsiTheme="majorBidi" w:cstheme="majorBidi"/>
          <w:sz w:val="24"/>
          <w:szCs w:val="24"/>
        </w:rPr>
        <w:t>Кафедра міжнародних відносин</w:t>
      </w:r>
    </w:p>
    <w:p w14:paraId="02B2C302" w14:textId="77777777" w:rsidR="00532053" w:rsidRPr="002B4C8A" w:rsidRDefault="00532053" w:rsidP="00532053">
      <w:pPr>
        <w:spacing w:line="240" w:lineRule="auto"/>
        <w:jc w:val="center"/>
        <w:rPr>
          <w:rFonts w:asciiTheme="majorBidi" w:hAnsiTheme="majorBidi" w:cstheme="majorBidi"/>
          <w:sz w:val="24"/>
          <w:szCs w:val="24"/>
        </w:rPr>
      </w:pPr>
      <w:r w:rsidRPr="002B4C8A">
        <w:rPr>
          <w:rFonts w:asciiTheme="majorBidi" w:hAnsiTheme="majorBidi" w:cstheme="majorBidi"/>
          <w:sz w:val="24"/>
          <w:szCs w:val="24"/>
        </w:rPr>
        <w:t>(повна назва кафедри)</w:t>
      </w:r>
    </w:p>
    <w:p w14:paraId="1EEFC4B3" w14:textId="77777777" w:rsidR="00532053" w:rsidRPr="002B4C8A" w:rsidRDefault="00532053" w:rsidP="00532053">
      <w:pPr>
        <w:spacing w:line="240" w:lineRule="auto"/>
        <w:rPr>
          <w:rFonts w:asciiTheme="majorBidi" w:hAnsiTheme="majorBidi" w:cstheme="majorBidi"/>
          <w:b/>
          <w:sz w:val="24"/>
          <w:szCs w:val="24"/>
        </w:rPr>
      </w:pPr>
    </w:p>
    <w:p w14:paraId="6F59B781" w14:textId="77777777" w:rsidR="00532053" w:rsidRPr="002B4C8A" w:rsidRDefault="00532053" w:rsidP="00532053">
      <w:pPr>
        <w:spacing w:line="240" w:lineRule="auto"/>
        <w:jc w:val="center"/>
        <w:rPr>
          <w:rFonts w:asciiTheme="majorBidi" w:hAnsiTheme="majorBidi" w:cstheme="majorBidi"/>
          <w:b/>
          <w:sz w:val="24"/>
          <w:szCs w:val="24"/>
        </w:rPr>
      </w:pPr>
      <w:r w:rsidRPr="002B4C8A">
        <w:rPr>
          <w:rFonts w:asciiTheme="majorBidi" w:hAnsiTheme="majorBidi" w:cstheme="majorBidi"/>
          <w:b/>
          <w:sz w:val="24"/>
          <w:szCs w:val="24"/>
        </w:rPr>
        <w:t>Кваліфікаційна робота</w:t>
      </w:r>
    </w:p>
    <w:p w14:paraId="5FE1D4B6" w14:textId="77777777" w:rsidR="00532053" w:rsidRPr="002B4C8A" w:rsidRDefault="00532053" w:rsidP="00532053">
      <w:pPr>
        <w:pBdr>
          <w:bottom w:val="single" w:sz="4" w:space="1" w:color="000000"/>
        </w:pBdr>
        <w:tabs>
          <w:tab w:val="center" w:pos="4819"/>
          <w:tab w:val="right" w:pos="8505"/>
        </w:tabs>
        <w:spacing w:before="240" w:line="240" w:lineRule="auto"/>
        <w:ind w:left="1134" w:right="850"/>
        <w:jc w:val="center"/>
        <w:rPr>
          <w:rFonts w:asciiTheme="majorBidi" w:hAnsiTheme="majorBidi" w:cstheme="majorBidi"/>
          <w:sz w:val="24"/>
          <w:szCs w:val="24"/>
        </w:rPr>
      </w:pPr>
      <w:r w:rsidRPr="002B4C8A">
        <w:rPr>
          <w:rFonts w:asciiTheme="majorBidi" w:hAnsiTheme="majorBidi" w:cstheme="majorBidi"/>
          <w:sz w:val="24"/>
          <w:szCs w:val="24"/>
        </w:rPr>
        <w:t>на здобуття ступеня вищої освіти «магістр»</w:t>
      </w:r>
    </w:p>
    <w:p w14:paraId="75AA25E7" w14:textId="77777777" w:rsidR="00532053" w:rsidRPr="002B4C8A" w:rsidRDefault="00532053" w:rsidP="00532053">
      <w:pPr>
        <w:tabs>
          <w:tab w:val="right" w:pos="9355"/>
        </w:tabs>
        <w:spacing w:line="240" w:lineRule="auto"/>
        <w:jc w:val="center"/>
        <w:rPr>
          <w:rFonts w:asciiTheme="majorBidi" w:hAnsiTheme="majorBidi" w:cstheme="majorBidi"/>
          <w:b/>
          <w:sz w:val="24"/>
          <w:szCs w:val="24"/>
        </w:rPr>
      </w:pPr>
    </w:p>
    <w:p w14:paraId="1B7CFC51" w14:textId="77777777" w:rsidR="00532053" w:rsidRPr="002B4C8A" w:rsidRDefault="00532053" w:rsidP="00532053">
      <w:pPr>
        <w:tabs>
          <w:tab w:val="right" w:pos="9355"/>
        </w:tabs>
        <w:spacing w:line="240" w:lineRule="auto"/>
        <w:jc w:val="center"/>
        <w:rPr>
          <w:rFonts w:asciiTheme="majorBidi" w:hAnsiTheme="majorBidi" w:cstheme="majorBidi"/>
          <w:b/>
          <w:sz w:val="24"/>
          <w:szCs w:val="24"/>
        </w:rPr>
      </w:pPr>
      <w:r w:rsidRPr="002B4C8A">
        <w:rPr>
          <w:rFonts w:asciiTheme="majorBidi" w:hAnsiTheme="majorBidi" w:cstheme="majorBidi"/>
          <w:b/>
          <w:sz w:val="24"/>
          <w:szCs w:val="24"/>
        </w:rPr>
        <w:t>«</w:t>
      </w:r>
      <w:r w:rsidRPr="002B4C8A">
        <w:rPr>
          <w:rFonts w:asciiTheme="majorBidi" w:hAnsiTheme="majorBidi" w:cstheme="majorBidi"/>
          <w:b/>
          <w:sz w:val="24"/>
          <w:szCs w:val="24"/>
          <w:lang w:val="uk-UA"/>
        </w:rPr>
        <w:t>ЗОВНІШНЯ ПОЛІТИКА ТУРЕЧЧИНИ</w:t>
      </w:r>
      <w:r w:rsidRPr="002B4C8A">
        <w:rPr>
          <w:rFonts w:asciiTheme="majorBidi" w:hAnsiTheme="majorBidi" w:cstheme="majorBidi"/>
          <w:b/>
          <w:sz w:val="24"/>
          <w:szCs w:val="24"/>
          <w:lang w:val="ru-RU"/>
        </w:rPr>
        <w:t>:</w:t>
      </w:r>
      <w:r w:rsidRPr="002B4C8A">
        <w:rPr>
          <w:rFonts w:asciiTheme="majorBidi" w:hAnsiTheme="majorBidi" w:cstheme="majorBidi"/>
          <w:b/>
          <w:sz w:val="24"/>
          <w:szCs w:val="24"/>
          <w:lang w:val="uk-UA"/>
        </w:rPr>
        <w:t xml:space="preserve"> ІСЛАМСЬКИЙ ЧИННИК</w:t>
      </w:r>
      <w:r w:rsidRPr="002B4C8A">
        <w:rPr>
          <w:rFonts w:asciiTheme="majorBidi" w:hAnsiTheme="majorBidi" w:cstheme="majorBidi"/>
          <w:b/>
          <w:sz w:val="24"/>
          <w:szCs w:val="24"/>
        </w:rPr>
        <w:t>»</w:t>
      </w:r>
    </w:p>
    <w:p w14:paraId="24E86A65" w14:textId="77777777" w:rsidR="00532053" w:rsidRPr="002B4C8A" w:rsidRDefault="00532053" w:rsidP="00532053">
      <w:pPr>
        <w:tabs>
          <w:tab w:val="right" w:pos="9355"/>
        </w:tabs>
        <w:spacing w:line="240" w:lineRule="auto"/>
        <w:jc w:val="center"/>
        <w:rPr>
          <w:rFonts w:asciiTheme="majorBidi" w:hAnsiTheme="majorBidi" w:cstheme="majorBidi"/>
          <w:b/>
          <w:sz w:val="24"/>
          <w:szCs w:val="24"/>
        </w:rPr>
      </w:pPr>
      <w:r w:rsidRPr="002B4C8A">
        <w:rPr>
          <w:rFonts w:asciiTheme="majorBidi" w:hAnsiTheme="majorBidi" w:cstheme="majorBidi"/>
          <w:b/>
          <w:sz w:val="24"/>
          <w:szCs w:val="24"/>
        </w:rPr>
        <w:t>(тема кваліфікаційної роботи українською мовою)</w:t>
      </w:r>
    </w:p>
    <w:p w14:paraId="03467CA9" w14:textId="77777777" w:rsidR="00532053" w:rsidRPr="002B4C8A" w:rsidRDefault="00532053" w:rsidP="00532053">
      <w:pPr>
        <w:tabs>
          <w:tab w:val="right" w:pos="9355"/>
        </w:tabs>
        <w:spacing w:line="240" w:lineRule="auto"/>
        <w:jc w:val="center"/>
        <w:rPr>
          <w:rFonts w:asciiTheme="majorBidi" w:hAnsiTheme="majorBidi" w:cstheme="majorBidi"/>
          <w:b/>
          <w:sz w:val="24"/>
          <w:szCs w:val="24"/>
        </w:rPr>
      </w:pPr>
      <w:r w:rsidRPr="002B4C8A">
        <w:rPr>
          <w:rFonts w:asciiTheme="majorBidi" w:hAnsiTheme="majorBidi" w:cstheme="majorBidi"/>
          <w:b/>
          <w:sz w:val="24"/>
          <w:szCs w:val="24"/>
        </w:rPr>
        <w:t>«FOREIGN POLICY OF TURKEY: THE ISLAMIC FACTOR»</w:t>
      </w:r>
    </w:p>
    <w:p w14:paraId="42291C50" w14:textId="77777777" w:rsidR="00532053" w:rsidRPr="002B4C8A" w:rsidRDefault="00532053" w:rsidP="00532053">
      <w:pPr>
        <w:tabs>
          <w:tab w:val="left" w:pos="2445"/>
        </w:tabs>
        <w:spacing w:line="240" w:lineRule="auto"/>
        <w:jc w:val="center"/>
        <w:rPr>
          <w:rFonts w:asciiTheme="majorBidi" w:hAnsiTheme="majorBidi" w:cstheme="majorBidi"/>
          <w:sz w:val="24"/>
          <w:szCs w:val="24"/>
        </w:rPr>
      </w:pPr>
      <w:r w:rsidRPr="002B4C8A">
        <w:rPr>
          <w:rFonts w:asciiTheme="majorBidi" w:hAnsiTheme="majorBidi" w:cstheme="majorBidi"/>
          <w:b/>
          <w:sz w:val="24"/>
          <w:szCs w:val="24"/>
        </w:rPr>
        <w:t xml:space="preserve"> (тема кваліфікаційної роботи англійською мовою)</w:t>
      </w:r>
    </w:p>
    <w:p w14:paraId="3E2FF664" w14:textId="77777777" w:rsidR="00532053" w:rsidRPr="002B4C8A" w:rsidRDefault="00532053" w:rsidP="00532053">
      <w:pPr>
        <w:tabs>
          <w:tab w:val="right" w:pos="9355"/>
        </w:tabs>
        <w:spacing w:line="240" w:lineRule="auto"/>
        <w:jc w:val="center"/>
        <w:rPr>
          <w:rFonts w:asciiTheme="majorBidi" w:hAnsiTheme="majorBidi" w:cstheme="majorBidi"/>
          <w:sz w:val="24"/>
          <w:szCs w:val="24"/>
        </w:rPr>
      </w:pPr>
    </w:p>
    <w:p w14:paraId="510C3631" w14:textId="77777777" w:rsidR="00532053" w:rsidRPr="002B4C8A" w:rsidRDefault="00532053" w:rsidP="00532053">
      <w:pPr>
        <w:tabs>
          <w:tab w:val="right" w:pos="9355"/>
        </w:tabs>
        <w:spacing w:line="240" w:lineRule="auto"/>
        <w:jc w:val="both"/>
        <w:rPr>
          <w:rFonts w:asciiTheme="majorBidi" w:hAnsiTheme="majorBidi" w:cstheme="majorBidi"/>
          <w:sz w:val="24"/>
          <w:szCs w:val="24"/>
          <w:u w:val="single"/>
        </w:rPr>
      </w:pPr>
    </w:p>
    <w:p w14:paraId="5C87C3CD" w14:textId="77777777" w:rsidR="00532053" w:rsidRPr="002B4C8A" w:rsidRDefault="00532053" w:rsidP="00532053">
      <w:pPr>
        <w:spacing w:line="240" w:lineRule="auto"/>
        <w:jc w:val="both"/>
        <w:rPr>
          <w:rFonts w:asciiTheme="majorBidi" w:hAnsiTheme="majorBidi" w:cstheme="majorBidi"/>
          <w:sz w:val="24"/>
          <w:szCs w:val="24"/>
        </w:rPr>
      </w:pPr>
      <w:r w:rsidRPr="002B4C8A">
        <w:rPr>
          <w:rFonts w:asciiTheme="majorBidi" w:hAnsiTheme="majorBidi" w:cstheme="majorBidi"/>
          <w:sz w:val="24"/>
          <w:szCs w:val="24"/>
        </w:rPr>
        <w:t xml:space="preserve">                           </w:t>
      </w:r>
      <w:r w:rsidRPr="002B4C8A">
        <w:rPr>
          <w:rFonts w:asciiTheme="majorBidi" w:hAnsiTheme="majorBidi" w:cstheme="majorBidi"/>
          <w:sz w:val="24"/>
          <w:szCs w:val="24"/>
          <w:lang w:val="uk-UA"/>
        </w:rPr>
        <w:t xml:space="preserve">                  </w:t>
      </w:r>
      <w:r w:rsidRPr="002B4C8A">
        <w:rPr>
          <w:rFonts w:asciiTheme="majorBidi" w:hAnsiTheme="majorBidi" w:cstheme="majorBidi"/>
          <w:sz w:val="24"/>
          <w:szCs w:val="24"/>
        </w:rPr>
        <w:t>Виконав(ла): здобувач(ка) денної форми</w:t>
      </w:r>
      <w:r w:rsidRPr="002B4C8A">
        <w:rPr>
          <w:rFonts w:asciiTheme="majorBidi" w:hAnsiTheme="majorBidi" w:cstheme="majorBidi"/>
          <w:sz w:val="24"/>
          <w:szCs w:val="24"/>
          <w:lang w:val="uk-UA"/>
        </w:rPr>
        <w:t xml:space="preserve"> </w:t>
      </w:r>
      <w:r w:rsidRPr="002B4C8A">
        <w:rPr>
          <w:rFonts w:asciiTheme="majorBidi" w:hAnsiTheme="majorBidi" w:cstheme="majorBidi"/>
          <w:sz w:val="24"/>
          <w:szCs w:val="24"/>
        </w:rPr>
        <w:t>навчання</w:t>
      </w:r>
      <w:r w:rsidRPr="002B4C8A">
        <w:rPr>
          <w:rFonts w:asciiTheme="majorBidi" w:hAnsiTheme="majorBidi" w:cstheme="majorBidi"/>
          <w:sz w:val="24"/>
          <w:szCs w:val="24"/>
          <w:lang w:val="uk-UA"/>
        </w:rPr>
        <w:t xml:space="preserve">      </w:t>
      </w:r>
      <w:r w:rsidRPr="002B4C8A">
        <w:rPr>
          <w:rFonts w:asciiTheme="majorBidi" w:hAnsiTheme="majorBidi" w:cstheme="majorBidi"/>
          <w:sz w:val="24"/>
          <w:szCs w:val="24"/>
        </w:rPr>
        <w:t xml:space="preserve">пеціальності </w:t>
      </w:r>
      <w:r w:rsidRPr="002B4C8A">
        <w:rPr>
          <w:rFonts w:asciiTheme="majorBidi" w:hAnsiTheme="majorBidi" w:cstheme="majorBidi"/>
          <w:sz w:val="24"/>
          <w:szCs w:val="24"/>
          <w:u w:val="single"/>
        </w:rPr>
        <w:t>291Міжнародні відносини</w:t>
      </w:r>
      <w:r w:rsidRPr="002B4C8A">
        <w:rPr>
          <w:rFonts w:asciiTheme="majorBidi" w:hAnsiTheme="majorBidi" w:cstheme="majorBidi"/>
          <w:sz w:val="24"/>
          <w:szCs w:val="24"/>
          <w:u w:val="single"/>
          <w:lang w:val="uk-UA"/>
        </w:rPr>
        <w:t xml:space="preserve"> </w:t>
      </w:r>
      <w:r w:rsidRPr="002B4C8A">
        <w:rPr>
          <w:rFonts w:asciiTheme="majorBidi" w:hAnsiTheme="majorBidi" w:cstheme="majorBidi"/>
          <w:sz w:val="24"/>
          <w:szCs w:val="24"/>
          <w:u w:val="single"/>
        </w:rPr>
        <w:t>суспільні</w:t>
      </w:r>
      <w:r w:rsidRPr="002B4C8A">
        <w:rPr>
          <w:rFonts w:asciiTheme="majorBidi" w:hAnsiTheme="majorBidi" w:cstheme="majorBidi"/>
          <w:sz w:val="24"/>
          <w:szCs w:val="24"/>
          <w:lang w:val="uk-UA"/>
        </w:rPr>
        <w:t xml:space="preserve"> </w:t>
      </w:r>
      <w:r w:rsidRPr="002B4C8A">
        <w:rPr>
          <w:rFonts w:asciiTheme="majorBidi" w:hAnsiTheme="majorBidi" w:cstheme="majorBidi"/>
          <w:sz w:val="24"/>
          <w:szCs w:val="24"/>
          <w:u w:val="single"/>
        </w:rPr>
        <w:t>комунікації</w:t>
      </w:r>
      <w:r w:rsidRPr="002B4C8A">
        <w:rPr>
          <w:rFonts w:asciiTheme="majorBidi" w:hAnsiTheme="majorBidi" w:cstheme="majorBidi"/>
          <w:sz w:val="24"/>
          <w:szCs w:val="24"/>
          <w:u w:val="single"/>
          <w:lang w:val="uk-UA"/>
        </w:rPr>
        <w:t xml:space="preserve">  </w:t>
      </w:r>
      <w:r w:rsidRPr="002B4C8A">
        <w:rPr>
          <w:rFonts w:asciiTheme="majorBidi" w:hAnsiTheme="majorBidi" w:cstheme="majorBidi"/>
          <w:sz w:val="24"/>
          <w:szCs w:val="24"/>
          <w:u w:val="single"/>
        </w:rPr>
        <w:t>та</w:t>
      </w:r>
      <w:r w:rsidRPr="002B4C8A">
        <w:rPr>
          <w:rFonts w:asciiTheme="majorBidi" w:hAnsiTheme="majorBidi" w:cstheme="majorBidi"/>
          <w:sz w:val="24"/>
          <w:szCs w:val="24"/>
          <w:u w:val="single"/>
          <w:lang w:val="uk-UA"/>
        </w:rPr>
        <w:t xml:space="preserve"> </w:t>
      </w:r>
      <w:r w:rsidRPr="002B4C8A">
        <w:rPr>
          <w:rFonts w:asciiTheme="majorBidi" w:hAnsiTheme="majorBidi" w:cstheme="majorBidi"/>
          <w:sz w:val="24"/>
          <w:szCs w:val="24"/>
          <w:u w:val="single"/>
        </w:rPr>
        <w:t>регіональні</w:t>
      </w:r>
      <w:r w:rsidRPr="002B4C8A">
        <w:rPr>
          <w:rFonts w:asciiTheme="majorBidi" w:hAnsiTheme="majorBidi" w:cstheme="majorBidi"/>
          <w:sz w:val="24"/>
          <w:szCs w:val="24"/>
          <w:u w:val="single"/>
          <w:lang w:val="uk-UA"/>
        </w:rPr>
        <w:t xml:space="preserve">  </w:t>
      </w:r>
      <w:r w:rsidRPr="002B4C8A">
        <w:rPr>
          <w:rFonts w:asciiTheme="majorBidi" w:hAnsiTheme="majorBidi" w:cstheme="majorBidi"/>
          <w:sz w:val="24"/>
          <w:szCs w:val="24"/>
          <w:u w:val="single"/>
        </w:rPr>
        <w:t>студії</w:t>
      </w:r>
    </w:p>
    <w:p w14:paraId="5F6F6CAF" w14:textId="77777777" w:rsidR="00532053" w:rsidRPr="002B4C8A" w:rsidRDefault="00532053" w:rsidP="00532053">
      <w:pPr>
        <w:spacing w:line="240" w:lineRule="auto"/>
        <w:jc w:val="both"/>
        <w:rPr>
          <w:rFonts w:asciiTheme="majorBidi" w:hAnsiTheme="majorBidi" w:cstheme="majorBidi"/>
          <w:sz w:val="24"/>
          <w:szCs w:val="24"/>
          <w:u w:val="single"/>
          <w:lang w:val="uk-UA"/>
        </w:rPr>
      </w:pPr>
      <w:r w:rsidRPr="002B4C8A">
        <w:rPr>
          <w:rFonts w:asciiTheme="majorBidi" w:hAnsiTheme="majorBidi" w:cstheme="majorBidi"/>
          <w:sz w:val="24"/>
          <w:szCs w:val="24"/>
        </w:rPr>
        <w:t xml:space="preserve">Освітня програма </w:t>
      </w:r>
      <w:r w:rsidRPr="002B4C8A">
        <w:rPr>
          <w:rFonts w:asciiTheme="majorBidi" w:hAnsiTheme="majorBidi" w:cstheme="majorBidi"/>
          <w:sz w:val="24"/>
          <w:szCs w:val="24"/>
          <w:u w:val="single"/>
        </w:rPr>
        <w:t>Міжнародні відносини, суспільні комунікації</w:t>
      </w:r>
      <w:r w:rsidRPr="002B4C8A">
        <w:rPr>
          <w:rFonts w:asciiTheme="majorBidi" w:hAnsiTheme="majorBidi" w:cstheme="majorBidi"/>
          <w:sz w:val="24"/>
          <w:szCs w:val="24"/>
          <w:lang w:val="uk-UA"/>
        </w:rPr>
        <w:t xml:space="preserve"> </w:t>
      </w:r>
      <w:r w:rsidRPr="002B4C8A">
        <w:rPr>
          <w:rFonts w:asciiTheme="majorBidi" w:hAnsiTheme="majorBidi" w:cstheme="majorBidi"/>
          <w:sz w:val="24"/>
          <w:szCs w:val="24"/>
          <w:u w:val="single"/>
        </w:rPr>
        <w:t>та регіональні студії</w:t>
      </w:r>
    </w:p>
    <w:p w14:paraId="50A94DEA" w14:textId="77777777" w:rsidR="00532053" w:rsidRPr="002B4C8A" w:rsidRDefault="00532053" w:rsidP="00532053">
      <w:pPr>
        <w:spacing w:line="240" w:lineRule="auto"/>
        <w:jc w:val="both"/>
        <w:rPr>
          <w:rFonts w:asciiTheme="majorBidi" w:hAnsiTheme="majorBidi" w:cstheme="majorBidi"/>
          <w:sz w:val="24"/>
          <w:szCs w:val="24"/>
          <w:lang w:val="uk-UA"/>
        </w:rPr>
      </w:pPr>
    </w:p>
    <w:p w14:paraId="0A1EE9C5" w14:textId="77777777" w:rsidR="00532053" w:rsidRPr="002B4C8A" w:rsidRDefault="00532053" w:rsidP="00532053">
      <w:pPr>
        <w:spacing w:line="240" w:lineRule="auto"/>
        <w:jc w:val="both"/>
        <w:rPr>
          <w:rFonts w:asciiTheme="majorBidi" w:hAnsiTheme="majorBidi" w:cstheme="majorBidi"/>
          <w:sz w:val="24"/>
          <w:szCs w:val="24"/>
          <w:lang w:val="uk-UA"/>
        </w:rPr>
      </w:pPr>
      <w:r w:rsidRPr="002B4C8A">
        <w:rPr>
          <w:rFonts w:asciiTheme="majorBidi" w:hAnsiTheme="majorBidi" w:cstheme="majorBidi"/>
          <w:sz w:val="24"/>
          <w:szCs w:val="24"/>
        </w:rPr>
        <w:t xml:space="preserve">                                 </w:t>
      </w:r>
      <w:r w:rsidRPr="002B4C8A">
        <w:rPr>
          <w:rFonts w:asciiTheme="majorBidi" w:hAnsiTheme="majorBidi" w:cstheme="majorBidi"/>
          <w:sz w:val="24"/>
          <w:szCs w:val="24"/>
          <w:lang w:val="uk-UA"/>
        </w:rPr>
        <w:t xml:space="preserve">                                                 Дерменжи Альбіна Володимирівна</w:t>
      </w:r>
      <w:r w:rsidRPr="002B4C8A">
        <w:rPr>
          <w:rFonts w:asciiTheme="majorBidi" w:hAnsiTheme="majorBidi" w:cstheme="majorBidi"/>
          <w:sz w:val="24"/>
          <w:szCs w:val="24"/>
        </w:rPr>
        <w:t xml:space="preserve"> </w:t>
      </w:r>
    </w:p>
    <w:p w14:paraId="5EFAE349" w14:textId="77777777" w:rsidR="00532053" w:rsidRPr="002B4C8A" w:rsidRDefault="00532053" w:rsidP="00532053">
      <w:pPr>
        <w:spacing w:line="240" w:lineRule="auto"/>
        <w:jc w:val="both"/>
        <w:rPr>
          <w:rFonts w:asciiTheme="majorBidi" w:hAnsiTheme="majorBidi" w:cstheme="majorBidi"/>
          <w:sz w:val="24"/>
          <w:szCs w:val="24"/>
        </w:rPr>
      </w:pPr>
      <w:r w:rsidRPr="002B4C8A">
        <w:rPr>
          <w:rFonts w:asciiTheme="majorBidi" w:hAnsiTheme="majorBidi" w:cstheme="majorBidi"/>
          <w:sz w:val="24"/>
          <w:szCs w:val="24"/>
        </w:rPr>
        <w:t xml:space="preserve"> </w:t>
      </w:r>
      <w:r w:rsidRPr="002B4C8A">
        <w:rPr>
          <w:rFonts w:asciiTheme="majorBidi" w:hAnsiTheme="majorBidi" w:cstheme="majorBidi"/>
          <w:sz w:val="24"/>
          <w:szCs w:val="24"/>
          <w:lang w:val="uk-UA"/>
        </w:rPr>
        <w:t xml:space="preserve">                                                                               </w:t>
      </w:r>
      <w:r w:rsidRPr="002B4C8A">
        <w:rPr>
          <w:rFonts w:asciiTheme="majorBidi" w:hAnsiTheme="majorBidi" w:cstheme="majorBidi"/>
          <w:sz w:val="24"/>
          <w:szCs w:val="24"/>
        </w:rPr>
        <w:t>(прізвище, ім’я, по-батькові здобувача)</w:t>
      </w:r>
    </w:p>
    <w:p w14:paraId="59EE549D" w14:textId="77777777" w:rsidR="00532053" w:rsidRPr="002B4C8A" w:rsidRDefault="00532053" w:rsidP="00532053">
      <w:pPr>
        <w:tabs>
          <w:tab w:val="left" w:pos="5245"/>
          <w:tab w:val="right" w:pos="9355"/>
        </w:tabs>
        <w:spacing w:before="120" w:line="240" w:lineRule="auto"/>
        <w:jc w:val="both"/>
        <w:rPr>
          <w:rFonts w:asciiTheme="majorBidi" w:hAnsiTheme="majorBidi" w:cstheme="majorBidi"/>
          <w:sz w:val="24"/>
          <w:szCs w:val="24"/>
          <w:lang w:val="uk-UA"/>
        </w:rPr>
      </w:pPr>
      <w:r w:rsidRPr="002B4C8A">
        <w:rPr>
          <w:rFonts w:asciiTheme="majorBidi" w:hAnsiTheme="majorBidi" w:cstheme="majorBidi"/>
          <w:sz w:val="24"/>
          <w:szCs w:val="24"/>
        </w:rPr>
        <w:t xml:space="preserve">                                 </w:t>
      </w:r>
    </w:p>
    <w:p w14:paraId="2B9F682B" w14:textId="77777777" w:rsidR="00CF3906" w:rsidRPr="00CF3906" w:rsidRDefault="00CF3906" w:rsidP="00CF3906">
      <w:pPr>
        <w:tabs>
          <w:tab w:val="left" w:pos="5245"/>
          <w:tab w:val="right" w:pos="9355"/>
        </w:tabs>
        <w:spacing w:before="120" w:line="240" w:lineRule="auto"/>
        <w:rPr>
          <w:rFonts w:ascii="Times New Roman" w:eastAsia="Times New Roman" w:hAnsi="Times New Roman" w:cs="Times New Roman"/>
          <w:sz w:val="28"/>
          <w:szCs w:val="28"/>
          <w:lang w:val="uk-UA" w:eastAsia="en-US"/>
        </w:rPr>
      </w:pPr>
      <w:r w:rsidRPr="00CF3906">
        <w:rPr>
          <w:rFonts w:ascii="Times New Roman" w:eastAsia="Times New Roman" w:hAnsi="Times New Roman" w:cs="Times New Roman"/>
          <w:sz w:val="28"/>
          <w:szCs w:val="28"/>
          <w:lang w:val="uk-UA" w:eastAsia="en-US"/>
        </w:rPr>
        <w:t xml:space="preserve">                                 Керівник      ____</w:t>
      </w:r>
      <w:r w:rsidRPr="00CF3906">
        <w:rPr>
          <w:rFonts w:ascii="Times New Roman" w:eastAsia="Times New Roman" w:hAnsi="Times New Roman" w:cs="Times New Roman"/>
          <w:sz w:val="28"/>
          <w:szCs w:val="28"/>
          <w:u w:val="single"/>
          <w:lang w:val="uk-UA" w:eastAsia="en-US"/>
        </w:rPr>
        <w:t>к.політ.н., доц. Майстренко Ю.І.</w:t>
      </w:r>
      <w:r w:rsidRPr="00CF3906">
        <w:rPr>
          <w:rFonts w:ascii="Times New Roman" w:eastAsia="Times New Roman" w:hAnsi="Times New Roman" w:cs="Times New Roman"/>
          <w:sz w:val="28"/>
          <w:szCs w:val="28"/>
          <w:lang w:val="uk-UA" w:eastAsia="en-US"/>
        </w:rPr>
        <w:t>____</w:t>
      </w:r>
    </w:p>
    <w:p w14:paraId="1D6C0B85" w14:textId="77777777" w:rsidR="00CF3906" w:rsidRPr="00CF3906" w:rsidRDefault="00CF3906" w:rsidP="00CF3906">
      <w:pPr>
        <w:tabs>
          <w:tab w:val="left" w:pos="5245"/>
          <w:tab w:val="right" w:pos="9355"/>
        </w:tabs>
        <w:spacing w:before="120" w:line="240" w:lineRule="auto"/>
        <w:ind w:firstLine="2160"/>
        <w:jc w:val="center"/>
        <w:rPr>
          <w:rFonts w:ascii="Times New Roman" w:eastAsia="Times New Roman" w:hAnsi="Times New Roman" w:cs="Times New Roman"/>
          <w:sz w:val="20"/>
          <w:szCs w:val="20"/>
          <w:lang w:val="uk-UA" w:eastAsia="en-US"/>
        </w:rPr>
      </w:pPr>
      <w:r w:rsidRPr="00CF3906">
        <w:rPr>
          <w:rFonts w:ascii="Times New Roman" w:eastAsia="Times New Roman" w:hAnsi="Times New Roman" w:cs="Times New Roman"/>
          <w:sz w:val="20"/>
          <w:szCs w:val="20"/>
          <w:lang w:val="uk-UA" w:eastAsia="en-US"/>
        </w:rPr>
        <w:t xml:space="preserve">                  (науковий ступінь, вчене звання, прізвище, ініціали)  (підпис)</w:t>
      </w:r>
    </w:p>
    <w:p w14:paraId="5502B53F" w14:textId="67BB2191" w:rsidR="00CF3906" w:rsidRPr="00CF3906" w:rsidRDefault="00CF3906" w:rsidP="00CF3906">
      <w:pPr>
        <w:tabs>
          <w:tab w:val="left" w:pos="5245"/>
          <w:tab w:val="right" w:pos="9355"/>
        </w:tabs>
        <w:spacing w:before="120" w:line="240" w:lineRule="auto"/>
        <w:rPr>
          <w:rFonts w:ascii="Times New Roman" w:eastAsia="Times New Roman" w:hAnsi="Times New Roman" w:cs="Times New Roman"/>
          <w:sz w:val="28"/>
          <w:szCs w:val="28"/>
          <w:lang w:val="uk-UA" w:eastAsia="en-US"/>
        </w:rPr>
      </w:pPr>
      <w:r w:rsidRPr="00CF3906">
        <w:rPr>
          <w:rFonts w:ascii="Times New Roman" w:eastAsia="Times New Roman" w:hAnsi="Times New Roman" w:cs="Times New Roman"/>
          <w:sz w:val="28"/>
          <w:szCs w:val="28"/>
          <w:lang w:val="uk-UA" w:eastAsia="en-US"/>
        </w:rPr>
        <w:t xml:space="preserve">                                 Рецензент    ___</w:t>
      </w:r>
      <w:r>
        <w:rPr>
          <w:rFonts w:ascii="Times New Roman" w:eastAsia="Times New Roman" w:hAnsi="Times New Roman" w:cs="Times New Roman"/>
          <w:sz w:val="28"/>
          <w:szCs w:val="28"/>
          <w:u w:val="single"/>
          <w:lang w:val="uk-UA" w:eastAsia="en-US"/>
        </w:rPr>
        <w:t>к</w:t>
      </w:r>
      <w:r w:rsidRPr="00CF3906">
        <w:rPr>
          <w:rFonts w:ascii="Times New Roman" w:eastAsia="Times New Roman" w:hAnsi="Times New Roman" w:cs="Times New Roman"/>
          <w:sz w:val="28"/>
          <w:szCs w:val="28"/>
          <w:u w:val="single"/>
          <w:lang w:val="uk-UA" w:eastAsia="en-US"/>
        </w:rPr>
        <w:t xml:space="preserve">.політ.н., </w:t>
      </w:r>
      <w:r>
        <w:rPr>
          <w:rFonts w:ascii="Times New Roman" w:eastAsia="Times New Roman" w:hAnsi="Times New Roman" w:cs="Times New Roman"/>
          <w:sz w:val="28"/>
          <w:szCs w:val="28"/>
          <w:u w:val="single"/>
          <w:lang w:val="uk-UA" w:eastAsia="en-US"/>
        </w:rPr>
        <w:t>доц</w:t>
      </w:r>
      <w:r w:rsidRPr="00CF3906">
        <w:rPr>
          <w:rFonts w:ascii="Times New Roman" w:eastAsia="Times New Roman" w:hAnsi="Times New Roman" w:cs="Times New Roman"/>
          <w:sz w:val="28"/>
          <w:szCs w:val="28"/>
          <w:u w:val="single"/>
          <w:lang w:val="uk-UA" w:eastAsia="en-US"/>
        </w:rPr>
        <w:t xml:space="preserve">. </w:t>
      </w:r>
      <w:r>
        <w:rPr>
          <w:rFonts w:ascii="Times New Roman" w:eastAsia="Times New Roman" w:hAnsi="Times New Roman" w:cs="Times New Roman"/>
          <w:sz w:val="28"/>
          <w:szCs w:val="28"/>
          <w:u w:val="single"/>
          <w:lang w:val="uk-UA" w:eastAsia="en-US"/>
        </w:rPr>
        <w:t>Захарченко А.М.</w:t>
      </w:r>
    </w:p>
    <w:p w14:paraId="63F01A1C" w14:textId="77777777" w:rsidR="00CF3906" w:rsidRPr="00CF3906" w:rsidRDefault="00CF3906" w:rsidP="00CF3906">
      <w:pPr>
        <w:tabs>
          <w:tab w:val="left" w:pos="5245"/>
          <w:tab w:val="right" w:pos="9355"/>
        </w:tabs>
        <w:spacing w:before="120" w:line="240" w:lineRule="auto"/>
        <w:rPr>
          <w:rFonts w:ascii="Times New Roman" w:eastAsia="Times New Roman" w:hAnsi="Times New Roman" w:cs="Times New Roman"/>
          <w:sz w:val="20"/>
          <w:szCs w:val="20"/>
          <w:lang w:val="ru-RU" w:eastAsia="en-US"/>
        </w:rPr>
      </w:pPr>
      <w:r w:rsidRPr="00CF3906">
        <w:rPr>
          <w:rFonts w:ascii="Times New Roman" w:eastAsia="Times New Roman" w:hAnsi="Times New Roman" w:cs="Times New Roman"/>
          <w:sz w:val="20"/>
          <w:szCs w:val="20"/>
          <w:lang w:val="uk-UA" w:eastAsia="en-US"/>
        </w:rPr>
        <w:t xml:space="preserve">                                                                                 (науковий ступінь, вчене звання, прізвище, ініціали)</w:t>
      </w:r>
    </w:p>
    <w:p w14:paraId="0D26976A" w14:textId="77777777" w:rsidR="00CF3906" w:rsidRPr="00CF3906" w:rsidRDefault="00CF3906" w:rsidP="00CF3906">
      <w:pPr>
        <w:tabs>
          <w:tab w:val="left" w:pos="5245"/>
          <w:tab w:val="right" w:pos="9355"/>
        </w:tabs>
        <w:spacing w:before="120" w:line="240" w:lineRule="auto"/>
        <w:jc w:val="both"/>
        <w:rPr>
          <w:rFonts w:ascii="Times New Roman" w:eastAsia="Times New Roman" w:hAnsi="Times New Roman" w:cs="Times New Roman"/>
          <w:sz w:val="20"/>
          <w:szCs w:val="20"/>
          <w:lang w:val="uk-UA" w:eastAsia="en-US"/>
        </w:rPr>
      </w:pPr>
    </w:p>
    <w:p w14:paraId="0E1F3223" w14:textId="77777777" w:rsidR="00532053" w:rsidRPr="002B4C8A" w:rsidRDefault="00532053" w:rsidP="00532053">
      <w:pPr>
        <w:tabs>
          <w:tab w:val="left" w:pos="5245"/>
          <w:tab w:val="right" w:pos="9355"/>
        </w:tabs>
        <w:spacing w:before="120" w:line="240" w:lineRule="auto"/>
        <w:jc w:val="both"/>
        <w:rPr>
          <w:rFonts w:asciiTheme="majorBidi" w:hAnsiTheme="majorBidi" w:cstheme="majorBidi"/>
          <w:sz w:val="24"/>
          <w:szCs w:val="24"/>
        </w:rPr>
      </w:pPr>
    </w:p>
    <w:tbl>
      <w:tblPr>
        <w:tblW w:w="9868" w:type="dxa"/>
        <w:tblLayout w:type="fixed"/>
        <w:tblLook w:val="0000" w:firstRow="0" w:lastRow="0" w:firstColumn="0" w:lastColumn="0" w:noHBand="0" w:noVBand="0"/>
      </w:tblPr>
      <w:tblGrid>
        <w:gridCol w:w="5082"/>
        <w:gridCol w:w="4786"/>
      </w:tblGrid>
      <w:tr w:rsidR="00532053" w:rsidRPr="002B4C8A" w14:paraId="198AEF5F" w14:textId="77777777" w:rsidTr="00A206A1">
        <w:tc>
          <w:tcPr>
            <w:tcW w:w="5082" w:type="dxa"/>
          </w:tcPr>
          <w:p w14:paraId="5DD311ED" w14:textId="77777777" w:rsidR="00532053" w:rsidRPr="002B4C8A" w:rsidRDefault="00532053" w:rsidP="00A206A1">
            <w:pPr>
              <w:spacing w:line="240" w:lineRule="auto"/>
              <w:rPr>
                <w:rFonts w:asciiTheme="majorBidi" w:hAnsiTheme="majorBidi" w:cstheme="majorBidi"/>
                <w:sz w:val="24"/>
                <w:szCs w:val="24"/>
              </w:rPr>
            </w:pPr>
            <w:bookmarkStart w:id="0" w:name="_heading=h.gjdgxs" w:colFirst="0" w:colLast="0"/>
            <w:bookmarkEnd w:id="0"/>
            <w:r w:rsidRPr="002B4C8A">
              <w:rPr>
                <w:rFonts w:asciiTheme="majorBidi" w:hAnsiTheme="majorBidi" w:cstheme="majorBidi"/>
                <w:sz w:val="24"/>
                <w:szCs w:val="24"/>
              </w:rPr>
              <w:t>Рекомендовано до захисту:</w:t>
            </w:r>
          </w:p>
          <w:p w14:paraId="05638732" w14:textId="77777777" w:rsidR="00532053" w:rsidRPr="002B4C8A" w:rsidRDefault="00532053" w:rsidP="00A206A1">
            <w:pPr>
              <w:spacing w:line="240" w:lineRule="auto"/>
              <w:rPr>
                <w:rFonts w:asciiTheme="majorBidi" w:hAnsiTheme="majorBidi" w:cstheme="majorBidi"/>
                <w:sz w:val="24"/>
                <w:szCs w:val="24"/>
              </w:rPr>
            </w:pPr>
            <w:r w:rsidRPr="002B4C8A">
              <w:rPr>
                <w:rFonts w:asciiTheme="majorBidi" w:hAnsiTheme="majorBidi" w:cstheme="majorBidi"/>
                <w:sz w:val="24"/>
                <w:szCs w:val="24"/>
              </w:rPr>
              <w:t>Протокол засідання кафедри</w:t>
            </w:r>
          </w:p>
          <w:p w14:paraId="56463153" w14:textId="77777777" w:rsidR="00532053" w:rsidRPr="002B4C8A" w:rsidRDefault="00532053" w:rsidP="00A206A1">
            <w:pPr>
              <w:spacing w:line="240" w:lineRule="auto"/>
              <w:rPr>
                <w:rFonts w:asciiTheme="majorBidi" w:hAnsiTheme="majorBidi" w:cstheme="majorBidi"/>
                <w:sz w:val="24"/>
                <w:szCs w:val="24"/>
              </w:rPr>
            </w:pPr>
            <w:r w:rsidRPr="002B4C8A">
              <w:rPr>
                <w:rFonts w:asciiTheme="majorBidi" w:hAnsiTheme="majorBidi" w:cstheme="majorBidi"/>
                <w:sz w:val="24"/>
                <w:szCs w:val="24"/>
              </w:rPr>
              <w:t>__________________________</w:t>
            </w:r>
          </w:p>
          <w:p w14:paraId="5DDF24C7" w14:textId="77777777" w:rsidR="00532053" w:rsidRPr="002B4C8A" w:rsidRDefault="00532053" w:rsidP="00A206A1">
            <w:pPr>
              <w:spacing w:line="240" w:lineRule="auto"/>
              <w:rPr>
                <w:rFonts w:asciiTheme="majorBidi" w:hAnsiTheme="majorBidi" w:cstheme="majorBidi"/>
                <w:sz w:val="24"/>
                <w:szCs w:val="24"/>
              </w:rPr>
            </w:pPr>
            <w:r w:rsidRPr="002B4C8A">
              <w:rPr>
                <w:rFonts w:asciiTheme="majorBidi" w:hAnsiTheme="majorBidi" w:cstheme="majorBidi"/>
                <w:sz w:val="24"/>
                <w:szCs w:val="24"/>
              </w:rPr>
              <w:t xml:space="preserve">№ ___   від ____.____. 20___ р. </w:t>
            </w:r>
          </w:p>
          <w:p w14:paraId="5492C826" w14:textId="77777777" w:rsidR="00532053" w:rsidRPr="002B4C8A" w:rsidRDefault="00532053" w:rsidP="00A206A1">
            <w:pPr>
              <w:spacing w:line="240" w:lineRule="auto"/>
              <w:rPr>
                <w:rFonts w:asciiTheme="majorBidi" w:hAnsiTheme="majorBidi" w:cstheme="majorBidi"/>
                <w:sz w:val="24"/>
                <w:szCs w:val="24"/>
              </w:rPr>
            </w:pPr>
          </w:p>
          <w:p w14:paraId="1E153C30" w14:textId="77777777" w:rsidR="00532053" w:rsidRPr="002B4C8A" w:rsidRDefault="00532053" w:rsidP="00A206A1">
            <w:pPr>
              <w:spacing w:line="240" w:lineRule="auto"/>
              <w:rPr>
                <w:rFonts w:asciiTheme="majorBidi" w:hAnsiTheme="majorBidi" w:cstheme="majorBidi"/>
                <w:sz w:val="24"/>
                <w:szCs w:val="24"/>
              </w:rPr>
            </w:pPr>
            <w:r w:rsidRPr="002B4C8A">
              <w:rPr>
                <w:rFonts w:asciiTheme="majorBidi" w:hAnsiTheme="majorBidi" w:cstheme="majorBidi"/>
                <w:sz w:val="24"/>
                <w:szCs w:val="24"/>
              </w:rPr>
              <w:t>Завідувач(ка) кафедри</w:t>
            </w:r>
          </w:p>
          <w:p w14:paraId="2FB2C3DF" w14:textId="77777777" w:rsidR="00532053" w:rsidRPr="002B4C8A" w:rsidRDefault="00532053" w:rsidP="00A206A1">
            <w:pPr>
              <w:tabs>
                <w:tab w:val="left" w:pos="1168"/>
                <w:tab w:val="left" w:pos="3861"/>
              </w:tabs>
              <w:spacing w:line="240" w:lineRule="auto"/>
              <w:rPr>
                <w:rFonts w:asciiTheme="majorBidi" w:hAnsiTheme="majorBidi" w:cstheme="majorBidi"/>
                <w:sz w:val="24"/>
                <w:szCs w:val="24"/>
                <w:u w:val="single"/>
              </w:rPr>
            </w:pPr>
            <w:r w:rsidRPr="002B4C8A">
              <w:rPr>
                <w:rFonts w:asciiTheme="majorBidi" w:hAnsiTheme="majorBidi" w:cstheme="majorBidi"/>
                <w:sz w:val="24"/>
                <w:szCs w:val="24"/>
                <w:u w:val="single"/>
              </w:rPr>
              <w:tab/>
            </w:r>
            <w:r w:rsidRPr="002B4C8A">
              <w:rPr>
                <w:rFonts w:asciiTheme="majorBidi" w:hAnsiTheme="majorBidi" w:cstheme="majorBidi"/>
                <w:sz w:val="24"/>
                <w:szCs w:val="24"/>
              </w:rPr>
              <w:t xml:space="preserve">              _____________</w:t>
            </w:r>
          </w:p>
          <w:p w14:paraId="781111F5" w14:textId="77777777" w:rsidR="00532053" w:rsidRPr="002B4C8A" w:rsidRDefault="00532053" w:rsidP="00A206A1">
            <w:pPr>
              <w:tabs>
                <w:tab w:val="left" w:pos="284"/>
                <w:tab w:val="left" w:pos="1767"/>
              </w:tabs>
              <w:spacing w:line="240" w:lineRule="auto"/>
              <w:rPr>
                <w:rFonts w:asciiTheme="majorBidi" w:hAnsiTheme="majorBidi" w:cstheme="majorBidi"/>
                <w:sz w:val="24"/>
                <w:szCs w:val="24"/>
              </w:rPr>
            </w:pPr>
            <w:r w:rsidRPr="002B4C8A">
              <w:rPr>
                <w:rFonts w:asciiTheme="majorBidi" w:hAnsiTheme="majorBidi" w:cstheme="majorBidi"/>
                <w:sz w:val="24"/>
                <w:szCs w:val="24"/>
              </w:rPr>
              <w:t xml:space="preserve">     (підпис)</w:t>
            </w:r>
            <w:r w:rsidRPr="002B4C8A">
              <w:rPr>
                <w:rFonts w:asciiTheme="majorBidi" w:hAnsiTheme="majorBidi" w:cstheme="majorBidi"/>
                <w:sz w:val="24"/>
                <w:szCs w:val="24"/>
              </w:rPr>
              <w:tab/>
              <w:t xml:space="preserve">     </w:t>
            </w:r>
            <w:r w:rsidRPr="002B4C8A">
              <w:rPr>
                <w:rFonts w:asciiTheme="majorBidi" w:hAnsiTheme="majorBidi" w:cstheme="majorBidi"/>
                <w:sz w:val="24"/>
                <w:szCs w:val="24"/>
                <w:lang w:val="en-US"/>
              </w:rPr>
              <w:t xml:space="preserve">      </w:t>
            </w:r>
            <w:r w:rsidRPr="002B4C8A">
              <w:rPr>
                <w:rFonts w:asciiTheme="majorBidi" w:hAnsiTheme="majorBidi" w:cstheme="majorBidi"/>
                <w:sz w:val="24"/>
                <w:szCs w:val="24"/>
              </w:rPr>
              <w:t xml:space="preserve"> (прізвище,ім’я)</w:t>
            </w:r>
          </w:p>
        </w:tc>
        <w:tc>
          <w:tcPr>
            <w:tcW w:w="4786" w:type="dxa"/>
          </w:tcPr>
          <w:p w14:paraId="41EADCF0" w14:textId="77777777" w:rsidR="00532053" w:rsidRPr="002B4C8A" w:rsidRDefault="00532053" w:rsidP="00A206A1">
            <w:pPr>
              <w:tabs>
                <w:tab w:val="right" w:pos="4462"/>
              </w:tabs>
              <w:spacing w:line="240" w:lineRule="auto"/>
              <w:rPr>
                <w:rFonts w:asciiTheme="majorBidi" w:hAnsiTheme="majorBidi" w:cstheme="majorBidi"/>
                <w:sz w:val="24"/>
                <w:szCs w:val="24"/>
              </w:rPr>
            </w:pPr>
            <w:r w:rsidRPr="002B4C8A">
              <w:rPr>
                <w:rFonts w:asciiTheme="majorBidi" w:hAnsiTheme="majorBidi" w:cstheme="majorBidi"/>
                <w:sz w:val="24"/>
                <w:szCs w:val="24"/>
              </w:rPr>
              <w:t>Захищено на засіданні ЕК № _____</w:t>
            </w:r>
          </w:p>
          <w:p w14:paraId="6A2AC378" w14:textId="77777777" w:rsidR="00532053" w:rsidRPr="002B4C8A" w:rsidRDefault="00532053" w:rsidP="00A206A1">
            <w:pPr>
              <w:spacing w:line="240" w:lineRule="auto"/>
              <w:rPr>
                <w:rFonts w:asciiTheme="majorBidi" w:hAnsiTheme="majorBidi" w:cstheme="majorBidi"/>
                <w:sz w:val="24"/>
                <w:szCs w:val="24"/>
              </w:rPr>
            </w:pPr>
            <w:r w:rsidRPr="002B4C8A">
              <w:rPr>
                <w:rFonts w:asciiTheme="majorBidi" w:hAnsiTheme="majorBidi" w:cstheme="majorBidi"/>
                <w:sz w:val="24"/>
                <w:szCs w:val="24"/>
              </w:rPr>
              <w:t>протокол № __від ____.____.20___ р.</w:t>
            </w:r>
          </w:p>
          <w:p w14:paraId="0599BC19" w14:textId="77777777" w:rsidR="00532053" w:rsidRPr="002B4C8A" w:rsidRDefault="00532053" w:rsidP="00A206A1">
            <w:pPr>
              <w:spacing w:line="240" w:lineRule="auto"/>
              <w:rPr>
                <w:rFonts w:asciiTheme="majorBidi" w:hAnsiTheme="majorBidi" w:cstheme="majorBidi"/>
                <w:sz w:val="24"/>
                <w:szCs w:val="24"/>
              </w:rPr>
            </w:pPr>
          </w:p>
          <w:p w14:paraId="75D1B4F7" w14:textId="77777777" w:rsidR="00532053" w:rsidRPr="002B4C8A" w:rsidRDefault="00532053" w:rsidP="00A206A1">
            <w:pPr>
              <w:tabs>
                <w:tab w:val="right" w:pos="4462"/>
              </w:tabs>
              <w:spacing w:line="240" w:lineRule="auto"/>
              <w:rPr>
                <w:rFonts w:asciiTheme="majorBidi" w:hAnsiTheme="majorBidi" w:cstheme="majorBidi"/>
                <w:sz w:val="24"/>
                <w:szCs w:val="24"/>
              </w:rPr>
            </w:pPr>
            <w:r w:rsidRPr="002B4C8A">
              <w:rPr>
                <w:rFonts w:asciiTheme="majorBidi" w:hAnsiTheme="majorBidi" w:cstheme="majorBidi"/>
                <w:sz w:val="24"/>
                <w:szCs w:val="24"/>
              </w:rPr>
              <w:t>Оцінка______________/___</w:t>
            </w:r>
            <w:r w:rsidRPr="002B4C8A">
              <w:rPr>
                <w:rFonts w:asciiTheme="majorBidi" w:hAnsiTheme="majorBidi" w:cstheme="majorBidi"/>
                <w:sz w:val="24"/>
                <w:szCs w:val="24"/>
              </w:rPr>
              <w:tab/>
              <w:t>___/_____</w:t>
            </w:r>
          </w:p>
          <w:p w14:paraId="0918562E" w14:textId="77777777" w:rsidR="00532053" w:rsidRPr="002B4C8A" w:rsidRDefault="00532053" w:rsidP="00A206A1">
            <w:pPr>
              <w:spacing w:line="240" w:lineRule="auto"/>
              <w:jc w:val="center"/>
              <w:rPr>
                <w:rFonts w:asciiTheme="majorBidi" w:hAnsiTheme="majorBidi" w:cstheme="majorBidi"/>
                <w:sz w:val="24"/>
                <w:szCs w:val="24"/>
              </w:rPr>
            </w:pPr>
            <w:r w:rsidRPr="002B4C8A">
              <w:rPr>
                <w:rFonts w:asciiTheme="majorBidi" w:hAnsiTheme="majorBidi" w:cstheme="majorBidi"/>
                <w:sz w:val="24"/>
                <w:szCs w:val="24"/>
              </w:rPr>
              <w:t>(за національною шкалою/шкалою ЕСТS/ бали)</w:t>
            </w:r>
          </w:p>
          <w:p w14:paraId="05AECC26" w14:textId="77777777" w:rsidR="00532053" w:rsidRPr="002B4C8A" w:rsidRDefault="00532053" w:rsidP="00A206A1">
            <w:pPr>
              <w:spacing w:line="240" w:lineRule="auto"/>
              <w:rPr>
                <w:rFonts w:asciiTheme="majorBidi" w:hAnsiTheme="majorBidi" w:cstheme="majorBidi"/>
                <w:sz w:val="24"/>
                <w:szCs w:val="24"/>
              </w:rPr>
            </w:pPr>
            <w:r w:rsidRPr="002B4C8A">
              <w:rPr>
                <w:rFonts w:asciiTheme="majorBidi" w:hAnsiTheme="majorBidi" w:cstheme="majorBidi"/>
                <w:sz w:val="24"/>
                <w:szCs w:val="24"/>
              </w:rPr>
              <w:t>Голова ЕК</w:t>
            </w:r>
          </w:p>
          <w:p w14:paraId="1DDA9271" w14:textId="77777777" w:rsidR="00532053" w:rsidRPr="002B4C8A" w:rsidRDefault="00532053" w:rsidP="00A206A1">
            <w:pPr>
              <w:spacing w:line="240" w:lineRule="auto"/>
              <w:rPr>
                <w:rFonts w:asciiTheme="majorBidi" w:hAnsiTheme="majorBidi" w:cstheme="majorBidi"/>
                <w:sz w:val="24"/>
                <w:szCs w:val="24"/>
                <w:u w:val="single"/>
              </w:rPr>
            </w:pPr>
            <w:r w:rsidRPr="002B4C8A">
              <w:rPr>
                <w:rFonts w:asciiTheme="majorBidi" w:hAnsiTheme="majorBidi" w:cstheme="majorBidi"/>
                <w:sz w:val="24"/>
                <w:szCs w:val="24"/>
                <w:u w:val="single"/>
              </w:rPr>
              <w:tab/>
            </w:r>
            <w:r w:rsidRPr="002B4C8A">
              <w:rPr>
                <w:rFonts w:asciiTheme="majorBidi" w:hAnsiTheme="majorBidi" w:cstheme="majorBidi"/>
                <w:sz w:val="24"/>
                <w:szCs w:val="24"/>
              </w:rPr>
              <w:t xml:space="preserve">              _____________</w:t>
            </w:r>
          </w:p>
          <w:p w14:paraId="6530BB36" w14:textId="77777777" w:rsidR="00532053" w:rsidRPr="002B4C8A" w:rsidRDefault="00532053" w:rsidP="00A206A1">
            <w:pPr>
              <w:tabs>
                <w:tab w:val="left" w:pos="454"/>
                <w:tab w:val="left" w:pos="2155"/>
              </w:tabs>
              <w:spacing w:line="240" w:lineRule="auto"/>
              <w:rPr>
                <w:rFonts w:asciiTheme="majorBidi" w:hAnsiTheme="majorBidi" w:cstheme="majorBidi"/>
                <w:sz w:val="24"/>
                <w:szCs w:val="24"/>
                <w:lang w:val="ru-RU"/>
              </w:rPr>
            </w:pPr>
            <w:r w:rsidRPr="002B4C8A">
              <w:rPr>
                <w:rFonts w:asciiTheme="majorBidi" w:hAnsiTheme="majorBidi" w:cstheme="majorBidi"/>
                <w:sz w:val="24"/>
                <w:szCs w:val="24"/>
              </w:rPr>
              <w:t xml:space="preserve"> (підпис)            </w:t>
            </w:r>
            <w:r w:rsidRPr="002B4C8A">
              <w:rPr>
                <w:rFonts w:asciiTheme="majorBidi" w:hAnsiTheme="majorBidi" w:cstheme="majorBidi"/>
                <w:sz w:val="24"/>
                <w:szCs w:val="24"/>
                <w:lang w:val="ru-RU"/>
              </w:rPr>
              <w:t xml:space="preserve">      </w:t>
            </w:r>
            <w:r w:rsidRPr="002B4C8A">
              <w:rPr>
                <w:rFonts w:asciiTheme="majorBidi" w:hAnsiTheme="majorBidi" w:cstheme="majorBidi"/>
                <w:sz w:val="24"/>
                <w:szCs w:val="24"/>
              </w:rPr>
              <w:t xml:space="preserve">       (прізвище, ім’я</w:t>
            </w:r>
            <w:r w:rsidRPr="002B4C8A">
              <w:rPr>
                <w:rFonts w:asciiTheme="majorBidi" w:hAnsiTheme="majorBidi" w:cstheme="majorBidi"/>
                <w:sz w:val="24"/>
                <w:szCs w:val="24"/>
                <w:lang w:val="ru-RU"/>
              </w:rPr>
              <w:t>)</w:t>
            </w:r>
          </w:p>
        </w:tc>
      </w:tr>
      <w:tr w:rsidR="00532053" w:rsidRPr="002B4C8A" w14:paraId="62005E3D" w14:textId="77777777" w:rsidTr="00A206A1">
        <w:tc>
          <w:tcPr>
            <w:tcW w:w="5082" w:type="dxa"/>
          </w:tcPr>
          <w:p w14:paraId="020DC072" w14:textId="77777777" w:rsidR="00532053" w:rsidRPr="002B4C8A" w:rsidRDefault="00532053" w:rsidP="00A206A1">
            <w:pPr>
              <w:spacing w:line="240" w:lineRule="auto"/>
              <w:rPr>
                <w:rFonts w:asciiTheme="majorBidi" w:hAnsiTheme="majorBidi" w:cstheme="majorBidi"/>
                <w:sz w:val="24"/>
                <w:szCs w:val="24"/>
              </w:rPr>
            </w:pPr>
          </w:p>
        </w:tc>
        <w:tc>
          <w:tcPr>
            <w:tcW w:w="4786" w:type="dxa"/>
          </w:tcPr>
          <w:p w14:paraId="649C79FA" w14:textId="77777777" w:rsidR="00532053" w:rsidRPr="002B4C8A" w:rsidRDefault="00532053" w:rsidP="00A206A1">
            <w:pPr>
              <w:spacing w:line="240" w:lineRule="auto"/>
              <w:rPr>
                <w:rFonts w:asciiTheme="majorBidi" w:hAnsiTheme="majorBidi" w:cstheme="majorBidi"/>
                <w:sz w:val="24"/>
                <w:szCs w:val="24"/>
              </w:rPr>
            </w:pPr>
          </w:p>
        </w:tc>
      </w:tr>
    </w:tbl>
    <w:p w14:paraId="432C22A7" w14:textId="77777777" w:rsidR="00532053" w:rsidRPr="002B4C8A" w:rsidRDefault="00532053" w:rsidP="00532053">
      <w:pPr>
        <w:spacing w:line="240" w:lineRule="auto"/>
        <w:jc w:val="center"/>
        <w:rPr>
          <w:rFonts w:asciiTheme="majorBidi" w:hAnsiTheme="majorBidi" w:cstheme="majorBidi"/>
          <w:b/>
          <w:sz w:val="24"/>
          <w:szCs w:val="24"/>
          <w:lang w:val="ru-RU"/>
        </w:rPr>
      </w:pPr>
    </w:p>
    <w:p w14:paraId="0F3A2801" w14:textId="77777777" w:rsidR="00532053" w:rsidRPr="002B4C8A" w:rsidRDefault="00532053" w:rsidP="00532053">
      <w:pPr>
        <w:spacing w:line="240" w:lineRule="auto"/>
        <w:jc w:val="center"/>
        <w:rPr>
          <w:rFonts w:asciiTheme="majorBidi" w:hAnsiTheme="majorBidi" w:cstheme="majorBidi"/>
          <w:b/>
          <w:sz w:val="24"/>
          <w:szCs w:val="24"/>
          <w:lang w:val="ru-RU"/>
        </w:rPr>
      </w:pPr>
    </w:p>
    <w:p w14:paraId="451D5ED8" w14:textId="77777777" w:rsidR="00532053" w:rsidRPr="002B4C8A" w:rsidRDefault="00532053" w:rsidP="00532053">
      <w:pPr>
        <w:spacing w:line="240" w:lineRule="auto"/>
        <w:jc w:val="center"/>
        <w:rPr>
          <w:rFonts w:asciiTheme="majorBidi" w:hAnsiTheme="majorBidi" w:cstheme="majorBidi"/>
          <w:b/>
          <w:sz w:val="24"/>
          <w:szCs w:val="24"/>
          <w:lang w:val="ru-RU"/>
        </w:rPr>
      </w:pPr>
    </w:p>
    <w:p w14:paraId="12CC4BF4" w14:textId="77777777" w:rsidR="00532053" w:rsidRPr="002B4C8A" w:rsidRDefault="00532053" w:rsidP="00532053">
      <w:pPr>
        <w:spacing w:line="240" w:lineRule="auto"/>
        <w:jc w:val="center"/>
        <w:rPr>
          <w:rFonts w:asciiTheme="majorBidi" w:hAnsiTheme="majorBidi" w:cstheme="majorBidi"/>
          <w:b/>
          <w:sz w:val="24"/>
          <w:szCs w:val="24"/>
          <w:lang w:val="en-US"/>
        </w:rPr>
      </w:pPr>
      <w:r w:rsidRPr="002B4C8A">
        <w:rPr>
          <w:rFonts w:asciiTheme="majorBidi" w:hAnsiTheme="majorBidi" w:cstheme="majorBidi"/>
          <w:b/>
          <w:sz w:val="24"/>
          <w:szCs w:val="24"/>
        </w:rPr>
        <w:t>Одеса 20</w:t>
      </w:r>
      <w:r w:rsidRPr="002B4C8A">
        <w:rPr>
          <w:rFonts w:asciiTheme="majorBidi" w:hAnsiTheme="majorBidi" w:cstheme="majorBidi"/>
          <w:b/>
          <w:sz w:val="24"/>
          <w:szCs w:val="24"/>
          <w:lang w:val="en-US"/>
        </w:rPr>
        <w:t>24</w:t>
      </w:r>
    </w:p>
    <w:p w14:paraId="594C2D54" w14:textId="77777777" w:rsidR="00532053" w:rsidRDefault="00532053" w:rsidP="00F45923">
      <w:pPr>
        <w:rPr>
          <w:rFonts w:ascii="Times New Roman" w:eastAsia="Times New Roman" w:hAnsi="Times New Roman" w:cs="Times New Roman"/>
          <w:b/>
          <w:sz w:val="32"/>
          <w:szCs w:val="32"/>
          <w:lang w:val="uk-UA"/>
        </w:rPr>
      </w:pPr>
    </w:p>
    <w:p w14:paraId="2B89C57C" w14:textId="77777777" w:rsidR="00532053" w:rsidRDefault="00532053" w:rsidP="00B34B13">
      <w:pPr>
        <w:jc w:val="center"/>
        <w:rPr>
          <w:rFonts w:ascii="Times New Roman" w:eastAsia="Times New Roman" w:hAnsi="Times New Roman" w:cs="Times New Roman"/>
          <w:b/>
          <w:sz w:val="32"/>
          <w:szCs w:val="32"/>
          <w:lang w:val="uk-UA"/>
        </w:rPr>
      </w:pPr>
    </w:p>
    <w:p w14:paraId="7E2ED44B" w14:textId="77777777" w:rsidR="00532053" w:rsidRDefault="00532053" w:rsidP="00B34B13">
      <w:pPr>
        <w:jc w:val="center"/>
        <w:rPr>
          <w:rFonts w:ascii="Times New Roman" w:eastAsia="Times New Roman" w:hAnsi="Times New Roman" w:cs="Times New Roman"/>
          <w:b/>
          <w:sz w:val="32"/>
          <w:szCs w:val="32"/>
          <w:lang w:val="uk-UA"/>
        </w:rPr>
      </w:pPr>
    </w:p>
    <w:p w14:paraId="04CC8CA5" w14:textId="5F69F026" w:rsidR="00C335A4" w:rsidRPr="00BB1782" w:rsidRDefault="00B34B13" w:rsidP="00B34B13">
      <w:pPr>
        <w:jc w:val="center"/>
        <w:rPr>
          <w:rFonts w:ascii="Times New Roman" w:eastAsia="Times New Roman" w:hAnsi="Times New Roman" w:cs="Times New Roman"/>
          <w:b/>
          <w:sz w:val="32"/>
          <w:szCs w:val="32"/>
          <w:lang w:val="uk-UA"/>
        </w:rPr>
      </w:pPr>
      <w:r w:rsidRPr="00BB1782">
        <w:rPr>
          <w:rFonts w:ascii="Times New Roman" w:eastAsia="Times New Roman" w:hAnsi="Times New Roman" w:cs="Times New Roman"/>
          <w:b/>
          <w:sz w:val="32"/>
          <w:szCs w:val="32"/>
          <w:lang w:val="uk-UA"/>
        </w:rPr>
        <w:t>ЗМІСТ</w:t>
      </w:r>
    </w:p>
    <w:sdt>
      <w:sdtPr>
        <w:rPr>
          <w:rFonts w:ascii="Arial" w:eastAsia="Arial" w:hAnsi="Arial" w:cs="Arial"/>
          <w:color w:val="auto"/>
          <w:sz w:val="22"/>
          <w:szCs w:val="22"/>
          <w:lang w:val="ru-RU"/>
        </w:rPr>
        <w:id w:val="-578597961"/>
        <w:docPartObj>
          <w:docPartGallery w:val="Table of Contents"/>
          <w:docPartUnique/>
        </w:docPartObj>
      </w:sdtPr>
      <w:sdtEndPr>
        <w:rPr>
          <w:b/>
          <w:bCs/>
        </w:rPr>
      </w:sdtEndPr>
      <w:sdtContent>
        <w:p w14:paraId="4D63A4E5" w14:textId="004ADC0E" w:rsidR="00C335A4" w:rsidRPr="00BB1782" w:rsidRDefault="00C335A4">
          <w:pPr>
            <w:pStyle w:val="a9"/>
            <w:rPr>
              <w:color w:val="auto"/>
            </w:rPr>
          </w:pPr>
        </w:p>
        <w:p w14:paraId="37956FFD" w14:textId="22CB4E73" w:rsidR="00C335A4" w:rsidRPr="00BB1782" w:rsidRDefault="00C335A4">
          <w:pPr>
            <w:pStyle w:val="11"/>
            <w:tabs>
              <w:tab w:val="right" w:leader="dot" w:pos="9062"/>
            </w:tabs>
            <w:rPr>
              <w:rFonts w:ascii="Times New Roman" w:eastAsiaTheme="minorEastAsia" w:hAnsi="Times New Roman" w:cs="Times New Roman"/>
              <w:noProof/>
              <w:sz w:val="28"/>
              <w:szCs w:val="28"/>
            </w:rPr>
          </w:pPr>
          <w:r w:rsidRPr="00BB1782">
            <w:fldChar w:fldCharType="begin"/>
          </w:r>
          <w:r w:rsidRPr="00BB1782">
            <w:instrText xml:space="preserve"> TOC \o "1-3" \h \z \u </w:instrText>
          </w:r>
          <w:r w:rsidRPr="00BB1782">
            <w:fldChar w:fldCharType="separate"/>
          </w:r>
          <w:hyperlink w:anchor="_Toc183727745" w:history="1">
            <w:r w:rsidRPr="00BB1782">
              <w:rPr>
                <w:rStyle w:val="aa"/>
                <w:rFonts w:ascii="Times New Roman" w:eastAsia="Times New Roman" w:hAnsi="Times New Roman" w:cs="Times New Roman"/>
                <w:noProof/>
                <w:color w:val="auto"/>
                <w:sz w:val="28"/>
                <w:szCs w:val="28"/>
              </w:rPr>
              <w:t>ВСТУП</w:t>
            </w:r>
            <w:r w:rsidRPr="00BB1782">
              <w:rPr>
                <w:rFonts w:ascii="Times New Roman" w:hAnsi="Times New Roman" w:cs="Times New Roman"/>
                <w:noProof/>
                <w:webHidden/>
                <w:sz w:val="28"/>
                <w:szCs w:val="28"/>
              </w:rPr>
              <w:tab/>
            </w:r>
            <w:r w:rsidRPr="00BB1782">
              <w:rPr>
                <w:rFonts w:ascii="Times New Roman" w:hAnsi="Times New Roman" w:cs="Times New Roman"/>
                <w:noProof/>
                <w:webHidden/>
                <w:sz w:val="28"/>
                <w:szCs w:val="28"/>
              </w:rPr>
              <w:fldChar w:fldCharType="begin"/>
            </w:r>
            <w:r w:rsidRPr="00BB1782">
              <w:rPr>
                <w:rFonts w:ascii="Times New Roman" w:hAnsi="Times New Roman" w:cs="Times New Roman"/>
                <w:noProof/>
                <w:webHidden/>
                <w:sz w:val="28"/>
                <w:szCs w:val="28"/>
              </w:rPr>
              <w:instrText xml:space="preserve"> PAGEREF _Toc183727745 \h </w:instrText>
            </w:r>
            <w:r w:rsidRPr="00BB1782">
              <w:rPr>
                <w:rFonts w:ascii="Times New Roman" w:hAnsi="Times New Roman" w:cs="Times New Roman"/>
                <w:noProof/>
                <w:webHidden/>
                <w:sz w:val="28"/>
                <w:szCs w:val="28"/>
              </w:rPr>
            </w:r>
            <w:r w:rsidRPr="00BB1782">
              <w:rPr>
                <w:rFonts w:ascii="Times New Roman" w:hAnsi="Times New Roman" w:cs="Times New Roman"/>
                <w:noProof/>
                <w:webHidden/>
                <w:sz w:val="28"/>
                <w:szCs w:val="28"/>
              </w:rPr>
              <w:fldChar w:fldCharType="separate"/>
            </w:r>
            <w:r w:rsidR="00B34B13" w:rsidRPr="00BB1782">
              <w:rPr>
                <w:rFonts w:ascii="Times New Roman" w:hAnsi="Times New Roman" w:cs="Times New Roman"/>
                <w:noProof/>
                <w:webHidden/>
                <w:sz w:val="28"/>
                <w:szCs w:val="28"/>
              </w:rPr>
              <w:t>3</w:t>
            </w:r>
            <w:r w:rsidRPr="00BB1782">
              <w:rPr>
                <w:rFonts w:ascii="Times New Roman" w:hAnsi="Times New Roman" w:cs="Times New Roman"/>
                <w:noProof/>
                <w:webHidden/>
                <w:sz w:val="28"/>
                <w:szCs w:val="28"/>
              </w:rPr>
              <w:fldChar w:fldCharType="end"/>
            </w:r>
          </w:hyperlink>
        </w:p>
        <w:p w14:paraId="7AF5FF98" w14:textId="6BA87EA2" w:rsidR="00C335A4" w:rsidRPr="00BB1782" w:rsidRDefault="00A206A1">
          <w:pPr>
            <w:pStyle w:val="11"/>
            <w:tabs>
              <w:tab w:val="right" w:leader="dot" w:pos="9062"/>
            </w:tabs>
            <w:rPr>
              <w:rFonts w:ascii="Times New Roman" w:eastAsiaTheme="minorEastAsia" w:hAnsi="Times New Roman" w:cs="Times New Roman"/>
              <w:noProof/>
              <w:sz w:val="28"/>
              <w:szCs w:val="28"/>
            </w:rPr>
          </w:pPr>
          <w:hyperlink w:anchor="_Toc183727746" w:history="1">
            <w:r w:rsidR="00C335A4" w:rsidRPr="00BB1782">
              <w:rPr>
                <w:rStyle w:val="aa"/>
                <w:rFonts w:ascii="Times New Roman" w:eastAsia="Times New Roman" w:hAnsi="Times New Roman" w:cs="Times New Roman"/>
                <w:noProof/>
                <w:color w:val="auto"/>
                <w:sz w:val="28"/>
                <w:szCs w:val="28"/>
              </w:rPr>
              <w:t>РОЗДІЛ 1. ТЕОРЕТИЧНІ ЗАСАДИ ДОСЛІДЖЕННЯ</w:t>
            </w:r>
            <w:r w:rsidR="00C335A4" w:rsidRPr="00BB1782">
              <w:rPr>
                <w:rFonts w:ascii="Times New Roman" w:hAnsi="Times New Roman" w:cs="Times New Roman"/>
                <w:noProof/>
                <w:webHidden/>
                <w:sz w:val="28"/>
                <w:szCs w:val="28"/>
              </w:rPr>
              <w:tab/>
            </w:r>
            <w:r w:rsidR="00C335A4" w:rsidRPr="00BB1782">
              <w:rPr>
                <w:rFonts w:ascii="Times New Roman" w:hAnsi="Times New Roman" w:cs="Times New Roman"/>
                <w:noProof/>
                <w:webHidden/>
                <w:sz w:val="28"/>
                <w:szCs w:val="28"/>
              </w:rPr>
              <w:fldChar w:fldCharType="begin"/>
            </w:r>
            <w:r w:rsidR="00C335A4" w:rsidRPr="00BB1782">
              <w:rPr>
                <w:rFonts w:ascii="Times New Roman" w:hAnsi="Times New Roman" w:cs="Times New Roman"/>
                <w:noProof/>
                <w:webHidden/>
                <w:sz w:val="28"/>
                <w:szCs w:val="28"/>
              </w:rPr>
              <w:instrText xml:space="preserve"> PAGEREF _Toc183727746 \h </w:instrText>
            </w:r>
            <w:r w:rsidR="00C335A4" w:rsidRPr="00BB1782">
              <w:rPr>
                <w:rFonts w:ascii="Times New Roman" w:hAnsi="Times New Roman" w:cs="Times New Roman"/>
                <w:noProof/>
                <w:webHidden/>
                <w:sz w:val="28"/>
                <w:szCs w:val="28"/>
              </w:rPr>
            </w:r>
            <w:r w:rsidR="00C335A4" w:rsidRPr="00BB1782">
              <w:rPr>
                <w:rFonts w:ascii="Times New Roman" w:hAnsi="Times New Roman" w:cs="Times New Roman"/>
                <w:noProof/>
                <w:webHidden/>
                <w:sz w:val="28"/>
                <w:szCs w:val="28"/>
              </w:rPr>
              <w:fldChar w:fldCharType="separate"/>
            </w:r>
            <w:r w:rsidR="00B34B13" w:rsidRPr="00BB1782">
              <w:rPr>
                <w:rFonts w:ascii="Times New Roman" w:hAnsi="Times New Roman" w:cs="Times New Roman"/>
                <w:noProof/>
                <w:webHidden/>
                <w:sz w:val="28"/>
                <w:szCs w:val="28"/>
              </w:rPr>
              <w:t>7</w:t>
            </w:r>
            <w:r w:rsidR="00C335A4" w:rsidRPr="00BB1782">
              <w:rPr>
                <w:rFonts w:ascii="Times New Roman" w:hAnsi="Times New Roman" w:cs="Times New Roman"/>
                <w:noProof/>
                <w:webHidden/>
                <w:sz w:val="28"/>
                <w:szCs w:val="28"/>
              </w:rPr>
              <w:fldChar w:fldCharType="end"/>
            </w:r>
          </w:hyperlink>
        </w:p>
        <w:p w14:paraId="4A5B5D62" w14:textId="2B3C72C3" w:rsidR="00C335A4" w:rsidRPr="00BB1782" w:rsidRDefault="00A206A1">
          <w:pPr>
            <w:pStyle w:val="11"/>
            <w:tabs>
              <w:tab w:val="right" w:leader="dot" w:pos="9062"/>
            </w:tabs>
            <w:rPr>
              <w:rFonts w:ascii="Times New Roman" w:eastAsiaTheme="minorEastAsia" w:hAnsi="Times New Roman" w:cs="Times New Roman"/>
              <w:noProof/>
              <w:sz w:val="28"/>
              <w:szCs w:val="28"/>
            </w:rPr>
          </w:pPr>
          <w:hyperlink w:anchor="_Toc183727747" w:history="1">
            <w:r w:rsidR="00C335A4" w:rsidRPr="00BB1782">
              <w:rPr>
                <w:rStyle w:val="aa"/>
                <w:rFonts w:ascii="Times New Roman" w:eastAsia="Times New Roman" w:hAnsi="Times New Roman" w:cs="Times New Roman"/>
                <w:noProof/>
                <w:color w:val="auto"/>
                <w:sz w:val="28"/>
                <w:szCs w:val="28"/>
              </w:rPr>
              <w:t xml:space="preserve">РОЗДІЛ 2. </w:t>
            </w:r>
            <w:r w:rsidR="00C335A4" w:rsidRPr="00BB1782">
              <w:rPr>
                <w:rStyle w:val="aa"/>
                <w:rFonts w:ascii="Times New Roman" w:eastAsia="Times New Roman" w:hAnsi="Times New Roman" w:cs="Times New Roman"/>
                <w:noProof/>
                <w:color w:val="auto"/>
                <w:sz w:val="28"/>
                <w:szCs w:val="28"/>
                <w:lang w:val="uk-UA"/>
              </w:rPr>
              <w:t>ЗНАЧЕННЯ РЕЛІГІЙНОГО ЧИННИКА У ФОРМУВАННІ ВІДНОСИН ТУРЕЦЬКОЇ РЕСПУБЛІКИ З МУСУЛЬМАНСЬКИМИ КРАЇНАМИ</w:t>
            </w:r>
            <w:r w:rsidR="00C335A4" w:rsidRPr="00BB1782">
              <w:rPr>
                <w:rFonts w:ascii="Times New Roman" w:hAnsi="Times New Roman" w:cs="Times New Roman"/>
                <w:noProof/>
                <w:webHidden/>
                <w:sz w:val="28"/>
                <w:szCs w:val="28"/>
              </w:rPr>
              <w:tab/>
            </w:r>
            <w:r w:rsidR="00C335A4" w:rsidRPr="00BB1782">
              <w:rPr>
                <w:rFonts w:ascii="Times New Roman" w:hAnsi="Times New Roman" w:cs="Times New Roman"/>
                <w:noProof/>
                <w:webHidden/>
                <w:sz w:val="28"/>
                <w:szCs w:val="28"/>
              </w:rPr>
              <w:fldChar w:fldCharType="begin"/>
            </w:r>
            <w:r w:rsidR="00C335A4" w:rsidRPr="00BB1782">
              <w:rPr>
                <w:rFonts w:ascii="Times New Roman" w:hAnsi="Times New Roman" w:cs="Times New Roman"/>
                <w:noProof/>
                <w:webHidden/>
                <w:sz w:val="28"/>
                <w:szCs w:val="28"/>
              </w:rPr>
              <w:instrText xml:space="preserve"> PAGEREF _Toc183727747 \h </w:instrText>
            </w:r>
            <w:r w:rsidR="00C335A4" w:rsidRPr="00BB1782">
              <w:rPr>
                <w:rFonts w:ascii="Times New Roman" w:hAnsi="Times New Roman" w:cs="Times New Roman"/>
                <w:noProof/>
                <w:webHidden/>
                <w:sz w:val="28"/>
                <w:szCs w:val="28"/>
              </w:rPr>
            </w:r>
            <w:r w:rsidR="00C335A4" w:rsidRPr="00BB1782">
              <w:rPr>
                <w:rFonts w:ascii="Times New Roman" w:hAnsi="Times New Roman" w:cs="Times New Roman"/>
                <w:noProof/>
                <w:webHidden/>
                <w:sz w:val="28"/>
                <w:szCs w:val="28"/>
              </w:rPr>
              <w:fldChar w:fldCharType="separate"/>
            </w:r>
            <w:r w:rsidR="00B34B13" w:rsidRPr="00BB1782">
              <w:rPr>
                <w:rFonts w:ascii="Times New Roman" w:hAnsi="Times New Roman" w:cs="Times New Roman"/>
                <w:noProof/>
                <w:webHidden/>
                <w:sz w:val="28"/>
                <w:szCs w:val="28"/>
              </w:rPr>
              <w:t>27</w:t>
            </w:r>
            <w:r w:rsidR="00C335A4" w:rsidRPr="00BB1782">
              <w:rPr>
                <w:rFonts w:ascii="Times New Roman" w:hAnsi="Times New Roman" w:cs="Times New Roman"/>
                <w:noProof/>
                <w:webHidden/>
                <w:sz w:val="28"/>
                <w:szCs w:val="28"/>
              </w:rPr>
              <w:fldChar w:fldCharType="end"/>
            </w:r>
          </w:hyperlink>
        </w:p>
        <w:p w14:paraId="2E1A597C" w14:textId="243A664D" w:rsidR="00C335A4" w:rsidRPr="00BB1782" w:rsidRDefault="00A206A1">
          <w:pPr>
            <w:pStyle w:val="11"/>
            <w:tabs>
              <w:tab w:val="right" w:leader="dot" w:pos="9062"/>
            </w:tabs>
            <w:rPr>
              <w:rFonts w:ascii="Times New Roman" w:eastAsiaTheme="minorEastAsia" w:hAnsi="Times New Roman" w:cs="Times New Roman"/>
              <w:noProof/>
              <w:sz w:val="28"/>
              <w:szCs w:val="28"/>
            </w:rPr>
          </w:pPr>
          <w:hyperlink w:anchor="_Toc183727748" w:history="1">
            <w:r w:rsidR="00C335A4" w:rsidRPr="00BB1782">
              <w:rPr>
                <w:rStyle w:val="aa"/>
                <w:rFonts w:ascii="Times New Roman" w:eastAsia="Times New Roman" w:hAnsi="Times New Roman" w:cs="Times New Roman"/>
                <w:noProof/>
                <w:color w:val="auto"/>
                <w:sz w:val="28"/>
                <w:szCs w:val="28"/>
              </w:rPr>
              <w:t>РОЗДІЛ 3. РОЛЬ ІСЛАМСЬКОГО ЧИННИКА У ВІДНОСИНАХ ТУРЕЧЧИНИ З КРАЇНАМИ ЄВРОПИ</w:t>
            </w:r>
            <w:r w:rsidR="00C335A4" w:rsidRPr="00BB1782">
              <w:rPr>
                <w:rFonts w:ascii="Times New Roman" w:hAnsi="Times New Roman" w:cs="Times New Roman"/>
                <w:noProof/>
                <w:webHidden/>
                <w:sz w:val="28"/>
                <w:szCs w:val="28"/>
              </w:rPr>
              <w:tab/>
            </w:r>
            <w:r w:rsidR="00C335A4" w:rsidRPr="00BB1782">
              <w:rPr>
                <w:rFonts w:ascii="Times New Roman" w:hAnsi="Times New Roman" w:cs="Times New Roman"/>
                <w:noProof/>
                <w:webHidden/>
                <w:sz w:val="28"/>
                <w:szCs w:val="28"/>
              </w:rPr>
              <w:fldChar w:fldCharType="begin"/>
            </w:r>
            <w:r w:rsidR="00C335A4" w:rsidRPr="00BB1782">
              <w:rPr>
                <w:rFonts w:ascii="Times New Roman" w:hAnsi="Times New Roman" w:cs="Times New Roman"/>
                <w:noProof/>
                <w:webHidden/>
                <w:sz w:val="28"/>
                <w:szCs w:val="28"/>
              </w:rPr>
              <w:instrText xml:space="preserve"> PAGEREF _Toc183727748 \h </w:instrText>
            </w:r>
            <w:r w:rsidR="00C335A4" w:rsidRPr="00BB1782">
              <w:rPr>
                <w:rFonts w:ascii="Times New Roman" w:hAnsi="Times New Roman" w:cs="Times New Roman"/>
                <w:noProof/>
                <w:webHidden/>
                <w:sz w:val="28"/>
                <w:szCs w:val="28"/>
              </w:rPr>
            </w:r>
            <w:r w:rsidR="00C335A4" w:rsidRPr="00BB1782">
              <w:rPr>
                <w:rFonts w:ascii="Times New Roman" w:hAnsi="Times New Roman" w:cs="Times New Roman"/>
                <w:noProof/>
                <w:webHidden/>
                <w:sz w:val="28"/>
                <w:szCs w:val="28"/>
              </w:rPr>
              <w:fldChar w:fldCharType="separate"/>
            </w:r>
            <w:r w:rsidR="00B34B13" w:rsidRPr="00BB1782">
              <w:rPr>
                <w:rFonts w:ascii="Times New Roman" w:hAnsi="Times New Roman" w:cs="Times New Roman"/>
                <w:noProof/>
                <w:webHidden/>
                <w:sz w:val="28"/>
                <w:szCs w:val="28"/>
              </w:rPr>
              <w:t>48</w:t>
            </w:r>
            <w:r w:rsidR="00C335A4" w:rsidRPr="00BB1782">
              <w:rPr>
                <w:rFonts w:ascii="Times New Roman" w:hAnsi="Times New Roman" w:cs="Times New Roman"/>
                <w:noProof/>
                <w:webHidden/>
                <w:sz w:val="28"/>
                <w:szCs w:val="28"/>
              </w:rPr>
              <w:fldChar w:fldCharType="end"/>
            </w:r>
          </w:hyperlink>
        </w:p>
        <w:p w14:paraId="43E7BE91" w14:textId="50F745F4" w:rsidR="00C335A4" w:rsidRPr="00BB1782" w:rsidRDefault="00A206A1">
          <w:pPr>
            <w:pStyle w:val="11"/>
            <w:tabs>
              <w:tab w:val="right" w:leader="dot" w:pos="9062"/>
            </w:tabs>
            <w:rPr>
              <w:rFonts w:ascii="Times New Roman" w:eastAsiaTheme="minorEastAsia" w:hAnsi="Times New Roman" w:cs="Times New Roman"/>
              <w:noProof/>
              <w:sz w:val="28"/>
              <w:szCs w:val="28"/>
            </w:rPr>
          </w:pPr>
          <w:hyperlink w:anchor="_Toc183727749" w:history="1">
            <w:r w:rsidR="00C335A4" w:rsidRPr="00BB1782">
              <w:rPr>
                <w:rStyle w:val="aa"/>
                <w:rFonts w:ascii="Times New Roman" w:eastAsia="Times New Roman" w:hAnsi="Times New Roman" w:cs="Times New Roman"/>
                <w:noProof/>
                <w:color w:val="auto"/>
                <w:sz w:val="28"/>
                <w:szCs w:val="28"/>
              </w:rPr>
              <w:t>ВИСНОВКИ</w:t>
            </w:r>
            <w:r w:rsidR="00C335A4" w:rsidRPr="00BB1782">
              <w:rPr>
                <w:rFonts w:ascii="Times New Roman" w:hAnsi="Times New Roman" w:cs="Times New Roman"/>
                <w:noProof/>
                <w:webHidden/>
                <w:sz w:val="28"/>
                <w:szCs w:val="28"/>
              </w:rPr>
              <w:tab/>
            </w:r>
            <w:r w:rsidR="00C335A4" w:rsidRPr="00BB1782">
              <w:rPr>
                <w:rFonts w:ascii="Times New Roman" w:hAnsi="Times New Roman" w:cs="Times New Roman"/>
                <w:noProof/>
                <w:webHidden/>
                <w:sz w:val="28"/>
                <w:szCs w:val="28"/>
              </w:rPr>
              <w:fldChar w:fldCharType="begin"/>
            </w:r>
            <w:r w:rsidR="00C335A4" w:rsidRPr="00BB1782">
              <w:rPr>
                <w:rFonts w:ascii="Times New Roman" w:hAnsi="Times New Roman" w:cs="Times New Roman"/>
                <w:noProof/>
                <w:webHidden/>
                <w:sz w:val="28"/>
                <w:szCs w:val="28"/>
              </w:rPr>
              <w:instrText xml:space="preserve"> PAGEREF _Toc183727749 \h </w:instrText>
            </w:r>
            <w:r w:rsidR="00C335A4" w:rsidRPr="00BB1782">
              <w:rPr>
                <w:rFonts w:ascii="Times New Roman" w:hAnsi="Times New Roman" w:cs="Times New Roman"/>
                <w:noProof/>
                <w:webHidden/>
                <w:sz w:val="28"/>
                <w:szCs w:val="28"/>
              </w:rPr>
            </w:r>
            <w:r w:rsidR="00C335A4" w:rsidRPr="00BB1782">
              <w:rPr>
                <w:rFonts w:ascii="Times New Roman" w:hAnsi="Times New Roman" w:cs="Times New Roman"/>
                <w:noProof/>
                <w:webHidden/>
                <w:sz w:val="28"/>
                <w:szCs w:val="28"/>
              </w:rPr>
              <w:fldChar w:fldCharType="separate"/>
            </w:r>
            <w:r w:rsidR="00B34B13" w:rsidRPr="00BB1782">
              <w:rPr>
                <w:rFonts w:ascii="Times New Roman" w:hAnsi="Times New Roman" w:cs="Times New Roman"/>
                <w:noProof/>
                <w:webHidden/>
                <w:sz w:val="28"/>
                <w:szCs w:val="28"/>
              </w:rPr>
              <w:t>69</w:t>
            </w:r>
            <w:r w:rsidR="00C335A4" w:rsidRPr="00BB1782">
              <w:rPr>
                <w:rFonts w:ascii="Times New Roman" w:hAnsi="Times New Roman" w:cs="Times New Roman"/>
                <w:noProof/>
                <w:webHidden/>
                <w:sz w:val="28"/>
                <w:szCs w:val="28"/>
              </w:rPr>
              <w:fldChar w:fldCharType="end"/>
            </w:r>
          </w:hyperlink>
        </w:p>
        <w:p w14:paraId="2C869652" w14:textId="0974AF8F" w:rsidR="00C335A4" w:rsidRPr="00BB1782" w:rsidRDefault="00A206A1">
          <w:pPr>
            <w:pStyle w:val="11"/>
            <w:tabs>
              <w:tab w:val="right" w:leader="dot" w:pos="9062"/>
            </w:tabs>
            <w:rPr>
              <w:rFonts w:ascii="Times New Roman" w:eastAsiaTheme="minorEastAsia" w:hAnsi="Times New Roman" w:cs="Times New Roman"/>
              <w:noProof/>
              <w:sz w:val="28"/>
              <w:szCs w:val="28"/>
            </w:rPr>
          </w:pPr>
          <w:hyperlink w:anchor="_Toc183727750" w:history="1">
            <w:r w:rsidR="00C335A4" w:rsidRPr="00BB1782">
              <w:rPr>
                <w:rStyle w:val="aa"/>
                <w:rFonts w:ascii="Times New Roman" w:eastAsia="Times New Roman" w:hAnsi="Times New Roman" w:cs="Times New Roman"/>
                <w:noProof/>
                <w:color w:val="auto"/>
                <w:sz w:val="28"/>
                <w:szCs w:val="28"/>
              </w:rPr>
              <w:t>СПИСОК ДЖЕРЕЛ ПОСИЛАНЬ</w:t>
            </w:r>
            <w:r w:rsidR="00C335A4" w:rsidRPr="00BB1782">
              <w:rPr>
                <w:rFonts w:ascii="Times New Roman" w:hAnsi="Times New Roman" w:cs="Times New Roman"/>
                <w:noProof/>
                <w:webHidden/>
                <w:sz w:val="28"/>
                <w:szCs w:val="28"/>
              </w:rPr>
              <w:tab/>
            </w:r>
            <w:r w:rsidR="00C335A4" w:rsidRPr="00BB1782">
              <w:rPr>
                <w:rFonts w:ascii="Times New Roman" w:hAnsi="Times New Roman" w:cs="Times New Roman"/>
                <w:noProof/>
                <w:webHidden/>
                <w:sz w:val="28"/>
                <w:szCs w:val="28"/>
              </w:rPr>
              <w:fldChar w:fldCharType="begin"/>
            </w:r>
            <w:r w:rsidR="00C335A4" w:rsidRPr="00BB1782">
              <w:rPr>
                <w:rFonts w:ascii="Times New Roman" w:hAnsi="Times New Roman" w:cs="Times New Roman"/>
                <w:noProof/>
                <w:webHidden/>
                <w:sz w:val="28"/>
                <w:szCs w:val="28"/>
              </w:rPr>
              <w:instrText xml:space="preserve"> PAGEREF _Toc183727750 \h </w:instrText>
            </w:r>
            <w:r w:rsidR="00C335A4" w:rsidRPr="00BB1782">
              <w:rPr>
                <w:rFonts w:ascii="Times New Roman" w:hAnsi="Times New Roman" w:cs="Times New Roman"/>
                <w:noProof/>
                <w:webHidden/>
                <w:sz w:val="28"/>
                <w:szCs w:val="28"/>
              </w:rPr>
            </w:r>
            <w:r w:rsidR="00C335A4" w:rsidRPr="00BB1782">
              <w:rPr>
                <w:rFonts w:ascii="Times New Roman" w:hAnsi="Times New Roman" w:cs="Times New Roman"/>
                <w:noProof/>
                <w:webHidden/>
                <w:sz w:val="28"/>
                <w:szCs w:val="28"/>
              </w:rPr>
              <w:fldChar w:fldCharType="separate"/>
            </w:r>
            <w:r w:rsidR="00B34B13" w:rsidRPr="00BB1782">
              <w:rPr>
                <w:rFonts w:ascii="Times New Roman" w:hAnsi="Times New Roman" w:cs="Times New Roman"/>
                <w:noProof/>
                <w:webHidden/>
                <w:sz w:val="28"/>
                <w:szCs w:val="28"/>
              </w:rPr>
              <w:t>77</w:t>
            </w:r>
            <w:r w:rsidR="00C335A4" w:rsidRPr="00BB1782">
              <w:rPr>
                <w:rFonts w:ascii="Times New Roman" w:hAnsi="Times New Roman" w:cs="Times New Roman"/>
                <w:noProof/>
                <w:webHidden/>
                <w:sz w:val="28"/>
                <w:szCs w:val="28"/>
              </w:rPr>
              <w:fldChar w:fldCharType="end"/>
            </w:r>
          </w:hyperlink>
        </w:p>
        <w:p w14:paraId="02B9D12B" w14:textId="08F845AB" w:rsidR="00C335A4" w:rsidRPr="00BB1782" w:rsidRDefault="00C335A4">
          <w:r w:rsidRPr="00BB1782">
            <w:rPr>
              <w:b/>
              <w:bCs/>
              <w:lang w:val="ru-RU"/>
            </w:rPr>
            <w:fldChar w:fldCharType="end"/>
          </w:r>
        </w:p>
      </w:sdtContent>
    </w:sdt>
    <w:p w14:paraId="33763D85" w14:textId="236C1774" w:rsidR="00C6458D" w:rsidRPr="00BB1782" w:rsidRDefault="00C6458D">
      <w:pPr>
        <w:rPr>
          <w:rFonts w:ascii="Times New Roman" w:eastAsia="Times New Roman" w:hAnsi="Times New Roman" w:cs="Times New Roman"/>
          <w:b/>
          <w:sz w:val="32"/>
          <w:szCs w:val="32"/>
        </w:rPr>
      </w:pPr>
      <w:r w:rsidRPr="00BB1782">
        <w:rPr>
          <w:rFonts w:ascii="Times New Roman" w:eastAsia="Times New Roman" w:hAnsi="Times New Roman" w:cs="Times New Roman"/>
          <w:b/>
          <w:sz w:val="32"/>
          <w:szCs w:val="32"/>
        </w:rPr>
        <w:br w:type="page"/>
      </w:r>
    </w:p>
    <w:p w14:paraId="00000001" w14:textId="479B7F7A" w:rsidR="009123BC" w:rsidRPr="00BB1782" w:rsidRDefault="00712845" w:rsidP="00C6458D">
      <w:pPr>
        <w:pStyle w:val="1"/>
        <w:jc w:val="center"/>
        <w:rPr>
          <w:rFonts w:ascii="Times New Roman" w:eastAsia="Times New Roman" w:hAnsi="Times New Roman" w:cs="Times New Roman"/>
          <w:b/>
          <w:sz w:val="32"/>
          <w:szCs w:val="32"/>
          <w:lang w:val="uk-UA"/>
        </w:rPr>
      </w:pPr>
      <w:bookmarkStart w:id="1" w:name="_Toc183727745"/>
      <w:r w:rsidRPr="00BB1782">
        <w:rPr>
          <w:rFonts w:ascii="Times New Roman" w:eastAsia="Times New Roman" w:hAnsi="Times New Roman" w:cs="Times New Roman"/>
          <w:b/>
          <w:sz w:val="32"/>
          <w:szCs w:val="32"/>
        </w:rPr>
        <w:lastRenderedPageBreak/>
        <w:t>ВСТУП</w:t>
      </w:r>
      <w:bookmarkEnd w:id="1"/>
    </w:p>
    <w:p w14:paraId="00000002" w14:textId="77777777" w:rsidR="009123BC" w:rsidRPr="00BB1782" w:rsidRDefault="00712845">
      <w:pPr>
        <w:spacing w:line="432" w:lineRule="auto"/>
        <w:jc w:val="center"/>
        <w:rPr>
          <w:rFonts w:ascii="Times New Roman" w:eastAsia="Times New Roman" w:hAnsi="Times New Roman" w:cs="Times New Roman"/>
          <w:sz w:val="27"/>
          <w:szCs w:val="27"/>
        </w:rPr>
      </w:pPr>
      <w:r w:rsidRPr="00BB1782">
        <w:rPr>
          <w:rFonts w:ascii="Times New Roman" w:eastAsia="Times New Roman" w:hAnsi="Times New Roman" w:cs="Times New Roman"/>
          <w:sz w:val="27"/>
          <w:szCs w:val="27"/>
        </w:rPr>
        <w:t xml:space="preserve"> </w:t>
      </w:r>
    </w:p>
    <w:p w14:paraId="00000003" w14:textId="77777777" w:rsidR="009123BC" w:rsidRPr="00BB1782" w:rsidRDefault="00712845" w:rsidP="00C6458D">
      <w:pPr>
        <w:spacing w:line="360" w:lineRule="auto"/>
        <w:ind w:firstLine="520"/>
        <w:jc w:val="both"/>
        <w:rPr>
          <w:rFonts w:ascii="Times New Roman" w:eastAsia="Times New Roman" w:hAnsi="Times New Roman" w:cs="Times New Roman"/>
          <w:sz w:val="28"/>
          <w:szCs w:val="28"/>
        </w:rPr>
      </w:pPr>
      <w:r w:rsidRPr="00BB1782">
        <w:rPr>
          <w:rFonts w:ascii="Times New Roman" w:eastAsia="Times New Roman" w:hAnsi="Times New Roman" w:cs="Times New Roman"/>
          <w:b/>
          <w:sz w:val="28"/>
          <w:szCs w:val="28"/>
        </w:rPr>
        <w:t>Актуальність дослідження теми</w:t>
      </w:r>
      <w:r w:rsidRPr="00BB1782">
        <w:rPr>
          <w:rFonts w:ascii="Times New Roman" w:eastAsia="Times New Roman" w:hAnsi="Times New Roman" w:cs="Times New Roman"/>
          <w:sz w:val="28"/>
          <w:szCs w:val="28"/>
        </w:rPr>
        <w:t xml:space="preserve"> «Зовнішня політика Туреччини: Ісламський фактор» зумовлена значним впливом релігійних чинників на сучасні геополітичні процеси, особливо в контексті посилення ролі ісламу у внутрішній та зовнішній політиці Туреччини. Після приходу до влади Партії справедливості та розвитку на чолі з Реджепом Тайїпом Ердоганом іслам став важливим елементом турецької ідентичності та зовнішньополітичної стратегії. Це перетворення вплинуло на регіональні та глобальні процеси і привернуло увагу науковців та міжнародної спільноти.</w:t>
      </w:r>
    </w:p>
    <w:p w14:paraId="00000004" w14:textId="77777777" w:rsidR="009123BC" w:rsidRPr="00BB1782" w:rsidRDefault="00712845" w:rsidP="00C6458D">
      <w:pPr>
        <w:spacing w:line="360" w:lineRule="auto"/>
        <w:ind w:firstLine="5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По-перше, посилення ісламського чинника у зовнішній політиці Туреччини виражається у прагненні Анкари зміцнити свої позиції в мусульманському світі. Туреччина активно розвиває дипломатичні та культурні зв'язки з країнами Близького Сходу, Північної Африки та Центральної Азії, позиціонуючи себе як захисник прав мусульман і важливий гравець в ісламському світі. Це надає особливого значення дослідженню зовнішньої політики Туреччини в контексті ісламського фактору, оскільки такі дії впливають на баланс сил у регіоні та на глобальну безпеку.</w:t>
      </w:r>
    </w:p>
    <w:p w14:paraId="00000005" w14:textId="77777777" w:rsidR="009123BC" w:rsidRPr="00BB1782" w:rsidRDefault="00712845" w:rsidP="00C6458D">
      <w:pPr>
        <w:spacing w:line="360" w:lineRule="auto"/>
        <w:ind w:firstLine="5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По-друге, ісламський фактор відіграє важливу роль у взаємовідносинах Туреччини з Європейським Союзом. Секулярність та релігійні свободи, закладені в основу європейських цінностей, часто вступають у протиріччя з зростаючим впливом ісламу в турецькому суспільстві. Аналіз цих суперечностей є необхідним для розуміння перспектив і викликів євроінтеграції Туреччини, а також впливу ісламського фактора на міжнародні відносини.</w:t>
      </w:r>
    </w:p>
    <w:p w14:paraId="00000006" w14:textId="77777777" w:rsidR="009123BC" w:rsidRPr="00BB1782" w:rsidRDefault="00712845" w:rsidP="00C6458D">
      <w:pPr>
        <w:spacing w:line="360" w:lineRule="auto"/>
        <w:ind w:firstLine="5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lastRenderedPageBreak/>
        <w:t>По-третє, Туреччина також використовує ісламський фактор як інструмент м'якої сили у своїй зовнішній політиці. Це проявляється у культурній дипломатії, підтримці мусульманських меншин у Європі та Африці, а також у релігійних ініціативах, які сприяють розширенню турецького впливу. Така активна роль Туреччини в ісламській дипломатії підкреслює важливість теми для сучасних досліджень, оскільки вплив Анкари на мусульманські громади і міжнародні організації може змінювати політичні розклади у багатьох регіонах світу.</w:t>
      </w:r>
    </w:p>
    <w:p w14:paraId="00000007" w14:textId="03F2A292" w:rsidR="009123BC" w:rsidRPr="00BB1782" w:rsidRDefault="00712845" w:rsidP="00C6458D">
      <w:pPr>
        <w:spacing w:line="360" w:lineRule="auto"/>
        <w:ind w:firstLine="5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По-четверте, зростання ісламського впливу в зовнішній політиці Туреччини також спричинило конфлікти з іншими регіональними та глобальними гравцями. Це включає суперечки у Східному Середземномор'ї, розбіжності з арабськими державами через підтримку різних ісламістських рухів і напруженість у відносинах із західними країнами. Дослідження цих аспектів є актуальним для розуміння того, як релігійні чинники впливають на сучасну міжнародну систему та створюють нові виклики для глобальної безпеки.</w:t>
      </w:r>
    </w:p>
    <w:p w14:paraId="00000008" w14:textId="77777777" w:rsidR="009123BC" w:rsidRPr="00BB1782" w:rsidRDefault="00712845" w:rsidP="00C6458D">
      <w:pPr>
        <w:spacing w:line="360" w:lineRule="auto"/>
        <w:ind w:firstLine="5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Отже, дослідження впливу ісламського фактора на зовнішню політику Туреччини є надзвичайно важливим для розуміння сучасних геополітичних процесів. Зростаючий вплив релігії на міжнародні відносини Туреччини має як позитивні, так і негативні наслідки, які потребують детального аналізу. Це дозволяє краще оцінити майбутнє Туреччини на міжнародній арені та визначити, як її дії можуть вплинути на глобальну стабільність.</w:t>
      </w:r>
    </w:p>
    <w:p w14:paraId="00000009" w14:textId="37642F13" w:rsidR="009123BC" w:rsidRPr="00BB1782" w:rsidRDefault="00712845" w:rsidP="00C6458D">
      <w:pPr>
        <w:spacing w:line="360" w:lineRule="auto"/>
        <w:ind w:firstLine="520"/>
        <w:jc w:val="both"/>
        <w:rPr>
          <w:rFonts w:ascii="Times New Roman" w:eastAsia="Times New Roman" w:hAnsi="Times New Roman" w:cs="Times New Roman"/>
          <w:sz w:val="28"/>
          <w:szCs w:val="28"/>
        </w:rPr>
      </w:pPr>
      <w:r w:rsidRPr="00BB1782">
        <w:rPr>
          <w:rFonts w:ascii="Times New Roman" w:eastAsia="Times New Roman" w:hAnsi="Times New Roman" w:cs="Times New Roman"/>
          <w:b/>
          <w:sz w:val="28"/>
          <w:szCs w:val="28"/>
        </w:rPr>
        <w:t>Мета</w:t>
      </w:r>
      <w:r w:rsidRPr="00BB1782">
        <w:rPr>
          <w:rFonts w:ascii="Times New Roman" w:eastAsia="Times New Roman" w:hAnsi="Times New Roman" w:cs="Times New Roman"/>
          <w:sz w:val="28"/>
          <w:szCs w:val="28"/>
        </w:rPr>
        <w:t xml:space="preserve"> роботи – визначити вплив ісламського чинника на формування та реалізацію зовнішньої політики Туреччини, а також оцінити його значення для регіональн</w:t>
      </w:r>
      <w:r w:rsidR="00532FB5" w:rsidRPr="00BB1782">
        <w:rPr>
          <w:rFonts w:ascii="Times New Roman" w:eastAsia="Times New Roman" w:hAnsi="Times New Roman" w:cs="Times New Roman"/>
          <w:sz w:val="28"/>
          <w:szCs w:val="28"/>
        </w:rPr>
        <w:t xml:space="preserve">ої та глобальної стабільності. </w:t>
      </w:r>
      <w:r w:rsidRPr="00BB1782">
        <w:rPr>
          <w:rFonts w:ascii="Times New Roman" w:eastAsia="Times New Roman" w:hAnsi="Times New Roman" w:cs="Times New Roman"/>
          <w:sz w:val="28"/>
          <w:szCs w:val="28"/>
        </w:rPr>
        <w:t xml:space="preserve">Означена мета передбачає вирішення таких науково-дослідницьких </w:t>
      </w:r>
      <w:r w:rsidRPr="00BB1782">
        <w:rPr>
          <w:rFonts w:ascii="Times New Roman" w:eastAsia="Times New Roman" w:hAnsi="Times New Roman" w:cs="Times New Roman"/>
          <w:b/>
          <w:sz w:val="28"/>
          <w:szCs w:val="28"/>
        </w:rPr>
        <w:t>завдань</w:t>
      </w:r>
      <w:r w:rsidRPr="00BB1782">
        <w:rPr>
          <w:rFonts w:ascii="Times New Roman" w:eastAsia="Times New Roman" w:hAnsi="Times New Roman" w:cs="Times New Roman"/>
          <w:sz w:val="28"/>
          <w:szCs w:val="28"/>
        </w:rPr>
        <w:t>:</w:t>
      </w:r>
    </w:p>
    <w:p w14:paraId="0000000A" w14:textId="77777777" w:rsidR="009123BC" w:rsidRPr="00BB1782" w:rsidRDefault="00712845" w:rsidP="00C6458D">
      <w:pPr>
        <w:spacing w:line="360" w:lineRule="auto"/>
        <w:ind w:left="1000" w:hanging="260"/>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rPr>
        <w:t xml:space="preserve">– </w:t>
      </w:r>
      <w:r w:rsidRPr="00BB1782">
        <w:rPr>
          <w:rFonts w:ascii="Times New Roman" w:eastAsia="Times New Roman" w:hAnsi="Times New Roman" w:cs="Times New Roman"/>
          <w:sz w:val="28"/>
          <w:szCs w:val="28"/>
          <w:highlight w:val="white"/>
        </w:rPr>
        <w:t>розкрити теоретичні засади дослідження;</w:t>
      </w:r>
    </w:p>
    <w:p w14:paraId="0000000B" w14:textId="77777777" w:rsidR="009123BC" w:rsidRPr="00BB1782" w:rsidRDefault="00712845" w:rsidP="00C6458D">
      <w:pPr>
        <w:spacing w:line="360" w:lineRule="auto"/>
        <w:ind w:left="1000" w:hanging="260"/>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rPr>
        <w:t xml:space="preserve">– </w:t>
      </w:r>
      <w:r w:rsidRPr="00BB1782">
        <w:rPr>
          <w:rFonts w:ascii="Times New Roman" w:eastAsia="Times New Roman" w:hAnsi="Times New Roman" w:cs="Times New Roman"/>
          <w:sz w:val="28"/>
          <w:szCs w:val="28"/>
          <w:highlight w:val="white"/>
        </w:rPr>
        <w:t>проаналізувати політику Туреччини в мусульманському світі;</w:t>
      </w:r>
    </w:p>
    <w:p w14:paraId="0000000C" w14:textId="77777777" w:rsidR="009123BC" w:rsidRPr="00BB1782" w:rsidRDefault="00712845" w:rsidP="00C6458D">
      <w:pPr>
        <w:spacing w:line="360" w:lineRule="auto"/>
        <w:ind w:left="1000" w:hanging="260"/>
        <w:jc w:val="both"/>
        <w:rPr>
          <w:rFonts w:ascii="Times New Roman" w:eastAsia="Times New Roman" w:hAnsi="Times New Roman" w:cs="Times New Roman"/>
          <w:sz w:val="28"/>
          <w:szCs w:val="28"/>
          <w:highlight w:val="red"/>
          <w:lang w:val="uk-UA"/>
        </w:rPr>
      </w:pPr>
      <w:r w:rsidRPr="00BB1782">
        <w:rPr>
          <w:rFonts w:ascii="Times New Roman" w:eastAsia="Times New Roman" w:hAnsi="Times New Roman" w:cs="Times New Roman"/>
          <w:sz w:val="28"/>
          <w:szCs w:val="28"/>
        </w:rPr>
        <w:lastRenderedPageBreak/>
        <w:t xml:space="preserve">– </w:t>
      </w:r>
      <w:r w:rsidRPr="00BB1782">
        <w:rPr>
          <w:rFonts w:ascii="Times New Roman" w:eastAsia="Times New Roman" w:hAnsi="Times New Roman" w:cs="Times New Roman"/>
          <w:sz w:val="28"/>
          <w:szCs w:val="28"/>
          <w:highlight w:val="white"/>
        </w:rPr>
        <w:t>окреслити роль ісламського чинника у відносинах Туреччини з країнами Європи.</w:t>
      </w:r>
    </w:p>
    <w:p w14:paraId="71050B42" w14:textId="27C71E18" w:rsidR="00E520E4" w:rsidRPr="00BB1782" w:rsidRDefault="00125723" w:rsidP="00C6458D">
      <w:pPr>
        <w:spacing w:line="360" w:lineRule="auto"/>
        <w:ind w:firstLine="567"/>
        <w:jc w:val="both"/>
        <w:rPr>
          <w:rFonts w:ascii="Times New Roman" w:eastAsia="Times New Roman" w:hAnsi="Times New Roman" w:cs="Times New Roman"/>
          <w:sz w:val="28"/>
          <w:szCs w:val="28"/>
          <w:lang w:val="uk-UA"/>
        </w:rPr>
      </w:pPr>
      <w:r w:rsidRPr="00BB1782">
        <w:rPr>
          <w:rFonts w:ascii="Times New Roman" w:eastAsia="Times New Roman" w:hAnsi="Times New Roman" w:cs="Times New Roman"/>
          <w:b/>
          <w:sz w:val="28"/>
          <w:szCs w:val="28"/>
          <w:lang w:val="uk-UA"/>
        </w:rPr>
        <w:t>Гіпотеза</w:t>
      </w:r>
      <w:r w:rsidRPr="00BB1782">
        <w:rPr>
          <w:rFonts w:ascii="Times New Roman" w:eastAsia="Times New Roman" w:hAnsi="Times New Roman" w:cs="Times New Roman"/>
          <w:sz w:val="28"/>
          <w:szCs w:val="28"/>
          <w:lang w:val="uk-UA"/>
        </w:rPr>
        <w:t xml:space="preserve"> дослідження полягає у тому, що релігійний чинник має вирішальне значення для зовнішньої політики Туреччини як у мусульманському світі, так і на Європейському континенті.</w:t>
      </w:r>
    </w:p>
    <w:p w14:paraId="0000000D" w14:textId="20BA18F8" w:rsidR="009123BC" w:rsidRPr="00BB1782" w:rsidRDefault="00712845" w:rsidP="00C6458D">
      <w:pPr>
        <w:spacing w:line="360" w:lineRule="auto"/>
        <w:ind w:firstLine="520"/>
        <w:jc w:val="both"/>
        <w:rPr>
          <w:rFonts w:ascii="Times New Roman" w:eastAsia="Times New Roman" w:hAnsi="Times New Roman" w:cs="Times New Roman"/>
          <w:sz w:val="28"/>
          <w:szCs w:val="28"/>
        </w:rPr>
      </w:pPr>
      <w:r w:rsidRPr="00BB1782">
        <w:rPr>
          <w:rFonts w:ascii="Times New Roman" w:eastAsia="Times New Roman" w:hAnsi="Times New Roman" w:cs="Times New Roman"/>
          <w:b/>
          <w:sz w:val="28"/>
          <w:szCs w:val="28"/>
        </w:rPr>
        <w:t>Об’єкт</w:t>
      </w:r>
      <w:r w:rsidRPr="00BB1782">
        <w:rPr>
          <w:rFonts w:ascii="Times New Roman" w:eastAsia="Times New Roman" w:hAnsi="Times New Roman" w:cs="Times New Roman"/>
          <w:sz w:val="28"/>
          <w:szCs w:val="28"/>
        </w:rPr>
        <w:t xml:space="preserve"> дослідження – зовнішня політика Турецької Республіки у ХХІ столітті.</w:t>
      </w:r>
      <w:r w:rsidR="00125723" w:rsidRPr="00BB1782">
        <w:rPr>
          <w:rFonts w:ascii="Times New Roman" w:eastAsia="Times New Roman" w:hAnsi="Times New Roman" w:cs="Times New Roman"/>
          <w:sz w:val="28"/>
          <w:szCs w:val="28"/>
        </w:rPr>
        <w:t xml:space="preserve"> </w:t>
      </w:r>
    </w:p>
    <w:p w14:paraId="0000000E" w14:textId="60FF926A" w:rsidR="009123BC" w:rsidRPr="00BB1782" w:rsidRDefault="00712845" w:rsidP="00C6458D">
      <w:pPr>
        <w:spacing w:line="360" w:lineRule="auto"/>
        <w:ind w:firstLine="520"/>
        <w:jc w:val="both"/>
        <w:rPr>
          <w:rFonts w:ascii="Times New Roman" w:eastAsia="Times New Roman" w:hAnsi="Times New Roman" w:cs="Times New Roman"/>
          <w:sz w:val="28"/>
          <w:szCs w:val="28"/>
        </w:rPr>
      </w:pPr>
      <w:r w:rsidRPr="00BB1782">
        <w:rPr>
          <w:rFonts w:ascii="Times New Roman" w:eastAsia="Times New Roman" w:hAnsi="Times New Roman" w:cs="Times New Roman"/>
          <w:b/>
          <w:sz w:val="28"/>
          <w:szCs w:val="28"/>
        </w:rPr>
        <w:t>Предмет</w:t>
      </w:r>
      <w:r w:rsidRPr="00BB1782">
        <w:rPr>
          <w:rFonts w:ascii="Times New Roman" w:eastAsia="Times New Roman" w:hAnsi="Times New Roman" w:cs="Times New Roman"/>
          <w:sz w:val="28"/>
          <w:szCs w:val="28"/>
        </w:rPr>
        <w:t xml:space="preserve"> дослідження – вплив ісламського чинника на формування та реалізацію зовнішньої політики Туреччини, зокрема її взаємодію з країнами мусульманського світу та Європи.</w:t>
      </w:r>
      <w:r w:rsidR="00125723" w:rsidRPr="00BB1782">
        <w:rPr>
          <w:rFonts w:ascii="Times New Roman" w:eastAsia="Times New Roman" w:hAnsi="Times New Roman" w:cs="Times New Roman"/>
          <w:sz w:val="28"/>
          <w:szCs w:val="28"/>
        </w:rPr>
        <w:t xml:space="preserve"> </w:t>
      </w:r>
    </w:p>
    <w:p w14:paraId="0000000F" w14:textId="0327597C" w:rsidR="009123BC" w:rsidRPr="00BB1782" w:rsidRDefault="00712845" w:rsidP="00C6458D">
      <w:pPr>
        <w:spacing w:line="360" w:lineRule="auto"/>
        <w:ind w:firstLine="520"/>
        <w:jc w:val="both"/>
        <w:rPr>
          <w:rFonts w:ascii="Times New Roman" w:eastAsia="Times New Roman" w:hAnsi="Times New Roman" w:cs="Times New Roman"/>
          <w:sz w:val="28"/>
          <w:szCs w:val="28"/>
        </w:rPr>
      </w:pPr>
      <w:r w:rsidRPr="00BB1782">
        <w:rPr>
          <w:rFonts w:ascii="Times New Roman" w:eastAsia="Times New Roman" w:hAnsi="Times New Roman" w:cs="Times New Roman"/>
          <w:b/>
          <w:sz w:val="28"/>
          <w:szCs w:val="28"/>
        </w:rPr>
        <w:t>Методологія і методи</w:t>
      </w:r>
      <w:r w:rsidRPr="00BB1782">
        <w:rPr>
          <w:rFonts w:ascii="Times New Roman" w:eastAsia="Times New Roman" w:hAnsi="Times New Roman" w:cs="Times New Roman"/>
          <w:sz w:val="28"/>
          <w:szCs w:val="28"/>
        </w:rPr>
        <w:t xml:space="preserve"> дослідження. Використані такі методи:</w:t>
      </w:r>
      <w:r w:rsidR="00125723" w:rsidRPr="00BB1782">
        <w:rPr>
          <w:rFonts w:ascii="Times New Roman" w:eastAsia="Times New Roman" w:hAnsi="Times New Roman" w:cs="Times New Roman"/>
          <w:sz w:val="28"/>
          <w:szCs w:val="28"/>
        </w:rPr>
        <w:t xml:space="preserve"> </w:t>
      </w:r>
    </w:p>
    <w:p w14:paraId="00000010" w14:textId="0624423D" w:rsidR="009123BC" w:rsidRPr="00BB1782" w:rsidRDefault="00712845" w:rsidP="00C6458D">
      <w:pPr>
        <w:spacing w:line="360" w:lineRule="auto"/>
        <w:ind w:left="1000" w:hanging="260"/>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rPr>
        <w:t xml:space="preserve">– </w:t>
      </w:r>
      <w:r w:rsidRPr="00BB1782">
        <w:rPr>
          <w:rFonts w:ascii="Times New Roman" w:eastAsia="Times New Roman" w:hAnsi="Times New Roman" w:cs="Times New Roman"/>
          <w:sz w:val="28"/>
          <w:szCs w:val="28"/>
          <w:highlight w:val="white"/>
        </w:rPr>
        <w:t>історичний метод для аналізу розвитку турецької зовнішньої політики;</w:t>
      </w:r>
      <w:r w:rsidR="00125723" w:rsidRPr="00BB1782">
        <w:rPr>
          <w:rFonts w:ascii="Times New Roman" w:eastAsia="Times New Roman" w:hAnsi="Times New Roman" w:cs="Times New Roman"/>
          <w:sz w:val="28"/>
          <w:szCs w:val="28"/>
          <w:highlight w:val="white"/>
        </w:rPr>
        <w:t xml:space="preserve"> </w:t>
      </w:r>
    </w:p>
    <w:p w14:paraId="00000011" w14:textId="06BFB9EA" w:rsidR="009123BC" w:rsidRPr="00BB1782" w:rsidRDefault="00712845" w:rsidP="00C6458D">
      <w:pPr>
        <w:spacing w:line="360" w:lineRule="auto"/>
        <w:ind w:left="1000" w:hanging="260"/>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rPr>
        <w:t xml:space="preserve">– </w:t>
      </w:r>
      <w:r w:rsidRPr="00BB1782">
        <w:rPr>
          <w:rFonts w:ascii="Times New Roman" w:eastAsia="Times New Roman" w:hAnsi="Times New Roman" w:cs="Times New Roman"/>
          <w:sz w:val="28"/>
          <w:szCs w:val="28"/>
          <w:highlight w:val="white"/>
        </w:rPr>
        <w:t>метод контент-аналізу для дослідження політичних заяв та офіційних документів;</w:t>
      </w:r>
      <w:r w:rsidR="00125723" w:rsidRPr="00BB1782">
        <w:rPr>
          <w:rFonts w:ascii="Times New Roman" w:eastAsia="Times New Roman" w:hAnsi="Times New Roman" w:cs="Times New Roman"/>
          <w:sz w:val="28"/>
          <w:szCs w:val="28"/>
          <w:highlight w:val="white"/>
        </w:rPr>
        <w:t xml:space="preserve"> </w:t>
      </w:r>
    </w:p>
    <w:p w14:paraId="00000012" w14:textId="77777777" w:rsidR="009123BC" w:rsidRPr="00BB1782" w:rsidRDefault="00712845" w:rsidP="00C6458D">
      <w:pPr>
        <w:spacing w:line="360" w:lineRule="auto"/>
        <w:ind w:left="1000" w:hanging="260"/>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rPr>
        <w:t xml:space="preserve">– </w:t>
      </w:r>
      <w:r w:rsidRPr="00BB1782">
        <w:rPr>
          <w:rFonts w:ascii="Times New Roman" w:eastAsia="Times New Roman" w:hAnsi="Times New Roman" w:cs="Times New Roman"/>
          <w:sz w:val="28"/>
          <w:szCs w:val="28"/>
          <w:highlight w:val="white"/>
        </w:rPr>
        <w:t xml:space="preserve">порівняльний метод для зіставлення політики Туреччини у різних регіонах; </w:t>
      </w:r>
    </w:p>
    <w:p w14:paraId="00000013" w14:textId="720237F7" w:rsidR="009123BC" w:rsidRPr="00BB1782" w:rsidRDefault="00712845" w:rsidP="00C6458D">
      <w:pPr>
        <w:spacing w:line="360" w:lineRule="auto"/>
        <w:ind w:left="1000" w:hanging="260"/>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rPr>
        <w:t xml:space="preserve">– </w:t>
      </w:r>
      <w:r w:rsidRPr="00BB1782">
        <w:rPr>
          <w:rFonts w:ascii="Times New Roman" w:eastAsia="Times New Roman" w:hAnsi="Times New Roman" w:cs="Times New Roman"/>
          <w:sz w:val="28"/>
          <w:szCs w:val="28"/>
          <w:highlight w:val="white"/>
        </w:rPr>
        <w:t>метод кейс-стаді для вивчення конкретних випадків взаємодії Туреччини з мусульманськими та європейськими країнами.</w:t>
      </w:r>
      <w:r w:rsidR="00125723" w:rsidRPr="00BB1782">
        <w:rPr>
          <w:rFonts w:ascii="Times New Roman" w:eastAsia="Times New Roman" w:hAnsi="Times New Roman" w:cs="Times New Roman"/>
          <w:sz w:val="28"/>
          <w:szCs w:val="28"/>
          <w:highlight w:val="white"/>
        </w:rPr>
        <w:t xml:space="preserve"> </w:t>
      </w:r>
    </w:p>
    <w:p w14:paraId="00000014" w14:textId="176B110E" w:rsidR="009123BC" w:rsidRPr="00BB1782" w:rsidRDefault="00712845" w:rsidP="00C6458D">
      <w:pPr>
        <w:spacing w:line="360" w:lineRule="auto"/>
        <w:ind w:firstLine="520"/>
        <w:jc w:val="both"/>
        <w:rPr>
          <w:rFonts w:ascii="Times New Roman" w:eastAsia="Times New Roman" w:hAnsi="Times New Roman" w:cs="Times New Roman"/>
          <w:sz w:val="28"/>
          <w:szCs w:val="28"/>
        </w:rPr>
      </w:pPr>
      <w:r w:rsidRPr="00BB1782">
        <w:rPr>
          <w:rFonts w:ascii="Times New Roman" w:eastAsia="Times New Roman" w:hAnsi="Times New Roman" w:cs="Times New Roman"/>
          <w:b/>
          <w:sz w:val="28"/>
          <w:szCs w:val="28"/>
        </w:rPr>
        <w:t>Наукова новизна</w:t>
      </w:r>
      <w:r w:rsidRPr="00BB1782">
        <w:rPr>
          <w:rFonts w:ascii="Times New Roman" w:eastAsia="Times New Roman" w:hAnsi="Times New Roman" w:cs="Times New Roman"/>
          <w:sz w:val="28"/>
          <w:szCs w:val="28"/>
        </w:rPr>
        <w:t>:</w:t>
      </w:r>
      <w:r w:rsidR="00125723" w:rsidRPr="00BB1782">
        <w:rPr>
          <w:rFonts w:ascii="Times New Roman" w:eastAsia="Times New Roman" w:hAnsi="Times New Roman" w:cs="Times New Roman"/>
          <w:sz w:val="28"/>
          <w:szCs w:val="28"/>
        </w:rPr>
        <w:t xml:space="preserve"> </w:t>
      </w:r>
    </w:p>
    <w:p w14:paraId="00000015" w14:textId="415364DF" w:rsidR="009123BC" w:rsidRPr="00BB1782" w:rsidRDefault="00712845" w:rsidP="00C6458D">
      <w:pPr>
        <w:spacing w:line="360" w:lineRule="auto"/>
        <w:ind w:left="1000" w:hanging="260"/>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rPr>
        <w:t xml:space="preserve">– </w:t>
      </w:r>
      <w:r w:rsidRPr="00BB1782">
        <w:rPr>
          <w:rFonts w:ascii="Times New Roman" w:eastAsia="Times New Roman" w:hAnsi="Times New Roman" w:cs="Times New Roman"/>
          <w:sz w:val="28"/>
          <w:szCs w:val="28"/>
          <w:highlight w:val="white"/>
        </w:rPr>
        <w:t>визначення нових тенденцій у зовнішній політиці Туреччини, зокрема посилення ісламського впливу у міжнародних відносинах;</w:t>
      </w:r>
      <w:r w:rsidR="00125723" w:rsidRPr="00BB1782">
        <w:rPr>
          <w:rFonts w:ascii="Times New Roman" w:eastAsia="Times New Roman" w:hAnsi="Times New Roman" w:cs="Times New Roman"/>
          <w:sz w:val="28"/>
          <w:szCs w:val="28"/>
          <w:highlight w:val="white"/>
        </w:rPr>
        <w:t xml:space="preserve"> </w:t>
      </w:r>
    </w:p>
    <w:p w14:paraId="00000016" w14:textId="77777777" w:rsidR="009123BC" w:rsidRPr="00BB1782" w:rsidRDefault="00712845" w:rsidP="00C6458D">
      <w:pPr>
        <w:spacing w:line="360" w:lineRule="auto"/>
        <w:ind w:left="1000" w:hanging="260"/>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rPr>
        <w:t xml:space="preserve">– </w:t>
      </w:r>
      <w:r w:rsidRPr="00BB1782">
        <w:rPr>
          <w:rFonts w:ascii="Times New Roman" w:eastAsia="Times New Roman" w:hAnsi="Times New Roman" w:cs="Times New Roman"/>
          <w:sz w:val="28"/>
          <w:szCs w:val="28"/>
          <w:highlight w:val="white"/>
        </w:rPr>
        <w:t xml:space="preserve">оцінка взаємозв’язку між ісламським чинником та геополітичними інтересами Туреччини; </w:t>
      </w:r>
    </w:p>
    <w:p w14:paraId="00000017" w14:textId="4E31398D" w:rsidR="009123BC" w:rsidRPr="00BB1782" w:rsidRDefault="00712845" w:rsidP="00C6458D">
      <w:pPr>
        <w:spacing w:line="360" w:lineRule="auto"/>
        <w:ind w:left="1000" w:hanging="260"/>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rPr>
        <w:t xml:space="preserve">– </w:t>
      </w:r>
      <w:r w:rsidRPr="00BB1782">
        <w:rPr>
          <w:rFonts w:ascii="Times New Roman" w:eastAsia="Times New Roman" w:hAnsi="Times New Roman" w:cs="Times New Roman"/>
          <w:sz w:val="28"/>
          <w:szCs w:val="28"/>
          <w:highlight w:val="white"/>
        </w:rPr>
        <w:t>внесок у розробку концепцій релігійної дипломатії та аналіз ісламської «м'якої сили».</w:t>
      </w:r>
      <w:r w:rsidR="00125723" w:rsidRPr="00BB1782">
        <w:rPr>
          <w:rFonts w:ascii="Times New Roman" w:eastAsia="Times New Roman" w:hAnsi="Times New Roman" w:cs="Times New Roman"/>
          <w:sz w:val="28"/>
          <w:szCs w:val="28"/>
          <w:highlight w:val="white"/>
        </w:rPr>
        <w:t xml:space="preserve"> </w:t>
      </w:r>
    </w:p>
    <w:p w14:paraId="00000018" w14:textId="42D1B997" w:rsidR="009123BC" w:rsidRPr="00BB1782" w:rsidRDefault="00712845" w:rsidP="00C6458D">
      <w:pPr>
        <w:spacing w:line="360" w:lineRule="auto"/>
        <w:ind w:firstLine="520"/>
        <w:jc w:val="both"/>
        <w:rPr>
          <w:rFonts w:ascii="Times New Roman" w:eastAsia="Times New Roman" w:hAnsi="Times New Roman" w:cs="Times New Roman"/>
          <w:sz w:val="28"/>
          <w:szCs w:val="28"/>
        </w:rPr>
      </w:pPr>
      <w:r w:rsidRPr="00BB1782">
        <w:rPr>
          <w:rFonts w:ascii="Times New Roman" w:eastAsia="Times New Roman" w:hAnsi="Times New Roman" w:cs="Times New Roman"/>
          <w:b/>
          <w:sz w:val="28"/>
          <w:szCs w:val="28"/>
        </w:rPr>
        <w:t>Практичне значення</w:t>
      </w:r>
      <w:r w:rsidRPr="00BB1782">
        <w:rPr>
          <w:rFonts w:ascii="Times New Roman" w:eastAsia="Times New Roman" w:hAnsi="Times New Roman" w:cs="Times New Roman"/>
          <w:sz w:val="28"/>
          <w:szCs w:val="28"/>
        </w:rPr>
        <w:t>:</w:t>
      </w:r>
      <w:r w:rsidR="00125723" w:rsidRPr="00BB1782">
        <w:rPr>
          <w:rFonts w:ascii="Times New Roman" w:eastAsia="Times New Roman" w:hAnsi="Times New Roman" w:cs="Times New Roman"/>
          <w:sz w:val="28"/>
          <w:szCs w:val="28"/>
        </w:rPr>
        <w:t xml:space="preserve"> </w:t>
      </w:r>
    </w:p>
    <w:p w14:paraId="00000019" w14:textId="0E8E4F87" w:rsidR="009123BC" w:rsidRPr="00BB1782" w:rsidRDefault="00712845" w:rsidP="00C6458D">
      <w:pPr>
        <w:spacing w:line="360" w:lineRule="auto"/>
        <w:ind w:left="1000" w:hanging="260"/>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rPr>
        <w:t xml:space="preserve">– </w:t>
      </w:r>
      <w:r w:rsidRPr="00BB1782">
        <w:rPr>
          <w:rFonts w:ascii="Times New Roman" w:eastAsia="Times New Roman" w:hAnsi="Times New Roman" w:cs="Times New Roman"/>
          <w:sz w:val="28"/>
          <w:szCs w:val="28"/>
          <w:highlight w:val="white"/>
        </w:rPr>
        <w:t>рекомендації для державних і міжнародних інституцій щодо взаємодії з Туреччиною.</w:t>
      </w:r>
      <w:r w:rsidR="00125723" w:rsidRPr="00BB1782">
        <w:rPr>
          <w:rFonts w:ascii="Times New Roman" w:eastAsia="Times New Roman" w:hAnsi="Times New Roman" w:cs="Times New Roman"/>
          <w:sz w:val="28"/>
          <w:szCs w:val="28"/>
          <w:highlight w:val="white"/>
        </w:rPr>
        <w:t xml:space="preserve"> </w:t>
      </w:r>
    </w:p>
    <w:p w14:paraId="0000001A" w14:textId="4B4333EB" w:rsidR="009123BC" w:rsidRPr="00BB1782" w:rsidRDefault="00712845" w:rsidP="00C6458D">
      <w:pPr>
        <w:spacing w:line="360" w:lineRule="auto"/>
        <w:ind w:left="1000" w:hanging="260"/>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rPr>
        <w:lastRenderedPageBreak/>
        <w:t xml:space="preserve">– </w:t>
      </w:r>
      <w:r w:rsidRPr="00BB1782">
        <w:rPr>
          <w:rFonts w:ascii="Times New Roman" w:eastAsia="Times New Roman" w:hAnsi="Times New Roman" w:cs="Times New Roman"/>
          <w:sz w:val="28"/>
          <w:szCs w:val="28"/>
          <w:highlight w:val="white"/>
        </w:rPr>
        <w:t>використання результатів дослідження у розробці зовнішньополітичних стратегій та міжкультурних ініціатив.</w:t>
      </w:r>
      <w:r w:rsidR="00125723" w:rsidRPr="00BB1782">
        <w:rPr>
          <w:rFonts w:ascii="Times New Roman" w:eastAsia="Times New Roman" w:hAnsi="Times New Roman" w:cs="Times New Roman"/>
          <w:sz w:val="28"/>
          <w:szCs w:val="28"/>
          <w:highlight w:val="white"/>
        </w:rPr>
        <w:t xml:space="preserve"> </w:t>
      </w:r>
    </w:p>
    <w:p w14:paraId="0000001B"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Хронологічні рамки дослідження охоплюють період з 2002 року, коли до влади прийшла Партія справедливості та розвитку (ПСР) на чолі з Реджепом Тайїпом Ердоганом, до сьогодення. Цей період обрано через активізацію зовнішньої політики Туреччини, зокрема в мусульманському світі, та зростання ролі ісламського чинника.</w:t>
      </w:r>
    </w:p>
    <w:p w14:paraId="0000001D" w14:textId="6E79EA26"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b/>
          <w:sz w:val="28"/>
          <w:szCs w:val="28"/>
        </w:rPr>
        <w:t>Апробація результатів дослідження</w:t>
      </w:r>
      <w:r w:rsidRPr="00BB1782">
        <w:rPr>
          <w:rFonts w:ascii="Times New Roman" w:eastAsia="Times New Roman" w:hAnsi="Times New Roman" w:cs="Times New Roman"/>
          <w:sz w:val="28"/>
          <w:szCs w:val="28"/>
        </w:rPr>
        <w:t xml:space="preserve"> була представлена у вигляді тез на студентській науковій конференції «Міжнародні відносини: виклики сучасності» (2024), а також у статті в журналі «Політичні дослідження» (№ 12, 2024).</w:t>
      </w:r>
    </w:p>
    <w:p w14:paraId="3B119DF5" w14:textId="014C9C55" w:rsidR="00972315" w:rsidRPr="00BB1782" w:rsidRDefault="00712845" w:rsidP="00C6458D">
      <w:pPr>
        <w:spacing w:line="360" w:lineRule="auto"/>
        <w:ind w:firstLine="720"/>
        <w:jc w:val="both"/>
        <w:rPr>
          <w:rFonts w:ascii="Times New Roman" w:eastAsia="Times New Roman" w:hAnsi="Times New Roman" w:cs="Times New Roman"/>
          <w:sz w:val="28"/>
          <w:szCs w:val="28"/>
          <w:lang w:val="uk-UA"/>
        </w:rPr>
      </w:pPr>
      <w:r w:rsidRPr="00BB1782">
        <w:rPr>
          <w:rFonts w:ascii="Times New Roman" w:eastAsia="Times New Roman" w:hAnsi="Times New Roman" w:cs="Times New Roman"/>
          <w:sz w:val="28"/>
          <w:szCs w:val="28"/>
        </w:rPr>
        <w:t xml:space="preserve">Структурно дослідження складається зі вступу, трьох розділів, які містять у своєму складі підрозділи, висновків, списку джерел і літератури, а також додатків. У розділі 1 повідомляється про теоретичні засади дослідження. </w:t>
      </w:r>
      <w:r w:rsidR="00972315" w:rsidRPr="00BB1782">
        <w:rPr>
          <w:rFonts w:ascii="Times New Roman" w:eastAsia="Times New Roman" w:hAnsi="Times New Roman" w:cs="Times New Roman"/>
          <w:sz w:val="28"/>
          <w:szCs w:val="28"/>
          <w:lang w:val="uk-UA"/>
        </w:rPr>
        <w:t xml:space="preserve">Розкрите використання сучасних теорій міжнародних відносин, зокрема м’якої сили, через призму зовнішньої політики Анкари. Крім того, здійснений аналіз методології дослідження.  </w:t>
      </w:r>
    </w:p>
    <w:p w14:paraId="44C18A08" w14:textId="047958C3" w:rsidR="00466EE3" w:rsidRPr="00BB1782" w:rsidRDefault="00712845" w:rsidP="00C6458D">
      <w:pPr>
        <w:spacing w:line="360" w:lineRule="auto"/>
        <w:ind w:firstLine="720"/>
        <w:jc w:val="both"/>
        <w:rPr>
          <w:rFonts w:ascii="Times New Roman" w:eastAsia="Times New Roman" w:hAnsi="Times New Roman" w:cs="Times New Roman"/>
          <w:sz w:val="28"/>
          <w:szCs w:val="28"/>
          <w:lang w:val="uk-UA"/>
        </w:rPr>
      </w:pPr>
      <w:r w:rsidRPr="00BB1782">
        <w:rPr>
          <w:rFonts w:ascii="Times New Roman" w:eastAsia="Times New Roman" w:hAnsi="Times New Roman" w:cs="Times New Roman"/>
          <w:sz w:val="28"/>
          <w:szCs w:val="28"/>
        </w:rPr>
        <w:t xml:space="preserve">У розділі 2 розкривається політика Туреччини в мусульманському світі. </w:t>
      </w:r>
      <w:r w:rsidR="00466EE3" w:rsidRPr="00BB1782">
        <w:rPr>
          <w:rFonts w:ascii="Times New Roman" w:eastAsia="Times New Roman" w:hAnsi="Times New Roman" w:cs="Times New Roman"/>
          <w:sz w:val="28"/>
          <w:szCs w:val="28"/>
          <w:lang w:val="uk-UA"/>
        </w:rPr>
        <w:t>Окремо проведений розбір ісламського чинника у відносинах Туреччини з Саудівською Аравією, Єгиптом і Сирією. Проведене дослідження впливу відмінностей між суннітською й шиїтською гілками ісламу на відносини Туреччини з Іраном.</w:t>
      </w:r>
    </w:p>
    <w:p w14:paraId="0000001E" w14:textId="7054896D"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У розділі 3 аналізується роль ісламського чинника у відносинах Туреччини з країнами Європи. </w:t>
      </w:r>
      <w:r w:rsidR="00466EE3" w:rsidRPr="00BB1782">
        <w:rPr>
          <w:rFonts w:ascii="Times New Roman" w:eastAsia="Times New Roman" w:hAnsi="Times New Roman" w:cs="Times New Roman"/>
          <w:sz w:val="28"/>
          <w:szCs w:val="28"/>
          <w:lang w:val="uk-UA"/>
        </w:rPr>
        <w:t xml:space="preserve">Аналіз проведено у відповідності із важливістю для офіційної Анкари відносин з кожною провідною країною Європейського континенту. </w:t>
      </w:r>
      <w:r w:rsidR="00C6458D" w:rsidRPr="00BB1782">
        <w:rPr>
          <w:rFonts w:ascii="Times New Roman" w:eastAsia="Times New Roman" w:hAnsi="Times New Roman" w:cs="Times New Roman"/>
          <w:sz w:val="28"/>
          <w:szCs w:val="28"/>
          <w:lang w:val="uk-UA"/>
        </w:rPr>
        <w:t xml:space="preserve">Крім того, окремо досліджуються відносини Туреччини з Великою Британією. </w:t>
      </w:r>
      <w:r w:rsidRPr="00BB1782">
        <w:rPr>
          <w:rFonts w:ascii="Times New Roman" w:eastAsia="Times New Roman" w:hAnsi="Times New Roman" w:cs="Times New Roman"/>
          <w:sz w:val="28"/>
          <w:szCs w:val="28"/>
        </w:rPr>
        <w:t xml:space="preserve">Обсяг роботи </w:t>
      </w:r>
      <w:r w:rsidR="00EC771B">
        <w:rPr>
          <w:rFonts w:ascii="Times New Roman" w:eastAsia="Times New Roman" w:hAnsi="Times New Roman" w:cs="Times New Roman"/>
          <w:sz w:val="28"/>
          <w:szCs w:val="28"/>
        </w:rPr>
        <w:t>–</w:t>
      </w:r>
      <w:r w:rsidRPr="00BB1782">
        <w:rPr>
          <w:rFonts w:ascii="Times New Roman" w:eastAsia="Times New Roman" w:hAnsi="Times New Roman" w:cs="Times New Roman"/>
          <w:sz w:val="28"/>
          <w:szCs w:val="28"/>
        </w:rPr>
        <w:t xml:space="preserve"> </w:t>
      </w:r>
      <w:r w:rsidR="00EC771B">
        <w:rPr>
          <w:rFonts w:ascii="Times New Roman" w:eastAsia="Times New Roman" w:hAnsi="Times New Roman" w:cs="Times New Roman"/>
          <w:sz w:val="28"/>
          <w:szCs w:val="28"/>
          <w:lang w:val="uk-UA"/>
        </w:rPr>
        <w:t xml:space="preserve">88 </w:t>
      </w:r>
      <w:r w:rsidRPr="00BB1782">
        <w:rPr>
          <w:rFonts w:ascii="Times New Roman" w:eastAsia="Times New Roman" w:hAnsi="Times New Roman" w:cs="Times New Roman"/>
          <w:sz w:val="28"/>
          <w:szCs w:val="28"/>
        </w:rPr>
        <w:t>друкованих аркушів.</w:t>
      </w:r>
    </w:p>
    <w:p w14:paraId="0000002C" w14:textId="3C354B94" w:rsidR="00572BAF" w:rsidRPr="00BB1782" w:rsidRDefault="00572BAF">
      <w:pPr>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br w:type="page"/>
      </w:r>
    </w:p>
    <w:p w14:paraId="00000037" w14:textId="77777777" w:rsidR="009123BC" w:rsidRPr="00BB1782" w:rsidRDefault="00712845" w:rsidP="00C6458D">
      <w:pPr>
        <w:pStyle w:val="1"/>
        <w:jc w:val="center"/>
        <w:rPr>
          <w:rFonts w:ascii="Times New Roman" w:eastAsia="Times New Roman" w:hAnsi="Times New Roman" w:cs="Times New Roman"/>
          <w:b/>
          <w:sz w:val="28"/>
          <w:szCs w:val="28"/>
        </w:rPr>
      </w:pPr>
      <w:bookmarkStart w:id="2" w:name="_Toc183727746"/>
      <w:r w:rsidRPr="00BB1782">
        <w:rPr>
          <w:rFonts w:ascii="Times New Roman" w:eastAsia="Times New Roman" w:hAnsi="Times New Roman" w:cs="Times New Roman"/>
          <w:b/>
          <w:sz w:val="28"/>
          <w:szCs w:val="28"/>
        </w:rPr>
        <w:lastRenderedPageBreak/>
        <w:t>РОЗДІЛ 1. ТЕОРЕТИЧНІ ЗАСАДИ ДОСЛІДЖЕННЯ</w:t>
      </w:r>
      <w:bookmarkEnd w:id="2"/>
    </w:p>
    <w:p w14:paraId="0000003A" w14:textId="77777777" w:rsidR="009123BC" w:rsidRPr="00BB1782" w:rsidRDefault="009123BC">
      <w:pPr>
        <w:spacing w:line="360" w:lineRule="auto"/>
        <w:jc w:val="both"/>
        <w:rPr>
          <w:rFonts w:ascii="Times New Roman" w:eastAsia="Times New Roman" w:hAnsi="Times New Roman" w:cs="Times New Roman"/>
          <w:sz w:val="28"/>
          <w:szCs w:val="28"/>
        </w:rPr>
      </w:pPr>
    </w:p>
    <w:p w14:paraId="0000003B"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Зовнішня політика Туреччини за останні десятиліття все більше демонструє зростання впливу ісламського фактору. Ця зміна спонукала до аналізу її особливостей через призму концепції “м’якої сили” (англ. soft power), яка є однією з центральних у неоліберальній школі міжнародних відносин та є ключовою для цього дослідження.</w:t>
      </w:r>
    </w:p>
    <w:p w14:paraId="0000003C"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Концепція «м’якої сили» (англ. soft power), розроблена професором Гарвардського університету Джозефом Наєм, передбачає здатність держави досягати своїх зовнішньополітичних цілей через привабливість культури, цінностей, ідей та дипломатії, а не через примус чи військову силу. На відміну від «жорсткої сили» (hard power), що базується на економічному тиску чи військових загрозах, «м’яка сила» спирається на культурні, релігійні та моральні ресурси, які здатні впливати на міжнародних партнерів через їхнє захоплення чи переконання (Nye, 2012).</w:t>
      </w:r>
    </w:p>
    <w:p w14:paraId="0000003D"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М’яка сила базується на трьох ключових елементах: культурі, цінностях і зовнішній політиці. Її ефективність проявляється через співпрацю між зацікавленими сторонами, засновану на спільних переконаннях і цінностях. На думку Дж. Ная, такий підхід забезпечує більш тривалий вплив, сприяючи лояльності міжнародної спільноти та можливості впливати на ухвалення необхідних політичних рішень (Тарасюк, Шаглі, 2021).</w:t>
      </w:r>
    </w:p>
    <w:p w14:paraId="0000003E"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Для Туреччини «м’яка сила» стала основним елементом її зовнішньополітичної стратегії, зокрема в мусульманському світі. Основна ідея полягає у використанні спільної історичної спадщини, культурної дипломатії та ісламських цінностей для побудови довіри та зміцнення зв’язків із країнами, де іслам є домінуючою релігією (Тарасюк, Шаглі, 2021).</w:t>
      </w:r>
    </w:p>
    <w:p w14:paraId="0000003F"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lastRenderedPageBreak/>
        <w:t xml:space="preserve">Неоліберальна школа міжнародних відносин, представлена такими дослідниками, як Джозеф Най та Роберт Кеохейн, акцентує увагу на значенні співпраці, взаємозалежності та ролі міжнародних інституцій у сучасній системі. Вона визнає, що влада держави не обмежується військовими чи економічними ресурсами, а включає здатність впливати через культуру, цінності та ідеї. </w:t>
      </w:r>
    </w:p>
    <w:p w14:paraId="00000040"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Джозеф Най у своїх роботах (“Bound to Lead: The Changing Nature of American Power”, 1990; “Soft Power: The Means to Success in World Politics”, 2004) запровадив термін “м’яка сила”, підкресливши, що ефективність держави залежить від її здатності приваблювати інших через спільні цінності, переконання та культурну дипломатію. Роберт Кеохейн, у свою чергу, доповнив концепцію, наголосивши на важливості міжнародних інституцій у поширенні норм та ідей, які формують глобальний порядок.</w:t>
      </w:r>
    </w:p>
    <w:p w14:paraId="00000041"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У контексті зовнішньої політики Туреччини концепція «м’якої сили» допомагає зрозуміти, як країна використовує культурні та релігійні зв’язки для зміцнення своїх позицій на міжнародній арені. Туреччина активно застосовує інструменти «м’якої сили», такі як культурна дипломатія, освітні програми та гуманітарна допомога, для зміцнення зв’язків з країнами, з якими вона має спільні історичні та релігійні корені (Kalin, 2011).</w:t>
      </w:r>
    </w:p>
    <w:p w14:paraId="00000042" w14:textId="0FF2C4BF"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Зокрема, Туреччина використовує ісламський фактор у своїй «м’якій силі» для: зміцнення дипломатичних зв’язків з країнами ісламського світу через спільні р</w:t>
      </w:r>
      <w:r w:rsidR="00AF770D" w:rsidRPr="00BB1782">
        <w:rPr>
          <w:rFonts w:ascii="Times New Roman" w:eastAsia="Times New Roman" w:hAnsi="Times New Roman" w:cs="Times New Roman"/>
          <w:sz w:val="28"/>
          <w:szCs w:val="28"/>
        </w:rPr>
        <w:t>елігійні та культурні цінності;</w:t>
      </w:r>
      <w:r w:rsidRPr="00BB1782">
        <w:rPr>
          <w:rFonts w:ascii="Times New Roman" w:eastAsia="Times New Roman" w:hAnsi="Times New Roman" w:cs="Times New Roman"/>
          <w:sz w:val="28"/>
          <w:szCs w:val="28"/>
        </w:rPr>
        <w:t xml:space="preserve"> для створення привабливого міжнародного іміджу як захисника ісламських цінностей та традицій та для зміцнення внутрішньої підтримки політики правлячої партії, апелюючи до ісламської ідентичності та цінностей.</w:t>
      </w:r>
    </w:p>
    <w:p w14:paraId="00000043"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Таким чином, концепція «м’якої сили» у неоліберальному контексті надає інструменти для аналізу зовнішньої політики Туреччини, </w:t>
      </w:r>
      <w:r w:rsidRPr="00BB1782">
        <w:rPr>
          <w:rFonts w:ascii="Times New Roman" w:eastAsia="Times New Roman" w:hAnsi="Times New Roman" w:cs="Times New Roman"/>
          <w:sz w:val="28"/>
          <w:szCs w:val="28"/>
        </w:rPr>
        <w:lastRenderedPageBreak/>
        <w:t>підкреслюючи важливість нематеріальних чинників, таких як культура та релігія, у досягненні зовнішньополітичних цілей.</w:t>
      </w:r>
    </w:p>
    <w:p w14:paraId="00000044"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Не дивлячись на те, що вченим важко пояснити причини посилення турецького потенціалу «мʼякої сили», але відомо коли Туреччина почала використовувати «мʼякі» інструменти впливу - після періоду біполярності. </w:t>
      </w:r>
    </w:p>
    <w:p w14:paraId="00000045"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Кардинальні зміни у міжнародній системі, зокрема завершення біполярної епохи наприкінці ХХ століття, створили нові виклики та можливості для зовнішньої політики держав. У цих умовах Туреччина активно адаптувала свою стратегію, використовуючи концепцію «м’якої сили» як інструмент для зміцнення свого впливу на міжнародній арені.</w:t>
      </w:r>
    </w:p>
    <w:p w14:paraId="00000046"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«М’яка сила», полягає у здатності держави досягати своїх цілей через привабливість культури, політичних ідеалів та дипломатії. Для Туреччини ключовими ресурсами «м’якої сили» стали її ісламська ідентичність, історична спадщина Османської імперії, а також активна гуманітарна та культурна дипломатія. Ці інструменти дозволяють Анкарі впливати на сусідні країни та регіони, зокрема на Близький Схід, Центральну Азію та Балкани, без використання примусу чи військових засобів (Тарасюк, Шаглі, 2021)</w:t>
      </w:r>
    </w:p>
    <w:p w14:paraId="00000047"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З приходом до влади Партії справедливості та розвитку (ПСР) у 2000-х роках відбулося поступове повернення релігії в суспільне життя. Цей процес сприяв тому, що Анкара почала активно цікавитися регіонами, населеними мусульманами.</w:t>
      </w:r>
    </w:p>
    <w:p w14:paraId="00000048"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На думку І. Гьозайдина, експерта зі Стамбульського технічного університету, сьогодні Туреччина використовує релігію та діяльність своїх неурядових організацій як інструмент «м’якої сили» (Gözaydin, 2010). Турецький дослідник Кемаль Октем навіть пропонує термін «близьке мусульманське зарубіжжя» («near Muslim abroad») для позначення нової сфери впливу Туреччини (Öktem, 2013).</w:t>
      </w:r>
    </w:p>
    <w:p w14:paraId="00000049"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lastRenderedPageBreak/>
        <w:t>Турецька влада змогла звернутися до концепції «м’якої сили» лише після досягнення економічного процвітання, відносної стабільності в регіоні завдяки політиці «нульових проблем із сусідами» та посиленню взаємозалежності з регіональними й нерегіональними акторами. На думку Т. Огузлу, експерта Білкентського університету (Анкара), «м’яка сила» стала можливою завдяки процесу «десек’юритизації». Завдяки конструктивній дипломатії та сприятливій регіональній ситуації Туреччина змогла більше зосередитися на невійськових аспектах своєї зовнішньої політики, що, своєю чергою, підвищило її авторитет як серед країн Заходу, так і Близького Сходу (Oguzlu, 2007). Таким чином, забезпечення безпеки створило необхідні передумови для практичного застосування інструментів «м’якої сили».</w:t>
      </w:r>
    </w:p>
    <w:p w14:paraId="0000004A"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Концептуальні основи та особливості використання «м’якої сили» в різних аспектах сучасної світової політики досліджуються не лише західними, а й багатьма вітчизняними науковцями. Наприклад, у культурно-цивілізаційному контексті «м’яка сила» розглядається як результат становлення нової політичної культури, що характеризується переходом від жорсткої до більш витонченої форми впливу; у ментальному вимірі важливим компонентом «м’якої сили» в умовах конфронтації є непрямі дії, такі як морально-психологічний та інформаційно-пропагандистський тиск на супротивника; у глобалізаційному контексті значна роль у структурі «м’якої сили» надається засобам тиску та елементам насилля. У воєнній політиці та національній обороні близькою за змістом до «м’якої сили» є концепція «громадянської оборони», сутність якої полягає в можливості залякування потенційного агресора через опір населення (Цюрупа, 2007).</w:t>
      </w:r>
    </w:p>
    <w:p w14:paraId="0000004B"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Цей підхід акцентує увагу на структурі міжнародної системи, де держави прагнуть до максимізації своєї безпеки та влади. З точки зору «м’якої сили», Туреччина, як і інші держави, прагне дотримуватися своїх </w:t>
      </w:r>
      <w:r w:rsidRPr="00BB1782">
        <w:rPr>
          <w:rFonts w:ascii="Times New Roman" w:eastAsia="Times New Roman" w:hAnsi="Times New Roman" w:cs="Times New Roman"/>
          <w:sz w:val="28"/>
          <w:szCs w:val="28"/>
        </w:rPr>
        <w:lastRenderedPageBreak/>
        <w:t>національних інтересів у міжнародній системі, де домінують великі держави. Ісламський чинник може впливати на зовнішню політику Туреччини, оскільки він може мотивувати її до співпраці з іншими мусульманськими країнами або до протистояння Заходу.</w:t>
      </w:r>
    </w:p>
    <w:p w14:paraId="0000004C"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Ісламський фактор у «м’якій силі» може використовуватися для мобілізації підтримки всередині країни. Це може бути особливо корисно для правлячої партії ПСР, яка має сильну ісламістську базу підтримки.</w:t>
      </w:r>
    </w:p>
    <w:p w14:paraId="0000004D"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Туреччина може використовувати свою ісламську ідентичність для посилення своїх зв'язків з іншими мусульманськими країнами, щоб розширити свою сферу впливу та протистояти західному впливу.</w:t>
      </w:r>
    </w:p>
    <w:p w14:paraId="0000004E" w14:textId="601EF9EA"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Ісламський фактор може використовуватися для</w:t>
      </w:r>
      <w:r w:rsidR="00125723" w:rsidRPr="00BB1782">
        <w:rPr>
          <w:rFonts w:ascii="Times New Roman" w:eastAsia="Times New Roman" w:hAnsi="Times New Roman" w:cs="Times New Roman"/>
          <w:sz w:val="28"/>
          <w:szCs w:val="28"/>
        </w:rPr>
        <w:t xml:space="preserve"> </w:t>
      </w:r>
      <w:r w:rsidRPr="00BB1782">
        <w:rPr>
          <w:rFonts w:ascii="Times New Roman" w:eastAsia="Times New Roman" w:hAnsi="Times New Roman" w:cs="Times New Roman"/>
          <w:sz w:val="28"/>
          <w:szCs w:val="28"/>
        </w:rPr>
        <w:t>виправдання військової інтервенції. Наприклад, Туреччина втрутилася в сирійську громадянську війну частково з міркувань захисту сунітського населення. Аналіз втручання Туреччини в сирійську громадянську війну з точки зору захисту сунітського населення та протидії поширенню впливу ІДІЛ.</w:t>
      </w:r>
    </w:p>
    <w:p w14:paraId="0000004F"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«М’яка сила» кидає виклик традиційним уявленням про міжнародні відносини, стверджуючи, що не існує єдиної «істини» щодо зовнішньої політики (Nye, 2021). З точки зору «м’якої сили», ісламський чинник не можна розглядати як єдиний та чітко визначений фактор, який впливає на зовнішню політику Туреччини. Натомість, ісламський дискурс може інтерпретуватися по-різному залежно від контексту та акторів.</w:t>
      </w:r>
    </w:p>
    <w:p w14:paraId="00000050"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Зовнішня політика Туреччини може бути інтерпретована по-різному залежно від контексту. Наприклад, деякі люди можуть розглядати її як загрозу, тоді як інші можуть бачити в ній можливість для співпраці.</w:t>
      </w:r>
    </w:p>
    <w:p w14:paraId="00000051"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З точки зору «м’якої сили», не можна дати єдине пояснення зростання ісламського фактору в турецькій політиці та його впливу на зовнішню політику країни. Це складне явище, яке має множинні причини та може інтерпретуватися по-різному.</w:t>
      </w:r>
    </w:p>
    <w:p w14:paraId="00000052"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lastRenderedPageBreak/>
        <w:t>Науковці підкреслюють важливість аналізу дискурсів, які циркулюють у турецькому суспільстві, для розуміння зовнішньої політики країни. Ці дискурси можуть формувати уявлення про іслам, Захід, роль Туреччини в світі та інші важливі теми.</w:t>
      </w:r>
    </w:p>
    <w:p w14:paraId="00000053"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Підхід «м’якої сили» також наголошує на важливості контексту при аналізі зовнішньої політики Туреччини. Різні події, такі як терористичні атаки, зміни в урядах сусідніх країн або економічні кризи, можуть впливати на те, як Туреччина формулює та реалізує свою зовнішню політику.</w:t>
      </w:r>
    </w:p>
    <w:p w14:paraId="00000054"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Різні актори, такі як турецькі урядовці, релігійні лідери, західні аналітики та звичайні громадяни, можуть по-різному інтерпретувати зростання ісламського впливу в Туреччині. Проводилися дослідження того, як дискурси про іслам та Захід впливають на зовнішню політику Туреччини. Ці дискурси можуть формувати уявлення про те, з ким </w:t>
      </w:r>
      <w:bookmarkStart w:id="3" w:name="_GoBack"/>
      <w:bookmarkEnd w:id="3"/>
      <w:r w:rsidRPr="00BB1782">
        <w:rPr>
          <w:rFonts w:ascii="Times New Roman" w:eastAsia="Times New Roman" w:hAnsi="Times New Roman" w:cs="Times New Roman"/>
          <w:sz w:val="28"/>
          <w:szCs w:val="28"/>
        </w:rPr>
        <w:t>Туреччині слід співпрацювати, проти кого їй слід боротися і яку роль вона має відігравати в світі.</w:t>
      </w:r>
    </w:p>
    <w:p w14:paraId="00000055"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Важливо зазначити, що концепт «м’якої сили» не дає готових відповідей на питання про зовнішню політику Туреччини. Натомість він пропонує нові рамки для аналізу цієї складної теми, які дозволяють враховувати множинність перспектив та контекстів (Yeşiltaş, 2024).</w:t>
      </w:r>
    </w:p>
    <w:p w14:paraId="00000056"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Отже, зовнішня політика Туреччини протягом останнього десятиліття зазнала значних змін під впливом зростання ісламського фактору. Аналіз цієї зміни через призму «м’якої сили» дозволяє отримати більш комплексне розуміння її причин та наслідків.</w:t>
      </w:r>
    </w:p>
    <w:p w14:paraId="00000058"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Аналіз впливу ісламського чинника на зовнішню політику Туреччини, зокрема в контексті концепції «м’якої сили», займає важливе місце в сучасній науковій літературі. Проблематика «м’якої сили» в контексті зовнішньої політики Туреччини була розглянута як іноземними, так і українськими дослідниками. У цьому підрозділі здійснюється </w:t>
      </w:r>
      <w:r w:rsidRPr="00BB1782">
        <w:rPr>
          <w:rFonts w:ascii="Times New Roman" w:eastAsia="Times New Roman" w:hAnsi="Times New Roman" w:cs="Times New Roman"/>
          <w:sz w:val="28"/>
          <w:szCs w:val="28"/>
        </w:rPr>
        <w:lastRenderedPageBreak/>
        <w:t>систематизація наукових джерел та визначення ступеня їхньої корисності для виконання цього дослідження.</w:t>
      </w:r>
    </w:p>
    <w:p w14:paraId="00000059"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З метою систематизації існуючих наукових розробок, що досліджують вплив ісламського фактору на зовнішню політику Туреччини, доцільно класифікувати їх за методологічним підходом. Це дозволить чітко окреслити основні теоретичні напрямки, які використовуються дослідниками.</w:t>
      </w:r>
    </w:p>
    <w:p w14:paraId="0000005A" w14:textId="1C985A34"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Роботи таких провідних дослідників, як Ібрагім Калин («Soft Power and Public Diplomacy in Turkey», 2011) та Джозеф Най («Bound to Lead», 1990), акцентують увагу на дискурсивному аналізі та культурних чинниках. Вони дозволяють виявити, як Туреччина використовує ісламські цінності, культурну дипломатію та історичну спадщину для зміцнення своїх позицій</w:t>
      </w:r>
      <w:r w:rsidR="00125723" w:rsidRPr="00BB1782">
        <w:rPr>
          <w:rFonts w:ascii="Times New Roman" w:eastAsia="Times New Roman" w:hAnsi="Times New Roman" w:cs="Times New Roman"/>
          <w:sz w:val="28"/>
          <w:szCs w:val="28"/>
        </w:rPr>
        <w:t xml:space="preserve"> </w:t>
      </w:r>
      <w:r w:rsidRPr="00BB1782">
        <w:rPr>
          <w:rFonts w:ascii="Times New Roman" w:eastAsia="Times New Roman" w:hAnsi="Times New Roman" w:cs="Times New Roman"/>
          <w:sz w:val="28"/>
          <w:szCs w:val="28"/>
        </w:rPr>
        <w:t>у мусульманському світі. Дискурсивний аналіз допомагає простежити, як релігійні наративи формують імідж країни на міжнародній арені.</w:t>
      </w:r>
    </w:p>
    <w:p w14:paraId="0000005B"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Звіти Global Soft Power Index (2021) надають кількісну оцінку ефективності «м’якої сили» Туреччини, зокрема її позиції серед інших держав світу. Використання кількісних даних дозволяє проаналізувати, наскільки успішно Туреччина застосовує свої релігійні та культурні ресурси для досягнення зовнішньополітичних цілей. Ці дані також ілюструють зміни у сприйнятті Туреччини в мусульманських країнах у порівнянні з іншими державами, які використовують подібні підходи.</w:t>
      </w:r>
    </w:p>
    <w:p w14:paraId="0000005C"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Поєднання якісного та кількісного аналізу характерне для досліджень діяльності TİKA (Turkish Cooperation and Coordination Agency). Ця агенція відіграє ключову роль у реалізації гуманітарних та освітніх програм Туреччини, спрямованих на мусульманські країни. Вивчення її роботи дозволяє оцінити реальні результати застосування інструментів «м’якої сили», таких як допомога країнам Африки, Центральної Азії та Близького Сходу, а також зміцнення релігійних і культурних зв’язків.</w:t>
      </w:r>
    </w:p>
    <w:p w14:paraId="0000005D" w14:textId="79513DD4" w:rsidR="009123BC" w:rsidRPr="00BB1782" w:rsidRDefault="007B1944" w:rsidP="00881A14">
      <w:pPr>
        <w:spacing w:line="360" w:lineRule="auto"/>
        <w:ind w:firstLine="720"/>
        <w:jc w:val="both"/>
        <w:rPr>
          <w:rFonts w:ascii="Times New Roman" w:eastAsia="Times New Roman" w:hAnsi="Times New Roman" w:cs="Times New Roman"/>
          <w:sz w:val="28"/>
          <w:szCs w:val="28"/>
          <w:lang w:val="uk-UA"/>
        </w:rPr>
      </w:pPr>
      <w:r w:rsidRPr="00BB1782">
        <w:rPr>
          <w:rFonts w:ascii="Times New Roman" w:eastAsia="Times New Roman" w:hAnsi="Times New Roman" w:cs="Times New Roman"/>
          <w:sz w:val="28"/>
          <w:szCs w:val="28"/>
        </w:rPr>
        <w:lastRenderedPageBreak/>
        <w:t xml:space="preserve">Робота таких авторів як </w:t>
      </w:r>
      <w:r w:rsidR="00881A14" w:rsidRPr="00BB1782">
        <w:rPr>
          <w:rFonts w:ascii="Times New Roman" w:eastAsia="Times New Roman" w:hAnsi="Times New Roman" w:cs="Times New Roman"/>
          <w:sz w:val="28"/>
          <w:szCs w:val="28"/>
          <w:lang w:val="uk-UA"/>
        </w:rPr>
        <w:t xml:space="preserve">Йєзілтас, Мурат, Білгехан Озтюрк, Глорія Шкурті Юздемір </w:t>
      </w:r>
      <w:r w:rsidRPr="00BB1782">
        <w:rPr>
          <w:rFonts w:ascii="Times New Roman" w:eastAsia="Times New Roman" w:hAnsi="Times New Roman" w:cs="Times New Roman"/>
          <w:sz w:val="28"/>
          <w:szCs w:val="28"/>
        </w:rPr>
        <w:t>(2024)</w:t>
      </w:r>
      <w:r w:rsidR="00881A14" w:rsidRPr="00BB1782">
        <w:rPr>
          <w:rFonts w:ascii="Times New Roman" w:eastAsia="Times New Roman" w:hAnsi="Times New Roman" w:cs="Times New Roman"/>
          <w:sz w:val="28"/>
          <w:szCs w:val="28"/>
          <w:lang w:val="uk-UA"/>
        </w:rPr>
        <w:t xml:space="preserve"> </w:t>
      </w:r>
      <w:r w:rsidR="00712845" w:rsidRPr="00BB1782">
        <w:rPr>
          <w:rFonts w:ascii="Times New Roman" w:eastAsia="Times New Roman" w:hAnsi="Times New Roman" w:cs="Times New Roman"/>
          <w:sz w:val="28"/>
          <w:szCs w:val="28"/>
        </w:rPr>
        <w:t>аналізує, як Туреччина, використовуючи культурні проєкти та гуманітарну допомогу, намагається зміцнити свої позиції на Близькому Сході та в Африці. Це дослідження вказує на ефективність культурного впливу Туреччини, зокрема через освіту та серіали, як важливий інструмент розширення впливу. Аналіз показує, що гуманітарна допомога Туреччини в кризових регіонах (зокрема, в Сирії та Сомалі) також сприяє формуванню позитивного образу Туреччини як міжнародного гравця.</w:t>
      </w:r>
    </w:p>
    <w:p w14:paraId="0000005E"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Крім того, ця робота звертає увагу на роль ідентичності Туреччини як спадкоємця Османської імперії у формуванні її зовнішньополітичної стратегії, особливо на Балканах та в Центральній Азії (Yeşiltaş, 2024). Туреччина використовує ці наративи для зміцнення зв'язків із країнами, які мають спільну історію та культуру.</w:t>
      </w:r>
    </w:p>
    <w:p w14:paraId="0000005F"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У науковій праці «Insight Turkey» (2024) підкреслено, що Туреччина також використовує культурну спадщину Османської імперії для зміцнення зв’язків з країнами Балканського регіону та Центральної Азії, акцентуючи увагу на спільних історичних та культурних коренях. Це забезпечує Туреччині більший доступ до політичного діалогу і впливу в цих регіонах.</w:t>
      </w:r>
    </w:p>
    <w:p w14:paraId="00000060"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«Insight Turkey» підкреслює, що турецька зовнішня політика значною мірою побудована на конструктивістських принципах, де ідентичність та релігійні фактори використовуються для просування дипломатичних відносин з країнами Близького Сходу та Північної Африки. Важливим аспектом є те, як Туреччина адаптує свою зовнішню політику відповідно до сприйняття власної ролі як регіонального лідера.</w:t>
      </w:r>
    </w:p>
    <w:p w14:paraId="00000061"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Більшість західних дослідників, таких як Ейтан Гілбоа та Ентоні Блінкен, зазначають, що успіх «м’якої сили» Туреччини базується на її здатності залучати країни мусульманського світу через релігійні та </w:t>
      </w:r>
      <w:r w:rsidRPr="00BB1782">
        <w:rPr>
          <w:rFonts w:ascii="Times New Roman" w:eastAsia="Times New Roman" w:hAnsi="Times New Roman" w:cs="Times New Roman"/>
          <w:sz w:val="28"/>
          <w:szCs w:val="28"/>
        </w:rPr>
        <w:lastRenderedPageBreak/>
        <w:t>культурні зв’язки. Гілбоа підкреслює важливість культурної дипломатії, що сприяє зміцненню зв’язків Туреччини з країнами Близького Сходу та Африки. Ентоні Блінкен у своїй роботі «Winning the War of Ideas» зазначає, що Туреччина використовує спільну релігійну спадщину як інструмент побудови довіри серед мусульманських країн, що допомагає їй утвердитися як авторитетний лідер у регіоні.</w:t>
      </w:r>
    </w:p>
    <w:p w14:paraId="00000062"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Турецькі науковці, зокрема Сімер Каатай та Сінем Єшил, акцентують увагу на трансформації Туреччини з регіонального в глобального гравця завдяки інструментам «м’якої сили». Каатай аналізує роль культурних ініціатив, таких як популяризація турецьких серіалів і освітніх програм, що формують позитивний імідж країни за кордоном. Єшил у своїй роботі «Transnationalization of Turkish Dramas» звертає увагу на те, як Туреччина через популяризацію медіаконтенту та гуманітарні проєкти розширює свій вплив на глобальному рівні.</w:t>
      </w:r>
    </w:p>
    <w:p w14:paraId="00000063"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Ібрагім Калин, радник президента Туреччини, у своїй роботі «Soft Power and Public Diplomacy in Turkey» наголошує, що успіх Туреччини у використанні «м’якої сили» значною мірою обумовлений історичними та релігійними зв’язками, які вона активно використовує для налагодження міжнародних відносин. Водночас Джозеф Най, розробник концепції «м’якої сили», зазначає, що Туреччина вдало поєднує її із «жорсткою силою», досягаючи балансу між дипломатією, економічним впливом і культурними інструментами.</w:t>
      </w:r>
    </w:p>
    <w:p w14:paraId="00000064"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Висновки західних і турецьких авторів демонструють, що Туреччина успішно адаптувала концепцію «м’якої сили» до своїх зовнішньополітичних завдань, використовуючи історичну, культурну та релігійну спадщину. Завдяки цьому країна трансформувалася з регіонального лідера в глобального гравця, активно впливаючи на мусульманський світ і міжнародну систему в цілому.</w:t>
      </w:r>
    </w:p>
    <w:p w14:paraId="00000065"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lastRenderedPageBreak/>
        <w:t xml:space="preserve">Таким чином, концепція «м'якої сили» у зовнішній політиці Туреччини є важливим елементом її стратегії в контексті зростаючої геополітичної напруги і забезпечує їй вагомі можливості для формування регіонального лідерства. </w:t>
      </w:r>
    </w:p>
    <w:p w14:paraId="00000066"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Незважаючи на певний прогрес у вивченні цієї теми, все ще залишаються «білі плями», які потребують подальшого дослідження. Необхідно більше досліджень того, як зростання ісламського впливу в Туреччині впливає на політичні інституції, суспільну думку та інші аспекти внутрішньої політики. Також, корисно порівняти зовнішню політику Туреччини з іншими мусульманськими країнами, щоб краще зрозуміти, як ісламський фактор впливає на зовнішню політику в цілому та дослідити в різних контекстах, таких як відносини з Заходом, відносини з сусідніми країнами та участь у міжнародних організаціях (Стародуб, 2011).</w:t>
      </w:r>
    </w:p>
    <w:p w14:paraId="00000067" w14:textId="27CFA9EA"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Наше дослідження спрямоване на поглиблення розуміння впливу ісламського фактору на зовнішню політику Туреччини.</w:t>
      </w:r>
      <w:r w:rsidR="001E1656" w:rsidRPr="00BB1782">
        <w:rPr>
          <w:rFonts w:ascii="Times New Roman" w:eastAsia="Times New Roman" w:hAnsi="Times New Roman" w:cs="Times New Roman"/>
          <w:sz w:val="28"/>
          <w:szCs w:val="28"/>
          <w:lang w:val="ru-RU"/>
        </w:rPr>
        <w:t xml:space="preserve"> </w:t>
      </w:r>
      <w:r w:rsidRPr="00BB1782">
        <w:rPr>
          <w:rFonts w:ascii="Times New Roman" w:eastAsia="Times New Roman" w:hAnsi="Times New Roman" w:cs="Times New Roman"/>
          <w:sz w:val="28"/>
          <w:szCs w:val="28"/>
        </w:rPr>
        <w:t>Ми аналізуємо цю тему через призму</w:t>
      </w:r>
      <w:r w:rsidR="007B1944" w:rsidRPr="00BB1782">
        <w:rPr>
          <w:rFonts w:ascii="Times New Roman" w:eastAsia="Times New Roman" w:hAnsi="Times New Roman" w:cs="Times New Roman"/>
          <w:sz w:val="28"/>
          <w:szCs w:val="28"/>
          <w:lang w:val="uk-UA"/>
        </w:rPr>
        <w:t xml:space="preserve"> концепції «мякої» сили</w:t>
      </w:r>
      <w:r w:rsidRPr="00BB1782">
        <w:rPr>
          <w:rFonts w:ascii="Times New Roman" w:eastAsia="Times New Roman" w:hAnsi="Times New Roman" w:cs="Times New Roman"/>
          <w:sz w:val="28"/>
          <w:szCs w:val="28"/>
        </w:rPr>
        <w:t xml:space="preserve"> неореалістичного підходу, що дозволяє врахувати структурні особливості міжнародної системи та вплив ідейно-культурних факторів на формування зовнішньополітичного курсу Туреччини. Для цього будуть використані методи якісного аналізу, зокрема аналіз дискурсів і історичних джерел, а також кількісний підхід, зосереджений на статистичному дослідженні ефективності “м’якої сили” у зовнішній політиці Туреччин</w:t>
      </w:r>
    </w:p>
    <w:p w14:paraId="00000068" w14:textId="6511EB90" w:rsidR="009123BC" w:rsidRPr="00BB1782" w:rsidRDefault="00712845" w:rsidP="00C6458D">
      <w:pPr>
        <w:spacing w:line="360" w:lineRule="auto"/>
        <w:ind w:firstLine="720"/>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 xml:space="preserve">Таким чином, аналіз наукової літератури показав, що </w:t>
      </w:r>
      <w:r w:rsidR="002D746F" w:rsidRPr="00BB1782">
        <w:rPr>
          <w:rFonts w:ascii="Times New Roman" w:eastAsia="Times New Roman" w:hAnsi="Times New Roman" w:cs="Times New Roman"/>
          <w:sz w:val="28"/>
          <w:szCs w:val="28"/>
          <w:highlight w:val="white"/>
          <w:lang w:val="uk-UA"/>
        </w:rPr>
        <w:t xml:space="preserve">релігійний чинник – це інструмент за допомогою якого країна розширює свій вплив та досягає </w:t>
      </w:r>
      <w:r w:rsidR="00C64E7A" w:rsidRPr="00BB1782">
        <w:rPr>
          <w:rFonts w:ascii="Times New Roman" w:eastAsia="Times New Roman" w:hAnsi="Times New Roman" w:cs="Times New Roman"/>
          <w:sz w:val="28"/>
          <w:szCs w:val="28"/>
          <w:highlight w:val="white"/>
          <w:lang w:val="uk-UA"/>
        </w:rPr>
        <w:t>зовнішньополітичних цілей</w:t>
      </w:r>
      <w:r w:rsidR="00C6458D" w:rsidRPr="00BB1782">
        <w:rPr>
          <w:rFonts w:ascii="Times New Roman" w:eastAsia="Times New Roman" w:hAnsi="Times New Roman" w:cs="Times New Roman"/>
          <w:sz w:val="28"/>
          <w:szCs w:val="28"/>
          <w:highlight w:val="white"/>
          <w:lang w:val="uk-UA"/>
        </w:rPr>
        <w:t>,</w:t>
      </w:r>
      <w:r w:rsidRPr="00BB1782">
        <w:rPr>
          <w:rFonts w:ascii="Times New Roman" w:eastAsia="Times New Roman" w:hAnsi="Times New Roman" w:cs="Times New Roman"/>
          <w:sz w:val="28"/>
          <w:szCs w:val="28"/>
          <w:highlight w:val="white"/>
        </w:rPr>
        <w:t xml:space="preserve"> особливо в мусульманському світі. Використання ісламського чинника та культурної спадщини дозволяє Туреччині посилювати свій вплив і розвивати дипломатичні зв’язки. Однак залишаються прогалини у вивченні внутрішньої складової цього процесу, що потребує додаткових досліджень.</w:t>
      </w:r>
    </w:p>
    <w:p w14:paraId="0000006A"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lastRenderedPageBreak/>
        <w:t>Для написання наукової робити будуть використання 5 основних категорій:</w:t>
      </w:r>
    </w:p>
    <w:p w14:paraId="0000006B"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Міжнародні відносини: Система міжнародних відносин представляє собою багаторівневу мережу взаємопов’язаних громад, які характеризуються горизонтальними та вертикальними зв'язками. Дослідження моделі інтеграції осіб в ці спільноти (мережі), аналіз їх ідентичності, розуміння їх сприйняття соціальних меж та цінностей, а також стратегії міжнародної та транскордонної взаємодії різних агентів є ключовими для осягнення структури світового соціального простору.</w:t>
      </w:r>
    </w:p>
    <w:p w14:paraId="0000006C"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Міждержавні відносини представляють більш вузьке поняття порівняно з міжнародними відносинами, оскільки в останніх беруть участь не тільки держави, але й інші суб'єкти та об'єкти, що робить державні відносини лише однією зі складових міжнародного співробітництва. Для визначення сутності «міжнародних відносин», до яких залучена Туреччина, важливо врахувати всі існуючі міжнародні зв'язки, оцінюючи їх цілі і значення, що охоплює увесь світовий контекст і стосується практики міжнародного обміну як матеріальними, так і ідеями між учасниками міжнародних взаємодій.</w:t>
      </w:r>
    </w:p>
    <w:p w14:paraId="0000006D"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У контексті зовнішньої політики Туреччини можемо охарактеризувати міжнародні відносини як комплекс політичних, економічних, соціальних, юридичних, військових, дипломатичних, культурних, наукових та інших взаємодій і відносин між Туреччиною й ключовими акторами глобальної спільноти, серед яких народи, держави, неурядові організації, суспільні рухи і впливові особистості. Описані зв'язки та відносини, що представляють собою форму явища і включають їх функціональне значення, формують зміст міжнародної діяльності та вигляд сучасного світу. Крім того, міжнародні відносини – це наука, яка досліджує взаємодію держав, міжнародних організацій, неурядових організацій та інших акторів на глобальній арені. Вона включає аналіз </w:t>
      </w:r>
      <w:r w:rsidRPr="00BB1782">
        <w:rPr>
          <w:rFonts w:ascii="Times New Roman" w:eastAsia="Times New Roman" w:hAnsi="Times New Roman" w:cs="Times New Roman"/>
          <w:sz w:val="28"/>
          <w:szCs w:val="28"/>
        </w:rPr>
        <w:lastRenderedPageBreak/>
        <w:t>дипломатії, безпеки, економічного співробітництва, прав людини та екологічних викликів. Міжнародні відносини вивчають, як країни співпрацюють або конфліктують з метою забезпечення національних інтересів, міжнародної стабільності та розвитку. Важливими теоретичними підходами є реалізм, лібералізм і конструктивізм, кожен з яких пропонує власне пояснення глобальних процесів.</w:t>
      </w:r>
    </w:p>
    <w:p w14:paraId="0000006E"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Держави є найбільш активними учасниками міжнародних відносин і займають у них лідерські та динамічні позиції. До таких власне і налщежить Туреччина. Саме міждержавні відносини, в першу чергу, визначають характер, клімат та напрямки розвитку міжнародних взаємодій. Головна мета міждержавних відносин полягає у створенні оптимальних умов для функціонування та розвитку країн. Зрозуміло, що міждержавні відносини охоплюють різні області, як-от політичну, економічну, культурну, та інші, і в кожній з цих сфер можуть існувати специфічні підвиди відносин: наприклад, у політичній сфері це можуть бути дипломатичні і військові відносини, в економічній – торговельні, фінансові, кредитні, і так далі (Костиря, 2016).</w:t>
      </w:r>
    </w:p>
    <w:p w14:paraId="0000006F"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Ідентичність: Національна ідентичність означає визначення себе як частини національної громади, що підтримується стабільним емоційним зв'язком. Такий зв'язок виникає через осмислення та визнання національних традицій, культури, мови, політичних ідей, а також загальноприйнятих норм і цінностей. Відчуття приналежності до певної нації або держави є важливим аспектом цього. Національна ідентичність вбирає у себе сприйняття нації як єдиного цілого, яке характеризується унікальними традиціями, культурою та мовою. Ця ідентичність формується не від народження, а як соціальний конструкт, вихідний із «спільних точок» у нашому повсякденному досвіді, таких як національні символи, кольори, історія, культурні зв'язки, музика, кухня, і медіа. Під впливом соціального оточення, люди інтегрують національні вірування та </w:t>
      </w:r>
      <w:r w:rsidRPr="00BB1782">
        <w:rPr>
          <w:rFonts w:ascii="Times New Roman" w:eastAsia="Times New Roman" w:hAnsi="Times New Roman" w:cs="Times New Roman"/>
          <w:sz w:val="28"/>
          <w:szCs w:val="28"/>
        </w:rPr>
        <w:lastRenderedPageBreak/>
        <w:t>цінності в свою особисту ідентичність, що відображається в повсякденній поведінці і виборах.</w:t>
      </w:r>
    </w:p>
    <w:p w14:paraId="00000070" w14:textId="6E3118F3"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Ісламська ідентичність відіграє центральну роль у самоусвідомленні Туреччини та у формуванні її зовнішньополітичних цілей. Важливо дослідити, як ісламська ідентичність впливає на сприйняття Туреччиною себе та свого місця у світі; її ставлення до інших акторів міжнародної системи та її</w:t>
      </w:r>
      <w:r w:rsidR="00125723" w:rsidRPr="00BB1782">
        <w:rPr>
          <w:rFonts w:ascii="Times New Roman" w:eastAsia="Times New Roman" w:hAnsi="Times New Roman" w:cs="Times New Roman"/>
          <w:sz w:val="28"/>
          <w:szCs w:val="28"/>
        </w:rPr>
        <w:t xml:space="preserve"> </w:t>
      </w:r>
      <w:r w:rsidRPr="00BB1782">
        <w:rPr>
          <w:rFonts w:ascii="Times New Roman" w:eastAsia="Times New Roman" w:hAnsi="Times New Roman" w:cs="Times New Roman"/>
          <w:sz w:val="28"/>
          <w:szCs w:val="28"/>
        </w:rPr>
        <w:t>пріоритети та цілі у зовнішній політиці.</w:t>
      </w:r>
    </w:p>
    <w:p w14:paraId="00000071"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Активізм: Туреччина активно використовує ісламський фактор у своїй зовнішній політиці. Важливо дослідити, як Туреччина застосовує ісламську риторику та інструменти для просування своїх інтересів на міжнародній арені; зміцнення своїх зв'язків з іншими мусульманськими країнами та впливу на динаміку міжнародних відносин.</w:t>
      </w:r>
    </w:p>
    <w:p w14:paraId="00000072" w14:textId="78A60D62"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Вплив: У дослідженні категорія «вплив» може бути використана для аналізу того, як ісламський фактор впливає на зовнішню політику інших країн та на динаміку міжнародних відносин. Важливо дослідити, як ісламський фактор впливає на сприйняття Туреччини іншими акторами міжнародної системи;</w:t>
      </w:r>
      <w:r w:rsidR="00125723" w:rsidRPr="00BB1782">
        <w:rPr>
          <w:rFonts w:ascii="Times New Roman" w:eastAsia="Times New Roman" w:hAnsi="Times New Roman" w:cs="Times New Roman"/>
          <w:sz w:val="28"/>
          <w:szCs w:val="28"/>
        </w:rPr>
        <w:t xml:space="preserve"> </w:t>
      </w:r>
      <w:r w:rsidRPr="00BB1782">
        <w:rPr>
          <w:rFonts w:ascii="Times New Roman" w:eastAsia="Times New Roman" w:hAnsi="Times New Roman" w:cs="Times New Roman"/>
          <w:sz w:val="28"/>
          <w:szCs w:val="28"/>
        </w:rPr>
        <w:t>їхню реакцію на дії Туреччини та динаміку відносин між Туреччиною та іншими країнами (Костиря, 2016).</w:t>
      </w:r>
    </w:p>
    <w:p w14:paraId="00000073"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Сек’юритизація: Основні елементи теорії сек'юритизації включають:</w:t>
      </w:r>
    </w:p>
    <w:p w14:paraId="00000074"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rPr>
        <w:t xml:space="preserve">– </w:t>
      </w:r>
      <w:r w:rsidRPr="00BB1782">
        <w:rPr>
          <w:rFonts w:ascii="Times New Roman" w:eastAsia="Times New Roman" w:hAnsi="Times New Roman" w:cs="Times New Roman"/>
          <w:sz w:val="28"/>
          <w:szCs w:val="28"/>
          <w:highlight w:val="white"/>
        </w:rPr>
        <w:t>актора, що виступає з проблемою, який може бути урядовим чи неурядовим представником, окремою особою або групою, яка не пов'язана з політикою;</w:t>
      </w:r>
    </w:p>
    <w:p w14:paraId="00000075"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rPr>
        <w:t xml:space="preserve">– </w:t>
      </w:r>
      <w:r w:rsidRPr="00BB1782">
        <w:rPr>
          <w:rFonts w:ascii="Times New Roman" w:eastAsia="Times New Roman" w:hAnsi="Times New Roman" w:cs="Times New Roman"/>
          <w:sz w:val="28"/>
          <w:szCs w:val="28"/>
          <w:highlight w:val="white"/>
        </w:rPr>
        <w:t>об'єкт сек'юритизації, який є предметом загрози, наприклад, держава (у контексті військової безпеки), національний суверенітет або ідеологія (у контексті політичної безпеки), національна економіка (економічна безпека), колективна ідентичність (соціальна безпека), або біологічні види та їх середовища існування (екологічна безпека);</w:t>
      </w:r>
    </w:p>
    <w:p w14:paraId="00000076"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rPr>
        <w:t xml:space="preserve">– </w:t>
      </w:r>
      <w:r w:rsidRPr="00BB1782">
        <w:rPr>
          <w:rFonts w:ascii="Times New Roman" w:eastAsia="Times New Roman" w:hAnsi="Times New Roman" w:cs="Times New Roman"/>
          <w:sz w:val="28"/>
          <w:szCs w:val="28"/>
          <w:highlight w:val="white"/>
        </w:rPr>
        <w:t>аудиторію, до якої звертаються з вимогою визнати проблему як потенційну загрозу.</w:t>
      </w:r>
    </w:p>
    <w:p w14:paraId="00000077"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lastRenderedPageBreak/>
        <w:t>Етапи сек'юритизації:</w:t>
      </w:r>
    </w:p>
    <w:p w14:paraId="00000078"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rPr>
        <w:t xml:space="preserve">– </w:t>
      </w:r>
      <w:r w:rsidRPr="00BB1782">
        <w:rPr>
          <w:rFonts w:ascii="Times New Roman" w:eastAsia="Times New Roman" w:hAnsi="Times New Roman" w:cs="Times New Roman"/>
          <w:sz w:val="28"/>
          <w:szCs w:val="28"/>
          <w:highlight w:val="white"/>
        </w:rPr>
        <w:t>проголошення загрози існуванню важливих об'єктів;</w:t>
      </w:r>
    </w:p>
    <w:p w14:paraId="00000079"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rPr>
        <w:t xml:space="preserve">– </w:t>
      </w:r>
      <w:r w:rsidRPr="00BB1782">
        <w:rPr>
          <w:rFonts w:ascii="Times New Roman" w:eastAsia="Times New Roman" w:hAnsi="Times New Roman" w:cs="Times New Roman"/>
          <w:sz w:val="28"/>
          <w:szCs w:val="28"/>
          <w:highlight w:val="white"/>
        </w:rPr>
        <w:t>завершення процесу сек'юритизації, яке вважається успішним, якщо актор зміг переконати аудиторію у заявленій загрозі.</w:t>
      </w:r>
    </w:p>
    <w:p w14:paraId="0000007A"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Туреччина часто сек’юритизує свої інтереси, використовуючи ісламські наративи. У контексті дослідження категорія «сек’юритизація» може бути використана для аналізу того, як Туреччина використовує ісламський фактор для сек’юритизації своїх інтересів та для виправдання певних політичних дій. Важливо дослідити, як Туреччина використовує ісламську риторику для обґрунтування своїх військових дій; мобілізації підтримки з боку свого населення та тиску на інші країни (Країнознавство, 2010).</w:t>
      </w:r>
    </w:p>
    <w:p w14:paraId="0000007B"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Ці 5 категорій дають можливість глибоко дослідити вплив ісламського фактору на зовнішню політику Туреччини та його значення для міжнародних відносин.</w:t>
      </w:r>
    </w:p>
    <w:p w14:paraId="0000007D"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Для написання даного дослідження було використано чотири види джерел: офіційні документи, наукові монографії, статті українських та зарубіжних вчених (у т.ч. розміщені в мережі Інтернет). За проблематикою джерела можуть бути розділені на дві великі групи: щодо міжнародних відносин загалом і щодо міжнародної політики Туреччини зокрема.</w:t>
      </w:r>
    </w:p>
    <w:p w14:paraId="0000007E"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Концепція «Неоосманізму»: Ця ідея передбачає активізацію Туреччини в регіонах, які колись входили до складу Османської імперії, з акцентом на культурні та релігійні зв'язки. Вона спрямована на посилення впливу Туреччини на Близькому Сході, Балканах та Північній Африці. Хоча офіційно ця концепція не закріплена в державних документах, вона відображена в багатьох виступах та діях турецьких лідерів.</w:t>
      </w:r>
    </w:p>
    <w:p w14:paraId="0000007F"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 Доктрина «Стратегічної глибини»: Розроблена колишнім міністром закордонних справ Ахметом Давутоглу, ця доктрина підкреслює важливість історичних, географічних та культурних зв'язків Туреччини з </w:t>
      </w:r>
      <w:r w:rsidRPr="00BB1782">
        <w:rPr>
          <w:rFonts w:ascii="Times New Roman" w:eastAsia="Times New Roman" w:hAnsi="Times New Roman" w:cs="Times New Roman"/>
          <w:sz w:val="28"/>
          <w:szCs w:val="28"/>
        </w:rPr>
        <w:lastRenderedPageBreak/>
        <w:t>сусідніми регіонами. Вона закликає до активної зовнішньої політики, що враховує ісламську ідентичність країни.</w:t>
      </w:r>
    </w:p>
    <w:p w14:paraId="00000080"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 «План дій щодо розвитку відносин з ісламським світом»: Цей документ, прийнятий Міністерством закордонних справ Туреччини, визначає стратегію поглиблення співпраці з країнами Організації ісламського співробітництва та іншими мусульманськими державами.</w:t>
      </w:r>
    </w:p>
    <w:p w14:paraId="00000081"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Ці документи та концепції свідчать про інтеграцію ісламського чинника в зовнішню політику Туреччини, що відображає прагнення країни посилити свій вплив у мусульманському світі та використовувати спільні релігійні цінності для зміцнення міжнародних відносин.</w:t>
      </w:r>
    </w:p>
    <w:p w14:paraId="00000082"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Говорячи про монографій й публікації, слід поділити їх на розвідки іноземних та вітчизняних учених.</w:t>
      </w:r>
    </w:p>
    <w:p w14:paraId="00000083"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Проблематика зовнішньої політики Туреччини традиційно привертала увагу зарубіжних вчених, зокрема турецьких (А.Давутоглу, С.Озуглу, Т.Дієз) та інших зарубіжних дослідників (Б. Бузан, О.Вевер, М.Біліджи). Натомість, в українській історіографії ця тема досі не стала предметом спеціалізованого дослідження, хоча окремі аспекти вже висвітлені у працях українських авторів, які займалися й займаються турецькою тематикою (А.Кримський, В.Сергійчук, Б. Сергійчук, С.Корсунський, О. Міщєнко, Н.Мхітарян, Н.Татаренко, Г. Фісун, В.Ціватий, Л. Чекаленко, О. Чубрикова та інші).</w:t>
      </w:r>
    </w:p>
    <w:p w14:paraId="00000084"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Ахмет Давутоглу, який носить титул доктора міжнародних відносин і служив радником чинного прем'єр-міністра ТР Р. Т. Ердогана, відомий через низку наукових робіт (у тому числі монографію «Стратегічне поглиблення» /тур. - Stratejik Dermlik/), в яких він стверджував про необхідність зміни політичного курсу Туреччини з ізоляційного або монополярного на такий, що базувався б на концепції Туреччини як суб'єкта на стику декількох міжнародних регіонів. За переконаннями А. Давутоглу, «національний інтерес Туреччини зумовлений умілим </w:t>
      </w:r>
      <w:r w:rsidRPr="00BB1782">
        <w:rPr>
          <w:rFonts w:ascii="Times New Roman" w:eastAsia="Times New Roman" w:hAnsi="Times New Roman" w:cs="Times New Roman"/>
          <w:sz w:val="28"/>
          <w:szCs w:val="28"/>
        </w:rPr>
        <w:lastRenderedPageBreak/>
        <w:t>використанням її географічного положення» (Davutoglu, 2008: 92), а основою геополітичної ідентичності Туреччини має стати її представлення як «центральної держави з численними регіональними ідентичностями» (Davutoglu, 2008: 78). Зокрема, він вважає, що Турецька Республіка одночасно є «близькосхідною, балканською, кавказькою, центральноазійською, каспійською, середземноморською... та чорноморською країною» (Davutoglu, 2008: 79). Згідно з цією концепцією, на кінець 2000-х років зовнішня політика Туреччини змінилась від однобічної співпраці з Європейським Союзом до політики, що передбачала активнішу взаємодію з країнами сусідніх цивілізаційних регіонів, включно з близькосхідними.</w:t>
      </w:r>
    </w:p>
    <w:p w14:paraId="00000085"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Згідно з думкою турецького вченого С. Озуглу, ключовим фактором є амбіційні плани офіційної Анкари. У документі «Horizon 2023» представлені довготривалі цілі уряду Туреччини в галузі економічного та соціального розвитку країни. Програма «Vision 2023» окреслює наступні цілі для Туреччини: вступити до Європейського Союзу; розвивати економіку на основі науки та інновацій; підвищувати економічні потужності як регіонального центру виробництва, особливо в галузях виробництва високоякісної продукції; забезпечити безпечне та стабільне постачання енергії з Кавказу та Близького Сходу до Європи; виконувати роль транспортного коридору для Азії та Близького Сходу. Незважаючи на амбітний план Туреччини увійти до десятки країн з найсильнішою економікою, країні необхідно вирішити низку багаторічних перешкод у сфері бізнесу, аби досягнути своїх цілей (Oguzlu, 2012: 15).</w:t>
      </w:r>
    </w:p>
    <w:p w14:paraId="00000086"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Турецький дослідник вважає, що за останнє десятиліття Туреччина досягла значних успіхів завдяки важливим макроекономічним і соціальним реформам. Основними двигунами розвитку були сприятлива міжнародна економічна ситуація та успішне впровадження макроекономічних стратегій в країні. Стабілізація цін та лібералізаційні реформи протягом </w:t>
      </w:r>
      <w:r w:rsidRPr="00BB1782">
        <w:rPr>
          <w:rFonts w:ascii="Times New Roman" w:eastAsia="Times New Roman" w:hAnsi="Times New Roman" w:cs="Times New Roman"/>
          <w:sz w:val="28"/>
          <w:szCs w:val="28"/>
        </w:rPr>
        <w:lastRenderedPageBreak/>
        <w:t>цього періоду, разом із вирішенням проблем у сферах податково-бюджетної політики та зовнішніх платежів, поклали основу для економічного розвитку (Oguzlu, 2012: 17).</w:t>
      </w:r>
    </w:p>
    <w:p w14:paraId="00000087"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Туреччина зазнала значного економічного зростання та зміцнення свого політичного впливу, що стало основою для зростання її ролі на міжнародній арені. Цей розвиток включав активізацію турецької політики і подолання її «ізольованого» статусу. Євроінтеграційні ініціативи Анкари та її прагнення взяти участь у регіональному безпековому комплексі як лідер, а не як звичайний член, є важливими кроками у цьому процесі. Такі можливості, як вказує іноземний автор Т. Дієз (Diez, 2005: 173), підкреслюють її потенціал. Б. Бузан та О. Вевер також розглядали Анкару як можливого лідера Близькосхідного (Західноазіатського) регіону та велику державу в майбутньому (Buzan, Wæver, Wilde, 1998: 95).</w:t>
      </w:r>
    </w:p>
    <w:p w14:paraId="00000088"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Муджахит Біліджи, професор з Нью-Йорка у Коледжі Джон Джей з кримінального права, у своїй статті для квартального аналітичного журналу «Інсайт Тьоркей» (Insight Turkey) від СЕТА, звертає увагу на соціальну диверсифікацію в турецькому суспільстві, поділеному на «білих» і «чорних» турків. Він зазначає, що спочатку республіка ідентифікувала всіх своїх громадян як мусульман і турків, виключаючи з часом мусульман, які не вважали себе турками. Релігійний аспект залишається значущим незважаючи на світський характер держави. «Білими» турками вважають мусульман-сунітів, що дотримуються світських принципів, а «чорними» турками є курди або «гірські турки», прихильники шиїзму (Ronen, Yanarocak, 2011: 311).</w:t>
      </w:r>
    </w:p>
    <w:p w14:paraId="00000089"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Що стосується електронних ресурсів, то вони представлені такими категоріями як сайти посольства України в Туреччині (Матеріали), а також сайти офіційних джерел інформації, ЗМІ, нормативно-правові акти двосторонньої співпраці, сайти міжнародних організацій.</w:t>
      </w:r>
    </w:p>
    <w:p w14:paraId="0000008A"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lastRenderedPageBreak/>
        <w:t>В українській історіографії зазначена проблематика лише починає ставати предметом окремого комплексного наукового дослідження. Водночас окремі напрямки зовнішньої політики Туреччини відображені у працях вітчизняних дослідників із турецької тематики (слід назвати таких авторів як М. Воротнюк (Воротнюк, 2011: 44-47), А. Кримський (Кримський, 1996), Т. Орлова (Орлова, 2012), Н. Пророченко (Пророченко, 2005), Т. Стародуб (Стародуб, 2011) тощо). Зазначені роботи як бачимо виходячи з назв, стосувалися окремих чинників зовнішньої політики Туреччини в історії та сьогоденні – політичного, фінансово-економічного, культурного тощо.</w:t>
      </w:r>
    </w:p>
    <w:p w14:paraId="0000008B"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На початку 21-го століття Туреччина перебувала на перетині трьох комплексів регіональної безпеки (КРБ): Близькосхідного, зважаючи на сусідство з країнами Леванту, Іраком і Іраном, Європейського, що включає Балкани, та Пострадянського через Південний Кавказ і Чорне море (Barrinha, 2013: 2).</w:t>
      </w:r>
    </w:p>
    <w:p w14:paraId="0000008C" w14:textId="6D791EB1"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Отже, зростання</w:t>
      </w:r>
      <w:r w:rsidR="00552BE2" w:rsidRPr="00BB1782">
        <w:rPr>
          <w:rFonts w:ascii="Times New Roman" w:eastAsia="Times New Roman" w:hAnsi="Times New Roman" w:cs="Times New Roman"/>
          <w:sz w:val="28"/>
          <w:szCs w:val="28"/>
          <w:lang w:val="uk-UA"/>
        </w:rPr>
        <w:t xml:space="preserve"> впливу</w:t>
      </w:r>
      <w:r w:rsidRPr="00BB1782">
        <w:rPr>
          <w:rFonts w:ascii="Times New Roman" w:eastAsia="Times New Roman" w:hAnsi="Times New Roman" w:cs="Times New Roman"/>
          <w:sz w:val="28"/>
          <w:szCs w:val="28"/>
        </w:rPr>
        <w:t xml:space="preserve"> ісламського фактору в турецькій політиці протягом останнього десятиліття стало помітно впливати на зовнішню політику країни. Ця зміна викликала значний інтерес та дискусії серед дослідників міжнародних відносин, які прагнуть зрозуміти її причини та наслідки.</w:t>
      </w:r>
    </w:p>
    <w:p w14:paraId="0000008D"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Проблематика концепції «м’якої сили» широко досліджувалася представниками різних наукових шкіл. Значний внесок у розвиток цієї теми зробили такі закордонні дослідники, як Дж. Най (мол.), Дж. Акшай, Р.Армітідж, Зб. Бжезинський, Р. Кейган, Р. Кеохейн, А. Коен, М. Лібіцкі, С.Люкс, Дж. Меттерн, У. Оуенс, І. Пармар, Н. Сноу, С. Уолт, М. Фрейзер, Ф. Фукуяма, П. ван Хем, К. Хілл та інші. У 2024 році стратегія «м'якої сили» продовжує відігравати ключову роль у міжнародних відносинах, особливо на фоні асиметричної системи світового порядку, що розвивається після закінчення біполярної ери. </w:t>
      </w:r>
    </w:p>
    <w:p w14:paraId="0000008E"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lastRenderedPageBreak/>
        <w:t>З точки зору «м’якої сили», зовнішню політику Туреччини можна розглядати як прагнення максимізувати свою владу та вплив у регіоні шляхом використання інструментарію «soft power». Зростання ісламського впливу в країні може розглядатися як один з інструментів для досягнення цієї мети. Цей підхід акцентує увагу на структурі міжнародної системи, де держави прагнуть до максимізації своєї безпеки та влади. Туреччина може використовувати свою ісламську ідентичність для посилення своїх зв'язків з іншими мусульманськими країнами, щоб розширити свою сферу впливу та протистояти західному впливу.</w:t>
      </w:r>
    </w:p>
    <w:p w14:paraId="0000008F"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Таким чином, було проаналізовано концептуальні засади дослідження зовнішньої політики Туреччини крізь призму концепції «м’якої сили». Цей підхід надав можливість зрозуміти роль нематеріальних чинників, таких як культура, релігія, цінності та ідентичність, у формуванні зовнішньополітичної стратегії Туреччини.</w:t>
      </w:r>
    </w:p>
    <w:p w14:paraId="00000090"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Встановлено, що концепція «м’якої сили», розроблена Джозефом Наєм, є ефективним інструментом для впливу на міжнародній арені через привабливість ідей, культурну дипломатію та релігійні зв’язки. Цей підхід був адаптований Туреччиною, зокрема, для зміцнення її впливу у мусульманському світі.</w:t>
      </w:r>
    </w:p>
    <w:p w14:paraId="00000091"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Аналіз трансформаційних процесів у Туреччині показав, що прихід до влади Партії справедливості та розвитку (ПСР) ознаменував новий етап у використанні ісламського чинника як складової «м’якої сили». ПСР зосередила увагу на посиленні культурних і релігійних зв’язків із мусульманськими країнами, акцентуючи на спільній історичній і релігійній спадщині.</w:t>
      </w:r>
    </w:p>
    <w:p w14:paraId="00000092"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Під керівництвом ПСР було створено унікальну модель зовнішньої політики, що ґрунтувалася на культурно-історичній спадщині та стратегічному географічному розташуванні Туреччини. Основною метою цієї моделі стало перетворення країни на ключового регіонального, а </w:t>
      </w:r>
      <w:r w:rsidRPr="00BB1782">
        <w:rPr>
          <w:rFonts w:ascii="Times New Roman" w:eastAsia="Times New Roman" w:hAnsi="Times New Roman" w:cs="Times New Roman"/>
          <w:sz w:val="28"/>
          <w:szCs w:val="28"/>
        </w:rPr>
        <w:lastRenderedPageBreak/>
        <w:t>згодом і глобального гравця. Проведені реформи забезпечили Туреччині інтелектуальний, дипломатичний і ресурсний потенціал, що став основою для ефективного використання інструментів «м’якої сили».</w:t>
      </w:r>
    </w:p>
    <w:p w14:paraId="00000093"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Визначено, що інтеграція ісламського чинника у концепцію «м’якої сили» дала змогу Туреччині: зміцнити зв’язки з країнами Близького Сходу, Центральної Азії, Балкан та Африки; використовувати релігійні цінності для формування позитивного міжнародного іміджу; посилити вплив у мусульманському світі без прямого використання військових чи економічних важелів.</w:t>
      </w:r>
    </w:p>
    <w:p w14:paraId="00000094" w14:textId="77777777" w:rsidR="009123BC" w:rsidRPr="00BB1782" w:rsidRDefault="00712845" w:rsidP="00C6458D">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Таким чином, концепція «м’якої сили» виступає важливим теоретичним інструментом для аналізу зовнішньої політики Туреччини в контексті ісламського чинника. Вона демонструє, як Туреччина поєднує культурно-релігійні ресурси із сучасними політичними інструментами для досягнення своїх зовнішньополітичних цілей</w:t>
      </w:r>
    </w:p>
    <w:p w14:paraId="00000095" w14:textId="77777777" w:rsidR="009123BC" w:rsidRPr="00BB1782" w:rsidRDefault="009123BC">
      <w:pPr>
        <w:spacing w:line="360" w:lineRule="auto"/>
        <w:ind w:firstLine="520"/>
        <w:jc w:val="both"/>
        <w:rPr>
          <w:rFonts w:ascii="Times New Roman" w:eastAsia="Times New Roman" w:hAnsi="Times New Roman" w:cs="Times New Roman"/>
          <w:sz w:val="28"/>
          <w:szCs w:val="28"/>
        </w:rPr>
      </w:pPr>
    </w:p>
    <w:p w14:paraId="00000096" w14:textId="77777777" w:rsidR="009123BC" w:rsidRPr="00BB1782" w:rsidRDefault="009123BC">
      <w:pPr>
        <w:spacing w:line="360" w:lineRule="auto"/>
        <w:ind w:firstLine="520"/>
        <w:jc w:val="both"/>
        <w:rPr>
          <w:rFonts w:ascii="Times New Roman" w:eastAsia="Times New Roman" w:hAnsi="Times New Roman" w:cs="Times New Roman"/>
          <w:sz w:val="28"/>
          <w:szCs w:val="28"/>
        </w:rPr>
      </w:pPr>
    </w:p>
    <w:p w14:paraId="724082B6" w14:textId="77777777" w:rsidR="00841CA0" w:rsidRPr="00BB1782" w:rsidRDefault="00841CA0">
      <w:pPr>
        <w:rPr>
          <w:rFonts w:ascii="Times New Roman" w:eastAsia="Times New Roman" w:hAnsi="Times New Roman" w:cs="Times New Roman"/>
          <w:b/>
          <w:sz w:val="28"/>
          <w:szCs w:val="28"/>
        </w:rPr>
      </w:pPr>
      <w:r w:rsidRPr="00BB1782">
        <w:rPr>
          <w:rFonts w:ascii="Times New Roman" w:eastAsia="Times New Roman" w:hAnsi="Times New Roman" w:cs="Times New Roman"/>
          <w:b/>
          <w:sz w:val="28"/>
          <w:szCs w:val="28"/>
        </w:rPr>
        <w:br w:type="page"/>
      </w:r>
    </w:p>
    <w:p w14:paraId="000000A6" w14:textId="79D4C2C2" w:rsidR="009123BC" w:rsidRPr="00BB1782" w:rsidRDefault="00712845" w:rsidP="00841CA0">
      <w:pPr>
        <w:pStyle w:val="1"/>
        <w:spacing w:before="0" w:after="0" w:line="360" w:lineRule="auto"/>
        <w:jc w:val="center"/>
        <w:rPr>
          <w:rFonts w:ascii="Times New Roman" w:eastAsia="Times New Roman" w:hAnsi="Times New Roman" w:cs="Times New Roman"/>
          <w:b/>
          <w:sz w:val="28"/>
          <w:szCs w:val="28"/>
          <w:lang w:val="uk-UA"/>
        </w:rPr>
      </w:pPr>
      <w:bookmarkStart w:id="4" w:name="_Toc183727747"/>
      <w:r w:rsidRPr="00BB1782">
        <w:rPr>
          <w:rFonts w:ascii="Times New Roman" w:eastAsia="Times New Roman" w:hAnsi="Times New Roman" w:cs="Times New Roman"/>
          <w:b/>
          <w:sz w:val="28"/>
          <w:szCs w:val="28"/>
        </w:rPr>
        <w:lastRenderedPageBreak/>
        <w:t xml:space="preserve">РОЗДІЛ 2. </w:t>
      </w:r>
      <w:r w:rsidR="004F142B" w:rsidRPr="00BB1782">
        <w:rPr>
          <w:rFonts w:ascii="Times New Roman" w:eastAsia="Times New Roman" w:hAnsi="Times New Roman" w:cs="Times New Roman"/>
          <w:b/>
          <w:sz w:val="28"/>
          <w:szCs w:val="28"/>
          <w:lang w:val="uk-UA"/>
        </w:rPr>
        <w:t>ЗНАЧЕННЯ РЕЛІГІЙНОГО ЧИННИКА У ФОРМУВАННІ ВІДНОСИН ТУРЕЦЬКОЇ РЕСПУБЛІКИ З МУСУЛЬМАНСЬКИМИ КРАЇНАМИ</w:t>
      </w:r>
      <w:bookmarkEnd w:id="4"/>
    </w:p>
    <w:p w14:paraId="000000A8" w14:textId="6BB27508" w:rsidR="009123BC" w:rsidRPr="00BB1782" w:rsidRDefault="00712845" w:rsidP="00841CA0">
      <w:pPr>
        <w:spacing w:line="360" w:lineRule="auto"/>
        <w:jc w:val="both"/>
        <w:rPr>
          <w:rFonts w:ascii="Times New Roman" w:eastAsia="Times New Roman" w:hAnsi="Times New Roman" w:cs="Times New Roman"/>
          <w:sz w:val="27"/>
          <w:szCs w:val="27"/>
        </w:rPr>
      </w:pPr>
      <w:r w:rsidRPr="00BB1782">
        <w:rPr>
          <w:rFonts w:ascii="Times New Roman" w:eastAsia="Times New Roman" w:hAnsi="Times New Roman" w:cs="Times New Roman"/>
          <w:sz w:val="27"/>
          <w:szCs w:val="27"/>
        </w:rPr>
        <w:t xml:space="preserve">  </w:t>
      </w:r>
    </w:p>
    <w:p w14:paraId="000000A9"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Політика Туреччини у мусульманському світі є багатовекторною та ґрунтується на поєднанні геополітичних, економічних, релігійних та культурних інтересів. Після приходу до влади Партії справедливості та розвитку (ПСР) під керівництвом Реджепа Тайїпа Ердогана у 2002 році Туреччина значно активізувала свою зовнішню політику, спрямовану на посилення впливу в мусульманських країнах, особливо на Близькому Сході, в Північній Африці, Центральній Азії та частково в Південній Азії.</w:t>
      </w:r>
    </w:p>
    <w:p w14:paraId="000000AA"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Розглянемо більш докладно відносини Туреччини із Саудівською Аравією, Єгиптом та Сирією.</w:t>
      </w:r>
    </w:p>
    <w:p w14:paraId="000000AC"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Відносини між Туреччиною та Саудівською Аравією в ХХІ столітті є складними та багатогранними, зважаючи на різноманітні геополітичні, релігійні та економічні чинники. Незважаючи на спільні інтереси та членство в Організації ісламського співробітництва (ОІС), обидві країни мають розбіжності в низці питань регіональної політики, зокрема щодо конфліктів на Близькому Сході та змагання за лідерство у мусульманському світі. Проте, економічна співпраця та прагматичні інтереси дозволяють Туреччині та Саудівській Аравії підтримувати відносини, які часто коливаються між конкуренцією та співпрацею.</w:t>
      </w:r>
    </w:p>
    <w:p w14:paraId="000000AD"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Основний елемент суперечностей між Туреччиною та Саудівською Аравією полягає у їхньому різному підході до питань регіональної безпеки та зовнішньої політики на Близькому Сході. Туреччина, під керівництвом Партії справедливості та розвитку (AKP) і президента Реджепа Тайїпа Ердогана, проводить активну політику, спрямовану на підтримку ісламістських рухів, зокрема «Братів-мусульман», що часто вступає в протиріччя з політикою Саудівської Аравії. Ер-Ріяд, навпаки, бачить у цих </w:t>
      </w:r>
      <w:r w:rsidRPr="00BB1782">
        <w:rPr>
          <w:rFonts w:ascii="Times New Roman" w:eastAsia="Times New Roman" w:hAnsi="Times New Roman" w:cs="Times New Roman"/>
          <w:sz w:val="28"/>
          <w:szCs w:val="28"/>
        </w:rPr>
        <w:lastRenderedPageBreak/>
        <w:t>рухах загрозу своєму монархічному режиму і підтримує більш консервативні сунітські режими в регіоні (Altunişik &amp; Martin, 2014).</w:t>
      </w:r>
    </w:p>
    <w:p w14:paraId="000000AE"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Сирійська громадянська війна стала одним із найважливіших полів конфлікту між Туреччиною та Саудівською Аравією. Хоча обидві країни виступають проти режиму Башара Асада, їхні підходи до вирішення конфлікту різняться. Туреччина активно підтримує сунітську опозицію, включаючи ісламістські групи, тоді як Саудівська Аравія надає підтримку більш консервативним антиасадівським силам. Це призводить до напруженості між двома країнами, особливо у контексті того, як вони бачать майбутнє Сирії після конфлікту (Aydınlı &amp; Çandar, 2019).</w:t>
      </w:r>
    </w:p>
    <w:p w14:paraId="000000AF"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Конкуренція між Туреччиною та Саудівською Аравією також виявляється в їхньому суперництві за лідерство у мусульманському світі. Туреччина під керівництвом Ердогана намагається позиціонувати себе як провідного гравця в регіоні та захисника мусульманських інтересів, зокрема через підтримку палестинської справи та виступи проти ізраїльської політики. Саудівська Аравія, яка традиційно розглядається як лідер сунітського ісламського світу, також прагне зберегти свій вплив і часто вступає у протиріччя з Туреччиною на цьому тлі (Barkey, 2019).</w:t>
      </w:r>
    </w:p>
    <w:p w14:paraId="000000B0"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Відносини між Туреччиною та Саудівською Аравією особливо загострилися після вбивства саудівського журналіста Джамаля Хашоггі у жовтні 2018 року в консульстві Саудівської Аравії в Стамбулі. Це вбивство викликало глобальний скандал і серйозно зіпсувало відносини між країнами. Туреччина, яка відкрито виступила з критикою дій Саудівської Аравії, звинуватила Ер-Ріяд у причетності до вбивства та закликала до міжнародного розслідування. Президент Ердоган надав світовій спільноті численні докази, що вказували на те, що вбивство було сплановане на високому рівні (Aydınlı &amp; Çandar, 2019).</w:t>
      </w:r>
    </w:p>
    <w:p w14:paraId="000000B1"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Цей інцидент посилив напруженість між країнами та спричинив низку дипломатичних конфліктів. Саудівська Аравія відповіла на критику </w:t>
      </w:r>
      <w:r w:rsidRPr="00BB1782">
        <w:rPr>
          <w:rFonts w:ascii="Times New Roman" w:eastAsia="Times New Roman" w:hAnsi="Times New Roman" w:cs="Times New Roman"/>
          <w:sz w:val="28"/>
          <w:szCs w:val="28"/>
        </w:rPr>
        <w:lastRenderedPageBreak/>
        <w:t>з боку Туреччини економічними санкціями та торговими обмеженнями, зокрема закликом до бойкоту турецьких товарів у Саудівській Аравії. Вбивство Хашоггі показало, наскільки глибокими можуть бути розбіжності між двома країнами, навіть попри їхні спільні інтереси у сфері безпеки та економіки (Ulrichsen, 2020; Kirişci, 2019).</w:t>
      </w:r>
    </w:p>
    <w:p w14:paraId="000000B2"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Релігійний аспект також відіграє важливу роль у відносинах між Туреччиною та Саудівською Аравією, зважаючи на те, що обидві країни мають значний вплив у мусульманському світі. Саудівська Аравія розглядається як центр сунітського ісламу через розташування на її території святих міст ісламу — Мекки й Медіни. Туреччина, у свою чергу, намагається використовувати ісламську релігію як елемент своєї м’якої сили, особливо через діяльність організації Діянет (управління релігійних справ), яка активно пропагує ісламські цінності в регіоні (Altunişik, 2014).</w:t>
      </w:r>
    </w:p>
    <w:p w14:paraId="000000B3"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Проте релігійні відносини між країнами також мають свої суперечності, особливо через те, що Туреччина підтримує помірковані ісламістські рухи, такі як «Брати-мусульмани», яких Саудівська Аравія вважає загрозою для свого режиму. Це створює додаткові напруження у двосторонніх відносинах і підсилює ідеологічну конкуренцію між країнами за лідерство в сунітському світі (Kirişci, 2019).</w:t>
      </w:r>
    </w:p>
    <w:p w14:paraId="000000B4"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Незважаючи на релігійно-ідеологічні розбіжності, Туреччина та Саудівська Аравія підтримують співпрацю у сфері безпеки, оскільки обидві країни стикаються з подібними викликами, зокрема тероризмом, регіональною нестабільністю та впливом зовнішніх гравців у регіоні. Співпраця у сфері безпеки була особливо важливою під час боротьби з терористичними угрупованнями, такими як ІДІЛ (Ісламська держава), діяльність якої загрожувала стабільності як Туреччини, так і Саудівської Аравії.</w:t>
      </w:r>
    </w:p>
    <w:p w14:paraId="000000B5"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Обидві країни активно брали участь у міжнародних коаліціях, спрямованих на боротьбу з тероризмом у Сирії та Іраку, хоча підходи до </w:t>
      </w:r>
      <w:r w:rsidRPr="00BB1782">
        <w:rPr>
          <w:rFonts w:ascii="Times New Roman" w:eastAsia="Times New Roman" w:hAnsi="Times New Roman" w:cs="Times New Roman"/>
          <w:sz w:val="28"/>
          <w:szCs w:val="28"/>
        </w:rPr>
        <w:lastRenderedPageBreak/>
        <w:t>врегулювання конфліктів у цих країнах у них часто різнилися. Туреччина прагнула забезпечити безпеку своїх кордонів і стримувати вплив курдських збройних угруповань, тоді як Саудівська Аравія зосередилася на боротьбі з іранським впливом у регіоні та підтримці сунітських сил (Kirişci, 2019).</w:t>
      </w:r>
    </w:p>
    <w:p w14:paraId="000000B6"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Крім того, Саудівська Аравія та Туреччина брали участь у різних міжнародних ініціативах щодо забезпечення стабільності в регіоні, включаючи співпрацю у сфері безпеки через Ради співробітництва арабських держав Перської затоки та Організацію ісламського співробітництва. Це дозволяє країнам підтримувати діалог і координувати дії у сфері безпеки, незважаючи на політичні та ідеологічні розбіжності (Ulrichsen, 2020).</w:t>
      </w:r>
    </w:p>
    <w:p w14:paraId="000000B7"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Отже, відносини між Туреччиною та Саудівською Аравією в ХХІ столітті є складними та динамічними, відображаючи як співпрацю, так і суперництво у сфері релігії, геополітики, безпеки. Обидві країни мають глибокі розбіжності у питаннях регіональної політики, особливо стосовно Сирії та підтримки ісламістських рухів. </w:t>
      </w:r>
    </w:p>
    <w:p w14:paraId="000000B8"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Релігійний чинник також відіграє важливу роль, оскільки обидві країни претендують на лідерство у мусульманському світі. Туреччина намагається використати іслам як елемент своєї м'якої сили, тоді як Саудівська Аравія розглядає себе як центр сунітського ісламу. Ця конкуренція впливає на двосторонні відносини, але вона не є достатньо сильною, щоб повністю зруйнувати їх. </w:t>
      </w:r>
    </w:p>
    <w:p w14:paraId="000000BA" w14:textId="7BE7C61A" w:rsidR="009123BC" w:rsidRPr="00BB1782" w:rsidRDefault="00712845" w:rsidP="00841CA0">
      <w:pPr>
        <w:spacing w:line="360" w:lineRule="auto"/>
        <w:ind w:firstLine="709"/>
        <w:jc w:val="both"/>
        <w:rPr>
          <w:rFonts w:ascii="Times New Roman" w:eastAsia="Times New Roman" w:hAnsi="Times New Roman" w:cs="Times New Roman"/>
          <w:sz w:val="28"/>
          <w:szCs w:val="28"/>
          <w:lang w:val="uk-UA"/>
        </w:rPr>
      </w:pPr>
      <w:r w:rsidRPr="00BB1782">
        <w:rPr>
          <w:rFonts w:ascii="Times New Roman" w:eastAsia="Times New Roman" w:hAnsi="Times New Roman" w:cs="Times New Roman"/>
          <w:sz w:val="28"/>
          <w:szCs w:val="28"/>
        </w:rPr>
        <w:t>Попри значні політичні розбіжності, Туреччина та Саудівська Аравія знаходять спільні інтереси в питаннях безпеки та боротьби з тероризмом, що допомагає їм підтримувати діалог та співпрацю. Надалі відносини між цими країнами будуть залежати від їхньої здатності подолати регіональні суперечності та зосередитися на спільних безпекових інтересах.</w:t>
      </w:r>
    </w:p>
    <w:p w14:paraId="000000BB"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lastRenderedPageBreak/>
        <w:t>Відносини між Туреччиною та Єгиптом у ХХІ столітті зазнали серйозних змін, характеризуючись періодами як співпраці, так і гострої напруженості. Обидві країни є важливими регіональними гравцями на Близькому Сході та в Східному Середземномор'ї, і їхні взаємодії мають значний вплив на політичні й економічні процеси в регіоні. Проте ці відносини зазнали серйозних випробувань після Арабської весни 2011 року, особливо після військового перевороту в Єгипті 2013 року, коли були усунуті від влади «Брати-мусульмани», яких підтримувала Туреччина.</w:t>
      </w:r>
    </w:p>
    <w:p w14:paraId="000000BC"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На початку ХХІ століття відносини між Туреччиною та Єгиптом були стабільними. У період правління президента Хосні Мубарака Єгипет був важливим партнером Туреччини на Близькому Сході. Економічні відносини між двома країнами значно зросли, що призвело до збільшення двосторонньої торгівлі, інвестицій і спільних проектів у галузі інфраструктури, енергетики та туризму (Altunişik, 2011).</w:t>
      </w:r>
    </w:p>
    <w:p w14:paraId="000000BD"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Туреччина також використовувала свою м'яку силу для зміцнення зв'язків з Єгиптом. Зокрема, турецькі серіали набули великої популярності серед єгипетської аудиторії, що сприяло створенню позитивного іміджу Туреччини у єгипетському суспільстві (Kirişci, 2019). Крім того, обидві країни брали участь у регіональних ініціативах, спрямованих на забезпечення стабільності на Близькому Сході, таких як Організація ісламського співробітництва.</w:t>
      </w:r>
    </w:p>
    <w:p w14:paraId="000000BE"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Революція в Єгипті 2011 року, яка призвела до усунення від влади президента Хосні Мубарака, кардинально змінила політичний ландшафт у країні та регіоні загалом. Туреччина, під керівництвом Партії справедливості та розвитку (AKP) і президента Реджепа Тайїпа Ердогана, підтримала демократичні зміни, що відбулися в Єгипті. Особливу увагу Анкара приділила «Братам-мусульманам» — ісламістському руху, який </w:t>
      </w:r>
      <w:r w:rsidRPr="00BB1782">
        <w:rPr>
          <w:rFonts w:ascii="Times New Roman" w:eastAsia="Times New Roman" w:hAnsi="Times New Roman" w:cs="Times New Roman"/>
          <w:sz w:val="28"/>
          <w:szCs w:val="28"/>
        </w:rPr>
        <w:lastRenderedPageBreak/>
        <w:t>здобув політичну владу після виборів у 2012 році та привів до президентства Мухаммеда Мурсі (Aras, 2014).</w:t>
      </w:r>
    </w:p>
    <w:p w14:paraId="000000BF"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Туреччина підтримувала уряд Мурсі як приклад ісламської демократії, що відповідає її власній моделі поєднання ісламу та демократії. Відносини між Туреччиною та Єгиптом під час правління Мурсі були дуже теплими, а економічні й дипломатичні зв'язки зміцнилися. Туреччина активно інвестувала в єгипетську економіку, зокрема в галузі енергетики та будівництва, а також збільшила обсяги торгівлі (Kirişci, 2019).</w:t>
      </w:r>
    </w:p>
    <w:p w14:paraId="000000C0"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Однак ці теплі відносини різко погіршилися після військового перевороту в Єгипті в липні 2013 року, коли армія усунула від влади президента Мурсі та заборонила діяльність «Братів-мусульман». Генерал Абдель Фаттах Ас-Сісі, який став новим лідером Єгипту, проводив жорстку політику проти ісламістів, що суперечило позиції Туреччини. Анкара відкрито засудила переворот і виступила з критикою нового режиму, що призвело до серйозної дипломатичної кризи між двома країнами (Barkey, 2019).</w:t>
      </w:r>
    </w:p>
    <w:p w14:paraId="000000C1"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Туреччина розглядала переворот як напад на демократичні процеси, тоді як Єгипет звинуватив Туреччину у втручанні у внутрішні справи країни. У результаті Єгипет відкликав свого посла з Анкари, а Туреччина також вжила відповідних заходів. Це призвело до замороження двосторонніх відносин та погіршення економічних зв'язків. Торгові й інвестиційні потоки між країнами різко знизилися, а спільні проекти були припинені (Aras, 2014).</w:t>
      </w:r>
    </w:p>
    <w:p w14:paraId="000000C2"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Регіональні конфлікти, зокрема сирійська громадянська війна та лівійський конфлікт, також стали важливими факторами у відносинах між Туреччиною та Єгиптом. У Сирії Туреччина підтримує опозиційні сили проти режиму Башара Асада, тоді як Єгипет виступає за стабільність і підтримку чинного режиму, оскільки це відповідає його стратегії боротьби з ісламськими екстремістами (Larrabee &amp; Nader, 2013).</w:t>
      </w:r>
    </w:p>
    <w:p w14:paraId="000000C3"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lastRenderedPageBreak/>
        <w:t>Ще більш серйозною точкою конфлікту став лівійський конфлікт. Туреччина підтримує уряд національної згоди (УНЗ) в Тріполі, який визнаний ООН, тоді як Єгипет надає підтримку Лівійській національній армії під керівництвом генерала Халіфи Хафтара, який контролює східну частину Лівії. Це протистояння стало ще однією причиною напруженості у відносинах між Туреччиною та Єгиптом, оскільки обидві країни прагнуть посилити свій вплив у Північній Африці (Ulrichsen, 2020).</w:t>
      </w:r>
    </w:p>
    <w:p w14:paraId="000000C4"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Східне Середземномор'я стало ще однією точкою напруженості у відносинах між Туреччиною та Єгиптом через питання контролю над газовими родовищами. У 2019 році Туреччина підписала угоду з УНЗ Лівії, яка встановлювала нові морські кордони між країнами і надавала Туреччині право на розвідку енергоресурсів у регіоні. Це викликало різку критику з боку Єгипту, який має свої інтереси у видобутку газу в Східному Середземномор'ї. Єгипет є одним із лідерів регіону у видобутку природного газу і виступає за співпрацю з Грецією та Кіпром для розробки ресурсів (Robins, 2020).</w:t>
      </w:r>
    </w:p>
    <w:p w14:paraId="000000C5"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У 2021 році Туреччина почала робити кроки до нормалізації відносин із Єгиптом, зокрема через дипломатичні контакти на рівні міністрів закордонних справ та відкриття можливостей для співробітництва. Туреччина, яка зіткнулася з викликами та загостренням регіональної конкуренції, шукає нові можливості для покращення відносин із ключовими регіональними гравцями, і Єгипет займає важливе місце в цій стратегії (Ulrichsen, 2020; WITS Data, 2020; Aras, 2014).</w:t>
      </w:r>
    </w:p>
    <w:p w14:paraId="000000C6"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Таким чином, відносини між Туреччиною та Єгиптом у ХХІ столітті пройшли через значні злети і падіння. Після періоду тісної співпраці, особливо під час правління Мухаммеда Мурсі, відносини між країнами різко погіршилися після військового перевороту 2013 року. Регіональні конфлікти, зокрема у Лівії та Сирії, а також боротьба за вплив у Східному </w:t>
      </w:r>
      <w:r w:rsidRPr="00BB1782">
        <w:rPr>
          <w:rFonts w:ascii="Times New Roman" w:eastAsia="Times New Roman" w:hAnsi="Times New Roman" w:cs="Times New Roman"/>
          <w:sz w:val="28"/>
          <w:szCs w:val="28"/>
        </w:rPr>
        <w:lastRenderedPageBreak/>
        <w:t>Середземномор'ї, додатково ускладнили відносини між Туреччиною та Єгиптом.</w:t>
      </w:r>
    </w:p>
    <w:p w14:paraId="000000C7"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Однак у 2020-х роках обидві країни почали робити кроки до нормалізації відносин, зокрема через прагнення покращити економічне співробітництво та стабілізувати регіональну політику. Незважаючи на політичні розбіжності, економічні інтереси можуть стати ключовим чинником у відновленні відносин між Туреччиною та Єгиптом у майбутньому.</w:t>
      </w:r>
    </w:p>
    <w:p w14:paraId="000000C9"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Відносини між Туреччиною та Сирією в ХХІ столітті пройшли через кілька важливих фаз, від періоду тісної економічної та дипломатичної співпраці до глибокої кризи та військової конфронтації, особливо після початку громадянської війни в Сирії у 2011 році. Ці зміни відображають трансформації в регіональній політиці, внутрішні виклики в обох країнах та зовнішні чинники, що впливають на їхні відносини. </w:t>
      </w:r>
    </w:p>
    <w:p w14:paraId="000000CA"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На початку ХХІ століття відносини між Туреччиною та Сирією почали помітно покращуватися після багаторічної напруженості, пов’язаної з територіальними суперечками, підтримкою Сирією курдських сепаратистів (Робітничої партії Курдистану) та розбіжностями у водних ресурсах річки Євфрат. Зміна підходів у зовнішній політиці, ініційована президентом Башаром Асадом у Сирії та тодішнім прем'єр-міністром Туреччини Реджепом Тайїпом Ердоганом, сприяла нормалізації відносин. Цей період був відомий як «золота ера» турецько-сирійських відносин (Altunişik, 2014). </w:t>
      </w:r>
    </w:p>
    <w:p w14:paraId="000000CB"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Політична співпраця також стала більш конструктивною. Туреччина використовувала свою зростаючу регіональну вагу для посередництва у регіональних конфліктах, зокрема між Сирією та Ізраїлем. Хоча ці ініціативи не досягли значного успіху, вони продемонстрували готовність Анкари підтримувати стабільність у регіоні через дипломатичні зусилля (Aras, 2012).</w:t>
      </w:r>
    </w:p>
    <w:p w14:paraId="000000CC"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lastRenderedPageBreak/>
        <w:t>Однак із початком громадянської війни в Сирії у 2011 році відносини між Туреччиною та Сирією зазнали кардинальних змін. Туреччина, яка спочатку намагалася посередничати між урядом Башара Асада та протестувальниками, швидко перейшла до підтримки сирійської опозиції, коли стало зрозуміло, що режим Асада не піде на поступки. Туреччина почала активно допомагати опозиційним групам, включно з Вільною сирійською армією, та відкрито виступати проти режиму Асада, закликаючи до його повалення (Barkey, 2019).</w:t>
      </w:r>
    </w:p>
    <w:p w14:paraId="000000CD"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Цей розрив був спричинений не лише питанням підтримки різних сил у конфлікті, а й стратегічними амбіціями Туреччини в регіоні. Партія справедливості та розвитку (AKP), під керівництвом Ердогана, прагнула позиціонувати Туреччину як провідну силу на Близькому Сході, підтримуючи ісламістські рухи, що прагнули до політичних змін після Арабської весни. Сирія, зі своїм авторитарним режимом та близькими відносинами з Іраном, стала на заваді цим амбіціям (Robins, 2013).</w:t>
      </w:r>
    </w:p>
    <w:p w14:paraId="000000CE"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Туреччина також зіткнулася з численними викликами через приплив біженців. За даними ООН, до 2020 року Туреччина прийняла понад 3,6 мільйона сирійських біженців, що стало серйозним випробуванням для її економіки та соціальної інфраструктури (UNHCR, 2020). Цей фактор також вплинув на внутрішньополітичну ситуацію в Туреччині, оскільки питання сирійських біженців стало важливим у політичних дебатах та викликало занепокоєння серед турецького населення.</w:t>
      </w:r>
    </w:p>
    <w:p w14:paraId="000000CF"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Одним із ключових аспектів турецько-сирійських відносин у ХХІ столітті є питання курдського сепаратизму. Туреччина завжди вважала діяльність Робітничої партії Курдистану (PKK) загрозою для своєї національної безпеки. Під час сирійського конфлікту з'явилися побоювання, що курдські збройні формування, такі як Загін народної самооборони (YPG), які контролюють значну частину північно-східної Сирії, можуть створити умови для появи курдської автономії вздовж </w:t>
      </w:r>
      <w:r w:rsidRPr="00BB1782">
        <w:rPr>
          <w:rFonts w:ascii="Times New Roman" w:eastAsia="Times New Roman" w:hAnsi="Times New Roman" w:cs="Times New Roman"/>
          <w:sz w:val="28"/>
          <w:szCs w:val="28"/>
        </w:rPr>
        <w:lastRenderedPageBreak/>
        <w:t>турецького кордону. Туреччина вважає YPG сирійським відгалуженням PKK і, відповідно, терористичною організацією (Kirişci, 2019).</w:t>
      </w:r>
    </w:p>
    <w:p w14:paraId="000000D0"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Ці дії викликали міжнародну критику, оскільки курдські сили були важливим союзником США та західної коаліції в боротьбі проти Ісламської держави (ІДІЛ). Проте Туреччина продовжує вважати боротьбу з курдським сепаратизмом пріоритетом своєї зовнішньої політики, особливо на тлі потенційної дестабілізації її південно-східних регіонів, населених курдами (Robins, 2020).</w:t>
      </w:r>
    </w:p>
    <w:p w14:paraId="000000D1"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Сирійський конфлікт також залучив до регіону низку міжнародних гравців, що додало складнощів у турецько-сирійські відносини. Росія та Іран, які підтримують режим Асада, є ключовими суперниками Туреччини в цьому конфлікті. Російська військова інтервенція у 2015 році на боці сирійського уряду значно зміцнила позиції Асада та ускладнила плани Туреччини щодо зміни режиму в Дамаску (Larrabee &amp; Nader, 2013).</w:t>
      </w:r>
    </w:p>
    <w:p w14:paraId="000000D2"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Попри це, Туреччина намагалася зберегти співпрацю з Росією, беручи участь у кількох мирних ініціативах, таких як Астанинський процес. У 2017 році Туреччина, Росія та Іран виступили гарантами цього процесу, метою якого було створення зон деескалації та припинення вогню в Сирії. Хоча ці зусилля не призвели до остаточного врегулювання конфлікту, вони дозволили Туреччині зберегти вплив у процесі вирішення сирійського питання (Barkey, 2019; Altunişik, 2014; UNHCR, 2020). </w:t>
      </w:r>
    </w:p>
    <w:p w14:paraId="000000D3"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Попри глибоку кризу у відносинах між Туреччиною та Сирією, з'являються ознаки можливості для певної нормалізації. Зокрема, у 2021 році Ердоган висловив зацікавленість у відновленні діалогу з сирійським урядом, хоча офіційний Дамаск поки що зберігає ворожу позицію щодо Туреччини. Туреччина, яка прагне стабілізувати свої південні кордони та вирішити проблему сирійських біженців, зацікавлена у припиненні військових дій та збереженні певного рівня політичної стабільності в Сирії (Barkey, 2019).</w:t>
      </w:r>
    </w:p>
    <w:p w14:paraId="000000D4"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lastRenderedPageBreak/>
        <w:t>Проте нормалізація відносин залежатиме від багатьох факторів, зокрема від позиції Росії та Ірану, а також від розвитку ситуації з курдським питанням. Туреччина продовжує вимагати створення «безпечних зон» на півночі Сирії, де вона могла б розмістити біженців та запобігти зміцненню курдських збройних формувань. Якщо ці інтереси Туреччини будуть враховані в ширшому контексті сирійського врегулювання, це може стати основою для поступового відновлення дипломатичних і економічних зв’язків між двома країнами (Robins, 2020).</w:t>
      </w:r>
    </w:p>
    <w:p w14:paraId="000000D5"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Таким чином, відносини між Туреччиною та Сирією у ХХІ столітті пройшли через значні зміни — від періоду тісної співпраці та економічного партнерства до конфронтації та глибокої кризи під час громадянської війни в Сирії. Підтримка Туреччиною сирійської опозиції, військові операції проти курдських сил та потужний приплив сирійських біженців стали ключовими викликами для Анкари. Водночас конфлікт у Сирії мав серйозні економічні наслідки для обох країн, зокрема втрата торгових зв'язків та фінансові витрати, пов’язані з гуманітарною кризою.</w:t>
      </w:r>
    </w:p>
    <w:p w14:paraId="000000D6" w14:textId="77777777" w:rsidR="009123BC" w:rsidRPr="00BB1782" w:rsidRDefault="00712845" w:rsidP="00841CA0">
      <w:pPr>
        <w:spacing w:after="100"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Незважаючи на глибоку кризу, Туреччина демонструє прагматичний підхід до врегулювання сирійського конфлікту, зокрема через співпрацю з Росією та Іраном у рамках Астанинського процесу. У майбутньому нормалізація відносин може стати можливою, якщо будуть знайдені рішення щодо питань безпеки та управління потоками біженців. Таким чином, відносини між Туреччиною та Сирією залишаються складними та багатовимірними, і їхній розвиток значною мірою залежатиме від зовнішніх чинників та регіональних динамік.</w:t>
      </w:r>
    </w:p>
    <w:p w14:paraId="000000D7"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У цілому, зовнішня політика Туреччини у мусульманському світі характеризується прагненням до відновлення її регіонального впливу через поєднання політичних, військових, економічних та культурних інструментів. Туреччина намагається стати провідним гравцем у регіоні, </w:t>
      </w:r>
      <w:r w:rsidRPr="00BB1782">
        <w:rPr>
          <w:rFonts w:ascii="Times New Roman" w:eastAsia="Times New Roman" w:hAnsi="Times New Roman" w:cs="Times New Roman"/>
          <w:sz w:val="28"/>
          <w:szCs w:val="28"/>
        </w:rPr>
        <w:lastRenderedPageBreak/>
        <w:t>водночас стикаючись із суперництвом з боку інших великих держав, таких як Саудівська Аравія та Іран.</w:t>
      </w:r>
    </w:p>
    <w:p w14:paraId="000000D9"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Відносини між Туреччиною та Іраном у ХХІ столітті відзначаються складною динамікою, що обумовлена взаємодією різних факторів: історичних, геополітичних, економічних та ідеологічних. Незважаючи на різні політичні орієнтири й суперництво в регіоні, обидві країни мають спільні інтереси, зокрема в економічній співпраці, енергетичному секторі та питаннях безпеки. Сучасні відносини Туреччини та Ірану можна охарактеризувати як поєднання суперництва і співпраці.</w:t>
      </w:r>
    </w:p>
    <w:p w14:paraId="000000DA"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Геополітична конкуренція між Туреччиною та Іраном бере свій початок ще з османсько-сефевідської епохи, коли обидві країни боролися за вплив у регіоні. У ХХІ столітті ця конкуренція продовжується, особливо на Близькому Сході, де Туреччина та Іран мають різні позиції з низки ключових питань. Наприклад, під час громадянської війни в Сирії Туреччина підтримувала опозиційні сили, тоді як Іран надавав військову й фінансову підтримку режиму Башара Асада (Ehteshami &amp; Wehrey, 2011). Цей конфлікт став одним із головних моментів напруженості у відносинах між двома країнами.</w:t>
      </w:r>
    </w:p>
    <w:p w14:paraId="000000DB"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Однак, попри геополітичну й релігійну конкуренцію, Туреччина та Іран намагаються підтримувати відносини на рівні стратегічного діалогу. Це пов’язано з їхніми спільними інтересами, зокрема в енергетичній сфері та регіональній стабільності. Наприклад, у 2001 році обидві країни підписали договір про співробітництво в питаннях безпеки, що передбачає спільні заходи для боротьби з тероризмом та контрабандою (Aydıntaşbaş, 2018).</w:t>
      </w:r>
    </w:p>
    <w:p w14:paraId="000000E0"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Окрім безпекових аспектів, важливим фактором у відносинах Туреччини та Ірану є релігійні й ідеологічні відмінності між країнами. Туреччина позиціонує себе як світська держава з поміркованою ісламською політикою, тоді як Іран залишається ісламською республікою, </w:t>
      </w:r>
      <w:r w:rsidRPr="00BB1782">
        <w:rPr>
          <w:rFonts w:ascii="Times New Roman" w:eastAsia="Times New Roman" w:hAnsi="Times New Roman" w:cs="Times New Roman"/>
          <w:sz w:val="28"/>
          <w:szCs w:val="28"/>
        </w:rPr>
        <w:lastRenderedPageBreak/>
        <w:t>заснованою на принципах шиїзму. Ці ідеологічні відмінності створюють додаткову напругу, особливо у контексті внутрішніх політичних процесів у кожній з країн (Barkey, 2019).</w:t>
      </w:r>
    </w:p>
    <w:p w14:paraId="000000E1"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Однак, попри ці відмінності, Туреччина та Іран продовжують співпрацювати у ключових сферах. Важливим аспектом цієї співпраці є прагматичний підхід обох країн до вирішення економічних і регіональних проблем, що дозволяє мінімізувати вплив ідеологічних розбіжностей на двосторонні відносини.</w:t>
      </w:r>
    </w:p>
    <w:p w14:paraId="000000E2"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Релігійний чинник відіграє важливу, хоча й неоднозначну роль у відносинах між Туреччиною та Іраном. Обидві країни мають значний вплив у мусульманському світі, але їхні релігійні системи та підходи до ісламу суттєво відрізняються. Туреччина історично є світською державою, в якій панує сунітська гілка ісламу, тоді як Іран є теократичною шиїтською державою, в основі якої лежить ідеологія Ісламської Республіки, що базується на принципах шиїтського ісламу. Ці релігійні відмінності впливають на регіональну політику обох держав і є важливим фактором у їхніх відносинах.</w:t>
      </w:r>
    </w:p>
    <w:p w14:paraId="000000E3"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Після встановлення Ісламської Республіки Іран у 1979 році країна перетворилася на глобальний центр шиїтського ісламу, який почав активно поширювати ідеї революції, зокрема серед шиїтських громад на Близькому Сході. Туреччина, натомість, після створення Турецької Республіки у 1923 році під керівництвом Мустафи Кемаля Ататюрка, стала світською державою, де релігія і держава були суворо відокремлені одна від одної. Ататюрк запровадив політику лаїцизму, яка обмежувала релігійну роль у політичному та громадському житті, що кардинально відрізнялося від ідеологічної основи Ірану, де релігія відіграє центральну роль у політиці (Barkey, 2019).</w:t>
      </w:r>
    </w:p>
    <w:p w14:paraId="000000E4"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Туреччина, будучи сунітською державою, довгий час займала стриману позицію щодо шиїтського Ірану, а ідеологічні відмінності </w:t>
      </w:r>
      <w:r w:rsidRPr="00BB1782">
        <w:rPr>
          <w:rFonts w:ascii="Times New Roman" w:eastAsia="Times New Roman" w:hAnsi="Times New Roman" w:cs="Times New Roman"/>
          <w:sz w:val="28"/>
          <w:szCs w:val="28"/>
        </w:rPr>
        <w:lastRenderedPageBreak/>
        <w:t>створювали напруженість у їхніх відносинах. Туреччина була скептично налаштована щодо поширення іранського впливу серед шиїтських громад у Лівані, Іраку та Сирії. Після Ісламської революції в Ірані Туреччина бачила в іранському режимі загрозу стабільності регіону через прагнення Ірану поширювати свій революційний ісламізм (Robins, 2013).</w:t>
      </w:r>
    </w:p>
    <w:p w14:paraId="000000E5"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Попри релігійні відмінності, обидві країни також використовують релігійні аспекти у своїй зовнішній політиці як елемент м'якої сили. Туреччина, особливо за часів правління Партії справедливості та розвитку (AKP), почала активно використовувати ісламські символи та цінності для зміцнення свого впливу у мусульманському світі. Зокрема, президент Туреччини Реджеп Тайїп Ердоган позиціонував себе як захисник мусульман, а Туреччина почала більше виступати на захист палестинців та мусульман у світі, що дозволило їй зміцнити свій вплив у сунітському світі (Altunişik, 2014).</w:t>
      </w:r>
    </w:p>
    <w:p w14:paraId="000000E6"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Іран, зі свого боку, продовжує використовувати шиїтську релігійну ідентичність для поширення свого впливу, зокрема через підтримку шиїтських політичних та військових організацій, таких як Хезболла в Лівані та шиїтські угруповання в Іраку. Проте, незважаючи на ідеологічні розбіжності, Іран і Туреччина іноді співпрацюють у релігійних питаннях, коли йдеться про загальні мусульманські цінності, особливо у контексті захисту прав мусульман у світі (Ehteshami &amp; Wehrey, 2011).</w:t>
      </w:r>
    </w:p>
    <w:p w14:paraId="000000E7"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Релігійний чинник також відіграє важливу роль у конфліктах, у яких Туреччина та Іран підтримують різні сторони. Сирійська війна стала однією з найяскравіших ілюстрацій цього протистояння. Іран підтримує режим Башара Асада, який є представником алавітської секти (шиїтська гілка), тоді як Туреччина підтримує сунітську опозицію. Цей релігійний розкол є важливим фактором у регіональній політиці обох країн, оскільки вони прагнуть зміцнити свій вплив у різних частинах Близького Сходу (Aydıntaşbaş, 2018).</w:t>
      </w:r>
    </w:p>
    <w:p w14:paraId="000000E8"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lastRenderedPageBreak/>
        <w:t>Крім того, війна в Ємені, де шиїтські хусити борються проти урядових військ, підтримуваних Саудівською Аравією, є ще одним прикладом протистояння сунітського і шиїтського блоків у регіоні. Хоча Туреччина і не бере безпосередньої участі у конфлікті в Ємені, її підтримка Саудівської Аравії як лідера сунітського світу також впливає на її відносини з Іраном, який підтримує хуситів (Robins, 2013).</w:t>
      </w:r>
    </w:p>
    <w:p w14:paraId="000000E9"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Релігійний чинник також відіграє непряму роль у курдському питанні, яке є важливим для безпеки як Туреччини, так і Ірану. Курдське населення переважно сунітське, але в Ірані є значна шиїтська курдська громада. Обидві країни занепокоєні потенційною автономією чи незалежністю курдів, яка може вплинути на їхню внутрішню стабільність. Незважаючи на різні релігійні ідентичності, Туреччина та Іран співпрацюють у боротьбі проти курдських сепаратистських рухів, таких як Робітнича партія Курдистану (PKK), що діє на території обох країн (Barkey, 2019).</w:t>
      </w:r>
    </w:p>
    <w:p w14:paraId="000000EA"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Крім політичного виміру, релігія також відіграє важливу роль у культурній дипломатії обох країн. Туреччина активно використовує релігійні організації, такі як Діянет, для поширення свого впливу в мусульманських країнах, зокрема в країнах Балкан і Центральної Азії. Туреччина просуває модель поміркованого ісламу, яка поєднує релігійні цінності із сучасністю, що відрізняється від консервативного шиїтського підходу Ірану (Altunişik, 2014).</w:t>
      </w:r>
    </w:p>
    <w:p w14:paraId="000000EB"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Іран також використовує культурну та релігійну дипломатію для зміцнення свого впливу серед шиїтських громад. Іранські релігійні школи та культурні центри діють у багатьох країнах, де є значні шиїтські громади, зокрема в Іраку, Лівані, Афганістані та Бахрейні. Це дозволяє Ірану підтримувати тісні зв'язки зі своїми союзниками у регіоні та поширювати шиїтську ідеологію (Ehteshami &amp; Wehrey, 2011).</w:t>
      </w:r>
    </w:p>
    <w:p w14:paraId="000000EC"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lastRenderedPageBreak/>
        <w:t>У цілому релігійний чинник відіграє суперечливу роль у відносинах Туреччини та Ірану. Хоча обидві країни представляють різні гілки ісламу та мають історичні ідеологічні розбіжності, релігія також є важливим елементом їхньої дипломатії, особливо в рамках культурної та м’якої сили. Релігійна конкуренція у регіоні, зокрема у Сирії та Ємені, значно впливає на їхні відносини, проте спільні загрози, такі як курдське питання, змушують Туреччину та Іран знаходити спільні підходи у питаннях безпеки. Таким чином, релігійний чинник, незважаючи на свою амбівалентність, є важливою складовою двосторонніх відносин між Туреччиною та Іраном. Відносини між цими двома країнами демонструють, що, незважаючи на суттєві релігійні та ідеологічні розбіжності, спільні інтереси в економіці, безпеці та регіональній політиці можуть сприяти збереженню конструктивної взаємодії.</w:t>
      </w:r>
    </w:p>
    <w:p w14:paraId="000000ED"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Релігійний чинник впливає як на конкуренцію, так і на співпрацю між Туреччиною та Іраном. Хоча обидві країни претендують на роль лідера мусульманського світу, представляючи різні підходи до ісламу — сунітський у Туреччині і шиїтський в Ірані, — вони знаходять спільні точки дотику, особливо у боротьбі з курдськими сепаратистами та в питаннях регіональної стабільності. Релігійна дипломатія та культурні зв'язки залишаються важливими інструментами у зовнішньополітичних стратегіях обох країн, що дозволяє їм формувати власні зони впливу у мусульманському світі.</w:t>
      </w:r>
    </w:p>
    <w:p w14:paraId="000000EE"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Отже, відносини між Туреччиною та Іраном у ХХІ столітті є складними та багатогранними. Незважаючи на значні геополітичні та ідеологічні відмінності, обидві країни зуміли розвинути ефективну економічну та енергетичну співпрацю, а також підтримують діалог у питаннях безпеки. Туреччина та Іран демонструють прагматичний підхід до вирішення регіональних проблем, що дозволяє зберігати стабільні двосторонні відносини, попри конкуренцію в регіоні. Ці відносини є </w:t>
      </w:r>
      <w:r w:rsidRPr="00BB1782">
        <w:rPr>
          <w:rFonts w:ascii="Times New Roman" w:eastAsia="Times New Roman" w:hAnsi="Times New Roman" w:cs="Times New Roman"/>
          <w:sz w:val="28"/>
          <w:szCs w:val="28"/>
        </w:rPr>
        <w:lastRenderedPageBreak/>
        <w:t>прикладом того, як геополітичні й ідеологічні суперечності можуть бути подолані шляхом прагматичного підходу та економічної співпраці. Туреччина та Іран, хоча й мають різні погляди на багато регіональних питань, демонструють, що взаємний економічний інтерес і безпекова співпраця можуть стати важливими чинниками для збереження стабільних відносин.</w:t>
      </w:r>
    </w:p>
    <w:p w14:paraId="000000EF"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Релігійний чинник у відносинах Туреччини та Ірану є складним і багатогранним. З одного боку, він створює конкурентну динаміку в боротьбі за лідерство в регіоні, з іншого — є інструментом для дипломатичних ініціатив та налагодження співпраці. Подальший розвиток відносин між цими двома державами, без сумніву, залежатиме від їхньої здатності збалансувати релігійні розбіжності з прагматичними політичними та економічними інтересами.</w:t>
      </w:r>
    </w:p>
    <w:p w14:paraId="000000F0"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Таким чином, відносини між Туреччиною та Іраном у ХХІ столітті є поєднанням співпраці й суперництва. Туреччина та Іран продовжують впливати на регіональну політику Близького Сходу, використовуючи як дипломатичні, так і економічні інструменти. Незважаючи на ідеологічні розбіжності та регіональні амбіції, обидві країни демонструють готовність до конструктивного діалогу, що є важливим для забезпечення стабільності в регіоні (Tiftikçigil, 2015). Туреччина також активно співпрацює з країнами Північної Африки, зокрема з Єгиптом і Лівією, де турецькі компанії беруть участь у великих інфраструктурних проектах, таких як будівництво доріг, мостів та будівель.</w:t>
      </w:r>
    </w:p>
    <w:p w14:paraId="000000F1"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Статистичні дані (Додаток А) підкреслюють роль Туреччини як важливого торгового партнера для багатьох країн Близького Сходу, особливо в секторі енергетики, будівництва та сільського господарства.</w:t>
      </w:r>
    </w:p>
    <w:p w14:paraId="000000F4"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Одним із ключових інструментів м’якої сили Туреччини є Турецьке агентство зі співробітництва та координації (TİKA), яке надає допомогу в розвитку інфраструктури та соціальних програм у багатьох </w:t>
      </w:r>
      <w:r w:rsidRPr="00BB1782">
        <w:rPr>
          <w:rFonts w:ascii="Times New Roman" w:eastAsia="Times New Roman" w:hAnsi="Times New Roman" w:cs="Times New Roman"/>
          <w:sz w:val="28"/>
          <w:szCs w:val="28"/>
        </w:rPr>
        <w:lastRenderedPageBreak/>
        <w:t>мусульманських країнах, зокрема в Афганістані, Пакистані, Косово та Судані. Це сприяє зміцненню позитивного образу Туреччини як країни, яка підтримує мусульманські громади по всьому світу (Öniş &amp; Yılmaz, 2009).</w:t>
      </w:r>
    </w:p>
    <w:p w14:paraId="000000F5"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Крім того, Юнус Емре Інститут активно просуває турецьку мову, культуру та освіту через мережу своїх центрів у мусульманських країнах. Цей інститут відіграє важливу роль у зміцненні культурних зв'язків між Туреччиною та мусульманським світом (Altunişik, 2014). Подібні програми допомагають Туреччині створювати позитивний імідж та забезпечувати культурну дипломатію, що зміцнює її позиції як сучасної мусульманської держави.</w:t>
      </w:r>
    </w:p>
    <w:p w14:paraId="000000F6"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Туреччина активно інвестує в освітні програми для студентів із мусульманських країн, пропонуючи стипендії для навчання у турецьких університетах. Турецькі стипендії (Türkiye Bursları) дозволяють студентам з Африки, Центральної Азії, Балкан і Близького Сходу отримати освіту в Туреччині, що сприяє створенню тісніших культурних і політичних зв'язків між Туреччиною та країнами їх походження (Akçapar, 2010).</w:t>
      </w:r>
    </w:p>
    <w:p w14:paraId="000000F7"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Також важливу роль відіграють турецькі телесеріали та фільми, які стали дуже популярними в багатьох мусульманських країнах. Такі серіали, як «Величне століття» (Muhteşem Yüzyıl), створюють привабливий образ Туреччини, впливаючи на масову культуру мусульманських суспільств і сприяючи розумінню спільних історичних та культурних зв’язків (Aras &amp; Polat, 2012). Це ефективно працює як інструмент культурної дипломатії, оскільки розвиває позитивне ставлення до Туреччини серед широких верств населення.</w:t>
      </w:r>
    </w:p>
    <w:p w14:paraId="000000F8"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Релігія є важливим аспектом м’якої сили Туреччини, зокрема в мусульманському світі. Діянет, організація, відповідальна за релігійні справи в Туреччині, активно підтримує будівництво мечетей, ісламських шкіл та надає релігійну освіту в країнах з переважно мусульманським населенням. Це не тільки сприяє поширенню ісламських цінностей, але й </w:t>
      </w:r>
      <w:r w:rsidRPr="00BB1782">
        <w:rPr>
          <w:rFonts w:ascii="Times New Roman" w:eastAsia="Times New Roman" w:hAnsi="Times New Roman" w:cs="Times New Roman"/>
          <w:sz w:val="28"/>
          <w:szCs w:val="28"/>
        </w:rPr>
        <w:lastRenderedPageBreak/>
        <w:t>зміцнює релігійні зв’язки між Туреччиною та мусульманським світом (Erdogan, 2018).</w:t>
      </w:r>
    </w:p>
    <w:p w14:paraId="000000F9"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Особливо важливу роль релігійна дипломатія відіграє в таких країнах, як Боснія і Герцеговина, Албанія та Косово, де Туреччина підтримує ісламську ідентичність і відіграє важливу роль у відновленні релігійних установ. Крім того, Туреччина намагається позиціонувати себе як лідера мусульманського світу, просуваючи ідею «ісламу по-турецьки», який базується на принципах поміркованості та модернізму, що відрізняє її від інших гравців, таких як Саудівська Аравія або Іран (Yavuz, 2020).</w:t>
      </w:r>
    </w:p>
    <w:p w14:paraId="000000FA"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Політика м’якої сили Туреччини має також значення у контексті її зовнішньополітичної стратегії щодо мусульманських країн. Наприклад, Туреччина активно підтримує Палестину у її конфлікті з Ізраїлем, що викликає позитивний відгук серед багатьох мусульманських країн, особливо в арабському світі. Це підсилює позиції Туреччини як захисника мусульманських інтересів і додає їй впливу на міжнародній арені (Hinnebusch &amp; Ehteshami, 2002).</w:t>
      </w:r>
    </w:p>
    <w:p w14:paraId="000000FB"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Крім того, Туреччина використовує м’яку силу для підтримки своїх економічних інтересів у мусульманських країнах. Наприклад, участь у будівельних проектах у країнах Близького Сходу, таких як Ірак та Лівія, створює економічні зв’язки, які мають довготривалі політичні наслідки (Robins, 2013). Це також посилює її роль як регіонального гравця, що здатен впливати на політичні процеси за межами власних кордонів.</w:t>
      </w:r>
    </w:p>
    <w:p w14:paraId="000000FD"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Використання «м'якої сили» Туреччиною для просування ідей пантюркізму є однією з важливих стратегій у зовнішній політиці Анкари. Пантюркізм, ідеологія, що спрямована на об’єднання всіх тюркомовних народів на основі спільної етнічної, культурної та історичної спадщини, став одним із важливих векторів м’якої сили Туреччини, особливо в країнах Центральної Азії, Кавказу та частково на Балканах.</w:t>
      </w:r>
    </w:p>
    <w:p w14:paraId="000000FE"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lastRenderedPageBreak/>
        <w:t>Корені пантюркізму сягають ще кінця ХІХ — початку ХХ століття, коли інтелектуали Османської імперії почали розвивати ідеї етнічної єдності тюркських народів. Однак ці ідеї набули нових обертів після розпаду Радянського Союзу, коли на політичній арені з’явилися незалежні тюркські держави, такі як Казахстан, Узбекистан, Азербайджан, Туркменістан і Киргизстан. Туреччина побачила в цьому можливість зміцнити свій вплив у цих регіонах, використовуючи історичні й культурні зв’язки (Robins, 2013).</w:t>
      </w:r>
    </w:p>
    <w:p w14:paraId="00000102"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Релігійна дипломатія також є важливим аспектом просування пантюркістських ідей. Через Діянет (Управління у справах релігії) Туреччина фінансує будівництво мечетей та ісламських центрів у тюркомовних країнах, сприяючи зміцненню релігійних зв'язків на основі поміркованої інтерпретації ісламу, яка базується на турецькій моделі (Yavuz, 2020). Це допомагає Туреччині відрізнитися від інших гравців, таких як Саудівська Аравія або Іран, які також намагаються поширювати свій вплив через релігійні канали.</w:t>
      </w:r>
    </w:p>
    <w:p w14:paraId="00000103"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На політичному рівні Туреччина активно просуває ідеї пантюркізму через міжнародні організації, такі як Тюркська рада (The Turkic Council), яка була створена у 2009 році. Ця організація об'єднує країни тюркомовного світу і працює над зміцненням економічної, культурної та політичної співпраці між ними. В рамках Тюркської ради Туреччина намагається позиціонувати себе як природного лідера тюркського світу, підкреслюючи свою історичну та культурну роль (Balci, 2014).</w:t>
      </w:r>
    </w:p>
    <w:p w14:paraId="00000104"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Попри успіхи Туреччини в просуванні пантюркізму, є й деякі обмеження. Одним із головних викликів є різні політичні інтереси та внутрішня динаміка країн Центральної Азії, що не завжди співпадають із зовнішньополітичними цілями Туреччини. Крім того, регіональні гравці, такі як Росія та Китай, також мають значний вплив у цьому регіоні, що </w:t>
      </w:r>
      <w:r w:rsidRPr="00BB1782">
        <w:rPr>
          <w:rFonts w:ascii="Times New Roman" w:eastAsia="Times New Roman" w:hAnsi="Times New Roman" w:cs="Times New Roman"/>
          <w:sz w:val="28"/>
          <w:szCs w:val="28"/>
        </w:rPr>
        <w:lastRenderedPageBreak/>
        <w:t>обмежує можливості Туреччини повністю реалізувати свої пантюркістські амбіції (Robins, 2013).</w:t>
      </w:r>
    </w:p>
    <w:p w14:paraId="00000105" w14:textId="3105F23E"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Отже, значення м’якої сили є суттєвим, особливо у мусульманському світі. Використовуючи культурні, релігійні та освітні інструменти, Туреччина змогла зміцнити свій імідж як поміркованої мусульманської держави та регіонального лідера. Впроваджуючи культурну та релігійну дипломатію, інвестуючи в освіту та інфраструктурні проекти, Туреччина посилює свій вплив серед мусульманських країн, що підвищує її авторитет на міжнародній арені (Nye, 2004; Kirişci, 2011).</w:t>
      </w:r>
    </w:p>
    <w:p w14:paraId="00000106"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М’яка сила є важливим інструментом просування пантюркізму в зовнішній політиці Туреччини, зокрема в тюркомовних країнах Центральної Азії та Кавказу. Використовуючи освітні програми, культурні ініціативи, релігійну дипломатію та економічну співпрацю, Туреччина зміцнює свій вплив у регіоні та просуває ідеї тюркської єдності. Проте вплив регіональних конкурентів та різні політичні інтереси в регіоні створюють певні виклики для реалізації пантюркістської стратегії Анкари.</w:t>
      </w:r>
    </w:p>
    <w:p w14:paraId="00000119" w14:textId="77777777" w:rsidR="009123BC" w:rsidRPr="00BB1782" w:rsidRDefault="00712845" w:rsidP="00841CA0">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Туреччина просуває власну модель ісламу, яка поєднує релігійність із секулярними принципами. Це дозволяє Анкарі протидіяти радикальним течіям, таким як ваххабізм, і зміцнювати свій вплив у країнах із переважно мусульманським населенням.</w:t>
      </w:r>
    </w:p>
    <w:p w14:paraId="0000011A" w14:textId="77777777" w:rsidR="009123BC" w:rsidRPr="00BB1782" w:rsidRDefault="00712845" w:rsidP="00C335A4">
      <w:pPr>
        <w:spacing w:line="360" w:lineRule="auto"/>
        <w:ind w:firstLine="709"/>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Отже, Туреччина ефективно використовує іслам як інструмент м'якої сили, поєднуючи релігійний компонент із культурними, гуманітарними, економічними та політичними стратегіями. Це дозволяє їй не лише зміцнювати свої позиції в ісламському світі, але й формувати образ лідера, який об'єднує мусульманські країни навколо спільних цінностей і цілей.</w:t>
      </w:r>
    </w:p>
    <w:p w14:paraId="0000011B" w14:textId="4C2B109C" w:rsidR="009123BC" w:rsidRPr="00BB1782" w:rsidRDefault="009123BC" w:rsidP="00C335A4">
      <w:pPr>
        <w:spacing w:line="360" w:lineRule="auto"/>
        <w:ind w:firstLine="520"/>
        <w:jc w:val="both"/>
        <w:rPr>
          <w:rFonts w:ascii="Times New Roman" w:eastAsia="Times New Roman" w:hAnsi="Times New Roman" w:cs="Times New Roman"/>
          <w:sz w:val="32"/>
          <w:szCs w:val="32"/>
          <w:lang w:val="uk-UA"/>
        </w:rPr>
      </w:pPr>
    </w:p>
    <w:p w14:paraId="0000011C" w14:textId="57F8F004" w:rsidR="007D2621" w:rsidRPr="00BB1782" w:rsidRDefault="007D2621" w:rsidP="00C335A4">
      <w:pPr>
        <w:spacing w:line="360" w:lineRule="auto"/>
        <w:rPr>
          <w:rFonts w:ascii="Times New Roman" w:eastAsia="Times New Roman" w:hAnsi="Times New Roman" w:cs="Times New Roman"/>
          <w:sz w:val="32"/>
          <w:szCs w:val="32"/>
        </w:rPr>
      </w:pPr>
      <w:r w:rsidRPr="00BB1782">
        <w:rPr>
          <w:rFonts w:ascii="Times New Roman" w:eastAsia="Times New Roman" w:hAnsi="Times New Roman" w:cs="Times New Roman"/>
          <w:sz w:val="32"/>
          <w:szCs w:val="32"/>
        </w:rPr>
        <w:br w:type="page"/>
      </w:r>
    </w:p>
    <w:p w14:paraId="00000131" w14:textId="77777777" w:rsidR="009123BC" w:rsidRPr="00BB1782" w:rsidRDefault="00712845" w:rsidP="00C335A4">
      <w:pPr>
        <w:pStyle w:val="1"/>
        <w:spacing w:before="0" w:after="0" w:line="360" w:lineRule="auto"/>
        <w:jc w:val="center"/>
        <w:rPr>
          <w:rFonts w:ascii="Times New Roman" w:eastAsia="Times New Roman" w:hAnsi="Times New Roman" w:cs="Times New Roman"/>
          <w:b/>
          <w:sz w:val="28"/>
          <w:szCs w:val="28"/>
        </w:rPr>
      </w:pPr>
      <w:bookmarkStart w:id="5" w:name="_Toc183727748"/>
      <w:r w:rsidRPr="00BB1782">
        <w:rPr>
          <w:rFonts w:ascii="Times New Roman" w:eastAsia="Times New Roman" w:hAnsi="Times New Roman" w:cs="Times New Roman"/>
          <w:b/>
          <w:sz w:val="28"/>
          <w:szCs w:val="28"/>
        </w:rPr>
        <w:lastRenderedPageBreak/>
        <w:t>РОЗДІЛ 3. РОЛЬ ІСЛАМСЬКОГО ЧИННИКА У ВІДНОСИНАХ ТУРЕЧЧИНИ З КРАЇНАМИ ЄВРОПИ</w:t>
      </w:r>
      <w:bookmarkEnd w:id="5"/>
    </w:p>
    <w:p w14:paraId="00000132" w14:textId="77777777" w:rsidR="009123BC" w:rsidRPr="00BB1782" w:rsidRDefault="00712845" w:rsidP="00C335A4">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 </w:t>
      </w:r>
    </w:p>
    <w:p w14:paraId="0000013C" w14:textId="77777777" w:rsidR="009123BC" w:rsidRPr="00BB1782" w:rsidRDefault="00712845" w:rsidP="00C335A4">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Одним із ключових факторів, які впливають на політичне сприйняття Туреччини в Європі, є історико-релігійна спадщина Османської імперії та її тривале суперництво з європейськими державами. Історичні конфлікти, такі як облога Відня та інші османські вторгнення в Європу, створили культурні та релігійні стереотипи, які впливають на сучасне уявлення про Туреччину як про країну, що належить до «іншої» цивілізації (Finkel, 2005; Kafadar, 1996). Ці стереотипи частково пояснюють скептицизм деяких європейських країн щодо повної інтеграції Туреччини до ЄС.</w:t>
      </w:r>
    </w:p>
    <w:p w14:paraId="0000013D"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Крім того, культурні та релігійні відмінності між переважно мусульманською Туреччиною і християнською Європою часто використовуються в політичному дискурсі, що призводить до складнощів у сприйнятті Туреччини як потенційного члена ЄС. Деякі європейські політичні діячі наголошують на важливості збереження європейської ідентичності та вважають, що Туреччина не відповідає цій ідентичності через свої культурні особливості (Kubicek, 2005).</w:t>
      </w:r>
    </w:p>
    <w:p w14:paraId="0000013E"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Зростання авторитаризму в Туреччині під керівництвом Реджепа Тайїпа Ердогана стало однією з основних причин критичного сприйняття країни в Європі. Європейські лідери часто висловлюють занепокоєння з приводу обмеження свободи слова, переслідування опозиційних політиків і журналістів, а також порушення прав людини. Ці проблеми значно ускладнюють перспективи вступу Туреччини до ЄС і викликають питання про відповідність Туреччини демократичним стандартам Європейського Союзу (Cagaptay, 2017; Inan &amp; Dede, 2018).</w:t>
      </w:r>
    </w:p>
    <w:p w14:paraId="0000013F"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З іншого боку, деякі європейські країни визнають стратегічне значення Туреччини як ключового партнера в регіоні, особливо у питаннях міграції та боротьби з тероризмом. Туреччина відіграє важливу роль у </w:t>
      </w:r>
      <w:r w:rsidRPr="00BB1782">
        <w:rPr>
          <w:rFonts w:ascii="Times New Roman" w:eastAsia="Times New Roman" w:hAnsi="Times New Roman" w:cs="Times New Roman"/>
          <w:sz w:val="28"/>
          <w:szCs w:val="28"/>
        </w:rPr>
        <w:lastRenderedPageBreak/>
        <w:t>зупинці потоку біженців до Європи, що стало основним елементом угоди між ЄС і Туреччиною у 2016 році (Kirisci, 2018). Це створює дилему для європейських політиків, які змушені співпрацювати з Туреччиною з питань безпеки, попри занепокоєння з приводу порушень демократії та прав людини.</w:t>
      </w:r>
    </w:p>
    <w:p w14:paraId="00000140"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Ісламський чинник також має значний вплив на політичне сприйняття Туреччини. Деякі європейські політичні сили, особливо праві партії, використовують страхи перед ісламізацією та міграційною кризою для мобілізації електорату і подальшої критики інтеграції Туреччини до ЄС. Вони часто аргументують свою позицію тим, що вступ Туреччини до ЄС може посилити культурні конфлікти і призвести до проблем з інтеграцією мусульманських громад (Yilmaz, 2012).</w:t>
      </w:r>
    </w:p>
    <w:p w14:paraId="00000141"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Водночас, Туреччина активно використовує релігійні та культурні зв’язки для зміцнення своїх позицій у Європі. Турецький уряд підтримує ісламські громади в Європі через освітні та релігійні ініціативи, що, на думку деяких європейських лідерів, може мати політичний вплив і підривати інтеграцію мусульман у європейські суспільства (Taspinar, 2011).</w:t>
      </w:r>
    </w:p>
    <w:p w14:paraId="00000142"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Геополітична роль Туреччини в Європі є ще одним фактором, що впливає на її сприйняття. Туреччина розташована на стратегічному перехресті між Європою та Близьким Сходом і відіграє важливу роль у питаннях енергетичної безпеки та стабільності в регіоні. Європейські країни змушені враховувати геополітичні реалії у відносинах із Туреччиною, особливо в контексті конфліктів у Сирії та питань безпеки в Східному Середземномор'ї (Mango, 1999; Kirisci, 2018).</w:t>
      </w:r>
    </w:p>
    <w:p w14:paraId="00000143"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Однак політика Туреччини в регіоні, зокрема військові операції в Сирії та Лівії, викликає критику з боку деяких європейських країн. Відносини ускладнюються також суперечками щодо прав на ресурси в </w:t>
      </w:r>
      <w:r w:rsidRPr="00BB1782">
        <w:rPr>
          <w:rFonts w:ascii="Times New Roman" w:eastAsia="Times New Roman" w:hAnsi="Times New Roman" w:cs="Times New Roman"/>
          <w:sz w:val="28"/>
          <w:szCs w:val="28"/>
        </w:rPr>
        <w:lastRenderedPageBreak/>
        <w:t>Східному Середземномор'ї, де Туреччина має територіальні претензії, що суперечать інтересам Кіпру та Греції (Dodd, 2010).</w:t>
      </w:r>
    </w:p>
    <w:p w14:paraId="00000144"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Перспективи відносин між Туреччиною та Європою у XXI столітті залишаються складними та багатогранними, охоплюючи питання політичної інтеграції, економічного співробітництва, міграційної політики, прав людини та геополітичних викликів. Туреччина продовжує відігравати важливу роль у забезпеченні безпеки Європи, але її віддалення від демократичних стандартів і зовнішньополітичні амбіції створюють серйозні перепони на шляху до повноцінної інтеграції в європейське співтовариство.</w:t>
      </w:r>
    </w:p>
    <w:p w14:paraId="00000145"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Одним із центральних питань у відносинах Туреччини та Європи є її потенційний вступ до Європейського Союзу. Незважаючи на те, що переговори про членство розпочалися у 2005 році, процес євроінтеграції Туреччини значно уповільнився через низку факторів, включаючи занепокоєння ЄС щодо стану демократії, свободи слова та прав людини в Туреччині (Kubicek, 2005; Cagaptay, 2017). Зростання авторитаризму в країні, особливо після невдалого перевороту 2016 року та наступних репресій, викликає серйозні побоювання серед європейських лідерів (Kirisci, 2018).</w:t>
      </w:r>
    </w:p>
    <w:p w14:paraId="00000146"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Проте деякі експерти зазначають, що повне припинення переговорів не є в інтересах жодної зі сторін. ЄС продовжує визнавати стратегічне значення Туреччини як партнера у питаннях міграції, безпеки та боротьби з тероризмом (Inan &amp; Dede, 2018). Водночас Туреччина розуміє, що збереження тісних економічних та політичних зв'язків з Європою є важливим для її довгострокового розвитку (Barysch, 2010).</w:t>
      </w:r>
    </w:p>
    <w:p w14:paraId="00000147"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Розвиток спільних проектів у сфері інфраструктури, енергетики та торгівлі також має перспективи, проте залежить від політичної стабільності в Туреччині та готовності уряду виконувати європейські стандарти. Якщо Анкара зможе поліпшити ситуацію з дотриманням прав </w:t>
      </w:r>
      <w:r w:rsidRPr="00BB1782">
        <w:rPr>
          <w:rFonts w:ascii="Times New Roman" w:eastAsia="Times New Roman" w:hAnsi="Times New Roman" w:cs="Times New Roman"/>
          <w:sz w:val="28"/>
          <w:szCs w:val="28"/>
        </w:rPr>
        <w:lastRenderedPageBreak/>
        <w:t>людини та забезпечити верховенство права, це може відкрити нові можливості для інвестицій та економічного співробітництва (Kirişci, 2018).</w:t>
      </w:r>
    </w:p>
    <w:p w14:paraId="00000149"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Геополітичні амбіції Туреччини під керівництвом Ердогана спричинили нові виклики для ЄС. Туреччина активно розширює свій вплив на Балканах, у Північній Африці та на Близькому Сході, що створює додаткову напруженість у відносинах з ЄС (Cagaptay, 2017). Європа зі свого боку намагається балансувати між стримуванням цих амбіцій та співпрацею з Туреччиною у питаннях безпеки та енергетики.</w:t>
      </w:r>
    </w:p>
    <w:p w14:paraId="0000014A"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Деякі експерти вважають, що у майбутньому відносини між Туреччиною та ЄС можуть розвиватися у форматі «привілейованого партнерства», яке не передбачає повноправного членства, але забезпечує тісну співпрацю у важливих сферах, таких як торгівля, безпека та культурний обмін (Barysch, 2010; Inan &amp; Dede, 2018).</w:t>
      </w:r>
    </w:p>
    <w:p w14:paraId="0000014B"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Отже, історичний розвиток відносин між Туреччиною та Європою є складним процесом, який поєднує періоди конфліктів і стратегічного партнерства. Сьогодні взаємодія Туреччини та Європи продовжує формуватися під впливом історичних спадщин, політичних реалій та взаємних інтересів.</w:t>
      </w:r>
    </w:p>
    <w:p w14:paraId="0000014C"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Політичне сприйняття Туреччини в країнах Європи є багатогранним і зумовлене поєднанням історичних, культурних, політичних і геополітичних факторів. Туреччина залишається важливим партнером для ЄС у питаннях міграції та безпеки, але її віддалення від демократичних стандартів і зростання ісламського впливу викликають серйозне занепокоєння серед європейських лідерів. Це створює складний і часто суперечливий контекст, у якому розвиваються відносини між Туреччиною та Європою.</w:t>
      </w:r>
    </w:p>
    <w:p w14:paraId="0000014D"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Перспективи відносин між Туреччиною та Європою у XXI столітті є неоднозначними і залежать від того, чи зможе Туреччина дотримуватися демократичних принципів та стандартів прав людини, яких вимагає ЄС. </w:t>
      </w:r>
      <w:r w:rsidRPr="00BB1782">
        <w:rPr>
          <w:rFonts w:ascii="Times New Roman" w:eastAsia="Times New Roman" w:hAnsi="Times New Roman" w:cs="Times New Roman"/>
          <w:sz w:val="28"/>
          <w:szCs w:val="28"/>
        </w:rPr>
        <w:lastRenderedPageBreak/>
        <w:t>Водночас прагматичні інтереси у сферах міграції, безпеки та економіки продовжуватимуть сприяти підтримці діалогу та співробітництва. Вирішення цих суперечностей вимагатиме стратегічної гнучкості та компромісів з обох сторін.</w:t>
      </w:r>
    </w:p>
    <w:p w14:paraId="0000014F"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Роль Туреччини у забезпеченні ісламської солідарності та захисту прав мусульман у Великій Британії є важливим аспектом її зовнішньої політики, спрямованої на зміцнення зв’язків з мусульманськими громадами за межами країни. Ця стратегія базується на релігійних, культурних і політичних факторах, які відображають прагнення Туреччини посилити свій вплив серед мусульманської діаспори та підтримати їх у питаннях прав і соціальної інтеграції.</w:t>
      </w:r>
    </w:p>
    <w:p w14:paraId="00000150"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Туреччина активно підтримує ідею ісламської солідарності, зокрема через діяльність таких організацій, як Діянет — Управління у справах релігій, яке надає підтримку турецьким та мусульманським громадам у країнах Європи, включаючи Велику Британію. Діянет фінансує будівництво мечетей, проводить релігійні заходи та пропонує освітні програми, спрямовані на збереження ісламської ідентичності серед мусульманських громад (Yilmaz, 2012; Cagaptay, 2017).</w:t>
      </w:r>
    </w:p>
    <w:p w14:paraId="00000151"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Після 2010 року Туреччина почала ще активніше залучатися до захисту прав мусульман у Європі, зокрема через протидію ісламофобії та захист релігійних свобод. Турецькі лідери, включаючи президента Реджепа Тайїпа Ердогана, неодноразово критикували європейські уряди за неспроможність захистити мусульманські громади від дискримінації та насильства на релігійному ґрунті (Kirisci, 2018). Такі заяви мають на меті як підтримати мусульманські громади, так і зміцнити позиції Туреччини як провідного захисника прав мусульман у світі.</w:t>
      </w:r>
    </w:p>
    <w:p w14:paraId="00000152"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У Великій Британії проживає значна мусульманська громада, і Туреччина використовує культурні та релігійні ініціативи для розширення свого впливу серед цієї групи. Турецька держава підтримує діяльність </w:t>
      </w:r>
      <w:r w:rsidRPr="00BB1782">
        <w:rPr>
          <w:rFonts w:ascii="Times New Roman" w:eastAsia="Times New Roman" w:hAnsi="Times New Roman" w:cs="Times New Roman"/>
          <w:sz w:val="28"/>
          <w:szCs w:val="28"/>
        </w:rPr>
        <w:lastRenderedPageBreak/>
        <w:t>мечетей, фінансує ісламські освітні заклади та сприяє організації культурних заходів, які зміцнюють зв’язки з британськими мусульманами (Yilmaz, 2012).</w:t>
      </w:r>
    </w:p>
    <w:p w14:paraId="00000153"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У відповідь на зростання ісламофобських настроїв у Великій Британії Туреччина часто закликає британський уряд захищати права мусульман і протистояти дискримінації. Це особливо актуально у світлі дебатів про заборону хіджабу в деяких країнах Європи, а також зростання антиісламської риторики у політичному дискурсі. Туреччина використовує ці питання для підкреслення своєї ролі як захисника мусульманських інтересів (Inan &amp; Dede, 2018).</w:t>
      </w:r>
    </w:p>
    <w:p w14:paraId="00000154"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Хоча Туреччина намагається позиціонувати себе як захисник прав мусульман у Великій Британії, така політика викликає і певну критику. Деякі експерти стверджують, що Туреччина використовує ісламську солідарність як інструмент «м’якої сили», щоб розширити свій геополітичний вплив і просувати власні політичні інтереси за кордоном. Зокрема, деякі країни Європи побоюються, що турецький уряд може використовувати релігійні мережі для політичного впливу та контролю над мусульманською діаспорою (Cagaptay, 2017).</w:t>
      </w:r>
    </w:p>
    <w:p w14:paraId="00000155"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Інші дослідники зазначають, що підтримка мусульманських громад з боку Туреччини може сприяти зміцненню культурних зв’язків та інтеграції, але водночас створює ризик посилення розколів між різними релігійними та етнічними групами у британському суспільстві (Kirisci, 2018).</w:t>
      </w:r>
    </w:p>
    <w:p w14:paraId="00000156"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Отже, Туреччина відіграє активну роль у забезпеченні ісламської солідарності та захисті прав мусульман у Великій Британії, використовуючи релігійні, освітні та культурні ініціативи. Це дає можливість Анкарі зміцнити свій вплив у мусульманському світі та продемонструвати свою відданість захисту релігійних свобод. Проте така </w:t>
      </w:r>
      <w:r w:rsidRPr="00BB1782">
        <w:rPr>
          <w:rFonts w:ascii="Times New Roman" w:eastAsia="Times New Roman" w:hAnsi="Times New Roman" w:cs="Times New Roman"/>
          <w:sz w:val="28"/>
          <w:szCs w:val="28"/>
        </w:rPr>
        <w:lastRenderedPageBreak/>
        <w:t>політика також викликає занепокоєння щодо її геополітичних мотивів і впливу на інтеграцію мусульманських громад у європейські суспільства.</w:t>
      </w:r>
    </w:p>
    <w:p w14:paraId="00000158"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Політика Туреччини щодо захисту прав мусульман у Федеративній Республіці Німеччина є складним і багатогранним явищем, яке включає як позитивні, так і проблемні аспекти. Німеччина є домом для значної турецької діаспори, яка нараховує близько трьох мільйонів осіб, і тому взаємодія Туреччини з цією громадою має велике значення як для внутрішньої політики ФРН, так і для двосторонніх відносин між країнами.</w:t>
      </w:r>
    </w:p>
    <w:p w14:paraId="00000159"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Туреччина відіграє важливу роль у підтримці культурної ідентичності та релігійних прав турецької діаспори в Німеччині. Через Управління у справах релігій (Діянет) турецький уряд фінансує будівництво мечетей, надає підтримку імамам та організовує релігійні заходи, що сприяє збереженню культурних традицій і зміцненню мусульманських громад (Yilmaz, 2012). Ця підтримка допомагає турецьким мусульманам у Німеччині відчувати зв’язок зі своєю релігійною та культурною спадщиною, що є важливим аспектом соціальної стабільності та інтеграції.</w:t>
      </w:r>
    </w:p>
    <w:p w14:paraId="0000015A"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Крім того, Туреччина виступає на захист прав мусульман у Німеччині, піднімаючи питання дискримінації та ісламофобії на міжнародному рівні. Турецькі лідери часто закликають уряд ФРН забезпечити рівні права для мусульманських громад і захистити їх від нападів на релігійні установи. Такі дії підсилюють міжнародний діалог щодо релігійних свобод і сприяють підвищенню обізнаності про проблеми мусульман у Європі (Kirisci, 2018).</w:t>
      </w:r>
    </w:p>
    <w:p w14:paraId="0000015B"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Проте політика Туреччини у цьому контексті також викликає значну критику з боку німецьких політиків і громадськості. Основною проблемою є використання релігійних структур, підконтрольних Діянету, для політичного впливу на турецьку діаспору в Німеччині. Деякі дослідники стверджують, що турецький уряд використовує мечеті та культурні </w:t>
      </w:r>
      <w:r w:rsidRPr="00BB1782">
        <w:rPr>
          <w:rFonts w:ascii="Times New Roman" w:eastAsia="Times New Roman" w:hAnsi="Times New Roman" w:cs="Times New Roman"/>
          <w:sz w:val="28"/>
          <w:szCs w:val="28"/>
        </w:rPr>
        <w:lastRenderedPageBreak/>
        <w:t>організації для просування своїх політичних інтересів, поширення пропаганди і контролю над опозиційними голосами серед турецької громади (Cagaptay, 2017; Yildirim, 2017).</w:t>
      </w:r>
    </w:p>
    <w:p w14:paraId="0000015C"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Зокрема, після невдалого військового перевороту в Туреччині у 2016 році Діянет звинувачували у шпигунстві за опонентами Ердогана у Німеччині, що викликало серйозні занепокоєння серед німецьких політиків (Cagaptay, 2017). Такі дії загрожують соціальній згуртованості в Німеччині і можуть ускладнювати інтеграцію мусульманської громади у німецьке суспільство, створюючи напруженість між різними релігійними та політичними групами (Koehler &amp; Wittenberg, 2019).</w:t>
      </w:r>
    </w:p>
    <w:p w14:paraId="0000015D"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Діяльність Туреччини в Німеччині має неоднозначний вплив на процес інтеграції мусульманської діаспори. З одного боку, культурна та релігійна підтримка сприяє збереженню ідентичності турецьких мусульман, але з іншого боку, вона може перешкоджати їхній повній інтеграції у німецьке суспільство. Деякі експерти вважають, що посилення політичного впливу Анкари на діаспору поглиблює розкол між турецькою громадою та іншими групами в Німеччині (Yildirim, 2017).</w:t>
      </w:r>
    </w:p>
    <w:p w14:paraId="0000015E"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Двосторонні відносини між Туреччиною та Німеччиною також часто ускладнюються через питання релігійного впливу. Німеччина критикує Туреччину за втручання у внутрішні справи і за використання релігійних мереж для політичного тиску. Це створює напруження у дипломатичних відносинах, які, попри економічну взаємозалежність, залишаються непростими (Koehler &amp; Wittenberg, 2019).</w:t>
      </w:r>
    </w:p>
    <w:p w14:paraId="0000015F"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Таким чином, політика Туреччини щодо захисту прав мусульман у Німеччині має як позитивні, так і проблемні аспекти. Підтримка культурної та релігійної ідентичності турецької діаспори сприяє соціальній стабільності, але використання релігійних структур для політичного впливу викликає значне занепокоєння. Баланс між захистом прав мусульман і збереженням суверенітету та соціальної згуртованості у </w:t>
      </w:r>
      <w:r w:rsidRPr="00BB1782">
        <w:rPr>
          <w:rFonts w:ascii="Times New Roman" w:eastAsia="Times New Roman" w:hAnsi="Times New Roman" w:cs="Times New Roman"/>
          <w:sz w:val="28"/>
          <w:szCs w:val="28"/>
        </w:rPr>
        <w:lastRenderedPageBreak/>
        <w:t>Німеччині залишається складним завданням, яке впливає на майбутнє двосторонніх відносин між країнами.</w:t>
      </w:r>
    </w:p>
    <w:p w14:paraId="00000161"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Співробітництво між Туреччиною і Францією в питаннях релігійної солідарності та геополітичних інтересів є складним і багатошаровим, оскільки обидві країни мають глибокі історичні зв'язки з ісламом, різні підходи до його інтеграції в суспільне життя та суперечливі геополітичні амбіції.</w:t>
      </w:r>
    </w:p>
    <w:p w14:paraId="00000162"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Туреччина активно позиціонує себе як захисник прав мусульман у всьому світі, і цей аспект її зовнішньої політики тісно пов'язаний із релігійною солідарністю. Зокрема, Анкара надає підтримку мусульманським громадам у Франції, зокрема через Управління у справах релігій (Діянет), яке фінансує релігійні установи і освітні програми для підтримки ісламської культури і практик. Турецька держава часто підкреслює важливість захисту прав мусульман у Франції, що має на меті збереження релігійної ідентичності турецької діаспори та сприяння її згуртованості (Kirişci, 2018; Yilmaz, 2012).</w:t>
      </w:r>
    </w:p>
    <w:p w14:paraId="00000163"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З іншого боку, Франція, яка дотримується суворих принципів секуляризму (laïcité), має глибоке занепокоєння щодо зростання ісламського впливу у своєму суспільстві. Французька держава вважає, що релігійні питання мають бути відокремлені від політики, і це призводить до напруженості у відносинах з Туреччиною, яка використовує релігійну солідарність як елемент своєї зовнішньої політики (Fetzer &amp; Soper, 2005; Bowen, 2007).</w:t>
      </w:r>
    </w:p>
    <w:p w14:paraId="00000164"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Геополітична складова співробітництва між Туреччиною і Францією має ще більш напружений характер. У багатьох питаннях, зокрема у Східному Середземномор'ї, Лівії та Сирії, обидві країни мають різні та часто суперечливі інтереси. Наприклад, Туреччина активізувала свої дії у Східному Середземномор'ї для захисту прав на енергетичні ресурси, що викликало критику з боку Франції, яка підтримує Грецію та Кіпр у їхньому </w:t>
      </w:r>
      <w:r w:rsidRPr="00BB1782">
        <w:rPr>
          <w:rFonts w:ascii="Times New Roman" w:eastAsia="Times New Roman" w:hAnsi="Times New Roman" w:cs="Times New Roman"/>
          <w:sz w:val="28"/>
          <w:szCs w:val="28"/>
        </w:rPr>
        <w:lastRenderedPageBreak/>
        <w:t>протистоянні з Анкарою (Cagaptay, 2017; Taspinar, 2011). Ці суперечки ще більше загострюють напруженість у двосторонніх відносинах і ускладнюють діалог з питань релігійної солідарності.</w:t>
      </w:r>
    </w:p>
    <w:p w14:paraId="00000165"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Крім того, Франція активно підтримує лівійські сили, які протистоять турецьким союзникам у Лівії, що також підсилює суперечності між двома країнами. Туреччина і Франція намагаються просувати свої геополітичні інтереси через військову та дипломатичну активність у регіоні, що створює додаткові виклики для будь-якої форми співробітництва (Inan &amp; Dede, 2018).</w:t>
      </w:r>
    </w:p>
    <w:p w14:paraId="00000166"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Поєднання релігійної солідарності та геополітичних інтересів створює складний баланс у відносинах між Туреччиною і Францією. З одного боку, Туреччина продовжує використовувати питання релігії як важіль впливу, захищаючи права мусульман у Франції і виступаючи проти ісламофобських настроїв та політики секуляризму. З іншого боку, Франція висловлює занепокоєння з приводу політичного втручання Туреччини у внутрішні справи, що підриває соціальну згуртованість і підсилює міжрелігійні конфлікти (Bowen, 2007).</w:t>
      </w:r>
    </w:p>
    <w:p w14:paraId="00000167"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Анкара також активно критикує французьку політику щодо ісламу, включаючи закони, спрямовані на обмеження носіння релігійних символів і контроль за релігійними установами, що ще більше загострює ситуацію. Це відображає складність балансування між релігійною солідарністю і необхідністю враховувати геополітичні реалії (Kirişci, 2018; Fetzer &amp; Soper, 2005).</w:t>
      </w:r>
    </w:p>
    <w:p w14:paraId="00000168"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Отже, баланс між релігійною солідарністю та геополітичними інтересами в ході співробітництва Туреччини й Франції залишається складним завданням. Незважаючи на важливість захисту прав мусульман, суперечності щодо геополітичних питань, таких як конфлікти у Східному Середземномор'ї та Лівії, значно ускладнюють можливості для конструктивного діалогу. Подальший розвиток цих відносин залежатиме </w:t>
      </w:r>
      <w:r w:rsidRPr="00BB1782">
        <w:rPr>
          <w:rFonts w:ascii="Times New Roman" w:eastAsia="Times New Roman" w:hAnsi="Times New Roman" w:cs="Times New Roman"/>
          <w:sz w:val="28"/>
          <w:szCs w:val="28"/>
        </w:rPr>
        <w:lastRenderedPageBreak/>
        <w:t>від здатності обох країн знайти компроміс між своїми стратегічними інтересами та культурними відмінностями.</w:t>
      </w:r>
    </w:p>
    <w:p w14:paraId="0000016A"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Співробітництво Туреччини з країнами Центральної та Східної Європи має значний вплив на збереження релігійної ідентичності мусульманських громад у цьому регіоні, а також створює низку політичних викликів, пов’язаних із зростаючим впливом Анкари. Ці зв’язки базуються на релігійних, культурних і стратегічних аспектах, що сприяють розвитку двосторонніх відносин, але також викликають занепокоєння з боку політиків і суспільства.</w:t>
      </w:r>
    </w:p>
    <w:p w14:paraId="0000016B"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Туреччина відіграє важливу роль у підтримці релігійної ідентичності мусульманських громад у країнах Центральної та Східної Європи. За останні десятиліття Анкара інвестувала значні ресурси у релігійні та культурні ініціативи, які включають будівництво мечетей, освітні програми та фінансування діяльності ісламських організацій. Зокрема, такі проекти підтримують мусульманські громади, надаючи їм необхідні ресурси для збереження їхніх культурних та релігійних традицій (Yilmaz, 2012; Kirişci, 2018).</w:t>
      </w:r>
    </w:p>
    <w:p w14:paraId="0000016C"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Крім того, через Управління у справах релігій (Діянет) Туреччина пропонує релігійне навчання та підтримку для імамів, що забезпечує збереження ісламської ідентичності серед мусульманських спільнот у країнах, таких як Болгарія, Румунія та Боснія і Герцеговина. Діянет також сприяє інтеграції мусульман у європейські суспільства, допомагаючи їм зберігати релігійні традиції і при цьому дотримуватися місцевих законів і культурних норм (Inan &amp; Dede, 2018).</w:t>
      </w:r>
    </w:p>
    <w:p w14:paraId="0000016D"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Попри ці позитивні аспекти, зростаючий політичний вплив Туреччини у регіоні викликає занепокоєння з боку місцевих урядів і громадянського суспільства. Деякі країни Центральної та Східної Європи побоюються, що Анкара використовує релігійні мережі для посилення свого політичного впливу та просування власних інтересів. Наприклад, </w:t>
      </w:r>
      <w:r w:rsidRPr="00BB1782">
        <w:rPr>
          <w:rFonts w:ascii="Times New Roman" w:eastAsia="Times New Roman" w:hAnsi="Times New Roman" w:cs="Times New Roman"/>
          <w:sz w:val="28"/>
          <w:szCs w:val="28"/>
        </w:rPr>
        <w:lastRenderedPageBreak/>
        <w:t>Туреччину звинувачують у використанні мечетей і релігійних центрів для поширення політичних меседжів, які можуть підірвати внутрішню стабільність і створити напруженість між мусульманськими та немусульманськими громадами (Cagaptay, 2017; Yildirim, 2017).</w:t>
      </w:r>
    </w:p>
    <w:p w14:paraId="0000016E"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Зростання турецького впливу також пов’язане з політикою президента Реджепа Тайїпа Ердогана, який використовує ісламську солідарність як інструмент м’якої сили для зміцнення міжнародних позицій Туреччини. Це може сприяти загостренню політичних конфліктів, особливо в умовах зростання націоналістичних настроїв у багатьох країнах Центральної та Східної Європи, де політики іноді використовують антиісламську риторику для мобілізації виборців (Koehler &amp; Wittenberg, 2019).</w:t>
      </w:r>
    </w:p>
    <w:p w14:paraId="0000016F"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Попри ці виклики, Туреччина залишається важливим стратегічним партнером для багатьох країн Центральної та Східної Європи. Відносини в таких сферах, як енергетика, торгівля і безпека, підсилюють взаємозалежність і створюють передумови для подальшого співробітництва. Наприклад, країни регіону зацікавлені у співпраці з Туреччиною для диверсифікації своїх джерел енергії та посилення регіональної безпеки у світлі нестабільності на Близькому Сході (Taspinar, 2011; Kirişci, 2018).</w:t>
      </w:r>
    </w:p>
    <w:p w14:paraId="00000170"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Таким чином, співробітництво Туреччини з країнами Центральної та Східної Європи має як позитивні аспекти, пов’язані із збереженням релігійної ідентичності мусульманських громад, так і виклики, пов’язані з політичним впливом Анкари. Це співробітництво залишається важливим елементом геополітичної динаміки в регіоні і потребує збалансованого підходу для забезпечення стабільності та взаємної вигоди.</w:t>
      </w:r>
    </w:p>
    <w:p w14:paraId="00000171"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Ісламський чинник мав значний вплив на динаміку євроінтеграції Туреччини у ХХ столітті, формуючи як внутрішні, так і зовнішні перешкоди для реалізації цієї амбітної мети. Роль релігії у політичному та </w:t>
      </w:r>
      <w:r w:rsidRPr="00BB1782">
        <w:rPr>
          <w:rFonts w:ascii="Times New Roman" w:eastAsia="Times New Roman" w:hAnsi="Times New Roman" w:cs="Times New Roman"/>
          <w:sz w:val="28"/>
          <w:szCs w:val="28"/>
        </w:rPr>
        <w:lastRenderedPageBreak/>
        <w:t>соціальному житті Туреччини викликала суперечки як усередині країни, так і серед європейських держав, які розглядали можливість інтеграції Туреччини до Європейського Союзу.</w:t>
      </w:r>
    </w:p>
    <w:p w14:paraId="00000172"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Після створення сучасної Турецької Республіки у 1923 році Мустафа Кемаль Ататюрк запровадив суворі секулярні реформи, які передбачали розділення релігії і держави. Секуляризм став однією з головних ідеологічних основ нової держави, спрямованої на модернізацію та інтеграцію з Європою (Zürcher, 2004). Однак, попри ці заходи, іслам залишався важливим чинником у культурній і соціальній ідентичності населення Туреччини, і питання релігії часто виникало у політичних дебатах, особливо у контексті прагнення країни до євроінтеграції (Heper, 1997).</w:t>
      </w:r>
    </w:p>
    <w:p w14:paraId="00000173"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Відносини між Туреччиною та європейськими країнами на початку і середині ХХ століття були ускладнені стереотипами та побоюваннями щодо ісламського чинника. Європейські політики і суспільства часто розглядали Туреччину як країну, що культурно і релігійно відрізняється від християнської Європи. Це породило певний скептицизм щодо того, чи може Туреччина стати повноправним членом європейського співтовариства (Hale, 2000).</w:t>
      </w:r>
    </w:p>
    <w:p w14:paraId="00000174"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Після Другої світової війни і особливо у 1950-х роках, коли Туреччина стала членом НАТО, роль ісламу в політиці країни почала зростати. Партії, що представляли консервативні та релігійні інтереси, почали набирати популярність, зокрема Демократична партія Аднана Мендереса, яка сприяла поверненню релігії у публічний простір. Це викликало занепокоєння серед європейських держав, які стежили за політичним розвитком Туреччини і сумнівалися у її здатності підтримувати світський характер держави (Ahmad, 1993; Mango, 1999).</w:t>
      </w:r>
    </w:p>
    <w:p w14:paraId="00000175"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У 1980-х і 1990-х роках політична роль ісламу в Туреччині знову загострилася із зростанням ісламістських рухів, таких як Партія </w:t>
      </w:r>
      <w:r w:rsidRPr="00BB1782">
        <w:rPr>
          <w:rFonts w:ascii="Times New Roman" w:eastAsia="Times New Roman" w:hAnsi="Times New Roman" w:cs="Times New Roman"/>
          <w:sz w:val="28"/>
          <w:szCs w:val="28"/>
        </w:rPr>
        <w:lastRenderedPageBreak/>
        <w:t>благоденства. Її популярність та спроби вплинути на політику через релігію стали основною причиною занепокоєння як серед турецьких секулярних еліт, так і серед європейських політичних кіл (Toprak, 1981). Зростання ісламського впливу в політичному житті Туреччини підживлювало європейські побоювання щодо стабільності демократичних інститутів і дотримання прав людини, що стало серйозним бар’єром на шляху до євроінтеграції.</w:t>
      </w:r>
    </w:p>
    <w:p w14:paraId="00000176"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Прагнення Туреччини стати частиною Європейського Союзу виявило глибокі культурні та релігійні суперечності, які ставили під сумнів європейську ідентичність країни. Ісламський чинник відіграв центральну роль у цих дебатах, адже багато європейських політиків вважали, що Туреччина, як переважно мусульманська країна, не може стати частиною європейського християнського простору (Kubicek, 2005). Це питання піднімалося у дискусіях про європейські цінності, права людини і демократичні принципи.</w:t>
      </w:r>
    </w:p>
    <w:p w14:paraId="00000177"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У 1990-х роках європейські побоювання зросли через зростання ісламістських рухів у Туреччині, що ще більше ускладнило переговори про членство в ЄС. Деякі країни, зокрема Франція та Німеччина, відкрито висловлювали занепокоєння щодо впливу ісламського чинника на політику Туреччини та її здатності підтримувати світські і демократичні інститути (Müftüler-Baç, 1998).</w:t>
      </w:r>
    </w:p>
    <w:p w14:paraId="00000178"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На рубежі ХХ і ХХІ століть Туреччина провела низку реформ, спрямованих на поліпшення прав людини, зміцнення демократичних інститутів і гармонізацію законодавства з європейськими стандартами. Ці зусилля частково були спрямовані на зниження побоювань щодо ісламського впливу в політичному житті країни (Öniş, 2004). Однак питання релігії та культурної ідентичності залишалися важливими чинниками у процесі євроінтеграції, що створювало додаткові труднощі для Туреччини у переговорах з ЄС.</w:t>
      </w:r>
    </w:p>
    <w:p w14:paraId="00000179"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lastRenderedPageBreak/>
        <w:t>У ХХІ столітті ісламський чинник залишається важливим елементом, що впливає на динаміку євроінтеграції Туреччини, посилюючи як внутрішні політичні дискусії, так і формуючи реакцію з боку європейських країн. Релігійний аспект створює як можливості, так і перешкоди для Туреччини на її шляху до повноправного членства в Європейському Союзі.</w:t>
      </w:r>
    </w:p>
    <w:p w14:paraId="0000017A"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У ХХІ столітті, з приходом до влади Партії справедливості та розвитку (ПСР) на чолі з Реджепом Тайїпом Ердоганом, іслам почав відігравати все більшу роль у турецькому політичному та суспільному житті. ПСР, яка є консервативною ісламістською партією, провела низку реформ, які сприяли релігійній експансії в суспільному просторі, зокрема у сферах освіти та громадського життя (Cagaptay, 2017; Yavuz, 2009). Ці зміни стали предметом дискусій у європейських політичних колах і породили побоювання щодо відступу Туреччини від принципів світськості, закладених Мустафою Кемалем Ататюрком.</w:t>
      </w:r>
    </w:p>
    <w:p w14:paraId="0000017B"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Важливо відзначити, що прагнення ПСР до посилення ісламської ідентичності країни ускладнило відносини Туреччини з ЄС. Європейські лідери часто вказують на розширення впливу ісламу як на одну з причин, чому Туреччина не відповідає критеріям Копенгагена, що включають демократичне управління та дотримання прав людини (Kirisci, 2018). Відхід Туреччини від світських норм і посилення авторитарних тенденцій в управлінні стали серйозною перешкодою на шляху до членства в ЄС (Öniş, 2015).</w:t>
      </w:r>
    </w:p>
    <w:p w14:paraId="0000017C"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Ісламський чинник став ключовою причиною скептицизму з боку деяких європейських країн щодо перспектив членства Туреччини в ЄС. Наприклад, Франція та Німеччина неодноразово висловлювали побоювання з приводу того, як ісламізація турецької політики може вплинути на європейські цінності, такі як права жінок, свобода слова і релігійна свобода (Kubicek, 2011; Müftüler-Baç, 2016). Ці побоювання </w:t>
      </w:r>
      <w:r w:rsidRPr="00BB1782">
        <w:rPr>
          <w:rFonts w:ascii="Times New Roman" w:eastAsia="Times New Roman" w:hAnsi="Times New Roman" w:cs="Times New Roman"/>
          <w:sz w:val="28"/>
          <w:szCs w:val="28"/>
        </w:rPr>
        <w:lastRenderedPageBreak/>
        <w:t>поглиблюються з огляду на зростання ісламофобських настроїв у Європі, що посилюють політичний тиск на уряди європейських країн, які змушені бути обережними у своїх відносинах з Туреччиною.</w:t>
      </w:r>
    </w:p>
    <w:p w14:paraId="0000017D"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Крім того, дискусії про те, чи відповідає Туреччина культурним і релігійним нормам Європи, стають ще більш актуальними у світлі міграційної кризи 2015 року. Туреччина, яка стала ключовим партнером ЄС у стримуванні потоків біженців з Близького Сходу, використовує свій стратегічний статус для посилення свого впливу в Європі. Однак це співробітництво також стало предметом суперечок через побоювання, що Туреччина може використовувати питання міграції як інструмент для політичного тиску (Taspinar, 2011).</w:t>
      </w:r>
    </w:p>
    <w:p w14:paraId="0000017E"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Ісламський чинник також має вплив на процеси євроінтеграції в контексті культурної та соціальної ідентичності. Багато європейців розглядають Туреччину як країну, що належить до іншої цивілізації, і це стає серйозною перешкодою для її інтеграції. Європейські націоналістичні та праві партії часто використовують ісламський аспект як аргумент проти членства Туреччини в ЄС, підкреслюючи культурні відмінності та потенційні загрози для європейської єдності (Yavuz, 2009; Öniş, 2015).</w:t>
      </w:r>
    </w:p>
    <w:p w14:paraId="0000017F"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Попри ці труднощі, Туреччина продовжує здійснювати спроби зберегти євроінтеграційний курс, зокрема через економічну співпрацю і стратегічні ініціативи. Анкара прагне продемонструвати, що її ісламська ідентичність не суперечить демократичним цінностям ЄС і що Туреччина може стати мостом між Європою та мусульманським світом (Cagaptay, 2017). Однак питання релігії та прав людини залишаються важливими елементами євроінтеграційного діалогу, і їх вирішення потребує значних зусиль як з боку Туреччини, так і з боку ЄС.</w:t>
      </w:r>
    </w:p>
    <w:p w14:paraId="00000180"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Перспективи євроінтеграції Туреччини після 2024 року значною мірою залежать від впливу ісламського чинника на внутрішню та зовнішню політику країни, а також від того, як цей аспект сприймається у </w:t>
      </w:r>
      <w:r w:rsidRPr="00BB1782">
        <w:rPr>
          <w:rFonts w:ascii="Times New Roman" w:eastAsia="Times New Roman" w:hAnsi="Times New Roman" w:cs="Times New Roman"/>
          <w:sz w:val="28"/>
          <w:szCs w:val="28"/>
        </w:rPr>
        <w:lastRenderedPageBreak/>
        <w:t>Європейському Союзі. Роль ісламу в турецькій політиці залишається предметом суперечок, оскільки вона впливає на демократичні стандарти, права людини та культурну інтеграцію Туреччини з європейським співтовариством.</w:t>
      </w:r>
    </w:p>
    <w:p w14:paraId="00000181"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Після 2024 року Туреччина може продовжувати політику, спрямовану на посилення ісламського впливу в суспільному житті, що буде значною мірою залежати від політичного лідерства та пріоритетів Партії справедливості та розвитку (ПСР). Режим Ердогана в останні роки зміцнив позиції ісламу як ключового елементу національної ідентичності, що відображається у законодавстві, освітній політиці та зовнішньополітичних ініціативах (Cagaptay, 2017; Yavuz, 2009). Якщо ця тенденція продовжиться, європейські політики можуть залишатися скептичними щодо інтеграції Туреччини, оскільки ісламський вплив може вважатися загрозою для європейських цінностей світськості та прав людини (Kirisci, 2018; Öniş, 2015).</w:t>
      </w:r>
    </w:p>
    <w:p w14:paraId="00000182"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Існує також питання демократичних стандартів, які залишаються ключовою перешкодою на шляху до членства в ЄС. Туреччина має продемонструвати здатність підтримувати світські демократичні інститути, які відповідатимуть критеріям Копенгагена, зокрема у сферах свободи слова, верховенства права та захисту меншин (Kubicek, 2011; Müftüler-Baç, 2016). Якщо вплив ісламських сил на державну політику продовжить зростати, це може ще більше ускладнити євроінтеграційний процес.</w:t>
      </w:r>
    </w:p>
    <w:p w14:paraId="00000183"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Європейські лідери й громадськість залишаються розділеними у питанні перспектив членства Туреччини в ЄС. Суспільні настрої в багатьох країнах Європи, особливо у Франції та Німеччині, часто негативно налаштовані щодо можливого приєднання Туреччини, що значною мірою зумовлено культурними та релігійними відмінностями (Yavuz, 2009; Müftüler-Baç, 2016). Європейські праві та націоналістичні партії </w:t>
      </w:r>
      <w:r w:rsidRPr="00BB1782">
        <w:rPr>
          <w:rFonts w:ascii="Times New Roman" w:eastAsia="Times New Roman" w:hAnsi="Times New Roman" w:cs="Times New Roman"/>
          <w:sz w:val="28"/>
          <w:szCs w:val="28"/>
        </w:rPr>
        <w:lastRenderedPageBreak/>
        <w:t>використовують ісламський чинник як аргумент для збереження статусу-кво, підкреслюючи ризики ісламізації Європи та загрозу для європейської культурної ідентичності (Kubicek, 2011).</w:t>
      </w:r>
    </w:p>
    <w:p w14:paraId="00000184"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Це сприйняття посилюється у світлі триваючих дебатів щодо інтеграції мусульманських громад у Європі та зростання ісламофобських настроїв, особливо після міграційної кризи. Туреччина, як ключовий гравець у міграційній політиці ЄС, має значний важіль впливу, але цей фактор також викликає побоювання, що Туреччина може використовувати свою стратегічну позицію для шантажу ЄС (Taspinar, 2011; Kirisci, 2018).</w:t>
      </w:r>
    </w:p>
    <w:p w14:paraId="00000185"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Залежно від політичних змін у Туреччині після 2024 року, країна може обрати різні стратегії для зниження напруженості, пов'язаної з ісламським чинником. Наприклад, посилення світськості та демократичних реформ може сприяти покращенню відносин з ЄС. Водночас, продовження ісламізації державних інституцій буде загострювати питання культурних і релігійних відмінностей між Туреччиною та Європою (Öniş, 2015).</w:t>
      </w:r>
    </w:p>
    <w:p w14:paraId="00000186"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Турецьке керівництво може також намагатися використати свою роль як моста між Європою та мусульманським світом, щоб продемонструвати важливість Туреччини для регіональної безпеки та енергетичної стабільності. Цей аргумент може бути привабливим для європейських лідерів, які бачать у Туреччині важливого стратегічного партнера (Cagaptay, 2017; Yavuz, 2009). Однак питання прав людини і демократичних стандартів залишатимуться основними перешкодами.</w:t>
      </w:r>
    </w:p>
    <w:p w14:paraId="00000187"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Отже, ісламський чинник відігравав важливу роль у динаміці євроінтеграції Туреччини у ХХ столітті, викликаючи суперечки щодо культурної ідентичності країни і її місця в європейському співтоваристві. Попри численні реформи і прагнення до інтеграції, релігійний аспект залишався серйозною перешкодою, яка формувала як внутрішню політику Туреччини, так і зовнішню реакцію з боку європейських країн.</w:t>
      </w:r>
    </w:p>
    <w:p w14:paraId="00000188"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lastRenderedPageBreak/>
        <w:t>Ісламський чинник у ХХІ столітті продовжує впливати на динаміку євроінтеграції Туреччини, створюючи як можливості, так і серйозні виклики. Піднесення ісламу в політичному житті Туреччини ускладнює відносини з Європейським Союзом, поглиблюючи розрив між світськими цінностями ЄС і релігійними аспектами турецької політики. Водночас збереження діалогу і пошук компромісів залишаються ключовими для майбутнього цих відносин.</w:t>
      </w:r>
    </w:p>
    <w:p w14:paraId="00000189"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Після 2024 року ісламський чинник продовжуватиме впливати на перспективи євроінтеграції Туреччини, створюючи як виклики, так і можливості. Посилення ісламського впливу в турецькій політиці може ускладнити переговори з ЄС і загострити культурні розбіжності, але збереження діалогу та потенційні реформи можуть створити основу для подальшого співробітництва. Вирішальним фактором буде здатність Туреччини знайти баланс між релігійною ідентичністю та демократичними цінностями, яких вимагає ЄС.</w:t>
      </w:r>
    </w:p>
    <w:p w14:paraId="0000018A"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У цілому роль ісламського чинника у відносинах Туреччини з країнами Європи є складною та суперечливою. Цей аспект впливає на політичні, економічні та культурні зв’язки Туреччини з Європейським Союзом і має історичне коріння, яке сягає століть. Сьогодні ісламський чинник відіграє важливу роль у формуванні зовнішньої політики Туреччини та у визначенні ставлення європейських країн до її євроінтеграційних прагнень.</w:t>
      </w:r>
    </w:p>
    <w:p w14:paraId="0000018C"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Однак у XXI столітті вплив ісламу в політичному житті Туреччини почав зростати, особливо з приходом до влади Партії справедливості та розвитку (ПСР) на чолі з Реджепом Тайїпом Ердоганом. ПСР поступово послабила політику секуляризму та посилила роль ісламу в суспільстві, що викликало занепокоєння серед європейських країн.</w:t>
      </w:r>
    </w:p>
    <w:p w14:paraId="0000018D"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Іслам відіграє важливу роль у визначенні зовнішньої політики Туреччини, особливо у відносинах із країнами Близького Сходу та </w:t>
      </w:r>
      <w:r w:rsidRPr="00BB1782">
        <w:rPr>
          <w:rFonts w:ascii="Times New Roman" w:eastAsia="Times New Roman" w:hAnsi="Times New Roman" w:cs="Times New Roman"/>
          <w:sz w:val="28"/>
          <w:szCs w:val="28"/>
        </w:rPr>
        <w:lastRenderedPageBreak/>
        <w:t>мусульманським світом. Проте цей чинник також впливає на європейський напрямок зовнішньої політики. Туреччина використовує релігійну ідентичність як інструмент для розширення своєї культурної дипломатії та зміцнення зв'язків із турецькими та мусульманськими діаспорами в країнах ЄС.</w:t>
      </w:r>
    </w:p>
    <w:p w14:paraId="0000018E"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Наприклад, Туреччина часто підкреслює важливість ісламської солідарності та захисту прав мусульман у Європі. Це особливо видно у риториці турецьких лідерів, які виступають проти ісламофобії та дискримінації мусульман у західних країнах. Така позиція викликає неоднозначну реакцію в Європі: одні політики вважають це важливою складовою діалогу між культурами, тоді як інші вбачають у цьому загрозу секулярним принципам і національній безпеці європейських держав.</w:t>
      </w:r>
    </w:p>
    <w:p w14:paraId="0000018F"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Переговори щодо вступу Туреччини до ЄС є ще однією сферою, де ісламський чинник відіграє значну роль. Багато європейських країн висловлюють занепокоєння щодо зростання впливу ісламу в турецькій політиці, вбачаючи у цьому загрозу європейським цінностям і правам людини. Критики також наголошують на порушеннях прав і свобод у Туреччині, які пов’язані із релігійними питаннями, такими як обмеження свободи слова та переслідування опозиційних лідерів.</w:t>
      </w:r>
    </w:p>
    <w:p w14:paraId="00000190"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З іншого боку, Туреччина наголошує на тому, що вона є унікальним містком між Заходом і мусульманським світом і може відігравати конструктивну роль у розв’язанні міжкультурних і міжрелігійних конфліктів. Турецькі лідери часто апелюють до важливості інтеграції мусульманського населення в Європі та використання Туреччини як партнера у діалозі між цивілізаціями.</w:t>
      </w:r>
    </w:p>
    <w:p w14:paraId="00000191" w14:textId="77777777" w:rsidR="009123BC" w:rsidRPr="00BB1782" w:rsidRDefault="00712845" w:rsidP="00C01051">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Ісламський чинник у відносинах Туреччини з Європою створює складну динаміку. З одного боку, це чинить тиск на європейські уряди з приводу необхідності вести конструктивний діалог із Туреччиною, особливо у питаннях міграції, безпеки та інтеграції мусульманських </w:t>
      </w:r>
      <w:r w:rsidRPr="00BB1782">
        <w:rPr>
          <w:rFonts w:ascii="Times New Roman" w:eastAsia="Times New Roman" w:hAnsi="Times New Roman" w:cs="Times New Roman"/>
          <w:sz w:val="28"/>
          <w:szCs w:val="28"/>
        </w:rPr>
        <w:lastRenderedPageBreak/>
        <w:t>громад. З іншого боку, існують побоювання, що зростання ісламського впливу в Туреччині може перешкодити євроінтеграційним процесам і викликати напруженість у відносинах з ЄС.</w:t>
      </w:r>
    </w:p>
    <w:p w14:paraId="00000192" w14:textId="4974A56E" w:rsidR="009123BC" w:rsidRPr="00BB1782" w:rsidRDefault="00712845" w:rsidP="00C01051">
      <w:pPr>
        <w:spacing w:line="360" w:lineRule="auto"/>
        <w:ind w:firstLine="720"/>
        <w:jc w:val="both"/>
        <w:rPr>
          <w:rFonts w:ascii="Times New Roman" w:eastAsia="Times New Roman" w:hAnsi="Times New Roman" w:cs="Times New Roman"/>
          <w:sz w:val="28"/>
          <w:szCs w:val="28"/>
          <w:lang w:val="uk-UA"/>
        </w:rPr>
      </w:pPr>
      <w:r w:rsidRPr="00BB1782">
        <w:rPr>
          <w:rFonts w:ascii="Times New Roman" w:eastAsia="Times New Roman" w:hAnsi="Times New Roman" w:cs="Times New Roman"/>
          <w:sz w:val="28"/>
          <w:szCs w:val="28"/>
        </w:rPr>
        <w:t>Водночас Туреччина продовжує активно використовувати іслам як частину своєї ідентичності та інструмент зовнішньої політики, що викликає суперечки у відносинах із європейськими партнерами. Вирішення цього питання потребує збалансованого підходу, який би враховував як права мусульманських громад, так і принципи секулярності та демократії, які є основоположними для Європейського Сою</w:t>
      </w:r>
      <w:r w:rsidR="006126C1" w:rsidRPr="00BB1782">
        <w:rPr>
          <w:rFonts w:ascii="Times New Roman" w:eastAsia="Times New Roman" w:hAnsi="Times New Roman" w:cs="Times New Roman"/>
          <w:sz w:val="28"/>
          <w:szCs w:val="28"/>
          <w:lang w:val="uk-UA"/>
        </w:rPr>
        <w:t xml:space="preserve">зу. </w:t>
      </w:r>
    </w:p>
    <w:p w14:paraId="3DAF46AD" w14:textId="77777777" w:rsidR="006126C1" w:rsidRPr="00BB1782" w:rsidRDefault="006126C1" w:rsidP="00C01051">
      <w:pPr>
        <w:spacing w:line="360" w:lineRule="auto"/>
        <w:ind w:firstLine="720"/>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br w:type="page"/>
      </w:r>
    </w:p>
    <w:p w14:paraId="0000019F" w14:textId="2DE823B9" w:rsidR="009123BC" w:rsidRPr="00BB1782" w:rsidRDefault="00712845" w:rsidP="00C335A4">
      <w:pPr>
        <w:pStyle w:val="1"/>
        <w:spacing w:before="0" w:after="0" w:line="360" w:lineRule="auto"/>
        <w:jc w:val="center"/>
        <w:rPr>
          <w:rFonts w:ascii="Times New Roman" w:eastAsia="Times New Roman" w:hAnsi="Times New Roman" w:cs="Times New Roman"/>
          <w:b/>
          <w:sz w:val="28"/>
          <w:szCs w:val="28"/>
        </w:rPr>
      </w:pPr>
      <w:bookmarkStart w:id="6" w:name="_Toc183727749"/>
      <w:r w:rsidRPr="00BB1782">
        <w:rPr>
          <w:rFonts w:ascii="Times New Roman" w:eastAsia="Times New Roman" w:hAnsi="Times New Roman" w:cs="Times New Roman"/>
          <w:b/>
          <w:sz w:val="28"/>
          <w:szCs w:val="28"/>
        </w:rPr>
        <w:lastRenderedPageBreak/>
        <w:t>ВИСНОВКИ</w:t>
      </w:r>
      <w:bookmarkEnd w:id="6"/>
    </w:p>
    <w:p w14:paraId="000001A0" w14:textId="77777777" w:rsidR="009123BC" w:rsidRPr="00BB1782" w:rsidRDefault="00712845" w:rsidP="00C335A4">
      <w:pPr>
        <w:spacing w:line="360" w:lineRule="auto"/>
        <w:jc w:val="center"/>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 </w:t>
      </w:r>
    </w:p>
    <w:p w14:paraId="2A1A5DE8" w14:textId="77777777" w:rsidR="00C335A4" w:rsidRPr="00BB1782" w:rsidRDefault="00C335A4" w:rsidP="00C335A4">
      <w:pPr>
        <w:spacing w:line="360" w:lineRule="auto"/>
        <w:ind w:firstLine="5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lang w:val="uk-UA"/>
        </w:rPr>
        <w:t xml:space="preserve">У даному дослідженні з’ясовано, що </w:t>
      </w:r>
      <w:r w:rsidRPr="00BB1782">
        <w:rPr>
          <w:rFonts w:ascii="Times New Roman" w:eastAsia="Times New Roman" w:hAnsi="Times New Roman" w:cs="Times New Roman"/>
          <w:sz w:val="28"/>
          <w:szCs w:val="28"/>
        </w:rPr>
        <w:t>«</w:t>
      </w:r>
      <w:r w:rsidRPr="00BB1782">
        <w:rPr>
          <w:rFonts w:ascii="Times New Roman" w:eastAsia="Times New Roman" w:hAnsi="Times New Roman" w:cs="Times New Roman"/>
          <w:sz w:val="28"/>
          <w:szCs w:val="28"/>
          <w:lang w:val="uk-UA"/>
        </w:rPr>
        <w:t>м</w:t>
      </w:r>
      <w:r w:rsidRPr="00BB1782">
        <w:rPr>
          <w:rFonts w:ascii="Times New Roman" w:eastAsia="Times New Roman" w:hAnsi="Times New Roman" w:cs="Times New Roman"/>
          <w:sz w:val="28"/>
          <w:szCs w:val="28"/>
        </w:rPr>
        <w:t>’яка сила» (soft power) є ключовим інструментом сучасної міжнародної політики, що передбачає використання культурних, освітніх, релігійних та інших нематеріальних ресурсів для впливу на світову громадську думку та політичну поведінку. Туреччина активно застосовує концепцію м’якої сили, особливо в мусульманському світі, для просування своїх зовнішньополітичних цілей, зміцнення своїх позицій як регіонального лідера та підвищення свого впливу на міжнародній арені.</w:t>
      </w:r>
    </w:p>
    <w:p w14:paraId="509155F6" w14:textId="77777777" w:rsidR="00C335A4" w:rsidRPr="00BB1782" w:rsidRDefault="00C335A4" w:rsidP="00C335A4">
      <w:pPr>
        <w:spacing w:line="360" w:lineRule="auto"/>
        <w:ind w:firstLine="520"/>
        <w:jc w:val="both"/>
        <w:rPr>
          <w:rFonts w:ascii="Times New Roman" w:eastAsia="Times New Roman" w:hAnsi="Times New Roman" w:cs="Times New Roman"/>
          <w:sz w:val="28"/>
          <w:szCs w:val="28"/>
          <w:lang w:val="uk-UA"/>
        </w:rPr>
      </w:pPr>
      <w:r w:rsidRPr="00BB1782">
        <w:rPr>
          <w:rFonts w:ascii="Times New Roman" w:eastAsia="Times New Roman" w:hAnsi="Times New Roman" w:cs="Times New Roman"/>
          <w:sz w:val="28"/>
          <w:szCs w:val="28"/>
        </w:rPr>
        <w:t>Теорія м’якої сили підкреслює важливість не лише економічної або військової сили, але й впливу культурних, ідеологічних та дипломатичних засобів на світову спільноту. Туреччина ефективно використовує м’яку силу через різноманітні культурні, релігійні та економічні інструменти, а також через розвиток інфраструктурних проектів та надання гуманітарної допомоги. У мусульманському світі це має особливе значення, враховуючи історичну та релігійну роль Туреччини як спадкоємця Османської імперії, яка мала великий вплив на мусульманські країни Близького Сходу та Північної Африки</w:t>
      </w:r>
      <w:r w:rsidRPr="00BB1782">
        <w:rPr>
          <w:rFonts w:ascii="Times New Roman" w:eastAsia="Times New Roman" w:hAnsi="Times New Roman" w:cs="Times New Roman"/>
          <w:sz w:val="28"/>
          <w:szCs w:val="28"/>
          <w:lang w:val="uk-UA"/>
        </w:rPr>
        <w:t>.</w:t>
      </w:r>
    </w:p>
    <w:p w14:paraId="729B9F8C" w14:textId="77777777" w:rsidR="00C335A4" w:rsidRPr="00BB1782" w:rsidRDefault="00C335A4" w:rsidP="00C335A4">
      <w:pPr>
        <w:spacing w:line="360" w:lineRule="auto"/>
        <w:ind w:firstLine="5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lang w:val="uk-UA"/>
        </w:rPr>
        <w:t>У відповідності до концепції м’якої сили,</w:t>
      </w:r>
      <w:r w:rsidRPr="00BB1782">
        <w:rPr>
          <w:rFonts w:ascii="Times New Roman" w:eastAsia="Times New Roman" w:hAnsi="Times New Roman" w:cs="Times New Roman"/>
          <w:sz w:val="28"/>
          <w:szCs w:val="28"/>
        </w:rPr>
        <w:t>, однією з ключових концепцій, яка формує зовнішню політику Туреччини у мусульманському світі, є ідеологія неоосманізму. Ця політика полягає в тому, щоб відродити вплив Туреччини на територіях, що раніше входили до складу Османської імперії. Туреччина прагне стати регіональним лідером, користуючись своїм історичним авторитетом та культурними зв'язками. Це особливо помітно в контексті країн Близького Сходу та Північної Африки, де Туреччина активно впливає на політичні процеси, зокрема під час «Арабської весни» (2011) та після неї.</w:t>
      </w:r>
    </w:p>
    <w:p w14:paraId="5744AE40" w14:textId="77777777" w:rsidR="00C335A4" w:rsidRPr="00BB1782" w:rsidRDefault="00C335A4" w:rsidP="00C335A4">
      <w:pPr>
        <w:spacing w:line="360" w:lineRule="auto"/>
        <w:ind w:firstLine="5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lastRenderedPageBreak/>
        <w:t>Туреччина активно втручається у внутрішні конфлікти цих країн, підтримуючи певні політичні або військові сили. У Сирії Туреччина підтримує опозиційні угруповання, водночас намагаючись запобігти створенню автономних курдських регіонів уздовж свого кордону. У Лівії Анкара підтримала уряд національної згоди в Тріполі, надаючи йому військову допомогу у боротьбі з силами Халіфи Хафтара.</w:t>
      </w:r>
    </w:p>
    <w:p w14:paraId="00DDB8C7" w14:textId="77777777" w:rsidR="00C335A4" w:rsidRPr="00BB1782" w:rsidRDefault="00C335A4" w:rsidP="00C335A4">
      <w:pPr>
        <w:spacing w:line="360" w:lineRule="auto"/>
        <w:ind w:firstLine="5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Крім військової та політичної активності, Туреччина широко застосовує концепцію «м'якої сили», використовуючи культурні, релігійні та економічні інструменти для посилення свого впливу.</w:t>
      </w:r>
    </w:p>
    <w:p w14:paraId="55065081" w14:textId="77777777" w:rsidR="00C335A4" w:rsidRPr="00BB1782" w:rsidRDefault="00C335A4" w:rsidP="00C335A4">
      <w:pPr>
        <w:spacing w:line="360" w:lineRule="auto"/>
        <w:ind w:firstLine="5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Управління у справах релігій (Diyanet) відіграє важливу роль у поширенні впливу Туреччини через будівництво мечетей, релігійну освіту та підтримку ісламських інституцій у мусульманських країнах. Зокрема, Туреччина фінансує релігійні заклади у країнах Балканського півострова, Північної Африки та Центральної Азії. Diyanet також відіграє важливу роль у підтримці турецьких діаспор у Західній Європі, сприяючи зміцненню зв'язків із турецькими громадами.</w:t>
      </w:r>
    </w:p>
    <w:p w14:paraId="6E4B5721" w14:textId="77777777" w:rsidR="00C335A4" w:rsidRPr="00BB1782" w:rsidRDefault="00C335A4" w:rsidP="00C335A4">
      <w:pPr>
        <w:spacing w:line="360" w:lineRule="auto"/>
        <w:ind w:firstLine="5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Турецький уряд активно інвестує у створення освітніх та культурних програм, спрямованих на мусульманські країни. Туреччина фінансує стипендії для студентів з Африки, Близького Сходу та Центральної Азії, які навчаються в турецьких університетах. Через такі ініціативи країна зміцнює свої культурні та релігійні зв'язки з іншими мусульманськими державами.</w:t>
      </w:r>
    </w:p>
    <w:p w14:paraId="5B5A725D" w14:textId="77777777" w:rsidR="00C335A4" w:rsidRPr="00BB1782" w:rsidRDefault="00C335A4" w:rsidP="00C335A4">
      <w:pPr>
        <w:spacing w:line="360" w:lineRule="auto"/>
        <w:ind w:firstLine="5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Туреччина прагне бути економічним партнером для мусульманських країн, особливо в галузі будівництва, інфраструктури та торгівлі. Турецькі компанії активно беруть участь у великих проектах у регіоні, таких як будівництво доріг, мостів, аеропортів тощо. Зокрема, країни Північної Африки (Єгипет, Алжир, Туніс) є важливими економічними партнерами Туреччини, і в цих регіонах спостерігається зростання турецьких інвестицій.</w:t>
      </w:r>
    </w:p>
    <w:p w14:paraId="3C6114D0" w14:textId="77777777" w:rsidR="00C335A4" w:rsidRPr="00BB1782" w:rsidRDefault="00C335A4" w:rsidP="00C335A4">
      <w:pPr>
        <w:spacing w:line="360" w:lineRule="auto"/>
        <w:ind w:firstLine="5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lastRenderedPageBreak/>
        <w:t>Розглядаючи яким чином Туреччина використовує релігію для досягнення своїх зовнішньополітичних цілей, слід вказати, що це здійснюється через низку стратегій та інструментів. Ці дії ґрунтуються на історичній спадщині Османської імперії, релігійних зв'язках і сучасних політичних інтересах.</w:t>
      </w:r>
    </w:p>
    <w:p w14:paraId="73683A1D" w14:textId="77777777" w:rsidR="00C335A4" w:rsidRPr="00BB1782" w:rsidRDefault="00C335A4" w:rsidP="00C335A4">
      <w:pPr>
        <w:spacing w:line="360" w:lineRule="auto"/>
        <w:ind w:firstLine="5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Туреччина використовує іслам як платформу для зміцнення культурних і політичних зв'язків з країнами ісламського світу:</w:t>
      </w:r>
    </w:p>
    <w:p w14:paraId="008A607A" w14:textId="77777777" w:rsidR="00C335A4" w:rsidRPr="00BB1782" w:rsidRDefault="00C335A4" w:rsidP="00C335A4">
      <w:pPr>
        <w:spacing w:line="360" w:lineRule="auto"/>
        <w:ind w:firstLine="5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 - Діяльність Діянету (Управління у справах релігій): Турецька держава фінансує будівництво мечетей, релігійних центрів та навчання імамів у країнах ісламського світу. Ця діяльність сприяє поширенню турецької моделі поміркованого ісламу та зміцненню впливу Туреччини.</w:t>
      </w:r>
    </w:p>
    <w:p w14:paraId="57A3D833" w14:textId="77777777" w:rsidR="00C335A4" w:rsidRPr="00BB1782" w:rsidRDefault="00C335A4" w:rsidP="00C335A4">
      <w:pPr>
        <w:spacing w:line="360" w:lineRule="auto"/>
        <w:ind w:firstLine="5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 - Організація ісламського співробітництва (ОІС): Туреччина активно бере участь у роботі ОІС, ініціюючи проєкти та підтримуючи ідеї єдності мусульманського світу.</w:t>
      </w:r>
    </w:p>
    <w:p w14:paraId="43A9F8FD" w14:textId="77777777" w:rsidR="00C335A4" w:rsidRPr="00BB1782" w:rsidRDefault="00C335A4" w:rsidP="00C335A4">
      <w:pPr>
        <w:spacing w:line="360" w:lineRule="auto"/>
        <w:ind w:firstLine="5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Крім того, Туреччина через агентство TİKA (Турецьке агентство співробітництва і координації) фінансує гуманітарні та інфраструктурні проєкти в країнах ісламського світу, таких як Сомалі, Сирія, Ємен та Афганістан. Ці ініціативи часто мають релігійний компонент, наприклад, відновлення історичних мечетей чи медресе, що посилює позитивний імідж Туреччини як лідера мусульманського світу.</w:t>
      </w:r>
    </w:p>
    <w:p w14:paraId="6AC1ECC1" w14:textId="77777777" w:rsidR="00C335A4" w:rsidRPr="00BB1782" w:rsidRDefault="00C335A4" w:rsidP="00C335A4">
      <w:pPr>
        <w:spacing w:line="360" w:lineRule="auto"/>
        <w:ind w:firstLine="5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Також Туреччина використовує історичний чинник, апелюючи до спадщини Османської імперії, яка відігравала важливу роль у мусульманському світі. Через культурні ініціативи та символічні жести Анкара демонструє свою роль як наступника імперії, яка була центром ісламу.</w:t>
      </w:r>
    </w:p>
    <w:p w14:paraId="2CA4A911" w14:textId="77777777" w:rsidR="00C335A4" w:rsidRPr="00BB1782" w:rsidRDefault="00C335A4" w:rsidP="00C335A4">
      <w:pPr>
        <w:spacing w:line="360" w:lineRule="auto"/>
        <w:ind w:firstLine="5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Туреччина активно використовує палестинське питання як платформу для зміцнення свого авторитету в ісламському світі. Турецьке керівництво часто критикує дії Ізраїлю щодо Палестини, позиціонуючи себе як захисника мусульманської солідарності.</w:t>
      </w:r>
    </w:p>
    <w:p w14:paraId="000001A1" w14:textId="63ED6043" w:rsidR="009123BC" w:rsidRPr="00BB1782" w:rsidRDefault="00FE010C" w:rsidP="00C335A4">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lang w:val="uk-UA"/>
        </w:rPr>
        <w:lastRenderedPageBreak/>
        <w:t>З</w:t>
      </w:r>
      <w:r w:rsidR="00712845" w:rsidRPr="00BB1782">
        <w:rPr>
          <w:rFonts w:ascii="Times New Roman" w:eastAsia="Times New Roman" w:hAnsi="Times New Roman" w:cs="Times New Roman"/>
          <w:sz w:val="28"/>
          <w:szCs w:val="28"/>
        </w:rPr>
        <w:t>овнішня політика Туреччини, особливо в контексті використання ісламського фактору, демонструє її прагнення до посилення регіонального впливу та позиціонування як провідного гравця в мусульманському світі.</w:t>
      </w:r>
    </w:p>
    <w:p w14:paraId="000001A2" w14:textId="77777777" w:rsidR="009123BC" w:rsidRPr="00BB1782" w:rsidRDefault="00712845" w:rsidP="00C335A4">
      <w:pPr>
        <w:spacing w:line="360" w:lineRule="auto"/>
        <w:ind w:firstLine="7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Туреччина активно інтегрує ісламський чинник у свою зовнішню політику, використовуючи його як інструмент м’якої сили. Завдяки культурній дипломатії, гуманітарним проєктам, освітнім програмам і спільним релігійним цінностям Анкара змогла посилити свій вплив у мусульманських країнах Близького Сходу, Центральної Азії, Африки та Балкан. Ісламський фактор також використовується для формування позитивного іміджу Туреччини як захисника ісламських традицій і прав мусульманських громад.</w:t>
      </w:r>
    </w:p>
    <w:p w14:paraId="000001A3" w14:textId="77777777" w:rsidR="009123BC" w:rsidRPr="00BB1782" w:rsidRDefault="00712845" w:rsidP="00C335A4">
      <w:pPr>
        <w:spacing w:line="360" w:lineRule="auto"/>
        <w:ind w:firstLine="5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Зростання ісламського впливу всередині країни слугує засобом «м’якої сили», що підкреслює важливість структурного аналізу міжнародної системи, де держави намагаються посилити власну безпеку та владу. Туреччина може використовувати свою ісламську ідентичність, аби зміцнювати зв’язки з іншими мусульманськими державами, розширювати свій геополітичний вплив та протистояти домінуванню Заходу.</w:t>
      </w:r>
    </w:p>
    <w:p w14:paraId="000001A4" w14:textId="77777777" w:rsidR="009123BC" w:rsidRPr="00BB1782" w:rsidRDefault="00712845" w:rsidP="00C335A4">
      <w:pPr>
        <w:spacing w:line="360" w:lineRule="auto"/>
        <w:ind w:firstLine="5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Однією з основних ідеологій, яка формує зовнішньополітичну стратегію Туреччини у мусульманському світі, є неоосманізм. Ця концепція передбачає відновлення турецького впливу на територіях, які колись входили до складу Османської імперії. Туреччина прагне утвердитися як регіональний лідер, спираючись на свій історичний авторитет і культурні зв’язки, особливо в країнах Близького Сходу та Північної Африки. </w:t>
      </w:r>
    </w:p>
    <w:p w14:paraId="000001A5" w14:textId="77777777" w:rsidR="009123BC" w:rsidRPr="00BB1782" w:rsidRDefault="00712845" w:rsidP="00C335A4">
      <w:pPr>
        <w:spacing w:line="360" w:lineRule="auto"/>
        <w:ind w:firstLine="5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Туреччина бере участь у внутрішніх конфліктах у мусульманських країнах, підтримуючи певні політичні та військові сили. У Сирії Анкара підтримує опозиційні угруповання, одночасно протидіючи створенню курдських автономій уздовж свого кордону. У Лівії Туреччина надала </w:t>
      </w:r>
      <w:r w:rsidRPr="00BB1782">
        <w:rPr>
          <w:rFonts w:ascii="Times New Roman" w:eastAsia="Times New Roman" w:hAnsi="Times New Roman" w:cs="Times New Roman"/>
          <w:sz w:val="28"/>
          <w:szCs w:val="28"/>
        </w:rPr>
        <w:lastRenderedPageBreak/>
        <w:t>військову допомогу уряду національної згоди в Тріполі у боротьбі з військами Халіфи Хафтара.</w:t>
      </w:r>
    </w:p>
    <w:p w14:paraId="000001A6" w14:textId="77777777" w:rsidR="009123BC" w:rsidRPr="00BB1782" w:rsidRDefault="00712845" w:rsidP="00C335A4">
      <w:pPr>
        <w:spacing w:line="360" w:lineRule="auto"/>
        <w:ind w:firstLine="5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Крім військових і політичних заходів, Туреччина активно застосовує стратегію «м'якої сили», використовуючи культурні, релігійні та економічні інструменти для зміцнення свого впливу. Управління у справах релігій (Diyanet) відіграє ключову роль у поширенні турецького впливу через будівництво мечетей, надання релігійної освіти та підтримку ісламських інституцій у різних мусульманських країнах. Зокрема, Туреччина фінансує релігійні об’єкти на Балканах, у Північній Африці та Центральній Азії. Diyanet також підтримує турецькі діаспори у Західній Європі, допомагаючи зміцнити зв’язки з турецькими громадами.</w:t>
      </w:r>
    </w:p>
    <w:p w14:paraId="000001A7" w14:textId="77777777" w:rsidR="009123BC" w:rsidRPr="00BB1782" w:rsidRDefault="00712845" w:rsidP="00C335A4">
      <w:pPr>
        <w:spacing w:line="360" w:lineRule="auto"/>
        <w:ind w:firstLine="5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Зовнішня політика Туреччини у мусульманському світі характеризується не лише прагненням до співпраці, а й суперництвом з іншими регіональними гравцями, такими як Іран, Саудівська Аравія та ОАЕ. Туреччина і Саудівська Аравія мають різні підходи до регіональної політики, що особливо виявилося під час «Арабської весни». Анкара підтримувала ісламістські рухи, зокрема «Братів-мусульман», тоді як Саудівська Аравія захищала стабільність шляхом підтримки авторитарних режимів. Це суперництво проявляється і в боротьбі за вплив у таких країнах, як Єгипет, Лівія та Сирія.</w:t>
      </w:r>
    </w:p>
    <w:p w14:paraId="000001A8" w14:textId="77777777" w:rsidR="009123BC" w:rsidRPr="00BB1782" w:rsidRDefault="00712845" w:rsidP="00C335A4">
      <w:pPr>
        <w:spacing w:line="360" w:lineRule="auto"/>
        <w:ind w:firstLine="5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Відносини між Туреччиною та Іраном є складними: країни водночас співпрацюють і змагаються за лідерство у мусульманському світі. Хоча між ними існують економічні та дипломатичні зв'язки, їхні інтереси часто конфліктують у Сирії та Іраку, де Туреччина підтримує сунітські сили, а Іран — шиїтські угруповання.</w:t>
      </w:r>
    </w:p>
    <w:p w14:paraId="000001A9" w14:textId="77777777" w:rsidR="009123BC" w:rsidRPr="00BB1782" w:rsidRDefault="00712845" w:rsidP="00C335A4">
      <w:pPr>
        <w:spacing w:line="360" w:lineRule="auto"/>
        <w:ind w:firstLine="5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Туреччина також посилює свій вплив через участь у міжнародних мусульманських організаціях, зокрема в Організації ісламської співпраці (ОІС). Використовуючи ОІС як платформу для просування своїх інтересів, Туреччина зміцнює свою політичну позицію, особливо у питаннях захисту </w:t>
      </w:r>
      <w:r w:rsidRPr="00BB1782">
        <w:rPr>
          <w:rFonts w:ascii="Times New Roman" w:eastAsia="Times New Roman" w:hAnsi="Times New Roman" w:cs="Times New Roman"/>
          <w:sz w:val="28"/>
          <w:szCs w:val="28"/>
        </w:rPr>
        <w:lastRenderedPageBreak/>
        <w:t>прав палестинців, що сприяє підвищенню її авторитету серед мусульманських країн.</w:t>
      </w:r>
    </w:p>
    <w:p w14:paraId="000001AA" w14:textId="77777777" w:rsidR="009123BC" w:rsidRPr="00BB1782" w:rsidRDefault="00712845" w:rsidP="00C335A4">
      <w:pPr>
        <w:spacing w:line="360" w:lineRule="auto"/>
        <w:ind w:firstLine="5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Хоча Туреччина конституційно залишається світською державою, після приходу до влади Партії справедливості та розвитку іслам почав відігравати дедалі важливішу роль у внутрішній і зовнішній політиці. Президент Ердоган і його уряд активно використовують релігійні зв'язки для налагодження відносин з мусульманськими країнами, що особливо помітно у дипломатичних зусиллях на підтримку палестинців та захист прав мусульманських меншин.</w:t>
      </w:r>
    </w:p>
    <w:p w14:paraId="000001AB" w14:textId="77777777" w:rsidR="009123BC" w:rsidRPr="00BB1782" w:rsidRDefault="00712845" w:rsidP="00C335A4">
      <w:pPr>
        <w:spacing w:line="360" w:lineRule="auto"/>
        <w:ind w:firstLine="5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Ісламський фактор у відносинах Туреччини з країнами Європи залишається складним і суперечливим. Він впливає на політичні, економічні та культурні зв’язки Туреччини з Європейським Союзом, маючи глибоке історичне підґрунтя, що сягає століть. Сьогодні релігійний чинник відіграє ключову роль у формуванні зовнішньої політики Анкари, визначаючи також ставлення європейських країн до євроінтеграційних прагнень Туреччини.</w:t>
      </w:r>
    </w:p>
    <w:p w14:paraId="000001AC" w14:textId="77777777" w:rsidR="009123BC" w:rsidRPr="00BB1782" w:rsidRDefault="00712845" w:rsidP="00C335A4">
      <w:pPr>
        <w:spacing w:line="360" w:lineRule="auto"/>
        <w:ind w:firstLine="5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Відносини між Туреччиною та Європою завжди мали релігійний вимір, що бере початок ще з часів Османської імперії, яка тривалий період протистояла християнським державам Європи. Це історичне протистояння сформувало глибокі культурні та релігійні відмінності, які продовжують відігравати важливу роль і сьогодні. Після створення Турецької Республіки у 1923 році Мустафа Кемаль Ататюрк впровадив секуляризм як основоположний принцип державної політики, прагнучи наблизити країну до Заходу та зменшити вплив релігії в суспільному житті.</w:t>
      </w:r>
    </w:p>
    <w:p w14:paraId="000001AD" w14:textId="77777777" w:rsidR="009123BC" w:rsidRPr="00BB1782" w:rsidRDefault="00712845" w:rsidP="00C335A4">
      <w:pPr>
        <w:spacing w:line="360" w:lineRule="auto"/>
        <w:ind w:firstLine="5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Проте у XXI столітті вплив ісламу в турецькій політиці почав зростати, особливо з приходом до влади Партії справедливості та розвитку (ПСР) під керівництвом Реджепа Тайїпа Ердогана. ПСР поступово ослабила секулярні принципи і посилила роль ісламу в суспільстві, що викликало занепокоєння у європейських державах.</w:t>
      </w:r>
    </w:p>
    <w:p w14:paraId="000001AE" w14:textId="77777777" w:rsidR="009123BC" w:rsidRPr="00BB1782" w:rsidRDefault="00712845" w:rsidP="00C335A4">
      <w:pPr>
        <w:spacing w:line="360" w:lineRule="auto"/>
        <w:ind w:firstLine="5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lastRenderedPageBreak/>
        <w:t>Іслам відіграє значну роль у формуванні зовнішньої політики Туреччини, особливо у взаєминах з країнами Близького Сходу та мусульманським світом. Однак релігійний чинник також має вплив на європейський вектор зовнішньої політики. Туреччина використовує свою релігійну ідентичність для розширення культурної дипломатії та зміцнення зв’язків із турецькими та мусульманськими діаспорами в країнах ЄС.</w:t>
      </w:r>
    </w:p>
    <w:p w14:paraId="000001AF" w14:textId="77777777" w:rsidR="009123BC" w:rsidRPr="00BB1782" w:rsidRDefault="00712845" w:rsidP="00C335A4">
      <w:pPr>
        <w:spacing w:line="360" w:lineRule="auto"/>
        <w:ind w:firstLine="5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Зокрема, Анкара часто наголошує на важливості ісламської солідарності та захисту прав мусульман у Європі. Це проявляється у риториці турецьких лідерів, які засуджують ісламофобію та дискримінацію мусульман у західних державах. Така позиція має неоднозначний відгук у Європі: одні політики вважають її необхідною частиною міжкультурного діалогу, тоді як інші бачать у цьому загрозу секулярним цінностям і безпеці.</w:t>
      </w:r>
    </w:p>
    <w:p w14:paraId="000001B0" w14:textId="77777777" w:rsidR="009123BC" w:rsidRPr="00BB1782" w:rsidRDefault="00712845" w:rsidP="00C335A4">
      <w:pPr>
        <w:spacing w:line="360" w:lineRule="auto"/>
        <w:ind w:firstLine="5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Переговори про вступ Туреччини до ЄС є ще однією сферою, де ісламський фактор відіграє важливу роль. Багато європейських країн виражають занепокоєння щодо зростання ісламського впливу у турецькій політиці, розглядаючи це як загрозу європейським цінностям і правам людини. Критики також вказують на порушення прав і свобод у Туреччині, пов’язані з релігійними питаннями, включаючи обмеження свободи слова та переслідування опозиції.</w:t>
      </w:r>
    </w:p>
    <w:p w14:paraId="000001B1" w14:textId="77777777" w:rsidR="009123BC" w:rsidRPr="00BB1782" w:rsidRDefault="00712845" w:rsidP="00C335A4">
      <w:pPr>
        <w:spacing w:line="360" w:lineRule="auto"/>
        <w:ind w:firstLine="5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Водночас Туреччина акцентує увагу на своєму унікальному статусі мосту між Заходом і мусульманським світом, вважаючи себе важливим посередником у вирішенні міжкультурних та міжрелігійних конфліктів. Турецькі лідери підкреслюють значущість інтеграції мусульманського населення в Європі та можливість використання Туреччини як партнера у діалозі між цивілізаціями.</w:t>
      </w:r>
    </w:p>
    <w:p w14:paraId="000001B2" w14:textId="77777777" w:rsidR="009123BC" w:rsidRPr="00BB1782" w:rsidRDefault="00712845" w:rsidP="00C335A4">
      <w:pPr>
        <w:spacing w:line="360" w:lineRule="auto"/>
        <w:ind w:firstLine="520"/>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Таким чином, ісламський фактор у відносинах між Туреччиною та Європою створює складну динаміку. З одного боку, він чинить тиск на європейські уряди щодо необхідності вести діалог із Анкарою з питань </w:t>
      </w:r>
      <w:r w:rsidRPr="00BB1782">
        <w:rPr>
          <w:rFonts w:ascii="Times New Roman" w:eastAsia="Times New Roman" w:hAnsi="Times New Roman" w:cs="Times New Roman"/>
          <w:sz w:val="28"/>
          <w:szCs w:val="28"/>
        </w:rPr>
        <w:lastRenderedPageBreak/>
        <w:t>міграції, безпеки та інтеграції мусульманських громад. З іншого боку, побоювання з приводу зростання ісламського впливу можуть перешкодити євроінтеграційним процесам і спричинити напруженість у відносинах з ЄС.</w:t>
      </w:r>
    </w:p>
    <w:p w14:paraId="000001B3" w14:textId="36CC7FB6" w:rsidR="007376AD" w:rsidRPr="00BB1782" w:rsidRDefault="00712845" w:rsidP="00C335A4">
      <w:pPr>
        <w:spacing w:line="360" w:lineRule="auto"/>
        <w:ind w:firstLine="520"/>
        <w:jc w:val="both"/>
        <w:rPr>
          <w:rFonts w:ascii="Times New Roman" w:eastAsia="Times New Roman" w:hAnsi="Times New Roman" w:cs="Times New Roman"/>
          <w:sz w:val="28"/>
          <w:szCs w:val="28"/>
          <w:lang w:val="uk-UA"/>
        </w:rPr>
      </w:pPr>
      <w:r w:rsidRPr="00BB1782">
        <w:rPr>
          <w:rFonts w:ascii="Times New Roman" w:eastAsia="Times New Roman" w:hAnsi="Times New Roman" w:cs="Times New Roman"/>
          <w:sz w:val="28"/>
          <w:szCs w:val="28"/>
        </w:rPr>
        <w:t>Незважаючи на те, що Туреччина конституційно залишається світською державою, іслам став більш помітним елементом її внутрішньої і зовнішньої політики після приходу ПСР до влади. Уряд Ердогана активно використовує релігійні зв’язки для налагодження відносин із мусульманськими країнами та зміцнення своєї позиції у світі, що часто призводить до суперечок із європейськими партнерами. Розв'язання цих питань вимагає збалансованого підходу, який би враховував як права мусульманських громад, так і європейські принципи секулярності та демократії.</w:t>
      </w:r>
    </w:p>
    <w:p w14:paraId="5E4C3265" w14:textId="77777777" w:rsidR="007376AD" w:rsidRPr="00BB1782" w:rsidRDefault="007376AD" w:rsidP="00C335A4">
      <w:pPr>
        <w:spacing w:line="360" w:lineRule="auto"/>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br w:type="page"/>
      </w:r>
    </w:p>
    <w:p w14:paraId="523B4337" w14:textId="77777777" w:rsidR="00C335A4" w:rsidRPr="00BB1782" w:rsidRDefault="00C335A4" w:rsidP="00C335A4">
      <w:pPr>
        <w:pStyle w:val="1"/>
        <w:spacing w:before="0" w:after="0" w:line="360" w:lineRule="auto"/>
        <w:jc w:val="center"/>
        <w:rPr>
          <w:rFonts w:ascii="Times New Roman" w:eastAsia="Times New Roman" w:hAnsi="Times New Roman" w:cs="Times New Roman"/>
          <w:b/>
          <w:sz w:val="28"/>
          <w:szCs w:val="28"/>
          <w:lang w:val="uk-UA"/>
        </w:rPr>
      </w:pPr>
      <w:bookmarkStart w:id="7" w:name="_Toc183727750"/>
      <w:r w:rsidRPr="00BB1782">
        <w:rPr>
          <w:rFonts w:ascii="Times New Roman" w:eastAsia="Times New Roman" w:hAnsi="Times New Roman" w:cs="Times New Roman"/>
          <w:b/>
          <w:sz w:val="28"/>
          <w:szCs w:val="28"/>
        </w:rPr>
        <w:lastRenderedPageBreak/>
        <w:t>СПИСОК ДЖЕРЕЛ ПОСИЛАНЬ</w:t>
      </w:r>
      <w:bookmarkEnd w:id="7"/>
    </w:p>
    <w:p w14:paraId="468E824D" w14:textId="77777777" w:rsidR="00C335A4" w:rsidRPr="00BB1782" w:rsidRDefault="00C335A4" w:rsidP="00C335A4">
      <w:pPr>
        <w:spacing w:line="360" w:lineRule="auto"/>
        <w:jc w:val="center"/>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 </w:t>
      </w:r>
    </w:p>
    <w:p w14:paraId="31997CB5" w14:textId="77777777" w:rsidR="009B087A" w:rsidRPr="00BB1782" w:rsidRDefault="009B087A" w:rsidP="009B087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Воротнюк М. (2011). «Арабська весна» – шанс регіонального лідерства для Туреччини? </w:t>
      </w:r>
      <w:r w:rsidRPr="00BB1782">
        <w:rPr>
          <w:rFonts w:ascii="Times New Roman" w:eastAsia="Times New Roman" w:hAnsi="Times New Roman" w:cs="Times New Roman"/>
          <w:i/>
          <w:sz w:val="28"/>
          <w:szCs w:val="28"/>
        </w:rPr>
        <w:t>Зовнішні справи. Суспільно-політичний журнал</w:t>
      </w:r>
      <w:r w:rsidRPr="00BB1782">
        <w:rPr>
          <w:rFonts w:ascii="Times New Roman" w:eastAsia="Times New Roman" w:hAnsi="Times New Roman" w:cs="Times New Roman"/>
          <w:sz w:val="28"/>
          <w:szCs w:val="28"/>
        </w:rPr>
        <w:t>. 2011 11-12 44-47.</w:t>
      </w:r>
    </w:p>
    <w:p w14:paraId="6851F375" w14:textId="77777777" w:rsidR="009B087A" w:rsidRPr="00BB1782" w:rsidRDefault="009B087A" w:rsidP="009B087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Воротнюк М. Україна та Туреччина — (не)випадкове партнерство. URL: http://www.eurointegration.com.ua/articles/2016/04/13/7047681. (дата звернення: 03.11.2024).</w:t>
      </w:r>
    </w:p>
    <w:p w14:paraId="2AF5C930" w14:textId="77777777" w:rsidR="009B087A" w:rsidRPr="00BB1782" w:rsidRDefault="009B087A" w:rsidP="009B087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Горбунов Є. А. Пеньковський В. І. Павліковський А. К. (2015). Системотехніка оцінки воєнної безпеки та ескізного проектування її стратегії: монографія. Київ : Майстер книг 2015. 188 с.</w:t>
      </w:r>
    </w:p>
    <w:p w14:paraId="32340FAE" w14:textId="77777777" w:rsidR="009B087A" w:rsidRPr="00BB1782" w:rsidRDefault="009B087A" w:rsidP="009B087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Костиря І. О. (2016). Сучасні геокультурні стратегії в політиці трансрегіональної комунікативної взаємодії : автореф. дис. ... д-ра політ. наук : 23.00.03; Нац. пед. ун-т ім. М. П. Драгоманова. Київ.</w:t>
      </w:r>
    </w:p>
    <w:p w14:paraId="124A4681" w14:textId="77777777" w:rsidR="009B087A" w:rsidRPr="00BB1782" w:rsidRDefault="009B087A" w:rsidP="009B087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Країнознавство Туреччини (2010) / Київ. нац. ун-т ім. Т. Шевченка Ін-т філол Каф. тюркології ; уклад. Т. В. Нікітюк. Київ : Четверта хвиля.</w:t>
      </w:r>
    </w:p>
    <w:p w14:paraId="467F707F" w14:textId="77777777" w:rsidR="009B087A" w:rsidRPr="00BB1782" w:rsidRDefault="009B087A" w:rsidP="009B087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Кримський Агатангел (1996). Історія Туреччини / НАН України; Інститут сходознавства ім. А.Ю.Кримського. Київ : Олір.</w:t>
      </w:r>
    </w:p>
    <w:p w14:paraId="220B835E" w14:textId="77777777" w:rsidR="009B087A" w:rsidRPr="00BB1782" w:rsidRDefault="009B087A" w:rsidP="009B087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Матеріали Посольства України у Туреччині. URL: </w:t>
      </w:r>
      <w:hyperlink r:id="rId9">
        <w:r w:rsidRPr="00BB1782">
          <w:rPr>
            <w:rFonts w:ascii="Times New Roman" w:eastAsia="Times New Roman" w:hAnsi="Times New Roman" w:cs="Times New Roman"/>
            <w:sz w:val="28"/>
            <w:szCs w:val="28"/>
            <w:u w:val="single"/>
          </w:rPr>
          <w:t>https://turkey.mfa.gov.ua</w:t>
        </w:r>
      </w:hyperlink>
      <w:r w:rsidRPr="00BB1782">
        <w:rPr>
          <w:rFonts w:ascii="Times New Roman" w:eastAsia="Times New Roman" w:hAnsi="Times New Roman" w:cs="Times New Roman"/>
          <w:sz w:val="28"/>
          <w:szCs w:val="28"/>
        </w:rPr>
        <w:t>. (дата звернення: 03.11.2024).</w:t>
      </w:r>
    </w:p>
    <w:p w14:paraId="2EBB6EB6" w14:textId="77777777" w:rsidR="009B087A" w:rsidRPr="00BB1782" w:rsidRDefault="009B087A" w:rsidP="009B087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Машталір Я. П. (2011). Дипломатичне забезпечення зовнішньоекономічної діяльності : курс лекцій. Хмельницький : ХНУ.</w:t>
      </w:r>
    </w:p>
    <w:p w14:paraId="6793137B" w14:textId="77777777" w:rsidR="009B087A" w:rsidRPr="00BB1782" w:rsidRDefault="009B087A" w:rsidP="009B087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Орлова Т. В. (2012) Країнознавство Туреччини: історія і сучасність. Київ : Логос 2012. 177 с.</w:t>
      </w:r>
    </w:p>
    <w:p w14:paraId="105F4DF2" w14:textId="77777777" w:rsidR="009B087A" w:rsidRPr="00BB1782" w:rsidRDefault="009B087A" w:rsidP="009B087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Пророченко Н. О. (2005). Туреччина: Історія культура географія. Київ: Світ знань.</w:t>
      </w:r>
    </w:p>
    <w:p w14:paraId="333E04D9" w14:textId="77777777" w:rsidR="009B087A" w:rsidRPr="00BB1782" w:rsidRDefault="009B087A" w:rsidP="009B087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lastRenderedPageBreak/>
        <w:t xml:space="preserve">Стародуб Т. С. (2011). Сучасна політика Туреччини на Близькому Сході в контексті її залучення до революційних подій. </w:t>
      </w:r>
      <w:r w:rsidRPr="00BB1782">
        <w:rPr>
          <w:rFonts w:ascii="Times New Roman" w:eastAsia="Times New Roman" w:hAnsi="Times New Roman" w:cs="Times New Roman"/>
          <w:i/>
          <w:sz w:val="28"/>
          <w:szCs w:val="28"/>
        </w:rPr>
        <w:t>Відкриті очі</w:t>
      </w:r>
      <w:r w:rsidRPr="00BB1782">
        <w:rPr>
          <w:rFonts w:ascii="Times New Roman" w:eastAsia="Times New Roman" w:hAnsi="Times New Roman" w:cs="Times New Roman"/>
          <w:sz w:val="28"/>
          <w:szCs w:val="28"/>
        </w:rPr>
        <w:t xml:space="preserve">. URL: </w:t>
      </w:r>
      <w:hyperlink r:id="rId10">
        <w:r w:rsidRPr="00BB1782">
          <w:rPr>
            <w:rFonts w:ascii="Times New Roman" w:eastAsia="Times New Roman" w:hAnsi="Times New Roman" w:cs="Times New Roman"/>
            <w:sz w:val="28"/>
            <w:szCs w:val="28"/>
            <w:u w:val="single"/>
          </w:rPr>
          <w:t>http://www.vidkryti-ochi.org.ua/2011/11/2011.html</w:t>
        </w:r>
      </w:hyperlink>
      <w:r w:rsidRPr="00BB1782">
        <w:rPr>
          <w:rFonts w:ascii="Times New Roman" w:eastAsia="Times New Roman" w:hAnsi="Times New Roman" w:cs="Times New Roman"/>
          <w:sz w:val="28"/>
          <w:szCs w:val="28"/>
        </w:rPr>
        <w:t>. (дата звернення: 03.11.2024).</w:t>
      </w:r>
    </w:p>
    <w:p w14:paraId="6D4CBAB1" w14:textId="77777777" w:rsidR="009B087A" w:rsidRPr="00BB1782" w:rsidRDefault="009B087A" w:rsidP="009B087A">
      <w:pPr>
        <w:pStyle w:val="ad"/>
        <w:numPr>
          <w:ilvl w:val="0"/>
          <w:numId w:val="1"/>
        </w:numPr>
        <w:spacing w:line="360" w:lineRule="auto"/>
        <w:jc w:val="both"/>
        <w:rPr>
          <w:rFonts w:ascii="Times New Roman" w:eastAsia="Times New Roman" w:hAnsi="Times New Roman" w:cs="Times New Roman"/>
          <w:sz w:val="28"/>
          <w:szCs w:val="28"/>
          <w:u w:val="single"/>
        </w:rPr>
      </w:pPr>
      <w:r w:rsidRPr="00BB1782">
        <w:rPr>
          <w:rFonts w:ascii="Times New Roman" w:eastAsia="Times New Roman" w:hAnsi="Times New Roman" w:cs="Times New Roman"/>
          <w:sz w:val="28"/>
          <w:szCs w:val="28"/>
        </w:rPr>
        <w:t>Тарасюк Ю. М., Шаглі Г. І. (2021). Мʼяка сила Турецької Республіки: культурно - освітні аспекти. URL:</w:t>
      </w:r>
      <w:r w:rsidRPr="00BB1782">
        <w:rPr>
          <w:rFonts w:ascii="Times New Roman" w:eastAsia="Times New Roman" w:hAnsi="Times New Roman" w:cs="Times New Roman"/>
          <w:sz w:val="28"/>
          <w:szCs w:val="28"/>
          <w:lang w:val="uk-UA"/>
        </w:rPr>
        <w:t xml:space="preserve"> </w:t>
      </w:r>
      <w:hyperlink r:id="rId11">
        <w:r w:rsidRPr="00BB1782">
          <w:rPr>
            <w:rFonts w:ascii="Times New Roman" w:eastAsia="Times New Roman" w:hAnsi="Times New Roman" w:cs="Times New Roman"/>
            <w:sz w:val="28"/>
            <w:szCs w:val="28"/>
            <w:u w:val="single"/>
          </w:rPr>
          <w:t>https://jpl.donnu.edu.ua/article/view/11920</w:t>
        </w:r>
      </w:hyperlink>
    </w:p>
    <w:p w14:paraId="33A30B8B" w14:textId="77777777" w:rsidR="009B087A" w:rsidRPr="00BB1782" w:rsidRDefault="009B087A" w:rsidP="009B087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Цюрупа М. (2007). Поняття «м’якої сили» держави та особливості її застосування в сучасній світовій політиці. </w:t>
      </w:r>
      <w:r w:rsidRPr="00BB1782">
        <w:rPr>
          <w:rFonts w:ascii="Times New Roman" w:eastAsia="Times New Roman" w:hAnsi="Times New Roman" w:cs="Times New Roman"/>
          <w:i/>
          <w:sz w:val="28"/>
          <w:szCs w:val="28"/>
        </w:rPr>
        <w:t>Наукові записки Інституту політичних і етнонаціональних досліджень ім. І. Ф. Кураса НАН України</w:t>
      </w:r>
      <w:r w:rsidRPr="00BB1782">
        <w:rPr>
          <w:rFonts w:ascii="Times New Roman" w:eastAsia="Times New Roman" w:hAnsi="Times New Roman" w:cs="Times New Roman"/>
          <w:sz w:val="28"/>
          <w:szCs w:val="28"/>
        </w:rPr>
        <w:t xml:space="preserve">. Київ : Знання України 47-59. </w:t>
      </w:r>
    </w:p>
    <w:p w14:paraId="78E6735B" w14:textId="11FAA47F"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Ahmad F. (1993). The Making of Modern Turkey. Routledge.</w:t>
      </w:r>
    </w:p>
    <w:p w14:paraId="3BE4597A"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 xml:space="preserve">Akçapar B. (2010). Turkey’s New Diaspora Policy: The Challenges of Integration and Outreach. </w:t>
      </w:r>
      <w:r w:rsidRPr="00BB1782">
        <w:rPr>
          <w:rFonts w:ascii="Times New Roman" w:eastAsia="Times New Roman" w:hAnsi="Times New Roman" w:cs="Times New Roman"/>
          <w:i/>
          <w:sz w:val="28"/>
          <w:szCs w:val="28"/>
          <w:highlight w:val="white"/>
        </w:rPr>
        <w:t>Turkish Policy Quarterly</w:t>
      </w:r>
      <w:r w:rsidRPr="00BB1782">
        <w:rPr>
          <w:rFonts w:ascii="Times New Roman" w:eastAsia="Times New Roman" w:hAnsi="Times New Roman" w:cs="Times New Roman"/>
          <w:sz w:val="28"/>
          <w:szCs w:val="28"/>
          <w:highlight w:val="white"/>
        </w:rPr>
        <w:t xml:space="preserve"> 9(3) 135-143.</w:t>
      </w:r>
    </w:p>
    <w:p w14:paraId="42497B0E"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Altunişik M. &amp; Martin L. (2011). Making Sense of Turkish Foreign Policy in the Middle East under AKP. Turkish Studies 12(4) 569-587.</w:t>
      </w:r>
    </w:p>
    <w:p w14:paraId="1802AAD8"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Altunişik M. &amp; Martin L. (2014). Turkey and Syria: From Cooperation to Conflict. Turkish Studies 15(4) 569-587.</w:t>
      </w:r>
    </w:p>
    <w:p w14:paraId="3960E361"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Altunişik M. &amp; Martin L. (2014). Turkey’s Soft Power in the Arab World: The Role of Civil Society. Insight Turkey 16(1) 39-52.</w:t>
      </w:r>
    </w:p>
    <w:p w14:paraId="54FFE1F2"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 xml:space="preserve">Altunişik M. B. (2014). Turkey as an 'Emerging Donor' and the Arab Uprisings. </w:t>
      </w:r>
      <w:r w:rsidRPr="00BB1782">
        <w:rPr>
          <w:rFonts w:ascii="Times New Roman" w:eastAsia="Times New Roman" w:hAnsi="Times New Roman" w:cs="Times New Roman"/>
          <w:i/>
          <w:sz w:val="28"/>
          <w:szCs w:val="28"/>
          <w:highlight w:val="white"/>
        </w:rPr>
        <w:t>Mediterranean Politics</w:t>
      </w:r>
      <w:r w:rsidRPr="00BB1782">
        <w:rPr>
          <w:rFonts w:ascii="Times New Roman" w:eastAsia="Times New Roman" w:hAnsi="Times New Roman" w:cs="Times New Roman"/>
          <w:sz w:val="28"/>
          <w:szCs w:val="28"/>
          <w:highlight w:val="white"/>
        </w:rPr>
        <w:t xml:space="preserve"> 19(3) 333-350.</w:t>
      </w:r>
    </w:p>
    <w:p w14:paraId="778BD55B"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Aras B. &amp; Polat R. K. (2012). Turkey and the Middle East: Frontiers of the New Geographic Imagination. Turkish Studies 14(1) 187-197.</w:t>
      </w:r>
    </w:p>
    <w:p w14:paraId="4A84F919"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Aras B. &amp; Polat R. K. (2012). Turkey and the Middle East: Frontline of the New Geopolitical Landscape. Turkish Studies 13(1) 23-41.</w:t>
      </w:r>
    </w:p>
    <w:p w14:paraId="6A55036E"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Aras B. (2012). The Syrian Conflict and Turkey's Foreign Policy. Middle East Policy 19(3) 92-104.</w:t>
      </w:r>
    </w:p>
    <w:p w14:paraId="5A717A83"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lastRenderedPageBreak/>
        <w:t>Aras B. (2014). Turkey and Egypt: Shifting Dynamics in Bilateral Relations. Middle East Policy 21(3) 92-104.</w:t>
      </w:r>
    </w:p>
    <w:p w14:paraId="4E75CE7A"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Aydınlı E. &amp; Çandar C. (2019). Turkey-Saudi Relations: Divergences and Alignments in Regional Security Dynamics. Turkish Policy Quarterly 18(2) 54-69.</w:t>
      </w:r>
    </w:p>
    <w:p w14:paraId="187F04D3"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Aydıntaşbaş A. (2018). The New Middle East: Turkish-Iranian Relations in a Changing Region. European Council on Foreign Relations Policy Brief 34-45.</w:t>
      </w:r>
    </w:p>
    <w:p w14:paraId="5BE8D8B5"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Aydıntaşbaş А. (2019). From myth to reality: How to understand Turkey’s role in the Western Balkans. European council on foreign policy relation. 2019. URL: </w:t>
      </w:r>
      <w:hyperlink r:id="rId12">
        <w:r w:rsidRPr="00BB1782">
          <w:rPr>
            <w:rFonts w:ascii="Times New Roman" w:eastAsia="Times New Roman" w:hAnsi="Times New Roman" w:cs="Times New Roman"/>
            <w:sz w:val="28"/>
            <w:szCs w:val="28"/>
            <w:u w:val="single"/>
          </w:rPr>
          <w:t>https://ecfr.eu/publication/from_myth_to_reality_how_to_understand_turkeys_role_in_the_western_balkans</w:t>
        </w:r>
      </w:hyperlink>
      <w:r w:rsidRPr="00BB1782">
        <w:rPr>
          <w:rFonts w:ascii="Times New Roman" w:eastAsia="Times New Roman" w:hAnsi="Times New Roman" w:cs="Times New Roman"/>
          <w:sz w:val="28"/>
          <w:szCs w:val="28"/>
        </w:rPr>
        <w:t xml:space="preserve"> (дата звернення: 03.11.2024).</w:t>
      </w:r>
    </w:p>
    <w:p w14:paraId="0ECE9197"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Babakr M. Turkey’s Economic Development: Luck or Wise Administration? URL:http://strategicoutlook.org/publications/Turkey’s_economic_development.pdf. (дата звернення: 03.11.2024).</w:t>
      </w:r>
    </w:p>
    <w:p w14:paraId="25B40EAC"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Balci B. (2014). The Rise of Turkish Influence in the Turkic-Speaking Countries. Central Asian Affairs 1(2) 176-200.</w:t>
      </w:r>
    </w:p>
    <w:p w14:paraId="07A39489"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Barkey H. J. (2019). Turkey and Iran: From Rivalry to Potential Cooperation. Carnegie Endowment for International Peace 28-36.</w:t>
      </w:r>
    </w:p>
    <w:p w14:paraId="2985FA27"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Barkey H. J. (2019). Turkey and Saudi Arabia: From Competition to Cooperation?. Carnegie Endowment for International Peace 35-44.</w:t>
      </w:r>
    </w:p>
    <w:p w14:paraId="13DA6E5B"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Barkey H. J. (2019). Turkey and the Syrian Conflict: Domestic Regional and International Dimensions. Carnegie Endowment for International Peace 34-48.</w:t>
      </w:r>
    </w:p>
    <w:p w14:paraId="3DC857C6"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Barkey H. J. (2019). Turkey-Egypt Relations in the Context of Regional Rivalries. Carnegie Endowment for International Peace 34-48.</w:t>
      </w:r>
    </w:p>
    <w:p w14:paraId="49DC220B"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lastRenderedPageBreak/>
        <w:t xml:space="preserve">Barrinha A. (2013). The Ambitious Insulator: Revisiting Turkey’s Position in Regional Security Complex Theory. </w:t>
      </w:r>
      <w:r w:rsidRPr="00BB1782">
        <w:rPr>
          <w:rFonts w:ascii="Times New Roman" w:eastAsia="Times New Roman" w:hAnsi="Times New Roman" w:cs="Times New Roman"/>
          <w:i/>
          <w:sz w:val="28"/>
          <w:szCs w:val="28"/>
        </w:rPr>
        <w:t>Mediterranean Politics</w:t>
      </w:r>
      <w:r w:rsidRPr="00BB1782">
        <w:rPr>
          <w:rFonts w:ascii="Times New Roman" w:eastAsia="Times New Roman" w:hAnsi="Times New Roman" w:cs="Times New Roman"/>
          <w:sz w:val="28"/>
          <w:szCs w:val="28"/>
        </w:rPr>
        <w:t xml:space="preserve"> 1-18.</w:t>
      </w:r>
    </w:p>
    <w:p w14:paraId="1D12D50B"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Barysch K. (2010). Turkey and the European Union: Can a Divided Partnership Be Repaired?. Centre for European Reform Essays.</w:t>
      </w:r>
    </w:p>
    <w:p w14:paraId="7683C0B0"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Başkan F. (2010).Religious versus secular groups in the age of globalisation in Turkey. </w:t>
      </w:r>
      <w:r w:rsidRPr="00BB1782">
        <w:rPr>
          <w:rFonts w:ascii="Times New Roman" w:eastAsia="Times New Roman" w:hAnsi="Times New Roman" w:cs="Times New Roman"/>
          <w:i/>
          <w:sz w:val="28"/>
          <w:szCs w:val="28"/>
        </w:rPr>
        <w:t>Totalitarian movements and political religions</w:t>
      </w:r>
      <w:r w:rsidRPr="00BB1782">
        <w:rPr>
          <w:rFonts w:ascii="Times New Roman" w:eastAsia="Times New Roman" w:hAnsi="Times New Roman" w:cs="Times New Roman"/>
          <w:sz w:val="28"/>
          <w:szCs w:val="28"/>
        </w:rPr>
        <w:t>. L. 11 2 167–1</w:t>
      </w:r>
    </w:p>
    <w:p w14:paraId="37841AE5"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Bowen J. R. (2007). Why the French Don’t Like Headscarves: Islam the State and Public Space. Princeton University Press.</w:t>
      </w:r>
    </w:p>
    <w:p w14:paraId="62089FE0"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Buzan B. Wæver O. (2003). Regions and Powers. The Structure of International Security. Cambridge : Cambridge University Press.</w:t>
      </w:r>
    </w:p>
    <w:p w14:paraId="7FEA48A9"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Buzan B. Wæver O. Wilde J. (1998). De. Security: A New Framework for Analysis. London : Routledge.</w:t>
      </w:r>
    </w:p>
    <w:p w14:paraId="59F27800"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Cagaptay S. (2017). The New Sultan: Erdogan and the Crisis of Modern Turkey. I.B. Tauris.</w:t>
      </w:r>
    </w:p>
    <w:p w14:paraId="45F27489"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Çolak Y. (2016). Ottoman Past and Turkish Present: Islamic Discourses and Europe. Middle Eastern Studies 32(3) 5-24.</w:t>
      </w:r>
    </w:p>
    <w:p w14:paraId="016D9220"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 xml:space="preserve">Coplen Michaela. Soft Power and the Future of US Foreign Policy. International Affairs Volume 99 Issue 6 November 2023 2551–2552. </w:t>
      </w:r>
    </w:p>
    <w:p w14:paraId="638B8DBF"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Dagi İ. (2012). İslamcıların demokrasi ile sınavı. </w:t>
      </w:r>
      <w:r w:rsidRPr="00BB1782">
        <w:rPr>
          <w:rFonts w:ascii="Times New Roman" w:eastAsia="Times New Roman" w:hAnsi="Times New Roman" w:cs="Times New Roman"/>
          <w:i/>
          <w:sz w:val="28"/>
          <w:szCs w:val="28"/>
        </w:rPr>
        <w:t>Zaman</w:t>
      </w:r>
      <w:r w:rsidRPr="00BB1782">
        <w:rPr>
          <w:rFonts w:ascii="Times New Roman" w:eastAsia="Times New Roman" w:hAnsi="Times New Roman" w:cs="Times New Roman"/>
          <w:sz w:val="28"/>
          <w:szCs w:val="28"/>
        </w:rPr>
        <w:t xml:space="preserve">. Istanbul. </w:t>
      </w:r>
    </w:p>
    <w:p w14:paraId="7BC9B419"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Davison R. H. (1963). Turkey: A Short History. Praeger.</w:t>
      </w:r>
    </w:p>
    <w:p w14:paraId="040F14FA"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Davutoglu A. (2008). Turkey’s Foreign Policy Vision: An Assessment of 2007 </w:t>
      </w:r>
      <w:r w:rsidRPr="00BB1782">
        <w:rPr>
          <w:rFonts w:ascii="Times New Roman" w:eastAsia="Times New Roman" w:hAnsi="Times New Roman" w:cs="Times New Roman"/>
          <w:i/>
          <w:sz w:val="28"/>
          <w:szCs w:val="28"/>
        </w:rPr>
        <w:t>Insight Turkey</w:t>
      </w:r>
      <w:r w:rsidRPr="00BB1782">
        <w:rPr>
          <w:rFonts w:ascii="Times New Roman" w:eastAsia="Times New Roman" w:hAnsi="Times New Roman" w:cs="Times New Roman"/>
          <w:sz w:val="28"/>
          <w:szCs w:val="28"/>
        </w:rPr>
        <w:t xml:space="preserve"> 10 (1) 77-97.</w:t>
      </w:r>
    </w:p>
    <w:p w14:paraId="51A471E4"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Davutoglu A. The Three Major Earthquakes in the International System and Turkey. </w:t>
      </w:r>
      <w:r w:rsidRPr="00BB1782">
        <w:rPr>
          <w:rFonts w:ascii="Times New Roman" w:eastAsia="Times New Roman" w:hAnsi="Times New Roman" w:cs="Times New Roman"/>
          <w:i/>
          <w:sz w:val="28"/>
          <w:szCs w:val="28"/>
        </w:rPr>
        <w:t>The International Spectator : Italian Journal of International Affairs</w:t>
      </w:r>
      <w:r w:rsidRPr="00BB1782">
        <w:rPr>
          <w:rFonts w:ascii="Times New Roman" w:eastAsia="Times New Roman" w:hAnsi="Times New Roman" w:cs="Times New Roman"/>
          <w:sz w:val="28"/>
          <w:szCs w:val="28"/>
        </w:rPr>
        <w:t>. 48 (2) 1-11.</w:t>
      </w:r>
    </w:p>
    <w:p w14:paraId="2CB22513"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lastRenderedPageBreak/>
        <w:t xml:space="preserve">Davutoğlu Ahmet. Stratejik derinlik. Türkiye’nin Uluslararası Konumu. URL: </w:t>
      </w:r>
      <w:hyperlink r:id="rId13">
        <w:r w:rsidRPr="00BB1782">
          <w:rPr>
            <w:rFonts w:ascii="Times New Roman" w:eastAsia="Times New Roman" w:hAnsi="Times New Roman" w:cs="Times New Roman"/>
            <w:sz w:val="28"/>
            <w:szCs w:val="28"/>
            <w:u w:val="single"/>
          </w:rPr>
          <w:t>http://www.altinicizdiklerim.com/resimler/StratejikDerinlik.pdf</w:t>
        </w:r>
      </w:hyperlink>
      <w:r w:rsidRPr="00BB1782">
        <w:rPr>
          <w:rFonts w:ascii="Times New Roman" w:eastAsia="Times New Roman" w:hAnsi="Times New Roman" w:cs="Times New Roman"/>
          <w:sz w:val="28"/>
          <w:szCs w:val="28"/>
        </w:rPr>
        <w:t xml:space="preserve"> (дата звернення: 03.11.2024).</w:t>
      </w:r>
    </w:p>
    <w:p w14:paraId="49451D4C"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Democracy Islam and Secularism in Turkey (Religion Culture and Public Life) (2012). / Kuru A. Stepan A (eds.). Columbia Univ. Press. </w:t>
      </w:r>
    </w:p>
    <w:p w14:paraId="7B81CCD0"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Diez T. (2005). Turkey the European Union and Security Complexes Revisited. </w:t>
      </w:r>
      <w:r w:rsidRPr="00BB1782">
        <w:rPr>
          <w:rFonts w:ascii="Times New Roman" w:eastAsia="Times New Roman" w:hAnsi="Times New Roman" w:cs="Times New Roman"/>
          <w:i/>
          <w:sz w:val="28"/>
          <w:szCs w:val="28"/>
        </w:rPr>
        <w:t>Mediterranean Politics</w:t>
      </w:r>
      <w:r w:rsidRPr="00BB1782">
        <w:rPr>
          <w:rFonts w:ascii="Times New Roman" w:eastAsia="Times New Roman" w:hAnsi="Times New Roman" w:cs="Times New Roman"/>
          <w:sz w:val="28"/>
          <w:szCs w:val="28"/>
        </w:rPr>
        <w:t xml:space="preserve"> 10 (2) 167-180.</w:t>
      </w:r>
    </w:p>
    <w:p w14:paraId="3D9B5075"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Dodd C. H. (2010). The History and Politics of the Cyprus Conflict. Palgrave Macmillan.</w:t>
      </w:r>
    </w:p>
    <w:p w14:paraId="0A6A6CF4"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Ehteshami A. &amp; Wehrey F. (2011). Turkish-Iranian Relations since the Arab Spring: Rivals Partners and Regional Power Struggles. Middle East Journal 65(4) 545-559.</w:t>
      </w:r>
    </w:p>
    <w:p w14:paraId="2FE274F4"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Esposito J. L. (2010). The Future of Islam. N.Y. Oxford: Oxford Univ.Press.</w:t>
      </w:r>
    </w:p>
    <w:p w14:paraId="1DAD83D8"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Esposito J. L. Sonn T. Voll John O. (2016). Islam and democracy after the Arab Spring. New York : Oxford University Press.</w:t>
      </w:r>
    </w:p>
    <w:p w14:paraId="24A7A8B9"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Esposito. J. L. (1998). Islam: The Straight Path. N.Y. Oxford: Oxford Univ.Press.</w:t>
      </w:r>
    </w:p>
    <w:p w14:paraId="4F007DF9"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Factors driving Turkish foreign policy. URL: </w:t>
      </w:r>
      <w:hyperlink r:id="rId14">
        <w:r w:rsidRPr="00BB1782">
          <w:rPr>
            <w:rFonts w:ascii="Times New Roman" w:eastAsia="Times New Roman" w:hAnsi="Times New Roman" w:cs="Times New Roman"/>
            <w:sz w:val="28"/>
            <w:szCs w:val="28"/>
            <w:u w:val="single"/>
          </w:rPr>
          <w:t>https://repository.lsu.edu/cgi/viewcontent.cgi?article=4089&amp;context=gradschool_theses</w:t>
        </w:r>
      </w:hyperlink>
      <w:r w:rsidRPr="00BB1782">
        <w:rPr>
          <w:rFonts w:ascii="Times New Roman" w:eastAsia="Times New Roman" w:hAnsi="Times New Roman" w:cs="Times New Roman"/>
          <w:sz w:val="28"/>
          <w:szCs w:val="28"/>
        </w:rPr>
        <w:t xml:space="preserve"> (дата звернення: 03.11.2024).</w:t>
      </w:r>
    </w:p>
    <w:p w14:paraId="60ED9F35"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Fetzer J. S. &amp; Soper J. C. (2005). Muslims and the State in Britain France and Germany. Cambridge University Press.</w:t>
      </w:r>
    </w:p>
    <w:p w14:paraId="1701A7B9"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Finkel C. (2005). Osman's Dream: The History of the Ottoman Empire. Basic Books.</w:t>
      </w:r>
    </w:p>
    <w:p w14:paraId="358C1429"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Global Soft Power Index // URL: </w:t>
      </w:r>
      <w:hyperlink r:id="rId15" w:history="1">
        <w:r w:rsidRPr="00BB1782">
          <w:rPr>
            <w:rStyle w:val="aa"/>
            <w:rFonts w:ascii="Times New Roman" w:eastAsia="Times New Roman" w:hAnsi="Times New Roman" w:cs="Times New Roman"/>
            <w:color w:val="auto"/>
            <w:sz w:val="28"/>
            <w:szCs w:val="28"/>
          </w:rPr>
          <w:t>https://brandirectory.com/globalsoftpower/download/brand-finance-global-soft-power-index-2021.pdf</w:t>
        </w:r>
      </w:hyperlink>
      <w:r w:rsidRPr="00BB1782">
        <w:rPr>
          <w:rFonts w:ascii="Times New Roman" w:eastAsia="Times New Roman" w:hAnsi="Times New Roman" w:cs="Times New Roman"/>
          <w:sz w:val="28"/>
          <w:szCs w:val="28"/>
          <w:lang w:val="uk-UA"/>
        </w:rPr>
        <w:t xml:space="preserve">  </w:t>
      </w:r>
      <w:r w:rsidRPr="00BB1782">
        <w:rPr>
          <w:rFonts w:ascii="Times New Roman" w:eastAsia="Times New Roman" w:hAnsi="Times New Roman" w:cs="Times New Roman"/>
          <w:sz w:val="28"/>
          <w:szCs w:val="28"/>
        </w:rPr>
        <w:t>(дата звернення: 03.11.2024)</w:t>
      </w:r>
    </w:p>
    <w:p w14:paraId="59EE4C53"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lastRenderedPageBreak/>
        <w:t xml:space="preserve">Grigoriadis I. N. (2009). Islam and democratization in Turkey: Secularism and trust in a divided society. </w:t>
      </w:r>
      <w:r w:rsidRPr="00BB1782">
        <w:rPr>
          <w:rFonts w:ascii="Times New Roman" w:eastAsia="Times New Roman" w:hAnsi="Times New Roman" w:cs="Times New Roman"/>
          <w:i/>
          <w:sz w:val="28"/>
          <w:szCs w:val="28"/>
        </w:rPr>
        <w:t>Democratization.</w:t>
      </w:r>
      <w:r w:rsidRPr="00BB1782">
        <w:rPr>
          <w:rFonts w:ascii="Times New Roman" w:eastAsia="Times New Roman" w:hAnsi="Times New Roman" w:cs="Times New Roman"/>
          <w:sz w:val="28"/>
          <w:szCs w:val="28"/>
        </w:rPr>
        <w:t xml:space="preserve"> Cambridge UK.</w:t>
      </w:r>
    </w:p>
    <w:p w14:paraId="25F2E76B"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Guliev I. A. Azerbaijan-Turkey energy cooperation: new burdens new opportunities. – URL: </w:t>
      </w:r>
      <w:hyperlink r:id="rId16">
        <w:r w:rsidRPr="00BB1782">
          <w:rPr>
            <w:rFonts w:ascii="Times New Roman" w:eastAsia="Times New Roman" w:hAnsi="Times New Roman" w:cs="Times New Roman"/>
            <w:sz w:val="28"/>
            <w:szCs w:val="28"/>
            <w:u w:val="single"/>
          </w:rPr>
          <w:t>http://www.eppen.org/en/index.php?sayfa=Yorumlar&amp;lin-k=&amp;makale=125</w:t>
        </w:r>
      </w:hyperlink>
      <w:r w:rsidRPr="00BB1782">
        <w:rPr>
          <w:rFonts w:ascii="Times New Roman" w:eastAsia="Times New Roman" w:hAnsi="Times New Roman" w:cs="Times New Roman"/>
          <w:sz w:val="28"/>
          <w:szCs w:val="28"/>
        </w:rPr>
        <w:t>. (дата звернення: 03.11.2024).</w:t>
      </w:r>
    </w:p>
    <w:p w14:paraId="72A4B07C"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Hale W. (2000). Turkish Foreign Policy 1774-2000. Frank Cass Publishers.</w:t>
      </w:r>
    </w:p>
    <w:p w14:paraId="3313833A"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Heper M. (1997). Islam and Democracy in Turkey: Toward a Reconciliation?. Middle East Journal 51(1) 32-45.</w:t>
      </w:r>
    </w:p>
    <w:p w14:paraId="0E9E1D6B"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Hobsbawm Julia. (2001). On Public Relations: How They Held All of Us Hostage. </w:t>
      </w:r>
      <w:r w:rsidRPr="00BB1782">
        <w:rPr>
          <w:rFonts w:ascii="Times New Roman" w:eastAsia="Times New Roman" w:hAnsi="Times New Roman" w:cs="Times New Roman"/>
          <w:i/>
          <w:sz w:val="28"/>
          <w:szCs w:val="28"/>
        </w:rPr>
        <w:t>The Observer</w:t>
      </w:r>
      <w:r w:rsidRPr="00BB1782">
        <w:rPr>
          <w:rFonts w:ascii="Times New Roman" w:eastAsia="Times New Roman" w:hAnsi="Times New Roman" w:cs="Times New Roman"/>
          <w:sz w:val="28"/>
          <w:szCs w:val="28"/>
        </w:rPr>
        <w:t>. September 16 5-6.</w:t>
      </w:r>
    </w:p>
    <w:p w14:paraId="62DB4113"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Hursoy S. Changing Dimensions of Turkey’s Foreign Policy. </w:t>
      </w:r>
      <w:r w:rsidRPr="00BB1782">
        <w:rPr>
          <w:rFonts w:ascii="Times New Roman" w:eastAsia="Times New Roman" w:hAnsi="Times New Roman" w:cs="Times New Roman"/>
          <w:i/>
          <w:sz w:val="28"/>
          <w:szCs w:val="28"/>
        </w:rPr>
        <w:t>International Studies</w:t>
      </w:r>
      <w:r w:rsidRPr="00BB1782">
        <w:rPr>
          <w:rFonts w:ascii="Times New Roman" w:eastAsia="Times New Roman" w:hAnsi="Times New Roman" w:cs="Times New Roman"/>
          <w:sz w:val="28"/>
          <w:szCs w:val="28"/>
        </w:rPr>
        <w:t xml:space="preserve"> 48 (2) 139-164.</w:t>
      </w:r>
    </w:p>
    <w:p w14:paraId="105C6061"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Hüsrev Tabak. Manifestations of Islam in Turkey's foreign policy: islamic internationalism and turkish Islam. URL: </w:t>
      </w:r>
      <w:hyperlink r:id="rId17">
        <w:r w:rsidRPr="00BB1782">
          <w:rPr>
            <w:rFonts w:ascii="Times New Roman" w:eastAsia="Times New Roman" w:hAnsi="Times New Roman" w:cs="Times New Roman"/>
            <w:sz w:val="28"/>
            <w:szCs w:val="28"/>
            <w:u w:val="single"/>
          </w:rPr>
          <w:t>http://cejsh.icm.edu.pl/cejsh/element/bwmeta1.element.ojs-doi-10_12775_CJPS_2017_001/c/CJPS.2017.001-17187.pdf</w:t>
        </w:r>
      </w:hyperlink>
      <w:r w:rsidRPr="00BB1782">
        <w:rPr>
          <w:rFonts w:ascii="Times New Roman" w:eastAsia="Times New Roman" w:hAnsi="Times New Roman" w:cs="Times New Roman"/>
          <w:sz w:val="28"/>
          <w:szCs w:val="28"/>
        </w:rPr>
        <w:t xml:space="preserve"> (дата звернення: 03.11.2024).</w:t>
      </w:r>
    </w:p>
    <w:p w14:paraId="42EA20FC"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Inan K. &amp; Dede O. (2018). Turkish Soft Power and Europe: Bridging the Cultural Divide. European Foreign Affairs Review 23(2) 243-258.</w:t>
      </w:r>
    </w:p>
    <w:p w14:paraId="2B0042C8"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 xml:space="preserve">Insight Turkey (2024). Turkish Foreign Policy at the Turn of the 'Century of Türkiye'. Insight Turkey URL: </w:t>
      </w:r>
      <w:hyperlink r:id="rId18">
        <w:r w:rsidRPr="00BB1782">
          <w:rPr>
            <w:rFonts w:ascii="Times New Roman" w:eastAsia="Times New Roman" w:hAnsi="Times New Roman" w:cs="Times New Roman"/>
            <w:sz w:val="28"/>
            <w:szCs w:val="28"/>
            <w:highlight w:val="white"/>
            <w:u w:val="single"/>
          </w:rPr>
          <w:t>https://www.insightturkey.com</w:t>
        </w:r>
      </w:hyperlink>
      <w:r w:rsidRPr="00BB1782">
        <w:rPr>
          <w:rFonts w:ascii="Times New Roman" w:eastAsia="Times New Roman" w:hAnsi="Times New Roman" w:cs="Times New Roman"/>
          <w:sz w:val="28"/>
          <w:szCs w:val="28"/>
          <w:highlight w:val="white"/>
        </w:rPr>
        <w:t xml:space="preserve"> (дата звернення: 03.11.2024)</w:t>
      </w:r>
    </w:p>
    <w:p w14:paraId="440EC753"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Islam and Foreign Policy: Turkey’s Ambivalent Religious Soft Power in the Authoritarian Turn. URL: </w:t>
      </w:r>
      <w:hyperlink r:id="rId19">
        <w:r w:rsidRPr="00BB1782">
          <w:rPr>
            <w:rFonts w:ascii="Times New Roman" w:eastAsia="Times New Roman" w:hAnsi="Times New Roman" w:cs="Times New Roman"/>
            <w:sz w:val="28"/>
            <w:szCs w:val="28"/>
            <w:u w:val="single"/>
          </w:rPr>
          <w:t>https://www.mdpi.com/2077-1444/12/1/38</w:t>
        </w:r>
      </w:hyperlink>
      <w:r w:rsidRPr="00BB1782">
        <w:rPr>
          <w:rFonts w:ascii="Times New Roman" w:eastAsia="Times New Roman" w:hAnsi="Times New Roman" w:cs="Times New Roman"/>
          <w:sz w:val="28"/>
          <w:szCs w:val="28"/>
        </w:rPr>
        <w:t>(дата звернення: 03.11.2024).</w:t>
      </w:r>
    </w:p>
    <w:p w14:paraId="06019EBC"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Kafadar C. (1996). Between Two Worlds: The Construction of the Ottoman State. University of California Press.</w:t>
      </w:r>
    </w:p>
    <w:p w14:paraId="07335523" w14:textId="4915A27A"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lastRenderedPageBreak/>
        <w:t>Kalin I.</w:t>
      </w:r>
      <w:r w:rsidRPr="00BB1782">
        <w:rPr>
          <w:rFonts w:ascii="Times New Roman" w:eastAsia="Times New Roman" w:hAnsi="Times New Roman" w:cs="Times New Roman"/>
          <w:sz w:val="28"/>
          <w:szCs w:val="28"/>
          <w:lang w:val="uk-UA"/>
        </w:rPr>
        <w:t xml:space="preserve"> (2011).</w:t>
      </w:r>
      <w:r w:rsidRPr="00BB1782">
        <w:rPr>
          <w:rFonts w:ascii="Times New Roman" w:eastAsia="Times New Roman" w:hAnsi="Times New Roman" w:cs="Times New Roman"/>
          <w:sz w:val="28"/>
          <w:szCs w:val="28"/>
        </w:rPr>
        <w:t xml:space="preserve"> Soft Power and Public Diplomacy in Turkey. Perceptions,</w:t>
      </w:r>
      <w:r w:rsidRPr="00BB1782">
        <w:rPr>
          <w:rFonts w:ascii="Times New Roman" w:eastAsia="Times New Roman" w:hAnsi="Times New Roman" w:cs="Times New Roman"/>
          <w:sz w:val="28"/>
          <w:szCs w:val="28"/>
          <w:lang w:val="uk-UA"/>
        </w:rPr>
        <w:t xml:space="preserve"> </w:t>
      </w:r>
      <w:r w:rsidRPr="00BB1782">
        <w:rPr>
          <w:rFonts w:ascii="Times New Roman" w:eastAsia="Times New Roman" w:hAnsi="Times New Roman" w:cs="Times New Roman"/>
          <w:sz w:val="28"/>
          <w:szCs w:val="28"/>
        </w:rPr>
        <w:t>Vol. 16</w:t>
      </w:r>
      <w:r w:rsidRPr="00BB1782">
        <w:rPr>
          <w:rFonts w:ascii="Times New Roman" w:eastAsia="Times New Roman" w:hAnsi="Times New Roman" w:cs="Times New Roman"/>
          <w:sz w:val="28"/>
          <w:szCs w:val="28"/>
          <w:lang w:val="uk-UA"/>
        </w:rPr>
        <w:t>,</w:t>
      </w:r>
      <w:r w:rsidRPr="00BB1782">
        <w:rPr>
          <w:rFonts w:ascii="Times New Roman" w:eastAsia="Times New Roman" w:hAnsi="Times New Roman" w:cs="Times New Roman"/>
          <w:sz w:val="28"/>
          <w:szCs w:val="28"/>
        </w:rPr>
        <w:t xml:space="preserve"> 3 (Autumn)</w:t>
      </w:r>
      <w:r w:rsidRPr="00BB1782">
        <w:rPr>
          <w:rFonts w:ascii="Times New Roman" w:eastAsia="Times New Roman" w:hAnsi="Times New Roman" w:cs="Times New Roman"/>
          <w:sz w:val="28"/>
          <w:szCs w:val="28"/>
          <w:lang w:val="uk-UA"/>
        </w:rPr>
        <w:t xml:space="preserve">, </w:t>
      </w:r>
      <w:r w:rsidRPr="00BB1782">
        <w:rPr>
          <w:rFonts w:ascii="Times New Roman" w:eastAsia="Times New Roman" w:hAnsi="Times New Roman" w:cs="Times New Roman"/>
          <w:sz w:val="28"/>
          <w:szCs w:val="28"/>
        </w:rPr>
        <w:t>5</w:t>
      </w:r>
    </w:p>
    <w:p w14:paraId="4EF2EC52" w14:textId="77777777" w:rsidR="009B087A" w:rsidRPr="00BB1782" w:rsidRDefault="009B087A" w:rsidP="009B087A">
      <w:pPr>
        <w:pStyle w:val="ad"/>
        <w:numPr>
          <w:ilvl w:val="0"/>
          <w:numId w:val="1"/>
        </w:numPr>
        <w:spacing w:line="360" w:lineRule="auto"/>
        <w:jc w:val="both"/>
        <w:rPr>
          <w:rFonts w:ascii="Times New Roman" w:eastAsia="Times New Roman" w:hAnsi="Times New Roman" w:cs="Times New Roman"/>
          <w:sz w:val="28"/>
          <w:szCs w:val="28"/>
          <w:lang w:val="uk-UA"/>
        </w:rPr>
      </w:pPr>
      <w:r w:rsidRPr="00BB1782">
        <w:rPr>
          <w:rFonts w:ascii="Times New Roman" w:eastAsia="Times New Roman" w:hAnsi="Times New Roman" w:cs="Times New Roman"/>
          <w:sz w:val="28"/>
          <w:szCs w:val="28"/>
        </w:rPr>
        <w:t xml:space="preserve">Каlin І. (2018). What does Turkey want in the Balkans? Daily Sabah. URL: </w:t>
      </w:r>
      <w:hyperlink r:id="rId20">
        <w:r w:rsidRPr="00BB1782">
          <w:rPr>
            <w:rFonts w:ascii="Times New Roman" w:eastAsia="Times New Roman" w:hAnsi="Times New Roman" w:cs="Times New Roman"/>
            <w:sz w:val="28"/>
            <w:szCs w:val="28"/>
            <w:u w:val="single"/>
          </w:rPr>
          <w:t>https://www.dailysabah.com/columns/ibrahim-kalin/2018/06/02/what-does-turkey-want-in-the-balkans</w:t>
        </w:r>
      </w:hyperlink>
      <w:r w:rsidRPr="00BB1782">
        <w:rPr>
          <w:rFonts w:ascii="Times New Roman" w:eastAsia="Times New Roman" w:hAnsi="Times New Roman" w:cs="Times New Roman"/>
          <w:sz w:val="28"/>
          <w:szCs w:val="28"/>
        </w:rPr>
        <w:t xml:space="preserve"> (дата звернення: 03.11.2024).</w:t>
      </w:r>
    </w:p>
    <w:p w14:paraId="5755D417"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Kaya A. (2018). Turkey's Soft Power: The Role of Culture and Education. Insight Turkey 20(2) 13-24.</w:t>
      </w:r>
    </w:p>
    <w:p w14:paraId="12B64EEC"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Kim Y. Blank S. (2016) The new great game of caspian energy in 2013-14: «Turk stream» Russia and Turkey. </w:t>
      </w:r>
      <w:r w:rsidRPr="00BB1782">
        <w:rPr>
          <w:rFonts w:ascii="Times New Roman" w:eastAsia="Times New Roman" w:hAnsi="Times New Roman" w:cs="Times New Roman"/>
          <w:i/>
          <w:sz w:val="28"/>
          <w:szCs w:val="28"/>
        </w:rPr>
        <w:t>Journal of Balkan and Near Eastern Studies</w:t>
      </w:r>
      <w:r w:rsidRPr="00BB1782">
        <w:rPr>
          <w:rFonts w:ascii="Times New Roman" w:eastAsia="Times New Roman" w:hAnsi="Times New Roman" w:cs="Times New Roman"/>
          <w:sz w:val="28"/>
          <w:szCs w:val="28"/>
        </w:rPr>
        <w:t>. 2016. Vol. 18. № 1. P. 37-55.</w:t>
      </w:r>
    </w:p>
    <w:p w14:paraId="76FE8208"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Kirişci K. (2011). Turkey's 'Demonstrative Effect' and the Transformation of the Middle East. Insight Turkey 13(2) 33-55.</w:t>
      </w:r>
    </w:p>
    <w:p w14:paraId="1CCF65FE"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Kirisci K. (2018). Turkey and the West: Fault Lines in a Troubled Alliance. Brookings Institution Press.</w:t>
      </w:r>
    </w:p>
    <w:p w14:paraId="5B888921"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Kirişci K. (2019). Turkey and the Middle East: Frontiers of Regional Competition. Turkish Studies 20(4) 571-589.</w:t>
      </w:r>
    </w:p>
    <w:p w14:paraId="2001983F"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Kirişci K. (2019). Turkey's Role in the Syrian Crisis: Refugees Borders and Geopolitical Challenges. Turkish Studies 20(2) 571-589.</w:t>
      </w:r>
    </w:p>
    <w:p w14:paraId="783A79E2"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Kirisci K. Tocci N. Walker J. A Neighborhood Rediscovered. Turkey’s Transatlantic Value in the Middle East. </w:t>
      </w:r>
      <w:r w:rsidRPr="00BB1782">
        <w:rPr>
          <w:rFonts w:ascii="Times New Roman" w:eastAsia="Times New Roman" w:hAnsi="Times New Roman" w:cs="Times New Roman"/>
          <w:i/>
          <w:sz w:val="28"/>
          <w:szCs w:val="28"/>
        </w:rPr>
        <w:t>Brussels Forum Paper Series</w:t>
      </w:r>
      <w:r w:rsidRPr="00BB1782">
        <w:rPr>
          <w:rFonts w:ascii="Times New Roman" w:eastAsia="Times New Roman" w:hAnsi="Times New Roman" w:cs="Times New Roman"/>
          <w:sz w:val="28"/>
          <w:szCs w:val="28"/>
        </w:rPr>
        <w:t xml:space="preserve"> / The German Marshall Fund of the United States. URL: </w:t>
      </w:r>
      <w:hyperlink r:id="rId21">
        <w:r w:rsidRPr="00BB1782">
          <w:rPr>
            <w:rFonts w:ascii="Times New Roman" w:eastAsia="Times New Roman" w:hAnsi="Times New Roman" w:cs="Times New Roman"/>
            <w:sz w:val="28"/>
            <w:szCs w:val="28"/>
            <w:u w:val="single"/>
          </w:rPr>
          <w:t>http://www.gmfus.org/brusselsforum/2010/docs/BF2010-Paper-Kirisci-Tocci-Walker.pdf</w:t>
        </w:r>
      </w:hyperlink>
      <w:r w:rsidRPr="00BB1782">
        <w:rPr>
          <w:rFonts w:ascii="Times New Roman" w:eastAsia="Times New Roman" w:hAnsi="Times New Roman" w:cs="Times New Roman"/>
          <w:sz w:val="28"/>
          <w:szCs w:val="28"/>
        </w:rPr>
        <w:t>. (дата звернення: 03.11.2024).</w:t>
      </w:r>
    </w:p>
    <w:p w14:paraId="7662BA80"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Kirisci K. Turkey’s Engagement with Its Neighborhood: A «Synthetic» and Multidimensional Look at Turkey’s Foreign Policy Transformation / K. Kirisci. </w:t>
      </w:r>
      <w:r w:rsidRPr="00BB1782">
        <w:rPr>
          <w:rFonts w:ascii="Times New Roman" w:eastAsia="Times New Roman" w:hAnsi="Times New Roman" w:cs="Times New Roman"/>
          <w:i/>
          <w:sz w:val="28"/>
          <w:szCs w:val="28"/>
        </w:rPr>
        <w:t>Turkish Studies</w:t>
      </w:r>
      <w:r w:rsidRPr="00BB1782">
        <w:rPr>
          <w:rFonts w:ascii="Times New Roman" w:eastAsia="Times New Roman" w:hAnsi="Times New Roman" w:cs="Times New Roman"/>
          <w:sz w:val="28"/>
          <w:szCs w:val="28"/>
        </w:rPr>
        <w:t xml:space="preserve"> 13 (3) 319-341.</w:t>
      </w:r>
    </w:p>
    <w:p w14:paraId="4499B3D1"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Kirişçi К. (2015). Post Second World War Immigration from Balian Countries to Turkey. Cambridge University Press. URL: </w:t>
      </w:r>
      <w:hyperlink r:id="rId22">
        <w:r w:rsidRPr="00BB1782">
          <w:rPr>
            <w:rFonts w:ascii="Times New Roman" w:eastAsia="Times New Roman" w:hAnsi="Times New Roman" w:cs="Times New Roman"/>
            <w:sz w:val="28"/>
            <w:szCs w:val="28"/>
            <w:u w:val="single"/>
          </w:rPr>
          <w:t>https://www.cambridge.org/core/journals/new-perspectives-on-turkey/article/abs/post-second-world-war-immigration-from-balkan-countries-to-turkey</w:t>
        </w:r>
      </w:hyperlink>
      <w:r w:rsidRPr="00BB1782">
        <w:rPr>
          <w:rFonts w:ascii="Times New Roman" w:eastAsia="Times New Roman" w:hAnsi="Times New Roman" w:cs="Times New Roman"/>
          <w:sz w:val="28"/>
          <w:szCs w:val="28"/>
        </w:rPr>
        <w:t xml:space="preserve"> (дата звернення: 03.11.2024).</w:t>
      </w:r>
    </w:p>
    <w:p w14:paraId="57942161"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Koehler K. &amp; Wittenberg J. (2019). Religion and Political Influence: Turkish Religious Networks in Central and Eastern Europe. Journal of Contemporary European Studies 27(1) 112-129.</w:t>
      </w:r>
    </w:p>
    <w:p w14:paraId="68D178E0"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Kubicek P. (2005). Turkish Accession to the European Union: Challenges and Opportunities. World Affairs 168(3) 103-112.</w:t>
      </w:r>
    </w:p>
    <w:p w14:paraId="47172621"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Kubicek P. (2011). Political Conditionality and Democratic Norms: The EU's Ambiguous Relationship with Turkey. Journal of Contemporary European Studies 19(3) 363-377.</w:t>
      </w:r>
    </w:p>
    <w:p w14:paraId="5E1EAA63"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Larrabee S. F. &amp; Nader A. (2013). Turkey and Egypt: Diverging Interests in the Middle East. RAND Corporation.</w:t>
      </w:r>
    </w:p>
    <w:p w14:paraId="597B6F1B"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Larrabee S. F. &amp; Nader A. (2013). Turkey's Evolving Role in the Syrian Crisis. RAND Corporation.</w:t>
      </w:r>
    </w:p>
    <w:p w14:paraId="6F624229"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Mango A. (1999). Atatürk: The Biography of the Founder of Modern Turkey. Overlook Press.</w:t>
      </w:r>
    </w:p>
    <w:p w14:paraId="2791198E"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Migration and Remittances: Recent Developments and Outlook. </w:t>
      </w:r>
      <w:r w:rsidRPr="00BB1782">
        <w:rPr>
          <w:rFonts w:ascii="Times New Roman" w:eastAsia="Times New Roman" w:hAnsi="Times New Roman" w:cs="Times New Roman"/>
          <w:i/>
          <w:sz w:val="28"/>
          <w:szCs w:val="28"/>
        </w:rPr>
        <w:t>World Bank</w:t>
      </w:r>
      <w:r w:rsidRPr="00BB1782">
        <w:rPr>
          <w:rFonts w:ascii="Times New Roman" w:eastAsia="Times New Roman" w:hAnsi="Times New Roman" w:cs="Times New Roman"/>
          <w:sz w:val="28"/>
          <w:szCs w:val="28"/>
        </w:rPr>
        <w:t>. 2014. URL: http://siteresources.worldbank.org/INTPROSPECTS/Resources/334934-1288990760745/MigrationandDevelopmentBrief22.pdf. (дата звернення: 03.11.2024).</w:t>
      </w:r>
    </w:p>
    <w:p w14:paraId="048E1D67"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Müftüler-Baç M. (1998). The Never-Ending Story: Turkey and the European Union. Middle Eastern Studies 34(2) 240-258.</w:t>
      </w:r>
    </w:p>
    <w:p w14:paraId="5B0AB077"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Müftüler-Baç M. (2016). Turkey's Political Reforms and the Impact of the European Union. South European Society and Politics 21(1) 1-14.</w:t>
      </w:r>
    </w:p>
    <w:p w14:paraId="442099F9"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lang w:val="uk-UA"/>
        </w:rPr>
      </w:pPr>
      <w:r w:rsidRPr="00BB1782">
        <w:rPr>
          <w:rFonts w:ascii="Times New Roman" w:eastAsia="Times New Roman" w:hAnsi="Times New Roman" w:cs="Times New Roman"/>
          <w:sz w:val="28"/>
          <w:szCs w:val="28"/>
        </w:rPr>
        <w:t xml:space="preserve">Nye J. </w:t>
      </w:r>
      <w:r w:rsidRPr="00BB1782">
        <w:rPr>
          <w:rFonts w:ascii="Times New Roman" w:eastAsia="Times New Roman" w:hAnsi="Times New Roman" w:cs="Times New Roman"/>
          <w:sz w:val="28"/>
          <w:szCs w:val="28"/>
          <w:lang w:val="uk-UA"/>
        </w:rPr>
        <w:t xml:space="preserve">(1990). </w:t>
      </w:r>
      <w:r w:rsidRPr="00BB1782">
        <w:rPr>
          <w:rFonts w:ascii="Times New Roman" w:eastAsia="Times New Roman" w:hAnsi="Times New Roman" w:cs="Times New Roman"/>
          <w:sz w:val="28"/>
          <w:szCs w:val="28"/>
        </w:rPr>
        <w:t>Bound to Lead: The Changing Nature of American Power.</w:t>
      </w:r>
      <w:r w:rsidRPr="00BB1782">
        <w:rPr>
          <w:rFonts w:ascii="Times New Roman" w:eastAsia="Times New Roman" w:hAnsi="Times New Roman" w:cs="Times New Roman"/>
          <w:sz w:val="28"/>
          <w:szCs w:val="28"/>
          <w:lang w:val="uk-UA"/>
        </w:rPr>
        <w:t xml:space="preserve"> </w:t>
      </w:r>
      <w:r w:rsidRPr="00BB1782">
        <w:rPr>
          <w:rFonts w:ascii="Times New Roman" w:eastAsia="Times New Roman" w:hAnsi="Times New Roman" w:cs="Times New Roman"/>
          <w:sz w:val="28"/>
          <w:szCs w:val="28"/>
        </w:rPr>
        <w:t>New York</w:t>
      </w:r>
      <w:r w:rsidRPr="00BB1782">
        <w:rPr>
          <w:rFonts w:ascii="Times New Roman" w:eastAsia="Times New Roman" w:hAnsi="Times New Roman" w:cs="Times New Roman"/>
          <w:sz w:val="28"/>
          <w:szCs w:val="28"/>
          <w:lang w:val="uk-UA"/>
        </w:rPr>
        <w:t xml:space="preserve"> </w:t>
      </w:r>
      <w:r w:rsidRPr="00BB1782">
        <w:rPr>
          <w:rFonts w:ascii="Times New Roman" w:eastAsia="Times New Roman" w:hAnsi="Times New Roman" w:cs="Times New Roman"/>
          <w:sz w:val="28"/>
          <w:szCs w:val="28"/>
        </w:rPr>
        <w:t>: Basic Books</w:t>
      </w:r>
      <w:r w:rsidRPr="00BB1782">
        <w:rPr>
          <w:rFonts w:ascii="Times New Roman" w:eastAsia="Times New Roman" w:hAnsi="Times New Roman" w:cs="Times New Roman"/>
          <w:sz w:val="28"/>
          <w:szCs w:val="28"/>
          <w:lang w:val="uk-UA"/>
        </w:rPr>
        <w:t>.</w:t>
      </w:r>
    </w:p>
    <w:p w14:paraId="31BFD002"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lastRenderedPageBreak/>
        <w:t xml:space="preserve">Nye J. </w:t>
      </w:r>
      <w:r w:rsidRPr="00BB1782">
        <w:rPr>
          <w:rFonts w:ascii="Times New Roman" w:eastAsia="Times New Roman" w:hAnsi="Times New Roman" w:cs="Times New Roman"/>
          <w:sz w:val="28"/>
          <w:szCs w:val="28"/>
          <w:lang w:val="uk-UA"/>
        </w:rPr>
        <w:t>(2004).</w:t>
      </w:r>
      <w:r w:rsidRPr="00BB1782">
        <w:rPr>
          <w:rFonts w:ascii="Times New Roman" w:eastAsia="Times New Roman" w:hAnsi="Times New Roman" w:cs="Times New Roman"/>
          <w:sz w:val="28"/>
          <w:szCs w:val="28"/>
        </w:rPr>
        <w:t xml:space="preserve"> Soft Power. The Means to success in world politics. N.Y. :</w:t>
      </w:r>
      <w:r w:rsidRPr="00BB1782">
        <w:rPr>
          <w:rFonts w:ascii="Times New Roman" w:eastAsia="Times New Roman" w:hAnsi="Times New Roman" w:cs="Times New Roman"/>
          <w:sz w:val="28"/>
          <w:szCs w:val="28"/>
          <w:lang w:val="uk-UA"/>
        </w:rPr>
        <w:t xml:space="preserve"> </w:t>
      </w:r>
      <w:r w:rsidRPr="00BB1782">
        <w:rPr>
          <w:rFonts w:ascii="Times New Roman" w:eastAsia="Times New Roman" w:hAnsi="Times New Roman" w:cs="Times New Roman"/>
          <w:sz w:val="28"/>
          <w:szCs w:val="28"/>
        </w:rPr>
        <w:t>Public Affairs.</w:t>
      </w:r>
    </w:p>
    <w:p w14:paraId="269B9B72"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Nye J. (2004). Soft Power: The Means to Success in World Politics. New York: PublicAffairs 191 с.</w:t>
      </w:r>
    </w:p>
    <w:p w14:paraId="3AA7192A"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Nye J., Armitage R. S. </w:t>
      </w:r>
      <w:r w:rsidRPr="00BB1782">
        <w:rPr>
          <w:rFonts w:ascii="Times New Roman" w:eastAsia="Times New Roman" w:hAnsi="Times New Roman" w:cs="Times New Roman"/>
          <w:sz w:val="28"/>
          <w:szCs w:val="28"/>
          <w:lang w:val="uk-UA"/>
        </w:rPr>
        <w:t xml:space="preserve"> (2007). </w:t>
      </w:r>
      <w:r w:rsidRPr="00BB1782">
        <w:rPr>
          <w:rFonts w:ascii="Times New Roman" w:eastAsia="Times New Roman" w:hAnsi="Times New Roman" w:cs="Times New Roman"/>
          <w:sz w:val="28"/>
          <w:szCs w:val="28"/>
        </w:rPr>
        <w:t>A Smarter, More Secure America: Report of</w:t>
      </w:r>
      <w:r w:rsidRPr="00BB1782">
        <w:rPr>
          <w:rFonts w:ascii="Times New Roman" w:eastAsia="Times New Roman" w:hAnsi="Times New Roman" w:cs="Times New Roman"/>
          <w:sz w:val="28"/>
          <w:szCs w:val="28"/>
          <w:lang w:val="uk-UA"/>
        </w:rPr>
        <w:t xml:space="preserve"> </w:t>
      </w:r>
      <w:r w:rsidRPr="00BB1782">
        <w:rPr>
          <w:rFonts w:ascii="Times New Roman" w:eastAsia="Times New Roman" w:hAnsi="Times New Roman" w:cs="Times New Roman"/>
          <w:sz w:val="28"/>
          <w:szCs w:val="28"/>
        </w:rPr>
        <w:t>the Commission on Smart Power, Center</w:t>
      </w:r>
      <w:r w:rsidRPr="00BB1782">
        <w:rPr>
          <w:rFonts w:ascii="Times New Roman" w:eastAsia="Times New Roman" w:hAnsi="Times New Roman" w:cs="Times New Roman"/>
          <w:sz w:val="28"/>
          <w:szCs w:val="28"/>
          <w:lang w:val="uk-UA"/>
        </w:rPr>
        <w:t xml:space="preserve"> </w:t>
      </w:r>
      <w:r w:rsidRPr="00BB1782">
        <w:rPr>
          <w:rFonts w:ascii="Times New Roman" w:eastAsia="Times New Roman" w:hAnsi="Times New Roman" w:cs="Times New Roman"/>
          <w:sz w:val="28"/>
          <w:szCs w:val="28"/>
        </w:rPr>
        <w:t>for Strategic and International Studies.</w:t>
      </w:r>
      <w:r w:rsidRPr="00BB1782">
        <w:rPr>
          <w:rFonts w:ascii="Times New Roman" w:eastAsia="Times New Roman" w:hAnsi="Times New Roman" w:cs="Times New Roman"/>
          <w:sz w:val="28"/>
          <w:szCs w:val="28"/>
          <w:lang w:val="uk-UA"/>
        </w:rPr>
        <w:t xml:space="preserve"> </w:t>
      </w:r>
      <w:r w:rsidRPr="00BB1782">
        <w:rPr>
          <w:rFonts w:ascii="Times New Roman" w:eastAsia="Times New Roman" w:hAnsi="Times New Roman" w:cs="Times New Roman"/>
          <w:sz w:val="28"/>
          <w:szCs w:val="28"/>
        </w:rPr>
        <w:t>Armitage</w:t>
      </w:r>
      <w:r w:rsidRPr="00BB1782">
        <w:rPr>
          <w:rFonts w:ascii="Times New Roman" w:eastAsia="Times New Roman" w:hAnsi="Times New Roman" w:cs="Times New Roman"/>
          <w:sz w:val="28"/>
          <w:szCs w:val="28"/>
          <w:lang w:val="uk-UA"/>
        </w:rPr>
        <w:t>.</w:t>
      </w:r>
      <w:r w:rsidRPr="00BB1782">
        <w:rPr>
          <w:rFonts w:ascii="Times New Roman" w:eastAsia="Times New Roman" w:hAnsi="Times New Roman" w:cs="Times New Roman"/>
          <w:sz w:val="28"/>
          <w:szCs w:val="28"/>
        </w:rPr>
        <w:t xml:space="preserve"> November.</w:t>
      </w:r>
    </w:p>
    <w:p w14:paraId="377D354D"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 xml:space="preserve">Nye Joseph S. (2021). Soft Power: The Evolution of a Concept. Journal of Political Power Volume 14 Issue 1 February 196-208. </w:t>
      </w:r>
    </w:p>
    <w:p w14:paraId="5972AB08"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Nye, J.</w:t>
      </w:r>
      <w:r w:rsidRPr="00BB1782">
        <w:rPr>
          <w:rFonts w:ascii="Times New Roman" w:eastAsia="Times New Roman" w:hAnsi="Times New Roman" w:cs="Times New Roman"/>
          <w:sz w:val="28"/>
          <w:szCs w:val="28"/>
          <w:lang w:val="uk-UA"/>
        </w:rPr>
        <w:t xml:space="preserve"> (2012).</w:t>
      </w:r>
      <w:r w:rsidRPr="00BB1782">
        <w:rPr>
          <w:rFonts w:ascii="Times New Roman" w:eastAsia="Times New Roman" w:hAnsi="Times New Roman" w:cs="Times New Roman"/>
          <w:sz w:val="28"/>
          <w:szCs w:val="28"/>
        </w:rPr>
        <w:t xml:space="preserve"> Get Smart: Combining Hard and Soft Power. Foreign Affairs.</w:t>
      </w:r>
      <w:r w:rsidRPr="00BB1782">
        <w:rPr>
          <w:rFonts w:ascii="Times New Roman" w:eastAsia="Times New Roman" w:hAnsi="Times New Roman" w:cs="Times New Roman"/>
          <w:sz w:val="28"/>
          <w:szCs w:val="28"/>
          <w:lang w:val="uk-UA"/>
        </w:rPr>
        <w:t xml:space="preserve"> </w:t>
      </w:r>
      <w:r w:rsidRPr="00BB1782">
        <w:rPr>
          <w:rFonts w:ascii="Times New Roman" w:eastAsia="Times New Roman" w:hAnsi="Times New Roman" w:cs="Times New Roman"/>
          <w:sz w:val="28"/>
          <w:szCs w:val="28"/>
        </w:rPr>
        <w:t>2012. Vol. 88</w:t>
      </w:r>
      <w:r w:rsidRPr="00BB1782">
        <w:rPr>
          <w:rFonts w:ascii="Times New Roman" w:eastAsia="Times New Roman" w:hAnsi="Times New Roman" w:cs="Times New Roman"/>
          <w:sz w:val="28"/>
          <w:szCs w:val="28"/>
          <w:lang w:val="uk-UA"/>
        </w:rPr>
        <w:t>,</w:t>
      </w:r>
      <w:r w:rsidRPr="00BB1782">
        <w:rPr>
          <w:rFonts w:ascii="Times New Roman" w:eastAsia="Times New Roman" w:hAnsi="Times New Roman" w:cs="Times New Roman"/>
          <w:sz w:val="28"/>
          <w:szCs w:val="28"/>
        </w:rPr>
        <w:t xml:space="preserve"> 4</w:t>
      </w:r>
      <w:r w:rsidRPr="00BB1782">
        <w:rPr>
          <w:rFonts w:ascii="Times New Roman" w:eastAsia="Times New Roman" w:hAnsi="Times New Roman" w:cs="Times New Roman"/>
          <w:sz w:val="28"/>
          <w:szCs w:val="28"/>
          <w:lang w:val="uk-UA"/>
        </w:rPr>
        <w:t>,</w:t>
      </w:r>
      <w:r w:rsidRPr="00BB1782">
        <w:rPr>
          <w:rFonts w:ascii="Times New Roman" w:eastAsia="Times New Roman" w:hAnsi="Times New Roman" w:cs="Times New Roman"/>
          <w:sz w:val="28"/>
          <w:szCs w:val="28"/>
        </w:rPr>
        <w:t xml:space="preserve"> 160-163.</w:t>
      </w:r>
    </w:p>
    <w:p w14:paraId="1F182681"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Nyе J. S.</w:t>
      </w:r>
      <w:r w:rsidRPr="00BB1782">
        <w:rPr>
          <w:rFonts w:ascii="Times New Roman" w:eastAsia="Times New Roman" w:hAnsi="Times New Roman" w:cs="Times New Roman"/>
          <w:sz w:val="28"/>
          <w:szCs w:val="28"/>
          <w:lang w:val="uk-UA"/>
        </w:rPr>
        <w:t xml:space="preserve"> (2003).</w:t>
      </w:r>
      <w:r w:rsidRPr="00BB1782">
        <w:rPr>
          <w:rFonts w:ascii="Times New Roman" w:eastAsia="Times New Roman" w:hAnsi="Times New Roman" w:cs="Times New Roman"/>
          <w:sz w:val="28"/>
          <w:szCs w:val="28"/>
        </w:rPr>
        <w:t xml:space="preserve"> The Paradox of American Power: Why the World’s Only</w:t>
      </w:r>
      <w:r w:rsidRPr="00BB1782">
        <w:rPr>
          <w:rFonts w:ascii="Times New Roman" w:eastAsia="Times New Roman" w:hAnsi="Times New Roman" w:cs="Times New Roman"/>
          <w:sz w:val="28"/>
          <w:szCs w:val="28"/>
          <w:lang w:val="uk-UA"/>
        </w:rPr>
        <w:t xml:space="preserve"> </w:t>
      </w:r>
      <w:r w:rsidRPr="00BB1782">
        <w:rPr>
          <w:rFonts w:ascii="Times New Roman" w:eastAsia="Times New Roman" w:hAnsi="Times New Roman" w:cs="Times New Roman"/>
          <w:sz w:val="28"/>
          <w:szCs w:val="28"/>
        </w:rPr>
        <w:t>Superpower Can’t Go It Alone. New York :</w:t>
      </w:r>
      <w:r w:rsidRPr="00BB1782">
        <w:rPr>
          <w:rFonts w:ascii="Times New Roman" w:eastAsia="Times New Roman" w:hAnsi="Times New Roman" w:cs="Times New Roman"/>
          <w:sz w:val="28"/>
          <w:szCs w:val="28"/>
          <w:lang w:val="uk-UA"/>
        </w:rPr>
        <w:t xml:space="preserve"> </w:t>
      </w:r>
      <w:r w:rsidRPr="00BB1782">
        <w:rPr>
          <w:rFonts w:ascii="Times New Roman" w:eastAsia="Times New Roman" w:hAnsi="Times New Roman" w:cs="Times New Roman"/>
          <w:sz w:val="28"/>
          <w:szCs w:val="28"/>
        </w:rPr>
        <w:t>Oxford University Press</w:t>
      </w:r>
    </w:p>
    <w:p w14:paraId="7C89D91C"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Oguzlu T. (2012). The «Arab Spring» and the Rise of the 2.0 Version of Turkey’s «zero problems with neighbors» Policy. </w:t>
      </w:r>
      <w:r w:rsidRPr="00BB1782">
        <w:rPr>
          <w:rFonts w:ascii="Times New Roman" w:eastAsia="Times New Roman" w:hAnsi="Times New Roman" w:cs="Times New Roman"/>
          <w:i/>
          <w:sz w:val="28"/>
          <w:szCs w:val="28"/>
        </w:rPr>
        <w:t>SAM Papers</w:t>
      </w:r>
      <w:r w:rsidRPr="00BB1782">
        <w:rPr>
          <w:rFonts w:ascii="Times New Roman" w:eastAsia="Times New Roman" w:hAnsi="Times New Roman" w:cs="Times New Roman"/>
          <w:sz w:val="28"/>
          <w:szCs w:val="28"/>
        </w:rPr>
        <w:t xml:space="preserve"> / Center for Strategic Research Republic of Turkey Ministry of Foreign Affairs. February 1 1-22.</w:t>
      </w:r>
    </w:p>
    <w:p w14:paraId="4F5AF47E"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Öniş Z. &amp; Yılmaz Ş. (2009). Between Europeanization and Euro-Asianism: Foreign Policy Activism in Turkey during the AKP Era. Turkish Studies 10(1) 7-24.</w:t>
      </w:r>
    </w:p>
    <w:p w14:paraId="6F626036"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Öniş Z. (2004). Turkey and the European Union: Domestic Politics Economic Integration and International Dynamics. Turkish Studies 4(2) 25-44.</w:t>
      </w:r>
    </w:p>
    <w:p w14:paraId="2C11DAAD"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Öniş Z. (2015). Monopolizing the Center: The AKP and the Uncertain Path of Turkish Democracy. New Perspectives on Turkey 53 5-28.</w:t>
      </w:r>
    </w:p>
    <w:p w14:paraId="43FED76B"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Özçelik Ali Onur. Changing Dynamics of Regional Policy in Turkey: Resistance for Multi-level Governance? URL: </w:t>
      </w:r>
      <w:hyperlink r:id="rId23">
        <w:r w:rsidRPr="00BB1782">
          <w:rPr>
            <w:rFonts w:ascii="Times New Roman" w:eastAsia="Times New Roman" w:hAnsi="Times New Roman" w:cs="Times New Roman"/>
            <w:sz w:val="28"/>
            <w:szCs w:val="28"/>
            <w:u w:val="single"/>
          </w:rPr>
          <w:t>https://dergipark.org.tr/tr/download/article-file/19345</w:t>
        </w:r>
      </w:hyperlink>
      <w:r w:rsidRPr="00BB1782">
        <w:rPr>
          <w:rFonts w:ascii="Times New Roman" w:eastAsia="Times New Roman" w:hAnsi="Times New Roman" w:cs="Times New Roman"/>
          <w:sz w:val="28"/>
          <w:szCs w:val="28"/>
        </w:rPr>
        <w:t xml:space="preserve"> (дата звернення: 03.11.2024).</w:t>
      </w:r>
    </w:p>
    <w:p w14:paraId="229B0308"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lastRenderedPageBreak/>
        <w:t xml:space="preserve">Petrović Z. Reljić D. Turkish Interests and Involvement in the Western Balkans: A Score-Card. Insight Turkey. 2011. URL: </w:t>
      </w:r>
      <w:hyperlink r:id="rId24">
        <w:r w:rsidRPr="00BB1782">
          <w:rPr>
            <w:rFonts w:ascii="Times New Roman" w:eastAsia="Times New Roman" w:hAnsi="Times New Roman" w:cs="Times New Roman"/>
            <w:sz w:val="28"/>
            <w:szCs w:val="28"/>
            <w:u w:val="single"/>
          </w:rPr>
          <w:t>https://www.insightturkey.com/articles/turkish-interests-and-involvement-in-the-western-balkans-a-score-card</w:t>
        </w:r>
      </w:hyperlink>
      <w:r w:rsidRPr="00BB1782">
        <w:rPr>
          <w:rFonts w:ascii="Times New Roman" w:eastAsia="Times New Roman" w:hAnsi="Times New Roman" w:cs="Times New Roman"/>
          <w:sz w:val="28"/>
          <w:szCs w:val="28"/>
        </w:rPr>
        <w:t xml:space="preserve"> (дата звернення: 03.11.2024</w:t>
      </w:r>
    </w:p>
    <w:p w14:paraId="2FD0179C"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Power: The Means to Success in World Politics</w:t>
      </w:r>
      <w:r w:rsidRPr="00BB1782">
        <w:rPr>
          <w:rFonts w:ascii="Times New Roman" w:eastAsia="Times New Roman" w:hAnsi="Times New Roman" w:cs="Times New Roman"/>
          <w:sz w:val="28"/>
          <w:szCs w:val="28"/>
          <w:lang w:val="uk-UA"/>
        </w:rPr>
        <w:t xml:space="preserve"> (2004)</w:t>
      </w:r>
      <w:r w:rsidRPr="00BB1782">
        <w:rPr>
          <w:rFonts w:ascii="Times New Roman" w:eastAsia="Times New Roman" w:hAnsi="Times New Roman" w:cs="Times New Roman"/>
          <w:sz w:val="28"/>
          <w:szCs w:val="28"/>
        </w:rPr>
        <w:t>. New York: Public</w:t>
      </w:r>
      <w:r w:rsidRPr="00BB1782">
        <w:rPr>
          <w:rFonts w:ascii="Times New Roman" w:eastAsia="Times New Roman" w:hAnsi="Times New Roman" w:cs="Times New Roman"/>
          <w:sz w:val="28"/>
          <w:szCs w:val="28"/>
          <w:lang w:val="uk-UA"/>
        </w:rPr>
        <w:t xml:space="preserve"> </w:t>
      </w:r>
      <w:r w:rsidRPr="00BB1782">
        <w:rPr>
          <w:rFonts w:ascii="Times New Roman" w:eastAsia="Times New Roman" w:hAnsi="Times New Roman" w:cs="Times New Roman"/>
          <w:sz w:val="28"/>
          <w:szCs w:val="28"/>
        </w:rPr>
        <w:t>Affairs Group</w:t>
      </w:r>
    </w:p>
    <w:p w14:paraId="5D267D02"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Pupcenoks J. (2012). Democratic islamization in Pakistan and Turkey: Lessons for the post-Arab spring Muslim world. </w:t>
      </w:r>
      <w:r w:rsidRPr="00BB1782">
        <w:rPr>
          <w:rFonts w:ascii="Times New Roman" w:eastAsia="Times New Roman" w:hAnsi="Times New Roman" w:cs="Times New Roman"/>
          <w:i/>
          <w:sz w:val="28"/>
          <w:szCs w:val="28"/>
        </w:rPr>
        <w:t>The Middle East journal</w:t>
      </w:r>
      <w:r w:rsidRPr="00BB1782">
        <w:rPr>
          <w:rFonts w:ascii="Times New Roman" w:eastAsia="Times New Roman" w:hAnsi="Times New Roman" w:cs="Times New Roman"/>
          <w:sz w:val="28"/>
          <w:szCs w:val="28"/>
        </w:rPr>
        <w:t>. Wash..</w:t>
      </w:r>
    </w:p>
    <w:p w14:paraId="28969E8E"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Robins P. (2013). Turkey and Iran: Exploring Regional Rivalries and Mutual Interests. Middle East Policy 20(3) 68-78.</w:t>
      </w:r>
    </w:p>
    <w:p w14:paraId="354D657C"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Robins P. (2013). Turkey and the Middle East: Frontiers of the New Geographic Imagination. Turkish Studies 14(1) 187-197.</w:t>
      </w:r>
    </w:p>
    <w:p w14:paraId="753B0CDA"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Robins P. (2013). Turkey’s Role in the Arab Spring and Regional Dynamics. Middle East Policy 20(2) 23-35.</w:t>
      </w:r>
    </w:p>
    <w:p w14:paraId="7568F9FC"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Robins P. (2013). Turkey’s Role in the Muslim World: Leadership Influence and Economic Diplomacy. Middle East Policy 20(2) 1-18.</w:t>
      </w:r>
    </w:p>
    <w:p w14:paraId="574B1CE0"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Robins P. (2020). Turkey and the Eastern Mediterranean: A New Geopolitical Chessboard. Middle East Journal 24(1) 23-36.</w:t>
      </w:r>
    </w:p>
    <w:p w14:paraId="779F9F9A"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Robins P. (2020). Turkey and the Syrian Quagmire: Regional Rivalries and Domestic Constraints. Middle East Journal 24(1) 23-36.</w:t>
      </w:r>
    </w:p>
    <w:p w14:paraId="41BADC2B"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Ronen Y. Yanarocak H. E. C. (2013). Casting off the Shackles of Libya’s Arab-Middle Eastern Foreign Policy: A Unique Case of Rapprochement with non-Arab Turkey (1970s-2011). </w:t>
      </w:r>
      <w:r w:rsidRPr="00BB1782">
        <w:rPr>
          <w:rFonts w:ascii="Times New Roman" w:eastAsia="Times New Roman" w:hAnsi="Times New Roman" w:cs="Times New Roman"/>
          <w:i/>
          <w:sz w:val="28"/>
          <w:szCs w:val="28"/>
        </w:rPr>
        <w:t>The Journal of North African Studies</w:t>
      </w:r>
      <w:r w:rsidRPr="00BB1782">
        <w:rPr>
          <w:rFonts w:ascii="Times New Roman" w:eastAsia="Times New Roman" w:hAnsi="Times New Roman" w:cs="Times New Roman"/>
          <w:sz w:val="28"/>
          <w:szCs w:val="28"/>
        </w:rPr>
        <w:t>. 18 (3) 494-508.</w:t>
      </w:r>
    </w:p>
    <w:p w14:paraId="389D35F6"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Taspinar O. (2011). Turkey's Middle East Policies: Between Neo-Ottomanism and Kemalism. International Journal 66(1) 127-140.</w:t>
      </w:r>
    </w:p>
    <w:p w14:paraId="022BFE21"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Taylor А. (2022). Turkey steps up soft power efforts neglecting domestic issues. 2022. URL: </w:t>
      </w:r>
      <w:hyperlink r:id="rId25">
        <w:r w:rsidRPr="00BB1782">
          <w:rPr>
            <w:rFonts w:ascii="Times New Roman" w:eastAsia="Times New Roman" w:hAnsi="Times New Roman" w:cs="Times New Roman"/>
            <w:sz w:val="28"/>
            <w:szCs w:val="28"/>
            <w:u w:val="single"/>
          </w:rPr>
          <w:t>https://www.euractiv.com/section/global-</w:t>
        </w:r>
        <w:r w:rsidRPr="00BB1782">
          <w:rPr>
            <w:rFonts w:ascii="Times New Roman" w:eastAsia="Times New Roman" w:hAnsi="Times New Roman" w:cs="Times New Roman"/>
            <w:sz w:val="28"/>
            <w:szCs w:val="28"/>
            <w:u w:val="single"/>
          </w:rPr>
          <w:lastRenderedPageBreak/>
          <w:t>europe/news/turkey-steps-up-soft-power-efforts-neglecting-domestic-issues</w:t>
        </w:r>
      </w:hyperlink>
      <w:r w:rsidRPr="00BB1782">
        <w:rPr>
          <w:rFonts w:ascii="Times New Roman" w:eastAsia="Times New Roman" w:hAnsi="Times New Roman" w:cs="Times New Roman"/>
          <w:sz w:val="28"/>
          <w:szCs w:val="28"/>
        </w:rPr>
        <w:t xml:space="preserve"> (дата звернення: 03.11.2024).</w:t>
      </w:r>
    </w:p>
    <w:p w14:paraId="6CC0F0B5"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The Impact of Changing Islamic Identity on Turkey's New Foreign Policy. Martina Warning and Tuncay Kardas. URL: </w:t>
      </w:r>
      <w:hyperlink r:id="rId26">
        <w:r w:rsidRPr="00BB1782">
          <w:rPr>
            <w:rFonts w:ascii="Times New Roman" w:eastAsia="Times New Roman" w:hAnsi="Times New Roman" w:cs="Times New Roman"/>
            <w:sz w:val="28"/>
            <w:szCs w:val="28"/>
            <w:u w:val="single"/>
          </w:rPr>
          <w:t>https://dergipark.org.tr/tr/download/article-file/19272</w:t>
        </w:r>
      </w:hyperlink>
      <w:r w:rsidRPr="00BB1782">
        <w:rPr>
          <w:rFonts w:ascii="Times New Roman" w:eastAsia="Times New Roman" w:hAnsi="Times New Roman" w:cs="Times New Roman"/>
          <w:sz w:val="28"/>
          <w:szCs w:val="28"/>
        </w:rPr>
        <w:t xml:space="preserve"> (дата звернення: 03.11.2024).</w:t>
      </w:r>
    </w:p>
    <w:p w14:paraId="40DF3CDA"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The New Turn in Turkey’s Foreign Policy in the Middle East: Regional and Domestic Insecurities by Meliha Benli Altunışık. URL: </w:t>
      </w:r>
      <w:hyperlink r:id="rId27">
        <w:r w:rsidRPr="00BB1782">
          <w:rPr>
            <w:rFonts w:ascii="Times New Roman" w:eastAsia="Times New Roman" w:hAnsi="Times New Roman" w:cs="Times New Roman"/>
            <w:sz w:val="28"/>
            <w:szCs w:val="28"/>
            <w:u w:val="single"/>
          </w:rPr>
          <w:t>https://www.iai.it/sites/default/files/iaip2017.pdf</w:t>
        </w:r>
      </w:hyperlink>
      <w:r w:rsidRPr="00BB1782">
        <w:rPr>
          <w:rFonts w:ascii="Times New Roman" w:eastAsia="Times New Roman" w:hAnsi="Times New Roman" w:cs="Times New Roman"/>
          <w:sz w:val="28"/>
          <w:szCs w:val="28"/>
        </w:rPr>
        <w:t>(дата звернення: 03.11.2024).</w:t>
      </w:r>
    </w:p>
    <w:p w14:paraId="4F2E53BB"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Tiftikçigil B. (2015). Turkey’s Economic Diplomacy in the Middle East and North Africa. Insight Turkey 17(3) 45-57.</w:t>
      </w:r>
    </w:p>
    <w:p w14:paraId="3F4F1349"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Toprak B. (1981). Islam and Political Development in Turkey. Brill.</w:t>
      </w:r>
    </w:p>
    <w:p w14:paraId="57A3B601"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Türk diş politikasinda islam dünyasina yönelişin ideoloji ve güç dengesi bağlaminda analizi. URL: </w:t>
      </w:r>
      <w:hyperlink r:id="rId28">
        <w:r w:rsidRPr="00BB1782">
          <w:rPr>
            <w:rFonts w:ascii="Times New Roman" w:eastAsia="Times New Roman" w:hAnsi="Times New Roman" w:cs="Times New Roman"/>
            <w:sz w:val="28"/>
            <w:szCs w:val="28"/>
            <w:u w:val="single"/>
          </w:rPr>
          <w:t>https://dergipark.org.tr/tr/download/article-file/929597</w:t>
        </w:r>
      </w:hyperlink>
      <w:r w:rsidRPr="00BB1782">
        <w:rPr>
          <w:rFonts w:ascii="Times New Roman" w:eastAsia="Times New Roman" w:hAnsi="Times New Roman" w:cs="Times New Roman"/>
          <w:sz w:val="28"/>
          <w:szCs w:val="28"/>
        </w:rPr>
        <w:t xml:space="preserve"> (дата звернення: 03.11.2024).</w:t>
      </w:r>
    </w:p>
    <w:p w14:paraId="3E8A2013"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Türk Dış Politikasında İslamcı-Kemalist Hesaplaşma: Erbakan Dönemi Libya Örneği/ Dilek Küçükboz. URL: </w:t>
      </w:r>
      <w:hyperlink r:id="rId29">
        <w:r w:rsidRPr="00BB1782">
          <w:rPr>
            <w:rFonts w:ascii="Times New Roman" w:eastAsia="Times New Roman" w:hAnsi="Times New Roman" w:cs="Times New Roman"/>
            <w:sz w:val="28"/>
            <w:szCs w:val="28"/>
            <w:u w:val="single"/>
          </w:rPr>
          <w:t>https://ormer.sakarya.edu.tr/uploads/files/turk_dis_politikasinda_islamci_kemalist_hesaplasma_erbakan_donemi_libya_ornegi_dilek_kucukboz.pdf</w:t>
        </w:r>
      </w:hyperlink>
      <w:r w:rsidRPr="00BB1782">
        <w:rPr>
          <w:rFonts w:ascii="Times New Roman" w:eastAsia="Times New Roman" w:hAnsi="Times New Roman" w:cs="Times New Roman"/>
          <w:sz w:val="28"/>
          <w:szCs w:val="28"/>
        </w:rPr>
        <w:t>(дата звернення: 03.11.2024).</w:t>
      </w:r>
    </w:p>
    <w:p w14:paraId="53FD5F54"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Turkey’s Pan-Islamist Foreign Policy. URL: </w:t>
      </w:r>
      <w:hyperlink r:id="rId30">
        <w:r w:rsidRPr="00BB1782">
          <w:rPr>
            <w:rFonts w:ascii="Times New Roman" w:eastAsia="Times New Roman" w:hAnsi="Times New Roman" w:cs="Times New Roman"/>
            <w:sz w:val="28"/>
            <w:szCs w:val="28"/>
            <w:u w:val="single"/>
          </w:rPr>
          <w:t>https://www.thecairoreview.com/essays/turkeys-pan-islamist-foreign-policy</w:t>
        </w:r>
      </w:hyperlink>
      <w:r w:rsidRPr="00BB1782">
        <w:rPr>
          <w:rFonts w:ascii="Times New Roman" w:eastAsia="Times New Roman" w:hAnsi="Times New Roman" w:cs="Times New Roman"/>
          <w:sz w:val="28"/>
          <w:szCs w:val="28"/>
        </w:rPr>
        <w:t xml:space="preserve"> (дата звернення: 03.11.2024). </w:t>
      </w:r>
    </w:p>
    <w:p w14:paraId="3A3EFEF8"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Turkish Foreign Policy in the Middle East During the Rule of the Justice and Development Party: Interaction of Interests and Future </w:t>
      </w:r>
      <w:r w:rsidRPr="00BB1782">
        <w:rPr>
          <w:rFonts w:ascii="Times New Roman" w:eastAsia="Times New Roman" w:hAnsi="Times New Roman" w:cs="Times New Roman"/>
          <w:sz w:val="28"/>
          <w:szCs w:val="28"/>
        </w:rPr>
        <w:lastRenderedPageBreak/>
        <w:t xml:space="preserve">Challenges. URL: </w:t>
      </w:r>
      <w:hyperlink r:id="rId31">
        <w:r w:rsidRPr="00BB1782">
          <w:rPr>
            <w:rFonts w:ascii="Times New Roman" w:eastAsia="Times New Roman" w:hAnsi="Times New Roman" w:cs="Times New Roman"/>
            <w:sz w:val="28"/>
            <w:szCs w:val="28"/>
            <w:u w:val="single"/>
          </w:rPr>
          <w:t>https://dergipark.org.tr/tr/download/article-file/2595870</w:t>
        </w:r>
      </w:hyperlink>
      <w:r w:rsidRPr="00BB1782">
        <w:rPr>
          <w:rFonts w:ascii="Times New Roman" w:eastAsia="Times New Roman" w:hAnsi="Times New Roman" w:cs="Times New Roman"/>
          <w:sz w:val="28"/>
          <w:szCs w:val="28"/>
        </w:rPr>
        <w:t xml:space="preserve"> (дата звернення: 03.11.2024).</w:t>
      </w:r>
    </w:p>
    <w:p w14:paraId="1DC847B0"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Türkiye İstatistik Kurumu (TÜİK) – Турецький статистичний інститут. URL: https://www.tuik.gov.tr. (дата звернення: 03.11.2024).</w:t>
      </w:r>
    </w:p>
    <w:p w14:paraId="2772EB61"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Türkiye's Relations with the Arab Countries. URL: </w:t>
      </w:r>
      <w:hyperlink r:id="rId32" w:anchor=":~:text=In%20this%20context%2C%20T%C3%BCrkiye%20stands,challenges%20that%20these%20countries%20encounter">
        <w:r w:rsidRPr="00BB1782">
          <w:rPr>
            <w:rFonts w:ascii="Times New Roman" w:eastAsia="Times New Roman" w:hAnsi="Times New Roman" w:cs="Times New Roman"/>
            <w:sz w:val="28"/>
            <w:szCs w:val="28"/>
            <w:u w:val="single"/>
          </w:rPr>
          <w:t>https://www.mfa.gov.tr/turkiye_s-relations-with-the-arab-countries.en.mfa:~:text=In%20this%20context%2C%20Türkiye%20standschallenges%20that%20these%20countries%20encounter</w:t>
        </w:r>
      </w:hyperlink>
      <w:r w:rsidRPr="00BB1782">
        <w:rPr>
          <w:rFonts w:ascii="Times New Roman" w:eastAsia="Times New Roman" w:hAnsi="Times New Roman" w:cs="Times New Roman"/>
          <w:sz w:val="28"/>
          <w:szCs w:val="28"/>
        </w:rPr>
        <w:t xml:space="preserve"> (дата звернення: 03.11.2024).</w:t>
      </w:r>
    </w:p>
    <w:p w14:paraId="7EBCA3CE"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Ulrichsen K. C. (2020). The Geopolitics of the Gulf and Turkey’s Role in Regional Security. International Affairs 96(1) 115-130.</w:t>
      </w:r>
    </w:p>
    <w:p w14:paraId="25E4FF30"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UNHCR (2020). Turkey Refugee Response: Syrian Refugees Overview. UNHCR Report.</w:t>
      </w:r>
    </w:p>
    <w:p w14:paraId="5D1E96E6"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WITS Data (2020) – World Integrated Trade Solution. URL: https://wits.worldbank.org. (дата звернення: 03.11.2024).</w:t>
      </w:r>
    </w:p>
    <w:p w14:paraId="798FD3D0"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WITS Data (2020). Turkey Trade Summary 2020. World Integrated Trade Solution.</w:t>
      </w:r>
    </w:p>
    <w:p w14:paraId="1DBDBFBC"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Yavuz H. (2020). Islamic Political Identity in Turkey. Oxford: Oxford University Press 320 с.</w:t>
      </w:r>
    </w:p>
    <w:p w14:paraId="13715BCD"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Yavuz M. H. (2009). Secularism and Muslim Democracy in Turkey. Cambridge University Press.</w:t>
      </w:r>
    </w:p>
    <w:p w14:paraId="7EDB8C67"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rPr>
      </w:pPr>
      <w:r w:rsidRPr="00BB1782">
        <w:rPr>
          <w:rFonts w:ascii="Times New Roman" w:eastAsia="Times New Roman" w:hAnsi="Times New Roman" w:cs="Times New Roman"/>
          <w:sz w:val="28"/>
          <w:szCs w:val="28"/>
        </w:rPr>
        <w:t xml:space="preserve">Yenigün С. (2009). Turkey as a Balkan Country. Turkey’s Role on Solving of Balkan Issues. 2009. URL: </w:t>
      </w:r>
      <w:hyperlink r:id="rId33">
        <w:r w:rsidRPr="00BB1782">
          <w:rPr>
            <w:rFonts w:ascii="Times New Roman" w:eastAsia="Times New Roman" w:hAnsi="Times New Roman" w:cs="Times New Roman"/>
            <w:sz w:val="28"/>
            <w:szCs w:val="28"/>
            <w:u w:val="single"/>
          </w:rPr>
          <w:t>https://www.researchgate.net/publication/281374247_Turkey's_Role_on_Solving_of_Balkan_Issues</w:t>
        </w:r>
      </w:hyperlink>
      <w:r w:rsidRPr="00BB1782">
        <w:rPr>
          <w:rFonts w:ascii="Times New Roman" w:eastAsia="Times New Roman" w:hAnsi="Times New Roman" w:cs="Times New Roman"/>
          <w:sz w:val="28"/>
          <w:szCs w:val="28"/>
        </w:rPr>
        <w:t>(дата звернення: 03.11.2024).</w:t>
      </w:r>
    </w:p>
    <w:p w14:paraId="47A64FD1"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 xml:space="preserve">Yeşiltaş Murat Bilgehan Öztürk Gloria Shkurti Özdemir et al. SETA Security Radar: Türkiye’s Geopolitical Landscape in 2024. SETA. URL: </w:t>
      </w:r>
      <w:hyperlink r:id="rId34">
        <w:r w:rsidRPr="00BB1782">
          <w:rPr>
            <w:rFonts w:ascii="Times New Roman" w:eastAsia="Times New Roman" w:hAnsi="Times New Roman" w:cs="Times New Roman"/>
            <w:sz w:val="28"/>
            <w:szCs w:val="28"/>
            <w:highlight w:val="white"/>
            <w:u w:val="single"/>
          </w:rPr>
          <w:t>https://www.setav.org</w:t>
        </w:r>
      </w:hyperlink>
      <w:r w:rsidRPr="00BB1782">
        <w:rPr>
          <w:rFonts w:ascii="Times New Roman" w:eastAsia="Times New Roman" w:hAnsi="Times New Roman" w:cs="Times New Roman"/>
          <w:sz w:val="28"/>
          <w:szCs w:val="28"/>
          <w:highlight w:val="white"/>
        </w:rPr>
        <w:t xml:space="preserve"> (дата звернення: 03.11.2024).</w:t>
      </w:r>
    </w:p>
    <w:p w14:paraId="5250DD44"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lastRenderedPageBreak/>
        <w:t>Yildirim A. (2017). Turkish Influence in European Muslim Communities: A Study of Diyanet's Activities in Central and Eastern Europe. European Politics and Society 18(2) 234-255.</w:t>
      </w:r>
    </w:p>
    <w:p w14:paraId="03455977"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Yilmaz I. (2012). Islam and European Secularism: A Turkish View. Journal of Muslim Minority Affairs 32(4) 65-81.</w:t>
      </w:r>
    </w:p>
    <w:p w14:paraId="1685E2F4"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 xml:space="preserve">Zeli Alfredo. (2024). The Positivist Research Agenda of Soft Power: A Critical Review. Journal of International Relations Security and Economic Studies Volume 3 Issue 4 April 21-27. </w:t>
      </w:r>
    </w:p>
    <w:p w14:paraId="29607161" w14:textId="77777777" w:rsidR="00E86D0A" w:rsidRPr="00BB1782" w:rsidRDefault="00E86D0A" w:rsidP="00E86D0A">
      <w:pPr>
        <w:pStyle w:val="ad"/>
        <w:numPr>
          <w:ilvl w:val="0"/>
          <w:numId w:val="1"/>
        </w:numPr>
        <w:spacing w:line="360" w:lineRule="auto"/>
        <w:jc w:val="both"/>
        <w:rPr>
          <w:rFonts w:ascii="Times New Roman" w:eastAsia="Times New Roman" w:hAnsi="Times New Roman" w:cs="Times New Roman"/>
          <w:sz w:val="28"/>
          <w:szCs w:val="28"/>
          <w:highlight w:val="white"/>
        </w:rPr>
      </w:pPr>
      <w:r w:rsidRPr="00BB1782">
        <w:rPr>
          <w:rFonts w:ascii="Times New Roman" w:eastAsia="Times New Roman" w:hAnsi="Times New Roman" w:cs="Times New Roman"/>
          <w:sz w:val="28"/>
          <w:szCs w:val="28"/>
          <w:highlight w:val="white"/>
        </w:rPr>
        <w:t>Zürcher E. J. (2004). Turkey: A Modern History. I.B. Tauris.</w:t>
      </w:r>
    </w:p>
    <w:sectPr w:rsidR="00E86D0A" w:rsidRPr="00BB1782" w:rsidSect="00F45923">
      <w:headerReference w:type="even" r:id="rId35"/>
      <w:headerReference w:type="default" r:id="rId36"/>
      <w:pgSz w:w="11909" w:h="16834"/>
      <w:pgMar w:top="1440" w:right="851" w:bottom="1440" w:left="1985" w:header="720" w:footer="720"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DA0855F" w14:textId="77777777" w:rsidR="00B02BA1" w:rsidRDefault="00B02BA1">
      <w:pPr>
        <w:spacing w:line="240" w:lineRule="auto"/>
      </w:pPr>
      <w:r>
        <w:separator/>
      </w:r>
    </w:p>
  </w:endnote>
  <w:endnote w:type="continuationSeparator" w:id="0">
    <w:p w14:paraId="62504B5C" w14:textId="77777777" w:rsidR="00B02BA1" w:rsidRDefault="00B02BA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B837A39" w14:textId="77777777" w:rsidR="00B02BA1" w:rsidRDefault="00B02BA1">
      <w:pPr>
        <w:spacing w:line="240" w:lineRule="auto"/>
      </w:pPr>
      <w:r>
        <w:separator/>
      </w:r>
    </w:p>
  </w:footnote>
  <w:footnote w:type="continuationSeparator" w:id="0">
    <w:p w14:paraId="3C1DD7CC" w14:textId="77777777" w:rsidR="00B02BA1" w:rsidRDefault="00B02BA1">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e"/>
      </w:rPr>
      <w:id w:val="1052350363"/>
      <w:docPartObj>
        <w:docPartGallery w:val="Page Numbers (Top of Page)"/>
        <w:docPartUnique/>
      </w:docPartObj>
    </w:sdtPr>
    <w:sdtContent>
      <w:p w14:paraId="30716B62" w14:textId="244FAAEC" w:rsidR="00A206A1" w:rsidRDefault="00A206A1" w:rsidP="00F45923">
        <w:pPr>
          <w:pStyle w:val="a5"/>
          <w:framePr w:wrap="none" w:vAnchor="text" w:hAnchor="margin" w:xAlign="right" w:y="1"/>
          <w:rPr>
            <w:rStyle w:val="ae"/>
          </w:rPr>
        </w:pPr>
        <w:r>
          <w:rPr>
            <w:rStyle w:val="ae"/>
          </w:rPr>
          <w:fldChar w:fldCharType="begin"/>
        </w:r>
        <w:r>
          <w:rPr>
            <w:rStyle w:val="ae"/>
          </w:rPr>
          <w:instrText xml:space="preserve"> PAGE </w:instrText>
        </w:r>
        <w:r>
          <w:rPr>
            <w:rStyle w:val="ae"/>
          </w:rPr>
          <w:fldChar w:fldCharType="end"/>
        </w:r>
      </w:p>
    </w:sdtContent>
  </w:sdt>
  <w:p w14:paraId="08C4751B" w14:textId="77777777" w:rsidR="00A206A1" w:rsidRDefault="00A206A1" w:rsidP="00F45923">
    <w:pPr>
      <w:pStyle w:val="a5"/>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e"/>
      </w:rPr>
      <w:id w:val="-445319678"/>
      <w:docPartObj>
        <w:docPartGallery w:val="Page Numbers (Top of Page)"/>
        <w:docPartUnique/>
      </w:docPartObj>
    </w:sdtPr>
    <w:sdtContent>
      <w:p w14:paraId="2557A4EE" w14:textId="49665E27" w:rsidR="00A206A1" w:rsidRDefault="00A206A1" w:rsidP="00A206A1">
        <w:pPr>
          <w:pStyle w:val="a5"/>
          <w:framePr w:wrap="none" w:vAnchor="text" w:hAnchor="margin" w:xAlign="right" w:y="1"/>
          <w:rPr>
            <w:rStyle w:val="ae"/>
          </w:rPr>
        </w:pPr>
        <w:r>
          <w:rPr>
            <w:rStyle w:val="ae"/>
          </w:rPr>
          <w:fldChar w:fldCharType="begin"/>
        </w:r>
        <w:r>
          <w:rPr>
            <w:rStyle w:val="ae"/>
          </w:rPr>
          <w:instrText xml:space="preserve"> PAGE </w:instrText>
        </w:r>
        <w:r>
          <w:rPr>
            <w:rStyle w:val="ae"/>
          </w:rPr>
          <w:fldChar w:fldCharType="separate"/>
        </w:r>
        <w:r w:rsidR="00CF3906">
          <w:rPr>
            <w:rStyle w:val="ae"/>
            <w:noProof/>
          </w:rPr>
          <w:t>77</w:t>
        </w:r>
        <w:r>
          <w:rPr>
            <w:rStyle w:val="ae"/>
          </w:rPr>
          <w:fldChar w:fldCharType="end"/>
        </w:r>
      </w:p>
    </w:sdtContent>
  </w:sdt>
  <w:p w14:paraId="0000025A" w14:textId="117121CD" w:rsidR="00A206A1" w:rsidRPr="00841CA0" w:rsidRDefault="00A206A1" w:rsidP="00F45923">
    <w:pPr>
      <w:pStyle w:val="a5"/>
      <w:ind w:right="360"/>
      <w:jc w:val="right"/>
      <w:rPr>
        <w:rFonts w:ascii="Times New Roman" w:hAnsi="Times New Roman" w:cs="Times New Roma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0E720E"/>
    <w:multiLevelType w:val="hybridMultilevel"/>
    <w:tmpl w:val="C2A49B70"/>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nsid w:val="77CE6973"/>
    <w:multiLevelType w:val="hybridMultilevel"/>
    <w:tmpl w:val="4C20DCB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23BC"/>
    <w:rsid w:val="00011622"/>
    <w:rsid w:val="000A26E2"/>
    <w:rsid w:val="000B5C4F"/>
    <w:rsid w:val="000D4814"/>
    <w:rsid w:val="00125723"/>
    <w:rsid w:val="00186D10"/>
    <w:rsid w:val="001A66A8"/>
    <w:rsid w:val="001E1656"/>
    <w:rsid w:val="001E506F"/>
    <w:rsid w:val="00226F11"/>
    <w:rsid w:val="002806AF"/>
    <w:rsid w:val="002D746F"/>
    <w:rsid w:val="00307D4D"/>
    <w:rsid w:val="003347E3"/>
    <w:rsid w:val="003C0033"/>
    <w:rsid w:val="003D3904"/>
    <w:rsid w:val="003E32CC"/>
    <w:rsid w:val="00466EE3"/>
    <w:rsid w:val="0047297D"/>
    <w:rsid w:val="004B6384"/>
    <w:rsid w:val="004C0064"/>
    <w:rsid w:val="004C7D77"/>
    <w:rsid w:val="004F142B"/>
    <w:rsid w:val="00532053"/>
    <w:rsid w:val="00532FB5"/>
    <w:rsid w:val="00552BE2"/>
    <w:rsid w:val="00572BAF"/>
    <w:rsid w:val="005A2E26"/>
    <w:rsid w:val="005A515E"/>
    <w:rsid w:val="005B0ADE"/>
    <w:rsid w:val="005B5ECC"/>
    <w:rsid w:val="005E5C87"/>
    <w:rsid w:val="006126C1"/>
    <w:rsid w:val="00671BA5"/>
    <w:rsid w:val="00712845"/>
    <w:rsid w:val="007376AD"/>
    <w:rsid w:val="007410F2"/>
    <w:rsid w:val="00771CAD"/>
    <w:rsid w:val="00776F3D"/>
    <w:rsid w:val="00792C2E"/>
    <w:rsid w:val="007B1944"/>
    <w:rsid w:val="007D2621"/>
    <w:rsid w:val="007F5287"/>
    <w:rsid w:val="00832A2D"/>
    <w:rsid w:val="00841CA0"/>
    <w:rsid w:val="00881A14"/>
    <w:rsid w:val="008B7EAF"/>
    <w:rsid w:val="008C27B4"/>
    <w:rsid w:val="008D4E95"/>
    <w:rsid w:val="00904544"/>
    <w:rsid w:val="009123BC"/>
    <w:rsid w:val="009318C9"/>
    <w:rsid w:val="00972315"/>
    <w:rsid w:val="009B087A"/>
    <w:rsid w:val="00A206A1"/>
    <w:rsid w:val="00A32863"/>
    <w:rsid w:val="00AF770D"/>
    <w:rsid w:val="00B02BA1"/>
    <w:rsid w:val="00B34B13"/>
    <w:rsid w:val="00B87CDE"/>
    <w:rsid w:val="00BB1782"/>
    <w:rsid w:val="00C01051"/>
    <w:rsid w:val="00C335A4"/>
    <w:rsid w:val="00C40C50"/>
    <w:rsid w:val="00C6458D"/>
    <w:rsid w:val="00C64E7A"/>
    <w:rsid w:val="00C9154A"/>
    <w:rsid w:val="00CF3906"/>
    <w:rsid w:val="00CF620C"/>
    <w:rsid w:val="00D45147"/>
    <w:rsid w:val="00DA02E1"/>
    <w:rsid w:val="00E13F83"/>
    <w:rsid w:val="00E4753D"/>
    <w:rsid w:val="00E520E4"/>
    <w:rsid w:val="00E86D0A"/>
    <w:rsid w:val="00EB1ECC"/>
    <w:rsid w:val="00EC771B"/>
    <w:rsid w:val="00F45923"/>
    <w:rsid w:val="00FC4F84"/>
    <w:rsid w:val="00FD6D40"/>
    <w:rsid w:val="00FE010C"/>
  </w:rsids>
  <m:mathPr>
    <m:mathFont m:val="Cambria Math"/>
    <m:brkBin m:val="before"/>
    <m:brkBinSub m:val="--"/>
    <m:smallFrac m:val="0"/>
    <m:dispDef/>
    <m:lMargin m:val="0"/>
    <m:rMargin m:val="0"/>
    <m:defJc m:val="centerGroup"/>
    <m:wrapIndent m:val="1440"/>
    <m:intLim m:val="subSup"/>
    <m:naryLim m:val="undOvr"/>
  </m:mathPr>
  <w:themeFontLang w:val="ru-RU"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C951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val="tr"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link w:val="10"/>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paragraph" w:styleId="a5">
    <w:name w:val="header"/>
    <w:basedOn w:val="a"/>
    <w:link w:val="a6"/>
    <w:uiPriority w:val="99"/>
    <w:unhideWhenUsed/>
    <w:rsid w:val="00841CA0"/>
    <w:pPr>
      <w:tabs>
        <w:tab w:val="center" w:pos="4677"/>
        <w:tab w:val="right" w:pos="9355"/>
      </w:tabs>
      <w:spacing w:line="240" w:lineRule="auto"/>
    </w:pPr>
  </w:style>
  <w:style w:type="character" w:customStyle="1" w:styleId="a6">
    <w:name w:val="Верхний колонтитул Знак"/>
    <w:basedOn w:val="a0"/>
    <w:link w:val="a5"/>
    <w:uiPriority w:val="99"/>
    <w:rsid w:val="00841CA0"/>
  </w:style>
  <w:style w:type="paragraph" w:styleId="a7">
    <w:name w:val="footer"/>
    <w:basedOn w:val="a"/>
    <w:link w:val="a8"/>
    <w:uiPriority w:val="99"/>
    <w:unhideWhenUsed/>
    <w:rsid w:val="00841CA0"/>
    <w:pPr>
      <w:tabs>
        <w:tab w:val="center" w:pos="4677"/>
        <w:tab w:val="right" w:pos="9355"/>
      </w:tabs>
      <w:spacing w:line="240" w:lineRule="auto"/>
    </w:pPr>
  </w:style>
  <w:style w:type="character" w:customStyle="1" w:styleId="a8">
    <w:name w:val="Нижний колонтитул Знак"/>
    <w:basedOn w:val="a0"/>
    <w:link w:val="a7"/>
    <w:uiPriority w:val="99"/>
    <w:rsid w:val="00841CA0"/>
  </w:style>
  <w:style w:type="character" w:customStyle="1" w:styleId="10">
    <w:name w:val="Заголовок 1 Знак"/>
    <w:basedOn w:val="a0"/>
    <w:link w:val="1"/>
    <w:rsid w:val="00C335A4"/>
    <w:rPr>
      <w:sz w:val="40"/>
      <w:szCs w:val="40"/>
    </w:rPr>
  </w:style>
  <w:style w:type="paragraph" w:styleId="a9">
    <w:name w:val="TOC Heading"/>
    <w:basedOn w:val="1"/>
    <w:next w:val="a"/>
    <w:uiPriority w:val="39"/>
    <w:unhideWhenUsed/>
    <w:qFormat/>
    <w:rsid w:val="00C335A4"/>
    <w:pPr>
      <w:spacing w:before="240" w:after="0" w:line="259" w:lineRule="auto"/>
      <w:outlineLvl w:val="9"/>
    </w:pPr>
    <w:rPr>
      <w:rFonts w:asciiTheme="majorHAnsi" w:eastAsiaTheme="majorEastAsia" w:hAnsiTheme="majorHAnsi" w:cstheme="majorBidi"/>
      <w:color w:val="365F91" w:themeColor="accent1" w:themeShade="BF"/>
      <w:sz w:val="32"/>
      <w:szCs w:val="32"/>
    </w:rPr>
  </w:style>
  <w:style w:type="paragraph" w:styleId="11">
    <w:name w:val="toc 1"/>
    <w:basedOn w:val="a"/>
    <w:next w:val="a"/>
    <w:autoRedefine/>
    <w:uiPriority w:val="39"/>
    <w:unhideWhenUsed/>
    <w:rsid w:val="00C335A4"/>
    <w:pPr>
      <w:spacing w:after="100"/>
    </w:pPr>
  </w:style>
  <w:style w:type="character" w:styleId="aa">
    <w:name w:val="Hyperlink"/>
    <w:basedOn w:val="a0"/>
    <w:uiPriority w:val="99"/>
    <w:unhideWhenUsed/>
    <w:rsid w:val="00C335A4"/>
    <w:rPr>
      <w:color w:val="0000FF" w:themeColor="hyperlink"/>
      <w:u w:val="single"/>
    </w:rPr>
  </w:style>
  <w:style w:type="paragraph" w:styleId="ab">
    <w:name w:val="Balloon Text"/>
    <w:basedOn w:val="a"/>
    <w:link w:val="ac"/>
    <w:uiPriority w:val="99"/>
    <w:semiHidden/>
    <w:unhideWhenUsed/>
    <w:rsid w:val="00B34B13"/>
    <w:pPr>
      <w:spacing w:line="240" w:lineRule="auto"/>
    </w:pPr>
    <w:rPr>
      <w:rFonts w:ascii="Tahoma" w:hAnsi="Tahoma" w:cs="Tahoma"/>
      <w:sz w:val="16"/>
      <w:szCs w:val="16"/>
    </w:rPr>
  </w:style>
  <w:style w:type="character" w:customStyle="1" w:styleId="ac">
    <w:name w:val="Текст выноски Знак"/>
    <w:basedOn w:val="a0"/>
    <w:link w:val="ab"/>
    <w:uiPriority w:val="99"/>
    <w:semiHidden/>
    <w:rsid w:val="00B34B13"/>
    <w:rPr>
      <w:rFonts w:ascii="Tahoma" w:hAnsi="Tahoma" w:cs="Tahoma"/>
      <w:sz w:val="16"/>
      <w:szCs w:val="16"/>
    </w:rPr>
  </w:style>
  <w:style w:type="character" w:customStyle="1" w:styleId="12">
    <w:name w:val="Неразрешенное упоминание1"/>
    <w:basedOn w:val="a0"/>
    <w:uiPriority w:val="99"/>
    <w:semiHidden/>
    <w:unhideWhenUsed/>
    <w:rsid w:val="00E86D0A"/>
    <w:rPr>
      <w:color w:val="605E5C"/>
      <w:shd w:val="clear" w:color="auto" w:fill="E1DFDD"/>
    </w:rPr>
  </w:style>
  <w:style w:type="paragraph" w:styleId="ad">
    <w:name w:val="List Paragraph"/>
    <w:basedOn w:val="a"/>
    <w:uiPriority w:val="34"/>
    <w:qFormat/>
    <w:rsid w:val="00E86D0A"/>
    <w:pPr>
      <w:ind w:left="720"/>
      <w:contextualSpacing/>
    </w:pPr>
  </w:style>
  <w:style w:type="character" w:styleId="ae">
    <w:name w:val="page number"/>
    <w:basedOn w:val="a0"/>
    <w:uiPriority w:val="99"/>
    <w:semiHidden/>
    <w:unhideWhenUsed/>
    <w:rsid w:val="00F4592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tr"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link w:val="10"/>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paragraph" w:styleId="a5">
    <w:name w:val="header"/>
    <w:basedOn w:val="a"/>
    <w:link w:val="a6"/>
    <w:uiPriority w:val="99"/>
    <w:unhideWhenUsed/>
    <w:rsid w:val="00841CA0"/>
    <w:pPr>
      <w:tabs>
        <w:tab w:val="center" w:pos="4677"/>
        <w:tab w:val="right" w:pos="9355"/>
      </w:tabs>
      <w:spacing w:line="240" w:lineRule="auto"/>
    </w:pPr>
  </w:style>
  <w:style w:type="character" w:customStyle="1" w:styleId="a6">
    <w:name w:val="Верхний колонтитул Знак"/>
    <w:basedOn w:val="a0"/>
    <w:link w:val="a5"/>
    <w:uiPriority w:val="99"/>
    <w:rsid w:val="00841CA0"/>
  </w:style>
  <w:style w:type="paragraph" w:styleId="a7">
    <w:name w:val="footer"/>
    <w:basedOn w:val="a"/>
    <w:link w:val="a8"/>
    <w:uiPriority w:val="99"/>
    <w:unhideWhenUsed/>
    <w:rsid w:val="00841CA0"/>
    <w:pPr>
      <w:tabs>
        <w:tab w:val="center" w:pos="4677"/>
        <w:tab w:val="right" w:pos="9355"/>
      </w:tabs>
      <w:spacing w:line="240" w:lineRule="auto"/>
    </w:pPr>
  </w:style>
  <w:style w:type="character" w:customStyle="1" w:styleId="a8">
    <w:name w:val="Нижний колонтитул Знак"/>
    <w:basedOn w:val="a0"/>
    <w:link w:val="a7"/>
    <w:uiPriority w:val="99"/>
    <w:rsid w:val="00841CA0"/>
  </w:style>
  <w:style w:type="character" w:customStyle="1" w:styleId="10">
    <w:name w:val="Заголовок 1 Знак"/>
    <w:basedOn w:val="a0"/>
    <w:link w:val="1"/>
    <w:rsid w:val="00C335A4"/>
    <w:rPr>
      <w:sz w:val="40"/>
      <w:szCs w:val="40"/>
    </w:rPr>
  </w:style>
  <w:style w:type="paragraph" w:styleId="a9">
    <w:name w:val="TOC Heading"/>
    <w:basedOn w:val="1"/>
    <w:next w:val="a"/>
    <w:uiPriority w:val="39"/>
    <w:unhideWhenUsed/>
    <w:qFormat/>
    <w:rsid w:val="00C335A4"/>
    <w:pPr>
      <w:spacing w:before="240" w:after="0" w:line="259" w:lineRule="auto"/>
      <w:outlineLvl w:val="9"/>
    </w:pPr>
    <w:rPr>
      <w:rFonts w:asciiTheme="majorHAnsi" w:eastAsiaTheme="majorEastAsia" w:hAnsiTheme="majorHAnsi" w:cstheme="majorBidi"/>
      <w:color w:val="365F91" w:themeColor="accent1" w:themeShade="BF"/>
      <w:sz w:val="32"/>
      <w:szCs w:val="32"/>
    </w:rPr>
  </w:style>
  <w:style w:type="paragraph" w:styleId="11">
    <w:name w:val="toc 1"/>
    <w:basedOn w:val="a"/>
    <w:next w:val="a"/>
    <w:autoRedefine/>
    <w:uiPriority w:val="39"/>
    <w:unhideWhenUsed/>
    <w:rsid w:val="00C335A4"/>
    <w:pPr>
      <w:spacing w:after="100"/>
    </w:pPr>
  </w:style>
  <w:style w:type="character" w:styleId="aa">
    <w:name w:val="Hyperlink"/>
    <w:basedOn w:val="a0"/>
    <w:uiPriority w:val="99"/>
    <w:unhideWhenUsed/>
    <w:rsid w:val="00C335A4"/>
    <w:rPr>
      <w:color w:val="0000FF" w:themeColor="hyperlink"/>
      <w:u w:val="single"/>
    </w:rPr>
  </w:style>
  <w:style w:type="paragraph" w:styleId="ab">
    <w:name w:val="Balloon Text"/>
    <w:basedOn w:val="a"/>
    <w:link w:val="ac"/>
    <w:uiPriority w:val="99"/>
    <w:semiHidden/>
    <w:unhideWhenUsed/>
    <w:rsid w:val="00B34B13"/>
    <w:pPr>
      <w:spacing w:line="240" w:lineRule="auto"/>
    </w:pPr>
    <w:rPr>
      <w:rFonts w:ascii="Tahoma" w:hAnsi="Tahoma" w:cs="Tahoma"/>
      <w:sz w:val="16"/>
      <w:szCs w:val="16"/>
    </w:rPr>
  </w:style>
  <w:style w:type="character" w:customStyle="1" w:styleId="ac">
    <w:name w:val="Текст выноски Знак"/>
    <w:basedOn w:val="a0"/>
    <w:link w:val="ab"/>
    <w:uiPriority w:val="99"/>
    <w:semiHidden/>
    <w:rsid w:val="00B34B13"/>
    <w:rPr>
      <w:rFonts w:ascii="Tahoma" w:hAnsi="Tahoma" w:cs="Tahoma"/>
      <w:sz w:val="16"/>
      <w:szCs w:val="16"/>
    </w:rPr>
  </w:style>
  <w:style w:type="character" w:customStyle="1" w:styleId="12">
    <w:name w:val="Неразрешенное упоминание1"/>
    <w:basedOn w:val="a0"/>
    <w:uiPriority w:val="99"/>
    <w:semiHidden/>
    <w:unhideWhenUsed/>
    <w:rsid w:val="00E86D0A"/>
    <w:rPr>
      <w:color w:val="605E5C"/>
      <w:shd w:val="clear" w:color="auto" w:fill="E1DFDD"/>
    </w:rPr>
  </w:style>
  <w:style w:type="paragraph" w:styleId="ad">
    <w:name w:val="List Paragraph"/>
    <w:basedOn w:val="a"/>
    <w:uiPriority w:val="34"/>
    <w:qFormat/>
    <w:rsid w:val="00E86D0A"/>
    <w:pPr>
      <w:ind w:left="720"/>
      <w:contextualSpacing/>
    </w:pPr>
  </w:style>
  <w:style w:type="character" w:styleId="ae">
    <w:name w:val="page number"/>
    <w:basedOn w:val="a0"/>
    <w:uiPriority w:val="99"/>
    <w:semiHidden/>
    <w:unhideWhenUsed/>
    <w:rsid w:val="00F4592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altinicizdiklerim.com/resimler/StratejikDerinlik.pdf" TargetMode="External"/><Relationship Id="rId18" Type="http://schemas.openxmlformats.org/officeDocument/2006/relationships/hyperlink" Target="https://www.insightturkey.com" TargetMode="External"/><Relationship Id="rId26" Type="http://schemas.openxmlformats.org/officeDocument/2006/relationships/hyperlink" Target="https://dergipark.org.tr/tr/download/article-file/19272" TargetMode="External"/><Relationship Id="rId3" Type="http://schemas.openxmlformats.org/officeDocument/2006/relationships/styles" Target="styles.xml"/><Relationship Id="rId21" Type="http://schemas.openxmlformats.org/officeDocument/2006/relationships/hyperlink" Target="http://www.gmfus.org/brusselsforum/2010/docs/BF2010-Paper-Kirisci-Tocci-Walker.pdf" TargetMode="External"/><Relationship Id="rId34" Type="http://schemas.openxmlformats.org/officeDocument/2006/relationships/hyperlink" Target="https://www.setav.org" TargetMode="External"/><Relationship Id="rId7" Type="http://schemas.openxmlformats.org/officeDocument/2006/relationships/footnotes" Target="footnotes.xml"/><Relationship Id="rId12" Type="http://schemas.openxmlformats.org/officeDocument/2006/relationships/hyperlink" Target="https://ecfr.eu/publication/from_myth_to_reality_how_to_understand_turkeys_role_in_the_western_balkans" TargetMode="External"/><Relationship Id="rId17" Type="http://schemas.openxmlformats.org/officeDocument/2006/relationships/hyperlink" Target="http://cejsh.icm.edu.pl/cejsh/element/bwmeta1.element.ojs-doi-10_12775_CJPS_2017_001/c/CJPS.2017.001-17187.pdf" TargetMode="External"/><Relationship Id="rId25" Type="http://schemas.openxmlformats.org/officeDocument/2006/relationships/hyperlink" Target="https://www.euractiv.com/section/global-europe/news/turkey-steps-up-soft-power-efforts-neglecting-domestic-issues" TargetMode="External"/><Relationship Id="rId33" Type="http://schemas.openxmlformats.org/officeDocument/2006/relationships/hyperlink" Target="https://www.researchgate.net/publication/281374247_Turkey's_Role_on_Solving_of_Balkan_Issues"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eppen.org/en/index.php?sayfa=Yorumlar&amp;lin-k=&amp;makale=125" TargetMode="External"/><Relationship Id="rId20" Type="http://schemas.openxmlformats.org/officeDocument/2006/relationships/hyperlink" Target="https://www.dailysabah.com/columns/ibrahim-kalin/2018/06/02/what-does-turkey-want-in-the-balkans" TargetMode="External"/><Relationship Id="rId29" Type="http://schemas.openxmlformats.org/officeDocument/2006/relationships/hyperlink" Target="https://ormer.sakarya.edu.tr/uploads/files/turk_dis_politikasinda_islamci_kemalist_hesaplasma_erbakan_donemi_libya_ornegi_dilek_kucukboz.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jpl.donnu.edu.ua/article/view/11920" TargetMode="External"/><Relationship Id="rId24" Type="http://schemas.openxmlformats.org/officeDocument/2006/relationships/hyperlink" Target="https://www.insightturkey.com/articles/turkish-interests-and-involvement-in-the-western-balkans-a-score-card" TargetMode="External"/><Relationship Id="rId32" Type="http://schemas.openxmlformats.org/officeDocument/2006/relationships/hyperlink" Target="https://www.mfa.gov.tr/turkiye_s-relations-with-the-arab-countries.en.mfa" TargetMode="External"/><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brandirectory.com/globalsoftpower/download/brand-finance-global-soft-power-index-2021.pdf" TargetMode="External"/><Relationship Id="rId23" Type="http://schemas.openxmlformats.org/officeDocument/2006/relationships/hyperlink" Target="https://dergipark.org.tr/tr/download/article-file/19345" TargetMode="External"/><Relationship Id="rId28" Type="http://schemas.openxmlformats.org/officeDocument/2006/relationships/hyperlink" Target="https://dergipark.org.tr/tr/download/article-file/929597" TargetMode="External"/><Relationship Id="rId36" Type="http://schemas.openxmlformats.org/officeDocument/2006/relationships/header" Target="header2.xml"/><Relationship Id="rId10" Type="http://schemas.openxmlformats.org/officeDocument/2006/relationships/hyperlink" Target="http://www.vidkryti-ochi.org.ua/2011/11/2011.html" TargetMode="External"/><Relationship Id="rId19" Type="http://schemas.openxmlformats.org/officeDocument/2006/relationships/hyperlink" Target="https://www.mdpi.com/2077-1444/12/1/38" TargetMode="External"/><Relationship Id="rId31" Type="http://schemas.openxmlformats.org/officeDocument/2006/relationships/hyperlink" Target="https://dergipark.org.tr/tr/download/article-file/2595870" TargetMode="External"/><Relationship Id="rId4" Type="http://schemas.microsoft.com/office/2007/relationships/stylesWithEffects" Target="stylesWithEffects.xml"/><Relationship Id="rId9" Type="http://schemas.openxmlformats.org/officeDocument/2006/relationships/hyperlink" Target="https://turkey.mfa.gov.ua" TargetMode="External"/><Relationship Id="rId14" Type="http://schemas.openxmlformats.org/officeDocument/2006/relationships/hyperlink" Target="https://repository.lsu.edu/cgi/viewcontent.cgi?article=4089&amp;context=gradschool_theses" TargetMode="External"/><Relationship Id="rId22" Type="http://schemas.openxmlformats.org/officeDocument/2006/relationships/hyperlink" Target="https://www.cambridge.org/core/journals/new-perspectives-on-turkey/article/abs/post-second-world-war-immigration-from-balkan-countries-to-turkey" TargetMode="External"/><Relationship Id="rId27" Type="http://schemas.openxmlformats.org/officeDocument/2006/relationships/hyperlink" Target="https://www.iai.it/sites/default/files/iaip2017.pdf" TargetMode="External"/><Relationship Id="rId30" Type="http://schemas.openxmlformats.org/officeDocument/2006/relationships/hyperlink" Target="https://www.thecairoreview.com/essays/turkeys-pan-islamist-foreign-policy/" TargetMode="External"/><Relationship Id="rId35"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A95482-6F6F-40FB-A04A-5959BAE390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89</Pages>
  <Words>22881</Words>
  <Characters>130428</Characters>
  <Application>Microsoft Office Word</Application>
  <DocSecurity>0</DocSecurity>
  <Lines>1086</Lines>
  <Paragraphs>306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153003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iwani</dc:creator>
  <cp:lastModifiedBy>asus</cp:lastModifiedBy>
  <cp:revision>6</cp:revision>
  <dcterms:created xsi:type="dcterms:W3CDTF">2024-12-01T14:03:00Z</dcterms:created>
  <dcterms:modified xsi:type="dcterms:W3CDTF">2024-12-04T21:42:00Z</dcterms:modified>
</cp:coreProperties>
</file>