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DC4ED5">
      <w:pPr>
        <w:spacing w:line="360" w:lineRule="auto"/>
        <w:rPr>
          <w:rFonts w:ascii="Times New Roman" w:hAnsi="Times New Roman" w:eastAsia="Calibri" w:cs="Times New Roman"/>
          <w:sz w:val="28"/>
          <w:szCs w:val="28"/>
          <w:lang w:val="uk-UA"/>
        </w:rPr>
      </w:pPr>
      <w:bookmarkStart w:id="0" w:name="_GoBack"/>
      <w:bookmarkEnd w:id="0"/>
      <w:r>
        <w:rPr>
          <w:rFonts w:ascii="Times New Roman" w:hAnsi="Times New Roman" w:eastAsia="Calibri" w:cs="Times New Roman"/>
          <w:sz w:val="28"/>
          <w:szCs w:val="28"/>
          <w:lang w:val="uk-UA"/>
        </w:rPr>
        <w:t>Одеський національний університет імені І. І. Мечникова</w:t>
      </w:r>
    </w:p>
    <w:p w14:paraId="4AEE3D8D">
      <w:pPr>
        <w:spacing w:line="360" w:lineRule="auto"/>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Факультет історії та філософії</w:t>
      </w:r>
    </w:p>
    <w:p w14:paraId="1DCB8EC6">
      <w:pPr>
        <w:spacing w:line="360" w:lineRule="auto"/>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Кафедра культурології</w:t>
      </w:r>
    </w:p>
    <w:p w14:paraId="74E65BB8">
      <w:pPr>
        <w:spacing w:line="360" w:lineRule="auto"/>
        <w:rPr>
          <w:rFonts w:ascii="Times New Roman" w:hAnsi="Times New Roman" w:eastAsia="Calibri" w:cs="Times New Roman"/>
          <w:sz w:val="28"/>
          <w:szCs w:val="28"/>
          <w:lang w:val="uk-UA"/>
        </w:rPr>
      </w:pPr>
    </w:p>
    <w:p w14:paraId="20B51AF3">
      <w:pPr>
        <w:spacing w:line="360" w:lineRule="auto"/>
        <w:rPr>
          <w:rFonts w:ascii="Times New Roman" w:hAnsi="Times New Roman" w:eastAsia="Calibri" w:cs="Times New Roman"/>
          <w:b/>
          <w:spacing w:val="60"/>
          <w:sz w:val="28"/>
          <w:szCs w:val="28"/>
          <w:lang w:val="uk-UA"/>
        </w:rPr>
      </w:pPr>
      <w:r>
        <w:rPr>
          <w:rFonts w:ascii="Times New Roman" w:hAnsi="Times New Roman" w:eastAsia="Calibri" w:cs="Times New Roman"/>
          <w:b/>
          <w:spacing w:val="60"/>
          <w:sz w:val="28"/>
          <w:szCs w:val="28"/>
          <w:lang w:val="uk-UA"/>
        </w:rPr>
        <w:t>Дипломна робота</w:t>
      </w:r>
    </w:p>
    <w:p w14:paraId="03237E9B">
      <w:pPr>
        <w:spacing w:line="360" w:lineRule="auto"/>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на здобуття ступеня вищої освіти «магістр»</w:t>
      </w:r>
    </w:p>
    <w:p w14:paraId="231B2673">
      <w:pPr>
        <w:spacing w:line="360" w:lineRule="auto"/>
        <w:rPr>
          <w:rFonts w:ascii="Times New Roman" w:hAnsi="Times New Roman" w:eastAsia="Calibri" w:cs="Times New Roman"/>
          <w:b/>
          <w:sz w:val="28"/>
          <w:szCs w:val="28"/>
          <w:lang w:val="uk-UA"/>
        </w:rPr>
      </w:pPr>
      <w:r>
        <w:rPr>
          <w:rFonts w:ascii="Times New Roman" w:hAnsi="Times New Roman" w:eastAsia="Calibri" w:cs="Times New Roman"/>
          <w:sz w:val="28"/>
          <w:szCs w:val="28"/>
          <w:lang w:val="uk-UA"/>
        </w:rPr>
        <w:t xml:space="preserve">на тему: </w:t>
      </w:r>
      <w:r>
        <w:rPr>
          <w:rFonts w:ascii="Times New Roman" w:hAnsi="Times New Roman" w:eastAsia="Calibri" w:cs="Times New Roman"/>
          <w:b/>
          <w:sz w:val="28"/>
          <w:szCs w:val="28"/>
          <w:lang w:val="uk-UA"/>
        </w:rPr>
        <w:t>«Нетрадиційна релігіозність в сучасній культурі:символіка та нова міфологія»</w:t>
      </w:r>
    </w:p>
    <w:p w14:paraId="65C2CB1E">
      <w:pPr>
        <w:tabs>
          <w:tab w:val="right" w:pos="9355"/>
        </w:tabs>
        <w:spacing w:line="360" w:lineRule="auto"/>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 «Non-traditional religiosity in modern culture: symbolism and new mythology» </w:t>
      </w:r>
    </w:p>
    <w:p w14:paraId="116B0219">
      <w:pPr>
        <w:tabs>
          <w:tab w:val="right" w:pos="9355"/>
        </w:tabs>
        <w:spacing w:line="360" w:lineRule="auto"/>
        <w:ind w:firstLine="709"/>
        <w:rPr>
          <w:rFonts w:ascii="Times New Roman" w:hAnsi="Times New Roman" w:eastAsia="Calibri" w:cs="Times New Roman"/>
          <w:sz w:val="28"/>
          <w:szCs w:val="28"/>
          <w:lang w:val="uk-UA"/>
        </w:rPr>
      </w:pPr>
      <w:r>
        <w:rPr>
          <w:rFonts w:ascii="Times New Roman" w:hAnsi="Times New Roman" w:eastAsia="Calibri" w:cs="Times New Roman"/>
          <w:sz w:val="28"/>
          <w:szCs w:val="28"/>
          <w:lang w:val="en-US"/>
        </w:rPr>
        <mc:AlternateContent>
          <mc:Choice Requires="wps">
            <w:drawing>
              <wp:anchor distT="45720" distB="45720" distL="114300" distR="114300" simplePos="0" relativeHeight="251659264" behindDoc="0" locked="0" layoutInCell="1" allowOverlap="1">
                <wp:simplePos x="0" y="0"/>
                <wp:positionH relativeFrom="margin">
                  <wp:align>right</wp:align>
                </wp:positionH>
                <wp:positionV relativeFrom="paragraph">
                  <wp:posOffset>199390</wp:posOffset>
                </wp:positionV>
                <wp:extent cx="3779520" cy="1484630"/>
                <wp:effectExtent l="0" t="0" r="0" b="1270"/>
                <wp:wrapSquare wrapText="bothSides"/>
                <wp:docPr id="217" name="Надпись 2"/>
                <wp:cNvGraphicFramePr/>
                <a:graphic xmlns:a="http://schemas.openxmlformats.org/drawingml/2006/main">
                  <a:graphicData uri="http://schemas.microsoft.com/office/word/2010/wordprocessingShape">
                    <wps:wsp>
                      <wps:cNvSpPr txBox="1">
                        <a:spLocks noChangeArrowheads="1"/>
                      </wps:cNvSpPr>
                      <wps:spPr bwMode="auto">
                        <a:xfrm>
                          <a:off x="0" y="0"/>
                          <a:ext cx="3779520" cy="1485208"/>
                        </a:xfrm>
                        <a:prstGeom prst="rect">
                          <a:avLst/>
                        </a:prstGeom>
                        <a:noFill/>
                        <a:ln w="9525">
                          <a:noFill/>
                          <a:miter lim="800000"/>
                        </a:ln>
                      </wps:spPr>
                      <wps:txbx>
                        <w:txbxContent>
                          <w:p w14:paraId="45A3556C">
                            <w:pPr>
                              <w:jc w:val="both"/>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денної форми навчання</w:t>
                            </w:r>
                          </w:p>
                          <w:p w14:paraId="627921C0">
                            <w:pPr>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спеціальності 034 Культурологія</w:t>
                            </w:r>
                          </w:p>
                          <w:p w14:paraId="346AE3BC">
                            <w:pPr>
                              <w:jc w:val="both"/>
                              <w:rPr>
                                <w:rFonts w:ascii="Times New Roman" w:hAnsi="Times New Roman" w:cs="Times New Roman"/>
                                <w:sz w:val="28"/>
                                <w:szCs w:val="28"/>
                                <w:lang w:val="uk-UA"/>
                              </w:rPr>
                            </w:pPr>
                            <w:r>
                              <w:rPr>
                                <w:rFonts w:ascii="Times New Roman" w:hAnsi="Times New Roman" w:cs="Times New Roman"/>
                                <w:sz w:val="28"/>
                                <w:szCs w:val="28"/>
                                <w:lang w:val="uk-UA"/>
                              </w:rPr>
                              <w:t>Калаус Марина Вікторівна</w:t>
                            </w:r>
                          </w:p>
                          <w:p w14:paraId="1B67869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к.філос.н., доц. Сумченко І. В.______ </w:t>
                            </w:r>
                          </w:p>
                          <w:p w14:paraId="346B4284">
                            <w:pPr>
                              <w:tabs>
                                <w:tab w:val="left" w:pos="5245"/>
                                <w:tab w:val="right" w:pos="9355"/>
                              </w:tabs>
                              <w:jc w:val="both"/>
                              <w:rPr>
                                <w:rFonts w:ascii="Times New Roman" w:hAnsi="Times New Roman" w:cs="Times New Roman"/>
                                <w:sz w:val="28"/>
                                <w:szCs w:val="28"/>
                                <w:lang w:val="uk-UA"/>
                              </w:rPr>
                            </w:pPr>
                            <w:r>
                              <w:rPr>
                                <w:rFonts w:ascii="Times New Roman" w:hAnsi="Times New Roman" w:cs="Times New Roman"/>
                                <w:sz w:val="28"/>
                                <w:szCs w:val="28"/>
                                <w:lang w:val="uk-UA"/>
                              </w:rPr>
                              <w:t>Рецензент д.філос.н., доц. Готинян-Журавльова В. В.</w:t>
                            </w:r>
                          </w:p>
                          <w:p w14:paraId="09B0C7DC"/>
                        </w:txbxContent>
                      </wps:txbx>
                      <wps:bodyPr rot="0" vert="horz" wrap="square" lIns="91440" tIns="45720" rIns="91440" bIns="45720" anchor="t" anchorCtr="0">
                        <a:noAutofit/>
                      </wps:bodyPr>
                    </wps:wsp>
                  </a:graphicData>
                </a:graphic>
              </wp:anchor>
            </w:drawing>
          </mc:Choice>
          <mc:Fallback>
            <w:pict>
              <v:shape id="Надпись 2" o:spid="_x0000_s1026" o:spt="202" type="#_x0000_t202" style="position:absolute;left:0pt;margin-top:15.7pt;height:116.9pt;width:297.6pt;mso-position-horizontal:right;mso-position-horizontal-relative:margin;mso-wrap-distance-bottom:3.6pt;mso-wrap-distance-left:9pt;mso-wrap-distance-right:9pt;mso-wrap-distance-top:3.6pt;z-index:251659264;mso-width-relative:page;mso-height-relative:page;" filled="f" stroked="f" coordsize="21600,21600" o:gfxdata="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GIjJa1QAAAAcBAAAPAAAAAAAAAAEAIAAAACIAAABkcnMvZG93bnJldi54bWxQSwECFAAUAAAA&#10;CACHTuJAAHbSHCoCAAAxBAAADgAAAAAAAAABACAAAAAkAQAAZHJzL2Uyb0RvYy54bWxQSwUGAAAA&#10;AAYABgBZAQAAwAUAAAAA&#10;">
                <v:fill on="f" focussize="0,0"/>
                <v:stroke on="f" miterlimit="8" joinstyle="miter"/>
                <v:imagedata o:title=""/>
                <o:lock v:ext="edit" aspectratio="f"/>
                <v:textbox>
                  <w:txbxContent>
                    <w:p w14:paraId="45A3556C">
                      <w:pPr>
                        <w:jc w:val="both"/>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денної форми навчання</w:t>
                      </w:r>
                    </w:p>
                    <w:p w14:paraId="627921C0">
                      <w:pPr>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спеціальності 034 Культурологія</w:t>
                      </w:r>
                    </w:p>
                    <w:p w14:paraId="346AE3BC">
                      <w:pPr>
                        <w:jc w:val="both"/>
                        <w:rPr>
                          <w:rFonts w:ascii="Times New Roman" w:hAnsi="Times New Roman" w:cs="Times New Roman"/>
                          <w:sz w:val="28"/>
                          <w:szCs w:val="28"/>
                          <w:lang w:val="uk-UA"/>
                        </w:rPr>
                      </w:pPr>
                      <w:r>
                        <w:rPr>
                          <w:rFonts w:ascii="Times New Roman" w:hAnsi="Times New Roman" w:cs="Times New Roman"/>
                          <w:sz w:val="28"/>
                          <w:szCs w:val="28"/>
                          <w:lang w:val="uk-UA"/>
                        </w:rPr>
                        <w:t>Калаус Марина Вікторівна</w:t>
                      </w:r>
                    </w:p>
                    <w:p w14:paraId="1B67869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к.філос.н., доц. Сумченко І. В.______ </w:t>
                      </w:r>
                    </w:p>
                    <w:p w14:paraId="346B4284">
                      <w:pPr>
                        <w:tabs>
                          <w:tab w:val="left" w:pos="5245"/>
                          <w:tab w:val="right" w:pos="9355"/>
                        </w:tabs>
                        <w:jc w:val="both"/>
                        <w:rPr>
                          <w:rFonts w:ascii="Times New Roman" w:hAnsi="Times New Roman" w:cs="Times New Roman"/>
                          <w:sz w:val="28"/>
                          <w:szCs w:val="28"/>
                          <w:lang w:val="uk-UA"/>
                        </w:rPr>
                      </w:pPr>
                      <w:r>
                        <w:rPr>
                          <w:rFonts w:ascii="Times New Roman" w:hAnsi="Times New Roman" w:cs="Times New Roman"/>
                          <w:sz w:val="28"/>
                          <w:szCs w:val="28"/>
                          <w:lang w:val="uk-UA"/>
                        </w:rPr>
                        <w:t>Рецензент д.філос.н., доц. Готинян-Журавльова В. В.</w:t>
                      </w:r>
                    </w:p>
                    <w:p w14:paraId="09B0C7DC"/>
                  </w:txbxContent>
                </v:textbox>
                <w10:wrap type="square"/>
              </v:shape>
            </w:pict>
          </mc:Fallback>
        </mc:AlternateContent>
      </w:r>
    </w:p>
    <w:p w14:paraId="768CA546">
      <w:pPr>
        <w:tabs>
          <w:tab w:val="right" w:pos="9355"/>
        </w:tabs>
        <w:spacing w:line="360" w:lineRule="auto"/>
        <w:ind w:firstLine="709"/>
        <w:rPr>
          <w:rFonts w:ascii="Times New Roman" w:hAnsi="Times New Roman" w:eastAsia="Calibri" w:cs="Times New Roman"/>
          <w:sz w:val="28"/>
          <w:szCs w:val="28"/>
          <w:lang w:val="uk-UA"/>
        </w:rPr>
      </w:pPr>
    </w:p>
    <w:p w14:paraId="20FDCFC4">
      <w:pPr>
        <w:spacing w:line="360" w:lineRule="auto"/>
        <w:jc w:val="left"/>
        <w:rPr>
          <w:rFonts w:ascii="Times New Roman" w:hAnsi="Times New Roman" w:eastAsia="Calibri" w:cs="Times New Roman"/>
          <w:b/>
          <w:sz w:val="28"/>
          <w:szCs w:val="28"/>
          <w:lang w:val="uk-UA"/>
        </w:rPr>
      </w:pPr>
    </w:p>
    <w:p w14:paraId="02075C61">
      <w:pPr>
        <w:spacing w:line="360" w:lineRule="auto"/>
        <w:jc w:val="left"/>
        <w:rPr>
          <w:rFonts w:ascii="Times New Roman" w:hAnsi="Times New Roman" w:eastAsia="Calibri" w:cs="Times New Roman"/>
          <w:sz w:val="28"/>
          <w:szCs w:val="28"/>
          <w:lang w:val="uk-UA"/>
        </w:rPr>
      </w:pPr>
    </w:p>
    <w:p w14:paraId="51C1DDC6">
      <w:pPr>
        <w:spacing w:line="360" w:lineRule="auto"/>
        <w:ind w:firstLine="709"/>
        <w:rPr>
          <w:rFonts w:ascii="Times New Roman" w:hAnsi="Times New Roman" w:eastAsia="Calibri" w:cs="Times New Roman"/>
          <w:sz w:val="28"/>
          <w:szCs w:val="28"/>
          <w:lang w:val="uk-UA"/>
        </w:rPr>
      </w:pPr>
    </w:p>
    <w:p w14:paraId="5FC1D0F0">
      <w:pPr>
        <w:spacing w:line="360" w:lineRule="auto"/>
        <w:jc w:val="left"/>
        <w:rPr>
          <w:rFonts w:ascii="Times New Roman" w:hAnsi="Times New Roman" w:eastAsia="Calibri" w:cs="Times New Roman"/>
          <w:sz w:val="28"/>
          <w:szCs w:val="28"/>
          <w:lang w:val="uk-UA"/>
        </w:rPr>
      </w:pPr>
    </w:p>
    <w:tbl>
      <w:tblPr>
        <w:tblStyle w:val="12"/>
        <w:tblpPr w:leftFromText="180" w:rightFromText="180" w:vertAnchor="text" w:horzAnchor="margin" w:tblpXSpec="center" w:tblpY="1149"/>
        <w:tblW w:w="5155" w:type="pct"/>
        <w:tblInd w:w="0" w:type="dxa"/>
        <w:tblLayout w:type="autofit"/>
        <w:tblCellMar>
          <w:top w:w="0" w:type="dxa"/>
          <w:left w:w="108" w:type="dxa"/>
          <w:bottom w:w="0" w:type="dxa"/>
          <w:right w:w="108" w:type="dxa"/>
        </w:tblCellMar>
      </w:tblPr>
      <w:tblGrid>
        <w:gridCol w:w="4861"/>
        <w:gridCol w:w="4715"/>
      </w:tblGrid>
      <w:tr w14:paraId="2439AD81">
        <w:tblPrEx>
          <w:tblCellMar>
            <w:top w:w="0" w:type="dxa"/>
            <w:left w:w="108" w:type="dxa"/>
            <w:bottom w:w="0" w:type="dxa"/>
            <w:right w:w="108" w:type="dxa"/>
          </w:tblCellMar>
        </w:tblPrEx>
        <w:tc>
          <w:tcPr>
            <w:tcW w:w="5117" w:type="dxa"/>
          </w:tcPr>
          <w:p w14:paraId="02F2C60A">
            <w:pPr>
              <w:spacing w:line="360" w:lineRule="auto"/>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Рекомендовано до захисту:</w:t>
            </w:r>
          </w:p>
          <w:p w14:paraId="1C1F6C5B">
            <w:pPr>
              <w:spacing w:before="120" w:line="360" w:lineRule="auto"/>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Протокол засідання кафедри</w:t>
            </w:r>
          </w:p>
          <w:p w14:paraId="0F5E69F0">
            <w:pPr>
              <w:spacing w:before="120" w:line="360" w:lineRule="auto"/>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__ від _________ 2024 р.</w:t>
            </w:r>
          </w:p>
          <w:p w14:paraId="152C9899">
            <w:pPr>
              <w:spacing w:before="120" w:line="360" w:lineRule="auto"/>
              <w:contextualSpacing/>
              <w:jc w:val="left"/>
              <w:rPr>
                <w:rFonts w:ascii="Times New Roman" w:hAnsi="Times New Roman" w:eastAsia="Calibri" w:cs="Times New Roman"/>
                <w:sz w:val="28"/>
                <w:szCs w:val="28"/>
                <w:lang w:val="uk-UA"/>
              </w:rPr>
            </w:pPr>
          </w:p>
          <w:p w14:paraId="1A4FB014">
            <w:pPr>
              <w:spacing w:before="120" w:line="360" w:lineRule="auto"/>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Завідувач кафедри</w:t>
            </w:r>
          </w:p>
          <w:p w14:paraId="5194EB42">
            <w:pPr>
              <w:spacing w:before="600" w:line="360" w:lineRule="auto"/>
              <w:contextualSpacing/>
              <w:jc w:val="left"/>
              <w:rPr>
                <w:rFonts w:ascii="Times New Roman" w:hAnsi="Times New Roman" w:eastAsia="Calibri" w:cs="Times New Roman"/>
                <w:sz w:val="28"/>
                <w:szCs w:val="28"/>
                <w:lang w:val="uk-UA"/>
              </w:rPr>
            </w:pPr>
          </w:p>
          <w:p w14:paraId="5F5CB344">
            <w:pPr>
              <w:tabs>
                <w:tab w:val="left" w:pos="1446"/>
                <w:tab w:val="right" w:pos="4462"/>
              </w:tabs>
              <w:spacing w:before="360"/>
              <w:contextualSpacing/>
              <w:jc w:val="left"/>
              <w:rPr>
                <w:rFonts w:ascii="Times New Roman" w:hAnsi="Times New Roman" w:eastAsia="Calibri" w:cs="Times New Roman"/>
                <w:sz w:val="20"/>
                <w:szCs w:val="20"/>
                <w:u w:val="single"/>
                <w:lang w:val="uk-UA"/>
              </w:rPr>
            </w:pPr>
            <w:r>
              <w:rPr>
                <w:rFonts w:ascii="Times New Roman" w:hAnsi="Times New Roman" w:eastAsia="Calibri" w:cs="Times New Roman"/>
                <w:sz w:val="20"/>
                <w:szCs w:val="20"/>
                <w:u w:val="single"/>
                <w:lang w:val="uk-UA"/>
              </w:rPr>
              <w:tab/>
            </w:r>
            <w:r>
              <w:rPr>
                <w:rFonts w:ascii="Times New Roman" w:hAnsi="Times New Roman" w:eastAsia="Calibri" w:cs="Times New Roman"/>
                <w:sz w:val="20"/>
                <w:szCs w:val="20"/>
                <w:lang w:val="uk-UA"/>
              </w:rPr>
              <w:t xml:space="preserve">                   _________________        </w:t>
            </w:r>
          </w:p>
          <w:p w14:paraId="13881A65">
            <w:pPr>
              <w:tabs>
                <w:tab w:val="left" w:pos="284"/>
                <w:tab w:val="left" w:pos="1767"/>
              </w:tabs>
              <w:contextualSpacing/>
              <w:jc w:val="left"/>
              <w:rPr>
                <w:rFonts w:ascii="Calibri" w:hAnsi="Calibri" w:eastAsia="Calibri" w:cs="Times New Roman"/>
                <w:sz w:val="20"/>
                <w:szCs w:val="20"/>
                <w:lang w:val="uk-UA"/>
              </w:rPr>
            </w:pPr>
            <w:r>
              <w:rPr>
                <w:rFonts w:ascii="Times New Roman" w:hAnsi="Times New Roman" w:eastAsia="Calibri" w:cs="Times New Roman"/>
                <w:sz w:val="20"/>
                <w:szCs w:val="20"/>
                <w:lang w:val="uk-UA"/>
              </w:rPr>
              <w:t xml:space="preserve">      (підпис)</w:t>
            </w:r>
            <w:r>
              <w:rPr>
                <w:rFonts w:ascii="Times New Roman" w:hAnsi="Times New Roman" w:eastAsia="Calibri" w:cs="Times New Roman"/>
                <w:sz w:val="20"/>
                <w:szCs w:val="20"/>
                <w:lang w:val="uk-UA"/>
              </w:rPr>
              <w:tab/>
            </w:r>
            <w:r>
              <w:rPr>
                <w:rFonts w:ascii="Times New Roman" w:hAnsi="Times New Roman" w:eastAsia="Calibri" w:cs="Times New Roman"/>
                <w:sz w:val="20"/>
                <w:szCs w:val="20"/>
                <w:lang w:val="uk-UA"/>
              </w:rPr>
              <w:t xml:space="preserve">             (прізвище, ініціали)</w:t>
            </w:r>
          </w:p>
        </w:tc>
        <w:tc>
          <w:tcPr>
            <w:tcW w:w="4820" w:type="dxa"/>
          </w:tcPr>
          <w:p w14:paraId="3E914900">
            <w:pPr>
              <w:tabs>
                <w:tab w:val="right" w:pos="4462"/>
              </w:tabs>
              <w:spacing w:line="360" w:lineRule="auto"/>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Захищено на засіданні ЕК № __</w:t>
            </w:r>
          </w:p>
          <w:p w14:paraId="753A9CBE">
            <w:pPr>
              <w:tabs>
                <w:tab w:val="right" w:pos="4462"/>
              </w:tabs>
              <w:spacing w:before="120" w:line="360" w:lineRule="auto"/>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протокол № __ від ______ 2024 р.</w:t>
            </w:r>
            <w:r>
              <w:rPr>
                <w:rFonts w:ascii="Times New Roman" w:hAnsi="Times New Roman" w:eastAsia="Calibri" w:cs="Times New Roman"/>
                <w:sz w:val="28"/>
                <w:szCs w:val="28"/>
                <w:lang w:val="uk-UA"/>
              </w:rPr>
              <w:tab/>
            </w:r>
          </w:p>
          <w:p w14:paraId="0C830459">
            <w:pPr>
              <w:tabs>
                <w:tab w:val="right" w:pos="4462"/>
              </w:tabs>
              <w:spacing w:before="120"/>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Оцінка______________/___</w:t>
            </w:r>
            <w:r>
              <w:rPr>
                <w:rFonts w:ascii="Times New Roman" w:hAnsi="Times New Roman" w:eastAsia="Calibri" w:cs="Times New Roman"/>
                <w:sz w:val="28"/>
                <w:szCs w:val="28"/>
                <w:lang w:val="uk-UA"/>
              </w:rPr>
              <w:tab/>
            </w:r>
            <w:r>
              <w:rPr>
                <w:rFonts w:ascii="Times New Roman" w:hAnsi="Times New Roman" w:eastAsia="Calibri" w:cs="Times New Roman"/>
                <w:sz w:val="28"/>
                <w:szCs w:val="28"/>
                <w:lang w:val="uk-UA"/>
              </w:rPr>
              <w:t>___/_____</w:t>
            </w:r>
          </w:p>
          <w:p w14:paraId="5B08CB07">
            <w:pPr>
              <w:contextualSpacing/>
              <w:rPr>
                <w:rFonts w:ascii="Times New Roman" w:hAnsi="Times New Roman" w:eastAsia="Calibri" w:cs="Times New Roman"/>
                <w:sz w:val="20"/>
                <w:szCs w:val="20"/>
                <w:lang w:val="uk-UA"/>
              </w:rPr>
            </w:pPr>
            <w:r>
              <w:rPr>
                <w:rFonts w:ascii="Times New Roman" w:hAnsi="Times New Roman" w:eastAsia="Calibri" w:cs="Times New Roman"/>
                <w:sz w:val="20"/>
                <w:szCs w:val="20"/>
                <w:lang w:val="uk-UA"/>
              </w:rPr>
              <w:t>(за національною шкалою, шкалою ЕСТS, бали)</w:t>
            </w:r>
          </w:p>
          <w:p w14:paraId="4C63EEFF">
            <w:pPr>
              <w:spacing w:before="360" w:line="360" w:lineRule="auto"/>
              <w:contextualSpacing/>
              <w:jc w:val="left"/>
              <w:rPr>
                <w:rFonts w:ascii="Times New Roman" w:hAnsi="Times New Roman" w:eastAsia="Calibri" w:cs="Times New Roman"/>
                <w:sz w:val="28"/>
                <w:szCs w:val="28"/>
                <w:lang w:val="uk-UA"/>
              </w:rPr>
            </w:pPr>
          </w:p>
          <w:p w14:paraId="14F0EF93">
            <w:pPr>
              <w:spacing w:before="360" w:line="360" w:lineRule="auto"/>
              <w:contextualSpacing/>
              <w:jc w:val="left"/>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Голова ЕК</w:t>
            </w:r>
          </w:p>
          <w:p w14:paraId="22AC1761">
            <w:pPr>
              <w:tabs>
                <w:tab w:val="left" w:pos="1446"/>
                <w:tab w:val="right" w:pos="4462"/>
              </w:tabs>
              <w:spacing w:before="360" w:line="360" w:lineRule="auto"/>
              <w:contextualSpacing/>
              <w:jc w:val="left"/>
              <w:rPr>
                <w:rFonts w:ascii="Times New Roman" w:hAnsi="Times New Roman" w:eastAsia="Calibri" w:cs="Times New Roman"/>
                <w:sz w:val="28"/>
                <w:szCs w:val="28"/>
                <w:u w:val="single"/>
                <w:lang w:val="uk-UA"/>
              </w:rPr>
            </w:pPr>
          </w:p>
          <w:p w14:paraId="40FCA41A">
            <w:pPr>
              <w:tabs>
                <w:tab w:val="left" w:pos="1446"/>
                <w:tab w:val="right" w:pos="4462"/>
              </w:tabs>
              <w:spacing w:before="360"/>
              <w:contextualSpacing/>
              <w:jc w:val="left"/>
              <w:rPr>
                <w:rFonts w:ascii="Times New Roman" w:hAnsi="Times New Roman" w:eastAsia="Calibri" w:cs="Times New Roman"/>
                <w:sz w:val="20"/>
                <w:szCs w:val="20"/>
                <w:u w:val="single"/>
                <w:lang w:val="uk-UA"/>
              </w:rPr>
            </w:pPr>
            <w:r>
              <w:rPr>
                <w:rFonts w:ascii="Times New Roman" w:hAnsi="Times New Roman" w:eastAsia="Calibri" w:cs="Times New Roman"/>
                <w:sz w:val="20"/>
                <w:szCs w:val="20"/>
                <w:u w:val="single"/>
                <w:lang w:val="uk-UA"/>
              </w:rPr>
              <w:tab/>
            </w:r>
            <w:r>
              <w:rPr>
                <w:rFonts w:ascii="Times New Roman" w:hAnsi="Times New Roman" w:eastAsia="Calibri" w:cs="Times New Roman"/>
                <w:sz w:val="20"/>
                <w:szCs w:val="20"/>
                <w:lang w:val="uk-UA"/>
              </w:rPr>
              <w:t xml:space="preserve">                    _________________        </w:t>
            </w:r>
          </w:p>
          <w:p w14:paraId="37863089">
            <w:pPr>
              <w:tabs>
                <w:tab w:val="left" w:pos="454"/>
                <w:tab w:val="left" w:pos="2155"/>
              </w:tabs>
              <w:contextualSpacing/>
              <w:jc w:val="left"/>
              <w:rPr>
                <w:rFonts w:ascii="Calibri" w:hAnsi="Calibri" w:eastAsia="Calibri" w:cs="Times New Roman"/>
                <w:sz w:val="20"/>
                <w:szCs w:val="20"/>
                <w:lang w:val="uk-UA"/>
              </w:rPr>
            </w:pPr>
            <w:r>
              <w:rPr>
                <w:rFonts w:ascii="Times New Roman" w:hAnsi="Times New Roman" w:eastAsia="Calibri" w:cs="Times New Roman"/>
                <w:sz w:val="20"/>
                <w:szCs w:val="20"/>
                <w:lang w:val="uk-UA"/>
              </w:rPr>
              <w:t xml:space="preserve">      (підпис)</w:t>
            </w:r>
            <w:r>
              <w:rPr>
                <w:rFonts w:ascii="Times New Roman" w:hAnsi="Times New Roman" w:eastAsia="Calibri" w:cs="Times New Roman"/>
                <w:sz w:val="20"/>
                <w:szCs w:val="20"/>
                <w:lang w:val="uk-UA"/>
              </w:rPr>
              <w:tab/>
            </w:r>
            <w:r>
              <w:rPr>
                <w:rFonts w:ascii="Times New Roman" w:hAnsi="Times New Roman" w:eastAsia="Calibri" w:cs="Times New Roman"/>
                <w:sz w:val="20"/>
                <w:szCs w:val="20"/>
                <w:lang w:val="uk-UA"/>
              </w:rPr>
              <w:t xml:space="preserve">      (прізвище, ініціали)</w:t>
            </w:r>
          </w:p>
        </w:tc>
      </w:tr>
      <w:tr w14:paraId="23B7E0BD">
        <w:tblPrEx>
          <w:tblCellMar>
            <w:top w:w="0" w:type="dxa"/>
            <w:left w:w="108" w:type="dxa"/>
            <w:bottom w:w="0" w:type="dxa"/>
            <w:right w:w="108" w:type="dxa"/>
          </w:tblCellMar>
        </w:tblPrEx>
        <w:tc>
          <w:tcPr>
            <w:tcW w:w="5117" w:type="dxa"/>
          </w:tcPr>
          <w:p w14:paraId="07F69DC8">
            <w:pPr>
              <w:spacing w:line="360" w:lineRule="auto"/>
              <w:jc w:val="left"/>
              <w:rPr>
                <w:rFonts w:ascii="Calibri" w:hAnsi="Calibri" w:eastAsia="Calibri" w:cs="Times New Roman"/>
                <w:sz w:val="28"/>
                <w:szCs w:val="28"/>
                <w:lang w:val="uk-UA"/>
              </w:rPr>
            </w:pPr>
          </w:p>
        </w:tc>
        <w:tc>
          <w:tcPr>
            <w:tcW w:w="4820" w:type="dxa"/>
          </w:tcPr>
          <w:p w14:paraId="07F87D93">
            <w:pPr>
              <w:spacing w:line="360" w:lineRule="auto"/>
              <w:jc w:val="left"/>
              <w:rPr>
                <w:rFonts w:ascii="Calibri" w:hAnsi="Calibri" w:eastAsia="Calibri" w:cs="Times New Roman"/>
                <w:sz w:val="28"/>
                <w:szCs w:val="28"/>
                <w:lang w:val="uk-UA"/>
              </w:rPr>
            </w:pPr>
          </w:p>
        </w:tc>
      </w:tr>
    </w:tbl>
    <w:p w14:paraId="64D0B86D">
      <w:pPr>
        <w:spacing w:line="360" w:lineRule="auto"/>
        <w:jc w:val="left"/>
        <w:rPr>
          <w:rFonts w:ascii="Times New Roman" w:hAnsi="Times New Roman" w:eastAsia="Calibri" w:cs="Times New Roman"/>
          <w:sz w:val="28"/>
          <w:szCs w:val="28"/>
          <w:lang w:val="uk-UA"/>
        </w:rPr>
      </w:pPr>
    </w:p>
    <w:p w14:paraId="0B5DDF89">
      <w:pPr>
        <w:spacing w:line="360" w:lineRule="auto"/>
        <w:jc w:val="left"/>
        <w:rPr>
          <w:rFonts w:ascii="Times New Roman" w:hAnsi="Times New Roman" w:eastAsia="Calibri" w:cs="Times New Roman"/>
          <w:sz w:val="28"/>
          <w:szCs w:val="28"/>
          <w:lang w:val="uk-UA"/>
        </w:rPr>
      </w:pPr>
    </w:p>
    <w:p w14:paraId="2C82D1DE">
      <w:pPr>
        <w:tabs>
          <w:tab w:val="left" w:pos="3744"/>
        </w:tabs>
        <w:spacing w:line="360" w:lineRule="auto"/>
        <w:rPr>
          <w:rFonts w:ascii="Times New Roman" w:hAnsi="Times New Roman" w:eastAsia="Calibri" w:cs="Times New Roman"/>
          <w:b/>
          <w:sz w:val="28"/>
          <w:szCs w:val="28"/>
          <w:lang w:val="uk-UA"/>
        </w:rPr>
      </w:pPr>
      <w:r>
        <w:rPr>
          <w:rFonts w:ascii="Times New Roman" w:hAnsi="Times New Roman" w:eastAsia="Calibri" w:cs="Times New Roman"/>
          <w:b/>
          <w:sz w:val="28"/>
          <w:szCs w:val="28"/>
          <w:lang w:val="uk-UA"/>
        </w:rPr>
        <w:t>Одеса – 2024</w:t>
      </w:r>
    </w:p>
    <w:p w14:paraId="69CD0771">
      <w:pPr>
        <w:spacing w:line="360" w:lineRule="auto"/>
        <w:ind w:left="-567"/>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14:paraId="54C498A4">
      <w:pPr>
        <w:spacing w:line="360" w:lineRule="auto"/>
        <w:ind w:left="851" w:hanging="284"/>
        <w:jc w:val="both"/>
        <w:rPr>
          <w:rFonts w:ascii="Times New Roman" w:hAnsi="Times New Roman" w:cs="Times New Roman"/>
          <w:sz w:val="28"/>
          <w:szCs w:val="28"/>
          <w:lang w:val="uk-UA"/>
        </w:rPr>
      </w:pPr>
    </w:p>
    <w:p w14:paraId="3B0CEFC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Вступ……………………………………………………………………………2</w:t>
      </w:r>
    </w:p>
    <w:p w14:paraId="493DE9C2">
      <w:pPr>
        <w:spacing w:line="360" w:lineRule="auto"/>
        <w:jc w:val="both"/>
        <w:rPr>
          <w:rFonts w:ascii="Times New Roman" w:hAnsi="Times New Roman" w:cs="Times New Roman"/>
          <w:sz w:val="28"/>
          <w:szCs w:val="28"/>
          <w:lang w:val="uk-UA"/>
        </w:rPr>
      </w:pPr>
    </w:p>
    <w:p w14:paraId="0B53200F">
      <w:pPr>
        <w:spacing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Розділ Ⅰ Історія  вивчення нетрадиційних релігійних течій в контексті культури……………………………………………………….……….………11</w:t>
      </w:r>
    </w:p>
    <w:p w14:paraId="61CAF6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Виникнення і розвиток нетрадиційної релігійності……………………11</w:t>
      </w:r>
    </w:p>
    <w:p w14:paraId="4B09FB3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Особливості сучасних нетрадиційних релігійних рухів……………….16</w:t>
      </w:r>
    </w:p>
    <w:p w14:paraId="510988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 Дослідження нетрадиційних течій у науковому дискурсі……………..25</w:t>
      </w:r>
    </w:p>
    <w:p w14:paraId="1465979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Секта як культурний феномен……………………………………..35</w:t>
      </w:r>
    </w:p>
    <w:p w14:paraId="625DE6F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Поняття та ознаки секти: теоретичний аспект………………………….35</w:t>
      </w:r>
    </w:p>
    <w:p w14:paraId="4A74C89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Pr>
          <w:rFonts w:ascii="Times New Roman" w:hAnsi="Times New Roman" w:cs="Times New Roman"/>
          <w:sz w:val="28"/>
          <w:szCs w:val="28"/>
          <w:lang w:val="uk-UA"/>
        </w:rPr>
        <w:tab/>
      </w:r>
      <w:r>
        <w:rPr>
          <w:rFonts w:ascii="Times New Roman" w:hAnsi="Times New Roman" w:cs="Times New Roman"/>
          <w:sz w:val="28"/>
          <w:szCs w:val="28"/>
          <w:lang w:val="uk-UA"/>
        </w:rPr>
        <w:t>Особливості традиційної релігійної організації……………………...38</w:t>
      </w:r>
    </w:p>
    <w:p w14:paraId="4B7816B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Соціальні та культурні відмінності між сектою та традиційним релігійним інститутом………………………………………………………..42</w:t>
      </w:r>
    </w:p>
    <w:p w14:paraId="517904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Нью-ейдж: нова міфологія та її відображення в кінематографі...49</w:t>
      </w:r>
    </w:p>
    <w:p w14:paraId="06A1119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Філософія і символіка руху Нью-ейдж………………………………….49</w:t>
      </w:r>
    </w:p>
    <w:p w14:paraId="4E2E39D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Основні ідеї та мотиви, притаманні міфології Нью-ейдж та сучасне </w:t>
      </w:r>
    </w:p>
    <w:p w14:paraId="48621C7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кіно…………………………………………………………………………….60</w:t>
      </w:r>
    </w:p>
    <w:p w14:paraId="77430C53">
      <w:pPr>
        <w:spacing w:line="360" w:lineRule="auto"/>
        <w:jc w:val="both"/>
        <w:rPr>
          <w:rFonts w:ascii="Times New Roman" w:hAnsi="Times New Roman" w:cs="Times New Roman"/>
          <w:sz w:val="28"/>
          <w:szCs w:val="28"/>
          <w:lang w:val="uk-UA"/>
        </w:rPr>
      </w:pPr>
    </w:p>
    <w:p w14:paraId="1AE5C0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Висновки………………………………………………………………………75</w:t>
      </w:r>
    </w:p>
    <w:p w14:paraId="0AA86572">
      <w:pPr>
        <w:spacing w:line="360" w:lineRule="auto"/>
        <w:jc w:val="both"/>
        <w:rPr>
          <w:rFonts w:ascii="Times New Roman" w:hAnsi="Times New Roman" w:cs="Times New Roman"/>
          <w:sz w:val="28"/>
          <w:szCs w:val="28"/>
          <w:lang w:val="uk-UA"/>
        </w:rPr>
      </w:pPr>
    </w:p>
    <w:p w14:paraId="05F2F46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джерел та літератури………………………………………………...78</w:t>
      </w:r>
    </w:p>
    <w:p w14:paraId="294420FB">
      <w:pPr>
        <w:spacing w:line="360" w:lineRule="auto"/>
        <w:ind w:left="851" w:hanging="284"/>
        <w:rPr>
          <w:rFonts w:ascii="Times New Roman" w:hAnsi="Times New Roman" w:cs="Times New Roman"/>
          <w:sz w:val="28"/>
          <w:szCs w:val="28"/>
          <w:lang w:val="uk-UA"/>
        </w:rPr>
      </w:pPr>
    </w:p>
    <w:p w14:paraId="7EDE9E3D">
      <w:pPr>
        <w:spacing w:line="360" w:lineRule="auto"/>
        <w:jc w:val="both"/>
        <w:rPr>
          <w:rFonts w:ascii="Times New Roman" w:hAnsi="Times New Roman" w:cs="Times New Roman"/>
          <w:sz w:val="28"/>
          <w:szCs w:val="28"/>
          <w:lang w:val="uk-UA"/>
        </w:rPr>
      </w:pPr>
    </w:p>
    <w:p w14:paraId="629FFFD4">
      <w:pPr>
        <w:spacing w:line="360" w:lineRule="auto"/>
        <w:jc w:val="both"/>
        <w:rPr>
          <w:rFonts w:ascii="Times New Roman" w:hAnsi="Times New Roman" w:cs="Times New Roman"/>
          <w:sz w:val="28"/>
          <w:szCs w:val="28"/>
          <w:lang w:val="uk-UA"/>
        </w:rPr>
      </w:pPr>
    </w:p>
    <w:p w14:paraId="3031FE93">
      <w:pPr>
        <w:spacing w:line="360" w:lineRule="auto"/>
        <w:jc w:val="both"/>
        <w:rPr>
          <w:rFonts w:ascii="Times New Roman" w:hAnsi="Times New Roman" w:cs="Times New Roman"/>
          <w:sz w:val="28"/>
          <w:szCs w:val="28"/>
          <w:lang w:val="uk-UA"/>
        </w:rPr>
      </w:pPr>
    </w:p>
    <w:p w14:paraId="398A5DC9">
      <w:pPr>
        <w:spacing w:line="360" w:lineRule="auto"/>
        <w:jc w:val="both"/>
        <w:rPr>
          <w:rFonts w:ascii="Times New Roman" w:hAnsi="Times New Roman" w:cs="Times New Roman"/>
          <w:sz w:val="28"/>
          <w:szCs w:val="28"/>
          <w:lang w:val="uk-UA"/>
        </w:rPr>
      </w:pPr>
    </w:p>
    <w:p w14:paraId="66811981">
      <w:pPr>
        <w:spacing w:line="360" w:lineRule="auto"/>
        <w:jc w:val="both"/>
        <w:rPr>
          <w:rFonts w:ascii="Times New Roman" w:hAnsi="Times New Roman" w:cs="Times New Roman"/>
          <w:sz w:val="28"/>
          <w:szCs w:val="28"/>
          <w:lang w:val="uk-UA"/>
        </w:rPr>
      </w:pPr>
    </w:p>
    <w:p w14:paraId="47193BB1">
      <w:pPr>
        <w:spacing w:line="360" w:lineRule="auto"/>
        <w:jc w:val="both"/>
        <w:rPr>
          <w:rFonts w:ascii="Times New Roman" w:hAnsi="Times New Roman" w:cs="Times New Roman"/>
          <w:b/>
          <w:caps/>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caps/>
          <w:sz w:val="28"/>
          <w:szCs w:val="28"/>
          <w:lang w:val="uk-UA"/>
        </w:rPr>
        <w:t>Вступ</w:t>
      </w:r>
    </w:p>
    <w:p w14:paraId="2C4DBA16">
      <w:pPr>
        <w:spacing w:line="360" w:lineRule="auto"/>
        <w:ind w:left="851" w:hanging="284"/>
        <w:jc w:val="both"/>
        <w:rPr>
          <w:rFonts w:ascii="Times New Roman" w:hAnsi="Times New Roman" w:cs="Times New Roman"/>
          <w:sz w:val="28"/>
          <w:szCs w:val="28"/>
          <w:lang w:val="uk-UA"/>
        </w:rPr>
      </w:pPr>
    </w:p>
    <w:p w14:paraId="1EE07B86">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 дослідження</w:t>
      </w:r>
      <w:r>
        <w:rPr>
          <w:rFonts w:ascii="Times New Roman" w:hAnsi="Times New Roman" w:cs="Times New Roman"/>
          <w:sz w:val="28"/>
          <w:szCs w:val="28"/>
          <w:lang w:val="uk-UA"/>
        </w:rPr>
        <w:t>. У сучасному суспільстві спостерігається зростання інтересу до нетрадиційної релігійності та альтернативних духовних практик, що стає невід'ємною частиною культурного життя багатьох людей. Ця тенденція зумовлена глобалізацією, розвитком інформаційних технологій та посиленням індивідуалізму, які сприяють пошуку особистих, неінституціоналізованих шляхів духовного самовираження. Нетрадиційні релігійні течії пропонують широкий спектр нових символів і міфів, які проникають у різні сфери культури, зокрема літературу, музику, кінематограф і медіа.</w:t>
      </w:r>
    </w:p>
    <w:p w14:paraId="31489E7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Релігія - настільки різноманітний феномен життя, який не зникає в процесі історичного розвитку, а лише видозмінюється під впливом соціальних та індивідуальних потреб. Однак, незважаючи на це, дати повне визначення релігії практично неможливо, адже отримати відповіді на основні питання епістемології релігії можна лише у формі гіпотез, оскільки релігія має безліч інтерпретацій залежно від світоглядної позиції автора, що ускладнює пошук єдиної думки, а тим більше розуміння феномен віри. Наприклад: для одних дослідників такі поняття, як Бог, Абсолют чи надприродне початок, мають велике значення в житті, а для інших це лише об'єкт вивчення. Те саме можна сказати про таке поняття, як «секта»: для одних це поняття цілком обґрунтоване для його використання в тій же юриспруденції, а для інших не є адекватним терміном для позначення релігійних утворень (руху), що відрізняються від традиційної віри.</w:t>
      </w:r>
    </w:p>
    <w:p w14:paraId="0BFC0BE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людина релігійна за своєю природою, адже релігія спонукає людину до перетворення себе та свого оточення. Але релігія має також і зворотний бік. Оскільки віра є одним із наріжних каменів духовності, є небезпека підпорядкування релігійним лідерам, навіть якщо вони ведуть спосіб життя, що не відповідає духовному. сану. Іноді релігійні рухи використовують психологічний тиск, який підриває здатність приймати самостійні рішення. Деякі автори, наприклад А. Дворкін, С. Хассен[35], цю дію називають «контролем над свідомістю», а такі релігійні рухи – сектою. Але слід зазначити, що термін «секта» дуже неоднозначний, його негативне сприйняття на звичайному рівні перешкоджає об'єктивному дослідженню. Деякі науковці відносять до цього поняття нетрадиційні вірування.</w:t>
      </w:r>
    </w:p>
    <w:p w14:paraId="1D7ACA7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Релігія йде шляхом пошуку згоди зі світом, шляхом компромісу. Аналіз релігії у цьому аспекті бере за основу її зв'язок із соціальною групою. Ця проблематика розглядається соціологією релігії, в рамках запропонованої Трьольчем та М. Вебером дихотомії церква – секта.</w:t>
      </w:r>
    </w:p>
    <w:p w14:paraId="2CC7E8B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ґрунті специфічно позамирських мотивацій виникає релігійна група, секта, в ході свого розвитку зазнає дедалі більшої еволюції щодо світу - від неприйняття до примирення з ним. Секта розвивається до церкви, йдучи шляхом обмирщення, вступаючи у компроміс зі світом. Виникає питання:До якого краю можлива ця еволюція? Де той кордон, переступивши який релігія перетворюється на світське філософське чи етичне вчення?</w:t>
      </w:r>
    </w:p>
    <w:p w14:paraId="3380AF5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всі питання майбутнього релігії зводяться до того, що суспільство ускладнюється, в чомусь суттєве життя людей змінюється, і вони прагнуть нових духовних цінностей, включаючи розуміння сенсу релігії. Релігійна свідомість проявляється у нових, часто несподіваних та незвичних формах. Важливим є зростаюче серед соціологів переконання, що неможливо провести радикальне поділ між сакральним і секулярним, якщо хочемо зрозуміти сьогоднішніх богів. Оновлення релігії в сучасному світі можливе лише на шляху набуття нового релігійного досвіду, досвіду людського в людині. Такий релігійний досвід має сьогодні серйозну соціальну основу, ту основу, яка, згідно з Е. Дюркгеймом, живить релігію і дозволяє побачити в ній постійну величину, якийсь вічний зміст, прихований за тимчасовими формами її вираження.  </w:t>
      </w:r>
    </w:p>
    <w:p w14:paraId="6CC9720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Цією соціальною основою є становлення людської спільноти у глобальному масштабі. Життя всіх людей на Землі сьогодні пов'язане в єдине ціле загальною технічною базою, новими засобами комунікації та транспорту, міжконтинентальною мережею наукових та інформаційних зв'язків, торгівлею та промисловістю, спільними загрозами, що ставить під сумнів саме подальше існування людства, спільністю долі.</w:t>
      </w:r>
    </w:p>
    <w:p w14:paraId="05F2810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люди мають спільні проблеми, і вони однаково шукають способи їх вирішення. Більшість цих проблем можливо вирішити лише спільно, тільки знайшовши можливість об'єднатися. Але це нелегка проблема. Вибух етнічної самосвідомості в наші дні свідчить про страх нівелюючих тенденцій, що живе, побоювання втратити самобутність, національні традиції. Це – один із чинників, що протидіють становленню світової спільноти і водночас – показник того, наскільки необхідний сьогодні дух солідарності та співпраці.</w:t>
      </w:r>
    </w:p>
    <w:p w14:paraId="230192A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Релігія є невід'ємною частиною сучасного світу. Її вплив відчувається практично у всіх сферах суспільного життя, чи це політика, економіка, освіта, спорт, шлюбно-сімейні відносини і т.д.</w:t>
      </w:r>
    </w:p>
    <w:p w14:paraId="232C5CB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наш час ця тема дуже актуальна, оскільки релігія продовжує впливати на почуття та уми людей. Таким чином, вивчення функцій, характерних рис релігії є одним з основних завдань соціологічної науки, як вітчизняної, так і зарубіжної.</w:t>
      </w:r>
    </w:p>
    <w:p w14:paraId="230F900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Серйозний внесок у вивченні та дослідженні проблем релігії як соціального інституту зробили праці численних зарубіжних вчених та мислителів. Серед них Давид Еміль Дюркгейм («Елементарні форми релігійного життя»)[9], Макс Вебер («Протестантська етика та дух капіталізму»)[6], Броніслав Малиновський («Магія, наука та релігія»)[17]. Для соціології релігія як соціальний феномен-це вірування, які у найбільш істотних аспектах поділяються багатьма, тобто відбуваються у групових взаємодіях. Релігія – це спільність людей, які дотримуються однієї віри.</w:t>
      </w:r>
    </w:p>
    <w:p w14:paraId="641B208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Серед соціальних функцій церкви Вебер вважає головними консолідуючу та інтегруючу, які здатні гуртувати суспільство, не допускати соціальних конфліктів та революційних потрясінь. На думку Дюркгейма, релігія має стати виразом соціальної згуртованості народу, засобом подолання соціальної ворожнечі та нерівності людей, забезпечити цілісність та стабільність суспільства, допомогти подолати конфлікти та протиріччя. Отже, за Дюркгеймом, головна соціальна функція церкви – інтегруюча – спрямована на підтримку та зміцнення політичного устрою.</w:t>
      </w:r>
    </w:p>
    <w:p w14:paraId="735FE8B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Будучи досить важливим і необхідним суспільству соціальним явищем, релігія виконує у ньому (суспільстві) різні функції. Функціональний підхід найбільш універсальний вивчення релігії як соціального феномена.</w:t>
      </w:r>
    </w:p>
    <w:p w14:paraId="06939A6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пізнання "внутрішньої" людини досить складний. </w:t>
      </w:r>
    </w:p>
    <w:p w14:paraId="62CCE58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Пізнаючи себе, людина проникає у найглибші таємниці божественного. Г. Сковорода пов'язує проблему людини з проблемою Бога в контексті її перетворення на шляху до пізнання Бога. </w:t>
      </w:r>
    </w:p>
    <w:p w14:paraId="52D0A7B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Вже при общинно-родовому ладі, особливо в його пізню пору не було нестачі в людях, що спеціалізувалися на виконанні магічних і культових обрядів, знавців і зберігачів релігійно-магічних вірувань: виділення цих фахівців було одним із проявів наростаючого суспільного поділу праці та зачатком відділення розумової праці від фізичної. Ці фахівці були не тільки зберігачами, а значною мірою і творцями релігійних вірувань. Не можна ж думати, що навіть елементарні, всім доступні і всіма племінні вірування, що розділяються, зароджувалися відразу, самостійно і в тому самому вигляді в головах всіх членів племені і кожного окремо. Це було б дивом. Умови виникнення вірувань у кожному певному громадському середовищі (у кожному певному племені) були більш-менш однакові, але самі вірування зароджувалися — або, краще сказати, усвідомлювалися, осмислювалися — спочатку в голові одного або кількох людей, а потім передавалися від одного до іншого. , від батьків до дітей, від людей похилого віку до підлітків. І є всі підстави вважати, що саме в головах фахівців, які присвятили себе цього роду діяльності, раніше ніж у будь-яких інших головах, оформлялися, видозмінювалися, ускладнювалися релігійні уявлення, а від них потрапляли і до всіх інших. Адже не випадково саме від чаклунів, шаманів, жерців отримували етнографи-дослідники здебільшого ту інформацію, яка згодом лягала в основу опису вірувань даного народу. Сказане не є, звичайно, повернення до спрощеної "теорії обману": адже відомо, що ті ж чаклуни, знахарі, шамани здебільшого і самі вірять чи напіввірять у те, чому вчать своїх одноплемінників. Але вони особисто в силу специфіки своєї діяльності, по-перше, більше за інших схильні до "творення" вірувань, а по-друге, більше за інших зацікавлені (і навіть суто матеріально) у збереженні та закріпленні цих вірувань у свідомості оточуючих.(Токарев) [32, 77с] </w:t>
      </w:r>
    </w:p>
    <w:p w14:paraId="6E7EA6B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New Age - загальна назва сукупності різних містичних течій та рухів, в основному окультного, езотеричного та синкретичного характеру, що сформувалися у XX столітті. У широкому сенсі новітні релігійні рухи — постійний фермент релігійної картини світу. Історію людства загалом можна уявити як нескінченний процес релігійної творчості, ланцюг народження, розквіту й у багатьох випадках - занепаду релігійних цивілізацій. Водночас питання, чому саме сплески релігійних інновацій припадають на такі різні епохи та країни, як Римська імперія доби становлення християнства або Індія XIX століття, Японія після II Світової війни чи США 60-70 років, - лишається доволі дискусійним. Можна припустити, що подібні явища знаменують наближення якогось "осьового" часу і є попередженням про тектонічні зрушення цивілізаційного виміру. Але зрозуміло також, що скерованість на духовний пошук, невдоволення існуючими релігійними структурами й суто антропологічний протест проти закостеніння й муміфікації укорінені в самій людській природі.</w:t>
      </w:r>
    </w:p>
    <w:p w14:paraId="7DFA576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Сприйняття нових релігійних традицій неоднозначне як у звичайних людей, так і у науковців. Ця тема завжди була цікавою та  не повністю дослідженою по-перше із-за її феномену, а по-друге із-за постійної появи та  поширення різних традицій. Цю тему вивчають у комплексі психологи(Хассен [35], Ліщинська [15] , Сафронов [30] ), релігіє знавці (Мартинович, Токарев [32] історики, соціологи (Вебер), а також правознавці(Петрик[23][24][25], Дмитрієв[8]), які аналізують діяльність сект та їх вплив на суспільство у правовому аспекті. Деякі автори вивчають вузькі темі, окремі течії у релігійному русі (</w:t>
      </w:r>
      <w:r>
        <w:rPr>
          <w:rFonts w:ascii="Times New Roman" w:hAnsi="Times New Roman" w:cs="Times New Roman"/>
          <w:color w:val="000000"/>
          <w:sz w:val="28"/>
          <w:szCs w:val="28"/>
          <w:lang w:val="uk-UA"/>
        </w:rPr>
        <w:t>Воронянська Н. Адвентисти сьомого дня [7]).</w:t>
      </w:r>
      <w:r>
        <w:rPr>
          <w:rFonts w:ascii="Times New Roman" w:hAnsi="Times New Roman" w:cs="Times New Roman"/>
          <w:sz w:val="28"/>
          <w:szCs w:val="28"/>
          <w:lang w:val="uk-UA"/>
        </w:rPr>
        <w:t xml:space="preserve"> Мартинович у своїй монографії аналізує теоретичні аспекти виникнення сектантства та її взаємодію з суспільством. Також він дає декілька класифікацій сект, по ознакам структурності та взаємодії з суспільством (аудиторні культі менш структурні, але більш популярні, це окультно-містичні та зцілювальні), Петрик В. М. в багатьох дослідженнях наголошує загрозу сект для суспільства. Сафронов А. Г. у монографії</w:t>
      </w:r>
      <w:r>
        <w:rPr>
          <w:rFonts w:ascii="Times New Roman" w:hAnsi="Times New Roman" w:cs="Times New Roman"/>
          <w:color w:val="000000" w:themeColor="text1"/>
          <w:sz w:val="28"/>
          <w:szCs w:val="28"/>
          <w:lang w:val="uk-UA"/>
          <w14:textFill>
            <w14:solidFill>
              <w14:schemeClr w14:val="tx1"/>
            </w14:solidFill>
          </w14:textFill>
        </w:rPr>
        <w:t xml:space="preserve"> «Релігійні психопрактики в історії культури»</w:t>
      </w:r>
      <w:r>
        <w:rPr>
          <w:rFonts w:ascii="Times New Roman" w:hAnsi="Times New Roman" w:cs="Times New Roman"/>
          <w:sz w:val="28"/>
          <w:szCs w:val="28"/>
          <w:lang w:val="uk-UA"/>
        </w:rPr>
        <w:t xml:space="preserve">  розглядає психологічні витоки релігії, зміну підсвідомості та аналізує психологічну природу методів, які використовують неокульти.</w:t>
      </w:r>
    </w:p>
    <w:p w14:paraId="650B5FE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Нові релігійні течії в Україні також велика тема для дослідження. Кришталь Ю.[13,181с] досліджує причини виникнення Нових течій в Україні та  їх спільні риси. Коваленко Е. А.[11] дає класифікацію культів за сутністю та вважає кризи в класичних релігіях та в суспільстві причиною їх виникнення. Цією темою займалися також Филипович Л. О.[34], Слободиська О. А..[31]</w:t>
      </w:r>
    </w:p>
    <w:p w14:paraId="3D312D3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 заявлена тема є актуальною, оскільки дослідження нетрадиційної релігійності дає змогу глибше зрозуміти сучасні культурні процеси та їхній вплив на формування особистісної ідентичності в глобалізованому світі.</w:t>
      </w:r>
    </w:p>
    <w:p w14:paraId="6DB438F2">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Мета і завдання дослідження</w:t>
      </w:r>
      <w:r>
        <w:rPr>
          <w:rFonts w:ascii="Times New Roman" w:hAnsi="Times New Roman" w:cs="Times New Roman"/>
          <w:sz w:val="28"/>
          <w:szCs w:val="28"/>
          <w:lang w:val="uk-UA"/>
        </w:rPr>
        <w:t xml:space="preserve">. Мета даного дослідження полягає в аналізі та критичному осмисленні нетрадиційної релігійності як феномена сучасної культури. </w:t>
      </w:r>
    </w:p>
    <w:p w14:paraId="581B852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Поставлена мета визначила вирішення ряду завдань дослідження:</w:t>
      </w:r>
    </w:p>
    <w:p w14:paraId="1EF00D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 вивчити історичні передумови формування нетрадиційних релігійних течій;</w:t>
      </w:r>
    </w:p>
    <w:p w14:paraId="4255D74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 проаналізувати особливості розвитку нетрадиційних релігійних рухів на  сучасному етапі;</w:t>
      </w:r>
    </w:p>
    <w:p w14:paraId="64EC642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 визначити основні теоретичні підходи щодо розуміння нетрадиційної релігійності;</w:t>
      </w:r>
    </w:p>
    <w:p w14:paraId="3724816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розглянути особливості секти як явища культури;</w:t>
      </w:r>
    </w:p>
    <w:p w14:paraId="43C0DAA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5. відзначити характерні риси традиційної релігійної організації;</w:t>
      </w:r>
    </w:p>
    <w:p w14:paraId="2F748A5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6. дослідити соціальні та культурні відмінності між нетрадиційними релігійними течіями та традиційними релігіями;</w:t>
      </w:r>
    </w:p>
    <w:p w14:paraId="28989B9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 проаналізувати філософські ідеї та символіку Нью-ейдж;</w:t>
      </w:r>
    </w:p>
    <w:p w14:paraId="495F80F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дослідити відображення ідей і символів Нью-ейдж у сучасному кінематографі. </w:t>
      </w:r>
    </w:p>
    <w:p w14:paraId="4512B64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 дослідження – нетрадиційні релігійні течії в культурі  </w:t>
      </w:r>
    </w:p>
    <w:p w14:paraId="4A50642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Предмет дослідження – символіка та нова міфологія, що властиві  нетрадиційним релігійним рухам</w:t>
      </w:r>
    </w:p>
    <w:p w14:paraId="2FAA2117">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Методика дослідження</w:t>
      </w:r>
      <w:r>
        <w:rPr>
          <w:rFonts w:ascii="Times New Roman" w:hAnsi="Times New Roman" w:cs="Times New Roman"/>
          <w:sz w:val="28"/>
          <w:szCs w:val="28"/>
          <w:lang w:val="uk-UA"/>
        </w:rPr>
        <w:t xml:space="preserve">. Дослідження нетрадиційної релігійності, її символіки та нової міфології в сучасній культурі здійснюється на основі комплексного підходу, що включає використання різних методів, які дозволяють глибоко і всебічно вивчити феномен нетрадиційних релігійних течій і їхній культурний вплив.  Зокрема, використовувалися, історичний метод (для аналізу історичних передумов виникнення та розвитку нетрадиційної релігійності, для дослідження трансформацій релігійних уявлень у ХХ-ХХІ ст.), метод порівняльного аналізу (для визначення відмінностей між нетрадиційними релігійними течіями та традиційними релігійними організаціями), семіотичний аналіз (для дослідження символіки, зокрема аналізу образів, символів і знаків нетрадиційних течій), культурологічний підхід (для вивчення впливу нетрадиційної релігійності на сучасну культуру та переосмислення традиційних культурних цінностей). Дані методи застосовуються комплексно, що дозволяє всебічно охопити досліджуваний феномен. </w:t>
      </w:r>
    </w:p>
    <w:p w14:paraId="4D58BA81">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Дане дослідження складається зі вступу,трьох розділів (8 підрозділів), висновків, списку використаних джерел та літератури.</w:t>
      </w:r>
    </w:p>
    <w:p w14:paraId="061C56ED">
      <w:pPr>
        <w:spacing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Апробація дослідження</w:t>
      </w:r>
      <w:r>
        <w:rPr>
          <w:rFonts w:ascii="Times New Roman" w:hAnsi="Times New Roman" w:cs="Times New Roman"/>
          <w:sz w:val="28"/>
          <w:szCs w:val="28"/>
          <w:lang w:val="uk-UA"/>
        </w:rPr>
        <w:t>. За результати дослідження  на тему «Нетрадиційна релігіозність в сучасній культурі:символіка та нова міфологія» була зроблена доповідь на студентській науковій конференції ОНУ імені І.І. Мечникова (2024 р.).</w:t>
      </w:r>
    </w:p>
    <w:p w14:paraId="20FF5C0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04558010">
      <w:pPr>
        <w:spacing w:line="360" w:lineRule="auto"/>
        <w:jc w:val="both"/>
        <w:rPr>
          <w:rFonts w:ascii="Times New Roman" w:hAnsi="Times New Roman" w:cs="Times New Roman"/>
          <w:sz w:val="28"/>
          <w:szCs w:val="28"/>
          <w:lang w:val="uk-UA"/>
        </w:rPr>
      </w:pPr>
    </w:p>
    <w:p w14:paraId="2F290892">
      <w:pPr>
        <w:spacing w:line="360" w:lineRule="auto"/>
        <w:rPr>
          <w:rFonts w:ascii="Times New Roman" w:hAnsi="Times New Roman" w:cs="Times New Roman"/>
          <w:b/>
          <w:caps/>
          <w:sz w:val="28"/>
          <w:szCs w:val="28"/>
          <w:lang w:val="uk-UA"/>
        </w:rPr>
      </w:pPr>
    </w:p>
    <w:p w14:paraId="058405EB">
      <w:pPr>
        <w:spacing w:line="360" w:lineRule="auto"/>
        <w:rPr>
          <w:rFonts w:ascii="Times New Roman" w:hAnsi="Times New Roman" w:cs="Times New Roman"/>
          <w:b/>
          <w:caps/>
          <w:sz w:val="28"/>
          <w:szCs w:val="28"/>
          <w:lang w:val="uk-UA"/>
        </w:rPr>
      </w:pPr>
    </w:p>
    <w:p w14:paraId="6ADF5DF1">
      <w:pPr>
        <w:spacing w:line="360" w:lineRule="auto"/>
        <w:rPr>
          <w:rFonts w:ascii="Times New Roman" w:hAnsi="Times New Roman" w:cs="Times New Roman"/>
          <w:b/>
          <w:caps/>
          <w:sz w:val="28"/>
          <w:szCs w:val="28"/>
          <w:lang w:val="uk-UA"/>
        </w:rPr>
      </w:pPr>
    </w:p>
    <w:p w14:paraId="1BD2746F">
      <w:pPr>
        <w:spacing w:line="360" w:lineRule="auto"/>
        <w:rPr>
          <w:rFonts w:ascii="Times New Roman" w:hAnsi="Times New Roman" w:cs="Times New Roman"/>
          <w:b/>
          <w:caps/>
          <w:sz w:val="28"/>
          <w:szCs w:val="28"/>
          <w:lang w:val="uk-UA"/>
        </w:rPr>
      </w:pPr>
    </w:p>
    <w:p w14:paraId="6F9DA8B9">
      <w:pPr>
        <w:spacing w:line="360" w:lineRule="auto"/>
        <w:rPr>
          <w:rFonts w:ascii="Times New Roman" w:hAnsi="Times New Roman" w:cs="Times New Roman"/>
          <w:b/>
          <w:caps/>
          <w:sz w:val="28"/>
          <w:szCs w:val="28"/>
          <w:lang w:val="uk-UA"/>
        </w:rPr>
      </w:pPr>
    </w:p>
    <w:p w14:paraId="2AD744D4">
      <w:pPr>
        <w:spacing w:line="360" w:lineRule="auto"/>
        <w:rPr>
          <w:rFonts w:ascii="Times New Roman" w:hAnsi="Times New Roman" w:cs="Times New Roman"/>
          <w:b/>
          <w:caps/>
          <w:sz w:val="28"/>
          <w:szCs w:val="28"/>
          <w:lang w:val="uk-UA"/>
        </w:rPr>
      </w:pPr>
    </w:p>
    <w:p w14:paraId="653E9DF1">
      <w:pPr>
        <w:spacing w:line="360" w:lineRule="auto"/>
        <w:rPr>
          <w:rFonts w:ascii="Times New Roman" w:hAnsi="Times New Roman" w:cs="Times New Roman"/>
          <w:b/>
          <w:caps/>
          <w:sz w:val="28"/>
          <w:szCs w:val="28"/>
          <w:lang w:val="uk-UA"/>
        </w:rPr>
      </w:pPr>
    </w:p>
    <w:p w14:paraId="281E71D4">
      <w:pPr>
        <w:spacing w:line="360" w:lineRule="auto"/>
        <w:rPr>
          <w:rFonts w:ascii="Times New Roman" w:hAnsi="Times New Roman" w:cs="Times New Roman"/>
          <w:b/>
          <w:caps/>
          <w:sz w:val="28"/>
          <w:szCs w:val="28"/>
          <w:lang w:val="uk-UA"/>
        </w:rPr>
      </w:pPr>
    </w:p>
    <w:p w14:paraId="5C81E582">
      <w:pPr>
        <w:spacing w:line="360" w:lineRule="auto"/>
        <w:rPr>
          <w:rFonts w:ascii="Times New Roman" w:hAnsi="Times New Roman" w:cs="Times New Roman"/>
          <w:b/>
          <w:caps/>
          <w:sz w:val="28"/>
          <w:szCs w:val="28"/>
          <w:lang w:val="uk-UA"/>
        </w:rPr>
      </w:pPr>
    </w:p>
    <w:p w14:paraId="303FB8E0">
      <w:pPr>
        <w:spacing w:line="360" w:lineRule="auto"/>
        <w:rPr>
          <w:rFonts w:ascii="Times New Roman" w:hAnsi="Times New Roman" w:cs="Times New Roman"/>
          <w:b/>
          <w:caps/>
          <w:sz w:val="28"/>
          <w:szCs w:val="28"/>
          <w:lang w:val="uk-UA"/>
        </w:rPr>
      </w:pPr>
    </w:p>
    <w:p w14:paraId="6E9B6C51">
      <w:pPr>
        <w:spacing w:line="360" w:lineRule="auto"/>
        <w:rPr>
          <w:rFonts w:ascii="Times New Roman" w:hAnsi="Times New Roman" w:cs="Times New Roman"/>
          <w:b/>
          <w:caps/>
          <w:sz w:val="28"/>
          <w:szCs w:val="28"/>
          <w:lang w:val="uk-UA"/>
        </w:rPr>
      </w:pPr>
    </w:p>
    <w:p w14:paraId="773724EC">
      <w:pPr>
        <w:spacing w:line="360" w:lineRule="auto"/>
        <w:rPr>
          <w:rFonts w:ascii="Times New Roman" w:hAnsi="Times New Roman" w:cs="Times New Roman"/>
          <w:b/>
          <w:caps/>
          <w:sz w:val="28"/>
          <w:szCs w:val="28"/>
          <w:lang w:val="uk-UA"/>
        </w:rPr>
      </w:pPr>
    </w:p>
    <w:p w14:paraId="21FD0DA0">
      <w:pPr>
        <w:spacing w:line="360" w:lineRule="auto"/>
        <w:rPr>
          <w:rFonts w:ascii="Times New Roman" w:hAnsi="Times New Roman" w:cs="Times New Roman"/>
          <w:b/>
          <w:caps/>
          <w:sz w:val="28"/>
          <w:szCs w:val="28"/>
          <w:lang w:val="uk-UA"/>
        </w:rPr>
      </w:pPr>
    </w:p>
    <w:p w14:paraId="76C9F060">
      <w:pPr>
        <w:spacing w:line="360" w:lineRule="auto"/>
        <w:rPr>
          <w:rFonts w:ascii="Times New Roman" w:hAnsi="Times New Roman" w:cs="Times New Roman"/>
          <w:b/>
          <w:caps/>
          <w:sz w:val="28"/>
          <w:szCs w:val="28"/>
          <w:lang w:val="uk-UA"/>
        </w:rPr>
      </w:pPr>
    </w:p>
    <w:p w14:paraId="0097190B">
      <w:pPr>
        <w:spacing w:line="360" w:lineRule="auto"/>
        <w:rPr>
          <w:rFonts w:ascii="Times New Roman" w:hAnsi="Times New Roman" w:cs="Times New Roman"/>
          <w:b/>
          <w:caps/>
          <w:sz w:val="28"/>
          <w:szCs w:val="28"/>
          <w:lang w:val="uk-UA"/>
        </w:rPr>
      </w:pPr>
    </w:p>
    <w:p w14:paraId="675CBA49">
      <w:pPr>
        <w:spacing w:line="360" w:lineRule="auto"/>
        <w:rPr>
          <w:rFonts w:ascii="Times New Roman" w:hAnsi="Times New Roman" w:cs="Times New Roman"/>
          <w:b/>
          <w:caps/>
          <w:sz w:val="28"/>
          <w:szCs w:val="28"/>
          <w:lang w:val="uk-UA"/>
        </w:rPr>
      </w:pPr>
    </w:p>
    <w:p w14:paraId="0B50434F">
      <w:pPr>
        <w:spacing w:line="360" w:lineRule="auto"/>
        <w:rPr>
          <w:rFonts w:ascii="Times New Roman" w:hAnsi="Times New Roman" w:cs="Times New Roman"/>
          <w:b/>
          <w:caps/>
          <w:sz w:val="28"/>
          <w:szCs w:val="28"/>
          <w:lang w:val="uk-UA"/>
        </w:rPr>
      </w:pPr>
    </w:p>
    <w:p w14:paraId="4B7E65E1">
      <w:pPr>
        <w:spacing w:line="360" w:lineRule="auto"/>
        <w:rPr>
          <w:rFonts w:ascii="Times New Roman" w:hAnsi="Times New Roman" w:cs="Times New Roman"/>
          <w:b/>
          <w:caps/>
          <w:sz w:val="28"/>
          <w:szCs w:val="28"/>
          <w:lang w:val="uk-UA"/>
        </w:rPr>
      </w:pPr>
    </w:p>
    <w:p w14:paraId="512F0442">
      <w:pPr>
        <w:spacing w:line="360" w:lineRule="auto"/>
        <w:rPr>
          <w:rFonts w:ascii="Times New Roman" w:hAnsi="Times New Roman" w:cs="Times New Roman"/>
          <w:b/>
          <w:caps/>
          <w:sz w:val="28"/>
          <w:szCs w:val="28"/>
          <w:lang w:val="uk-UA"/>
        </w:rPr>
      </w:pPr>
    </w:p>
    <w:p w14:paraId="6D33C9D4">
      <w:pPr>
        <w:spacing w:line="360" w:lineRule="auto"/>
        <w:rPr>
          <w:rFonts w:ascii="Times New Roman" w:hAnsi="Times New Roman" w:cs="Times New Roman"/>
          <w:b/>
          <w:caps/>
          <w:sz w:val="28"/>
          <w:szCs w:val="28"/>
          <w:lang w:val="uk-UA"/>
        </w:rPr>
      </w:pPr>
    </w:p>
    <w:p w14:paraId="1CB527E1">
      <w:pPr>
        <w:spacing w:line="360" w:lineRule="auto"/>
        <w:rPr>
          <w:rFonts w:ascii="Times New Roman" w:hAnsi="Times New Roman" w:cs="Times New Roman"/>
          <w:b/>
          <w:caps/>
          <w:sz w:val="28"/>
          <w:szCs w:val="28"/>
          <w:lang w:val="uk-UA"/>
        </w:rPr>
      </w:pPr>
    </w:p>
    <w:p w14:paraId="478522F6">
      <w:pPr>
        <w:spacing w:line="360" w:lineRule="auto"/>
        <w:rPr>
          <w:rFonts w:ascii="Times New Roman" w:hAnsi="Times New Roman" w:cs="Times New Roman"/>
          <w:b/>
          <w:caps/>
          <w:sz w:val="28"/>
          <w:szCs w:val="28"/>
          <w:lang w:val="uk-UA"/>
        </w:rPr>
      </w:pPr>
    </w:p>
    <w:p w14:paraId="2A366B63">
      <w:pPr>
        <w:spacing w:line="360" w:lineRule="auto"/>
        <w:rPr>
          <w:rFonts w:ascii="Times New Roman" w:hAnsi="Times New Roman" w:cs="Times New Roman"/>
          <w:b/>
          <w:caps/>
          <w:sz w:val="28"/>
          <w:szCs w:val="28"/>
          <w:lang w:val="uk-UA"/>
        </w:rPr>
      </w:pPr>
      <w:r>
        <w:rPr>
          <w:rFonts w:ascii="Times New Roman" w:hAnsi="Times New Roman" w:cs="Times New Roman"/>
          <w:b/>
          <w:caps/>
          <w:sz w:val="28"/>
          <w:szCs w:val="28"/>
          <w:lang w:val="uk-UA"/>
        </w:rPr>
        <w:t>Розділ Ⅰ.   Історія вивчення нетрадиційних РЕЛІГІЙНИХ течій В КОНТЕКСТІ КУЛЬТУРИ</w:t>
      </w:r>
    </w:p>
    <w:p w14:paraId="404E8EB9">
      <w:pPr>
        <w:spacing w:line="360" w:lineRule="auto"/>
        <w:ind w:firstLine="720"/>
        <w:jc w:val="both"/>
        <w:rPr>
          <w:rFonts w:ascii="Times New Roman" w:hAnsi="Times New Roman" w:cs="Times New Roman"/>
          <w:sz w:val="28"/>
          <w:szCs w:val="28"/>
          <w:lang w:val="uk-UA"/>
        </w:rPr>
      </w:pPr>
    </w:p>
    <w:p w14:paraId="4C73623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1.1.</w:t>
      </w:r>
      <w:r>
        <w:rPr>
          <w:lang w:val="uk-UA"/>
        </w:rPr>
        <w:t xml:space="preserve"> </w:t>
      </w:r>
      <w:r>
        <w:rPr>
          <w:rFonts w:ascii="Times New Roman" w:hAnsi="Times New Roman" w:cs="Times New Roman"/>
          <w:sz w:val="28"/>
          <w:szCs w:val="28"/>
          <w:lang w:val="uk-UA"/>
        </w:rPr>
        <w:t>Виникнення і розвиток нетрадиційної релігійності</w:t>
      </w:r>
    </w:p>
    <w:p w14:paraId="5C64A3E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 нетрадиційної релігійності незмінно викликає інтерес у вчених різних країн світу. Десятки тисяч робіт у галузі соціології, психології, історії, релігієзнавства, богослов'я, філософії, психіатрії, етнології, лінгвістики, права присвячені дослідженню нетрадиційної релігійності загалом та історії окремих її складових, наприклад, сект та культів зокрема. Десятки спеціалізованих збірників бібліографій робіт, присвячених сектантству, не встигають за виданням нових і нових праць з цієї теми. Дещо складніше виглядає ситуація з теоретичним аналізом виникнення новітних культів на мікрорівні. Хоч як це дивно, але дослідниками практично не аналізувалися теоретичні аспекти появи сект у результаті відколу інших релігійних організацій. </w:t>
      </w:r>
    </w:p>
    <w:p w14:paraId="6E8A14B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минулого тисячоліття об'єктивних критеріїв визначення поняття “секта” не вироблено. В античній Греції секта спочатку означала філософську чи юридичну школу чи групу, потім – політичне угруповання (у Цицерона). Згодом церква надала цьому терміну значення "брехня". Але між сектою та віросповіданням різкої різниці немає: ”секта” є віросповідання, яке має порівняно невелику кількість осіб.” Секта визначається як «соціологічний термін, який часто протиставляється церкві. Це група людей з вільним членством, що відрізняється своїми поглядами і підкреслює своє відокремлення від світу та панівних інститутів». Невизначеність терміну провокує розумові спекуляції та прямі зловживання з боку супротивників якоїсь соціальної, політичної чи релігійної групи. І чим менш зрозумілий термін, тим успішніше його використовують, оскільки відсутність розуміння компенсується емоційною сферою – страхами і, як наслідок – негативним ставленням. Загальновідомо, що сучасне слово «секта» походить від латинського слова “secta”, яке, у свою чергу, позначає окремий релігійний чи філософський напрямок – школу, релігійний перебіг у рамках того чи іншого сповідання, а в найбільш узагальненому значенні може означати „частину цілого ′. Окрім перелічених основних значень, є і таке незвичне  значення цього слова, як спосіб життя. Зі значення латинського слова “secta” випливає, що оскільки його визначення не містить оціночно-експресивним компонентом, воно має сприйматися нейтрально в оригінальному мовному контексті. Жодного негативного значення це слово спочатку не мало. Саме з цієї причини багато дослідників, вчених, теологів як на Заході, так і на Сході, не вкладаючи в поняття «секта» негативного значення, широко його використовуючи, позначаючи їм «вчення», «школу» або «стадію» в рамках релігійної течії чи напрямку. Порівнюючи значення латинського слова, можна встановити те загальне, властиве всім аспектам його семантичного поля, що дозволяє розглядати це слово як єдиний елемент латинської семантики, саме багатозначне слово, або явище, яке лінгвісти визначають як омонімію, тобто. існування в мові кількох слів, що збігаються в написанні та вимові, але мають різні значення. Всі ці значення об'єднані тим, що семантика кожного з них включає елемент відокремлення, який проявляється через протиставлення або зіставлення частини і цілого. Саме таке відокремлення дозволяє розглядати і філософську школу, і релігійну течію, і, навіть спосіб життя, як якусь соціальну реальність, що має більш-менш сформовані суспільні кордони. Таким чином, у значенні латинського слова "secta" представлено вказівку на набір деяких унікальних ознак, характерних тільки або переважно для частини суспільства, причому частини, що має певну самостійну завершеність. Незважаючи на те, що спочатку слово «секта» не мало вираженого оцінного значення, слід визнати, що в сучасній російській мові за ним засвоїлася негативна експресія. Як правило, поза спеціальною літературою, в мовному спілкуванні зараз слово «секта» і похідні від нього використовуються не тільки для визначення тієї чи іншої релігійної спільності, але для висловлювання негативної оцінки чужого і чужого йому релігійного досвіду, що говорить. Термін «секта у сучасному релігієзнавстві немає чіткого визначення, яке, зважаючи на все, і може бути вироблено, оскільки відсутні об'єктивні критерії та ознаки «секти». Історія понятійного апарату сектознавства в жодному разі не зводиться до спроб визначення термінів «секта» та «культ».   Вона набагато багатша і включає кілька цілком самостійних напрямів пошуку понятійної ясності у сфері неінституалізованих і нерелігійних форм сектантства, а також багату традицію дискусій щодо понятійного апарату в цілому.  [18]</w:t>
      </w:r>
    </w:p>
    <w:p w14:paraId="4DDAF25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Культ – це група людей, які об'єдналися навколо чиєїсь інтерпретації Біблії, вона характеризується суттєвими відхиленнями від ортодоксального християнства, які стосуються основоположних доктрин християнської віри, особливо того факту, що Бог став людиною у вигляді Ісуса Христа». [8]  </w:t>
      </w:r>
    </w:p>
    <w:p w14:paraId="4C821D1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даний час версія походження слова secta як похідного від дієслова secare - "відсікати", "відокремлювати" розглядається як одна з можливих, проте зазначається, що більш правдоподібним є його походження від sequor (sequi), у значенні дотримуватися будь-якої особистості або вчення. У класичній латинській мові слово секта означало спосіб мислення або тип життя, вчення, групу людей і, в більш конкретному сенсі, означало філософську школу або політичну партію. В останньому спеціальному значенні стародавні письменники говорять про політичних прихильників римського державного чоловіка Антонія (пом. 30 р. до Р. Х.) як про сект. Тацит (нар. бл. 50 р.) сектою назвав філософські школи стоїків (stoicae sectae) та кініків (cynican sectam).</w:t>
      </w:r>
    </w:p>
    <w:p w14:paraId="3C5A90B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зазначений період слово секта вживалося для висловлення швидше згоди і спільності у чомусь, ніж відособленості від чогось, і спочатку етимологічно ніяке образливе чи принизливе значення не мав цей термін. У такому сенсі західні церковні письменники перших століть використовують цей термін стосовно християнства. Християнські апологети, які бачили своє завдання у відстоюванні християнської віри від нападок з боку язичників, прагнучи бути зрозумілими своїми сучасниками, писали латиною.</w:t>
      </w:r>
    </w:p>
    <w:p w14:paraId="0934172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Мінуцій Фелікс (пом. бл. 210 р.) у своєму діалозі «Октавій» (бл. 197 р.) словом секта називає християнське співтовариство. Таке ж слововживання зустрічається у Тертуліана (бл. 155 - після 220), якого іноді називають творцем церковної латині; стосовно християнства він використовує слово секта (christianae sectae) у значенні суспільстта. В іншому місці він говорить про християнство як божественне співтовариство (Dei sectae), тобто божої секти в сенсі божого зборів (суспільства). Святитель Кипріан (нар. бл. 200-258), який чудово володів культурою латинської мови, у своїх творах вживає слово секта як у значенні суспільства, так і в сенсі вчення і віри.</w:t>
      </w:r>
    </w:p>
    <w:p w14:paraId="2FEEC64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IV столітті поняття «секта» було конкретизовано в латинському перекладі Біблії - Vulgata. Переклад новозавітних книг блаж. Ієронімом Стридонським (340 або 350-420) є переглянуті ним більш давні переклади текстів. Однією з особливостей мови стародавніх перекладів було звуження колишнього значення латинського слова, яке під впливом грецького оригіналу отримувало більш конкретний смысл61, це, зокрема, характерно перекладу грецького слова єресь (αἰρεσἰς). Блаж. Ієронім часто (але не завжди) перекладає грецьке слово αἰρεσἰς латинською secta.</w:t>
      </w:r>
    </w:p>
    <w:p w14:paraId="64D244E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поряд зі словом секта блаженний Ієронім використовує і латинізований грецький термін брехня (haeresis), стосовно лжевчень фарисеїв і саддукеїв. Таким чином, у грецькому тексті Нового Завіту слово брехня вживалося для позначення релігійного спрямування чи вчення та для найменування збочення істин віри. Ця особливість терміна брехня грецького новозавітного тексту відобразилася і в латинському терміні secta у Вульгаті, де воно вживається або в нейтральному значенні для найменування релігійного вчення (течі, партії), не даючи їм будь-якої оцінки, або ж використовується для назви вчення, що протиставляє себе вчення Церкви і відкидає його, тобто як сучасне поняття єресі.</w:t>
      </w:r>
    </w:p>
    <w:p w14:paraId="658964B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короткого огляду використання слова секта можна дійти висновку, що у західної християнської літературі йшов процес становлення терміна секта у значенні, близькому до грецького слова брехня, як свідомого ухилення від загальнохристиянської догми і життя. Надалі у західному богослов'ї V в. таке вживання слова секта було збережено. У цьому сенсі воно використовується блаж. Августином (354-430)71. У VI ст. у творі, названому «Про секти» (De sectis), авторство якого приписують Леонтію Візантійському, наводиться огляд всіх відомих єресей. Це означає, що з автора цього твору терміни секта і єресь були синонімами.</w:t>
      </w:r>
    </w:p>
    <w:p w14:paraId="0B55B48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Однак незважаючи на спроби воцерковити слово секта у значенні єресі, цей термін не набув широкого поширення у західній християнській літературі. Давньо-церковне право, взагалі богословська наука на Заході, уникаючи слова secta, замість нього приймає грецьке слово haeresis, haeretici та ін., і в ухиленнях від церкви розрізняють єретиків, які коливають авторитет церковний і вигадують нове вчення, і схизматиків, які не підкоряються лише церковної ієрархії. Латинізований грецький термін haeresis набув набагато більшого поширення, оскільки був більш конкретним і ясним і вказував на спотворення вчення Церкви, тоді як слово секта, крім цього, спочатку використовувалося для позначення релігійної спільноти або віросповідання без будь-якої оцінки її віровчення.  Тому в перших ересіологічних працях західних письменників переважно використовується термін haeresis, а не secta. Новий етап у становленні значення терміна секту розпочався на Заході з часів Реформації та подальшого поділу західного християнства на католицтво та протестантські деномінації. З цього часу зміст терміну секта стає конфесійним.</w:t>
      </w:r>
    </w:p>
    <w:p w14:paraId="2E40255D">
      <w:pPr>
        <w:spacing w:line="360" w:lineRule="auto"/>
        <w:ind w:firstLine="720"/>
        <w:jc w:val="both"/>
        <w:rPr>
          <w:rFonts w:ascii="Times New Roman" w:hAnsi="Times New Roman" w:cs="Times New Roman"/>
          <w:sz w:val="28"/>
          <w:szCs w:val="28"/>
          <w:lang w:val="uk-UA"/>
        </w:rPr>
      </w:pPr>
    </w:p>
    <w:p w14:paraId="34396BF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1.2. Особливості сучасних  нетрадиційних релігійних рухів</w:t>
      </w:r>
    </w:p>
    <w:p w14:paraId="67B67BD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Якщо застосувати сучасну термінологію до аналізу історичного розвитку християнства, то ми побачимо, що ця релігія пройшла тривалу еволюцію, яка включає в себе наступні етапи: по-перше, етап харизматичного культу; по-друге, - маргінальної сектантської організації назаретян в межах іудаїзму (з сильними есхатологічними мотивами); по-третє, етап поступового перетворення на самостійну синкретичну неорелігію; по-четверте, етап становлення як офіційної, а згодом і державної релігії Риму; по-п’яте, - трансформації у світову релігію. Чи можлива подібна еволюція однієї з нині існуючих неорелігій? Спробуємо розглянути й такий варіант розвитку. Для цього ми спочатку повинні проаналізувати сам феномен неорелігій. До них, як правило, відносять релігійні організації, віровчення яких вийшло за межі традиційних національних та світових релігій. Серед основних причин виникнення й стрімкого розвитку неорелігій можна зазначити наступні: по-перше, традиційні релігії часто не встигали адекватно реагувати на виклики з боку наукового пізнання, займали оборонну (а часто й реакційну) позицію щодо економічних та політичних перетворень, що зменшувала їх авторитет, насамперед, серед інтелігенції. По-друге, традиційна християнська культура, особливо на Заході, починаючи з ХІХ ст. переживала кризу, що знайшла свій прояв, зокрема, у зростанні популярності альтернативних християнству світоглядних систем (позитивізму, марксизму, ніцшеанства, фрейдизму та ін.) та у занепаді християнської моралі. По-третє, зростаюча технічна могутність сучасного людства посилила його часто негативний вплив на навколишнє природнє середовище й породила цілу низку екологічних проблем. Деякі ідеологічні критики християнства звинувачують цю релігію у байдужості до природи, наголошуючи, що у її віровченні відсутній заклик до збереження життя, тоді як у віровченнях індійських релігій є принцип ахімси (непричинення шкоди живим істотам). Слід також вказати на деякі соціокультурні особливості сучасної епохи. В умовах прогресу засобів масової інформації та комунікації вже майже не існує перепон для міжкультурних зв’язків і взаємодій. Культурно-релігійний синтез став однією з специфічних рис сучасної епохи. Замість слідування своїм власним традиціям, сучасні культури починають втрачати чіткі етнічні кордони, запозичуються іноземні звичаї (наприклад, населення усього світу відзначає день св. Валентина, Хелоуїн та ін.). Неорелігії, відповідаючи на запити епохи, також чітко орієнтуються на універсалізм, а в їх віровченні і культі християнський містичний досвід переплітається з елементами східних, насамперед, індійських релігій. „Нове містичне Одкровення”, яке проповідують представники неорелігійних рухів є, як правило, еклектичною мішаниною з наукових знань (насамперед, психології), ідей теософів, досвіду „контактерів” з прибульцями або „Всесвітнім розумом” і т. ін. Майже всі неорелігії мають багато спільного у методах своєї діяльності. Засновуються ці релігії харизматичними лідерами, які оголошуються своїми послідовниками „живими богами”, пророками, аватарами і т. ін. Релігійні громади, що виникають на грунті цих харизматичних культів, як правило, мають ознаки тоталітарних сект і застосовують методи агресивного прозелітизму. Надзвичайне значення для поширення неорелігій має вміле використання їх лідерами соціально-психологічних чинників. Керівники нових релігійних громад широко залучають до цих організацій людей з поганим фізичним та психічним здоров’ям, які потребують допомоги соціальної групи. Цікавляться вони також людьми, які мають проблеми у сфері спілкування або людьми, які переживають духовну кризу та шукають смисл життя. Голови цих релігійних рухів використовують методи контролю за свідомістю та поведінкою адептів, рішуче обмежують контакти між релігійною групою та зовнішнім соціальним середовищем, часто вимагають, щоб майно сектантів передавалось релігійній організіції (а це робить адептів сект соціально неадаптованими та ще більш залежними від громади). [4, 4с]</w:t>
      </w:r>
    </w:p>
    <w:p w14:paraId="7510C63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Саме християнство можна вважати першою “новітньою, нетрадиційною” релігією в історії людства, яка порушила давні релігійні стереотипи “грецького язичництва, еллінського релігійнофілософського пантеїзму та іудаїстського монотеїзму”.  Зміни відбуваються як у колишніх історичних релігіях, так і у нових релігійних течіях. Варто зауважити, що християнство упродовж усього періоду свого історичного розвитку, не лише розділилося на три основні напрями, але на його основі утворилося безліч культів, сект та релігійних деномінацій. Деякі сучасні релігійні утворення настільки віддалились від його догматичних поглядів, що представники НРТ не вважають свої організації приналежними до християнства. Українська дослідниця Л. Филипович прослідкувала механізм виникнення нової релігійності і зробила висновок про те, що він співпадає з сучасними процесами, що відбуваються на релігійному ґрунті, тобто застаріла система цінностей і віросповідних догм, релігійних відносин не відповідають на життєві та духовні запити людини. Що у свою чергу викликає появу харизматичного лідера, який концентрує загальне невдоволення, формує конструктивну ідею, що доповнюється сукупністю соціокультурних обставин і започатковує власну релігію, що сприймається членами нової релігійної організації як шлях до позитивних змін у власному і суспільному житті. З цього робимо висновок, що саме такою є можливість розвитку релігійної сфери, що це закономірне явище, зумовлене багатьма причинами. Тепер, як показує історична закономірність, наприкінці періоду, що тривав дві тисячі років, “застарілому” християнству створюють конкуренцію нові релігії . Аналізуючи активізацію НРТ в Україні у порівнянні з традиційними конфесіями, Л. Филипович зазначає, що це цілком природно, у цьому явищі немає нічого дивного і несподіваного: “… було б смішно, якщо б людина була задоволена істинами, відзначеними чотири або п’ять століть тому” . Основні періоди еволюційних змін в історії людства спостерігалися у переломні, нестійкі часи політичного і економічного розладу набували форм, характерних для тієї чи іншої епохи . Така хвиля поширення нетрадиційної релігійності вже спостерігалася у другій половині ХІХ століття. І зараз вже важко ті релігії назвати “новими”. А новітня, сучасна хвиля утворення нетрадиційної релігійності почала набрати сили на Заході у 1950-х роках . Сучасна хвиля релігійних новоутворень останньої третини ХХ століття – першого десятиліття ХХІ століття дещо відрізняється від попередніх більш високим рівнем людської діяльності, світоглядних переконань, але вкладається у загальну схему модернізації релігійної сфери, що призводить до перегляду віруючими віросповідних переконань. Суттєві зміни релігійних принципів призводять до утворення нового віросповідання, на основі якого, не порушуючи закономірності історичного релігійного розвитку, ґрунтується нове релігійне утворення. Також зазначені процеси є наслідком переходу від індустріального до інформаційного суспільства [20, 266с]. Поява секти є кінцевим результатом розвитку цілого ряду досить тривалих процесів, що передують його, які тут і далі будуть іменуватися сектантськими тенденціями в релігіі468. Як це буде показано далі, зародження цілого ряду сектантських тенденцій зумовлено самим устроєм та особливостями функціонування релігійних організацій. Питання аналізу ступеня новизни та інших характеристик навчань, що успішно привносяться та інтегруються в релігійну традицію в процесі її інтерпретації, другорядне для цілей даного дослідження. Сам процес інтерпретацій позитивний у своїй основі. Він дозволяє глибше зрозуміти та прийняти передану їм релігійну традицію кожним наступним поколінням людей. Однак для нас становлять набагато більший інтерес неуспішні її інтерпретації та невдалі спроби запровадження нових навчань, оскільки саме вони лежать у основі зародження сектантських тенденцій. Найважливішим чинником, що впливає початок сектантських тенденцій, є відмінність у часі між постановкою цих питань перед релігійної організацією та відповіддю ними з її боку. Справа в тому, що швидкіс</w:t>
      </w:r>
      <w:r>
        <w:rPr>
          <w:rFonts w:ascii="Times New Roman" w:hAnsi="Times New Roman" w:cs="Times New Roman"/>
          <w:sz w:val="28"/>
          <w:szCs w:val="28"/>
          <w:lang w:val="uk-UA"/>
        </w:rPr>
        <w:t xml:space="preserve">ть відповідей на питання, або швидкість самооновлення традиції, практично завжди повільніше, ніж зміни, що відбуваються в зовнішньому світі, які породжують саму необхідність нових інтерпретацій. Люди ставлять питання релігійної організації та змушені довгий час чекати на них. Церква не може давати відповіді на всі запитання парафіян відразу ж після їх виникнення (якщо, звичайно, самі питання не входять до кола давно прояснених). Про початок розвитку сектантських тенденцій можна буде говорити лише в тому випадку, якщо вони все ж таки почнуть поширювати свої хибні інтерпретації та шукати собі прихильників у структурі Церкви. Можна припустити, що не більше ніж в одному випадку зі ста таким активістам вдається успішно знайти прихильників і довести свою справу до кінця, створивши спочатку внутрішньоцерковне сектантське угруповання, а потім і секту шляхом відокремлення від Церкви. У всіх інших випадках до відокремлення від Церкви справа не доходить, а в самій структурі Церкви постійно присутня якась кількість більш-менш організованих сектантських об'єднань людей, які знаходяться на різних стадіях шляху відокремлення від Церкви. При цьому через низку причин переважна більшість із них ніколи від Церкви повністю не відокремиться, а становитиме основу струкурованих форм внутрішньоцерковного сектантства. </w:t>
      </w:r>
    </w:p>
    <w:p w14:paraId="2A5F707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Церква розуміється як світостверджуюча організація, яка стоїть на службі у держави і правлячих класів суспільства і представляє мирський порядок як досягнення надмирських цілей життя. Секта покладається як невелика група, що світозаперечує, пов'язана з нижчими верствами суспільства і безпосередньо орієнтована на надмирські цілі. Згідно з Трельчем, можна при бажанні відмовитися від самих термінів «церква» і «секта», оскільки вони обидва є двома випливаючими безпосередньо з Євангелія і тому взаємопов'язаних і одночасно відмінних принципу духовного життя, а саме інституційний, з претензіями на об'єктивне дарування благодаті за факту приналежності до організації, та індивідуальний, з претензіями на суб'єктивну реалізацію духовних ідеалів та особистою відповідальністю за їх досягнення. Згодом Трельч додає поняття «містики», під яким розуміє безпосередні внутрішні переживання буття божественного, що характеризуються радикальним індивідуалізмом, що дистанціє цей тип від будь-якого соціального оформлення.</w:t>
      </w:r>
    </w:p>
    <w:p w14:paraId="2316DA83">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XX ст.. виникають «нові релігії» серед індіанців як безпосередньому результаті контакту їх традиційних вірувань із західної християнської культурою. У такій досить простій та схематичній формі про вплив акультурації для різних країн та регіонів світу на виникнення НРД говорило величезну кількість вчених протягом усього ХХ ст. Внутрішній світ та динаміка розвитку африканських, меланезійських та інших сект настільки багатий і замкнутий на самих себе, що будь-які форми ставлення до зовнішнього світу, у тому числі антиколонізаторські, антихристиянські та антибілі настрої для неї вторинні та периферійні. Відбувається акультурація, яка є формою пасивної реакції з боку низових верств суспільства, та спонтанно розвивається на ґрунті взаємопроникнення культур. Колін Кемпбелл в 1972 р. вважав, що секуляризація є найважливішим фактором розвитку культового середовища суспільства та збільшення кількості культів. Через 10 років, в 1982 р. вчений критикує концепції, що стверджують наявність прямого взаємозв'язку між розпадом традиційних релігій та масовою появою культів. Він зазначає, що люди, які виходять із церков, не йдуть автоматично до культів. Останні явно менше за своїми розмірами, ніж церкви, та їх поява не може бути пояснена необхідністю задоволення релігійних потреб людей, які залишили церкву. По-перше, ранні етапи секуляризації супроводжуються процесом відродження, внутрішнього оновлення релігійних традицій та виникнення сект. По-друге, на пізніших стадіях секуляризації, коли традиційні релігії вже сильно послабшали, розвивається процес Виникнення нових релігійних рухів: макрорівень радикальної релігійної інновації або виникнення принципово нових релігійних організацій - культів. Ті секти та культи, які виявляться найбільш життєздатними, з часом самі перетворяться на традиційні релігії. Так, згідно з вченими, свого часу християнство, іслам і буддизм змогли в результаті процесу секуляризації витіснити старі релігії Греції, Риму, Єгипту, Месопотамії та інших країн. Відповідно, нові релігії, які приходять на зміну старим релігіям, також у майбутньому зазнають процесу секуляризації та розпаду. </w:t>
      </w:r>
    </w:p>
    <w:p w14:paraId="3A72A57D">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1994 р. Старк називає мормонів як найімовірнішого кандидата на заміщення «старих релігій» і стверджує, що секуляризація у суспільстві є найважливішим чинником зростання та розвитку цієї організації. Наступна група дослідників пов'язує періоди масового виникнення НРД із різними економічними, політичними та іншими кризами у суспільстві. Більшість цих теорій досить обґрунтовані і справді можуть бути використані для пояснення окремих періодів широкої появи та поширення сектантства. Тим не менш, всі вони не можуть дати відповіді на питання про те, чому секти та культи активно виникають у тому числі й за відсутності будь-яких серйозних криз та проблем у суспільстві. </w:t>
      </w:r>
    </w:p>
    <w:p w14:paraId="6C1FBF5A">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деякі з найцікавіших теорій цього типу. Сам процес появи та розвитку рухів оновлення вчений представляє у межах п'яти етапів. </w:t>
      </w:r>
    </w:p>
    <w:p w14:paraId="1B8E0A4D">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Стабільний стан. Початкова культурна рівновага, при якому інститути суспільства успішно справляються з редукцією стресу, що наростає, і незадоволення в суспільстві. </w:t>
      </w:r>
    </w:p>
    <w:p w14:paraId="2F15230D">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Період зростаючого індивідуального стресу. Інститути суспільства перестають долати зменшення рівня стресу. Кліматичні, економічні, політичні та інші фактори сприяють дестабілізації ситуації. Люди починають пошук альтернативних способів редукції стресу, що ще сильніше їх заплутує та змушує турбуватися про ситуацію в цілому та рівень надійності альтернативних технік редукції стресу зокрема. </w:t>
      </w:r>
    </w:p>
    <w:p w14:paraId="70489C16">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Період культурної дезорієнтації. Тривале переживання стресу викликає в населення різні реакції. Одні його терплять, інші потихеньку експериментують з різними переінтерпретаціями існуючої культури та новими способами редукції стресу в старих межах, треті поринають у хаос алкоголю, депресивних станів та невротичних відхилень, починають нехтувати різноманітними нормами та правилами життя. Всі ці реакції ще більше підривають здатність інститутів суспільства справлятися із ситуацією і цим сприяють підвищенню рівня стресу. </w:t>
      </w:r>
    </w:p>
    <w:p w14:paraId="2B8083FF">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4. Період оновлення. Ці процеси ведуть зрештою до повного руйнації суспільства. Однак його розпад може бути загальмований і запобігає появі рухів оновлення, «багато з яких мають релігійний характер».</w:t>
      </w:r>
    </w:p>
    <w:p w14:paraId="3A2BF97C">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світі відбувається гостре усвідомлення людьми існування безлічі різних типів світосприйняття та мислення. Принципова відмінність незмінно співіснуючих світоглядів раніше не сприймалося і не усвідомлювалося у всій тій повноті та ясності, як це відбувається у XIX і особливо у ХХ ст. Саме повсюдне поширення цього усвідомлення призводить до зміни самої структури мислення і сприйняття навколишньої дійсності, що виражається в глибшому розумінні людиною можливості множинної інтерпретації будь-яких досвідчених даних.</w:t>
      </w:r>
    </w:p>
    <w:p w14:paraId="3CAF931C">
      <w:pPr>
        <w:shd w:val="clear" w:color="auto" w:fill="FFFFFF" w:themeFill="background1"/>
        <w:spacing w:line="360" w:lineRule="auto"/>
        <w:ind w:firstLine="720"/>
        <w:jc w:val="both"/>
        <w:rPr>
          <w:rFonts w:ascii="Times New Roman" w:hAnsi="Times New Roman" w:cs="Times New Roman"/>
          <w:sz w:val="28"/>
          <w:szCs w:val="28"/>
          <w:lang w:val="uk-UA"/>
        </w:rPr>
      </w:pPr>
    </w:p>
    <w:p w14:paraId="09E8683C">
      <w:pPr>
        <w:shd w:val="clear" w:color="auto" w:fill="FFFFFF" w:themeFill="background1"/>
        <w:spacing w:line="360" w:lineRule="auto"/>
        <w:ind w:firstLine="720"/>
        <w:jc w:val="both"/>
        <w:rPr>
          <w:rFonts w:ascii="Times New Roman" w:hAnsi="Times New Roman" w:cs="Times New Roman"/>
          <w:sz w:val="28"/>
          <w:szCs w:val="28"/>
          <w:lang w:val="uk-UA"/>
        </w:rPr>
      </w:pPr>
    </w:p>
    <w:p w14:paraId="582168C4">
      <w:pPr>
        <w:shd w:val="clear" w:color="auto" w:fill="FFFFFF" w:themeFill="background1"/>
        <w:spacing w:line="360" w:lineRule="auto"/>
        <w:ind w:firstLine="720"/>
        <w:jc w:val="both"/>
        <w:rPr>
          <w:rFonts w:ascii="Times New Roman" w:hAnsi="Times New Roman" w:cs="Times New Roman"/>
          <w:sz w:val="28"/>
          <w:szCs w:val="28"/>
          <w:lang w:val="uk-UA"/>
        </w:rPr>
      </w:pPr>
    </w:p>
    <w:p w14:paraId="061F2601">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1.3.  Дослідження нетрадиційних течій у науковому дискурсі</w:t>
      </w:r>
    </w:p>
    <w:p w14:paraId="1288CB78">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Елсворс Фаріс був одним із талановитих, але забутих ранніх дослідників сектантства. Він займався систематичною розробкою поняття «секта», хоча його окремі зауваження про феномен сектантства передбачили теорії багатьох вчених XX в. У 1927 р. Фаріс визначав секту як організацію, що утворилася в результаті відколу від іншої релігійної групи. Це, по суті, класичне визначення він доповнює зауваженням про те, що неможливо вивчити і зрозуміти секту, ґрунтуючись лише на дослідженні її віровчення. Необхідний аналіз свідчень справжніх та колишніх адептів групи. Одним із перших він звертає увагу етнологів на те, що їм набагато важливіше та продуктивніше було б вивчати не культуру примітивних суспільств, а секти. Крім усього іншого, він же за кілька років до Нібура зазначав, що секти після свого виникнення прагнутимуть до зниження своїх претензій і зменшення конфліктів з суспільством, підуть з ним на компроміси і все більше прийматимуть навколишній світ. </w:t>
      </w:r>
    </w:p>
    <w:p w14:paraId="3E590559">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Річард Нібур , який припустив у 1929 р., що</w:t>
      </w:r>
      <w:r>
        <w:rPr>
          <w:rFonts w:ascii="Times New Roman" w:hAnsi="Times New Roman" w:cs="Times New Roman"/>
          <w:sz w:val="28"/>
          <w:szCs w:val="28"/>
          <w:lang w:val="uk-UA"/>
        </w:rPr>
        <w:t xml:space="preserve"> «церква» і «секта» розташовуються на краях єдиного континууму[48]. Існує постійний процес зародження сект у церкві, відокремлення від неї і подальшого поступового перетворення сект, що відкололися, знову в церкві. Початок цього процесу у наростаючій незадоволеності людей надто сильною зануреністю церкви в «мирські» справи та відсутністю в ній високого рівня напруженості віри. Говард Беккер у 1932 р. висунув концепцію чотирьох типів релігійної організації: церкви, деномінації, секти та культу[41]. В церкві він виділяє два підтипи: національну та міжнародну церкву. Бекер - перший вчений, який систематично розробляв поняття «культу». Під культом Беккер розуміє розріджений, недовговічний тип соціальної структури, який прагне самосбереження і приналежність до якої визначається вільним рішенням індивіда слідувати певним релігійним віруванням і практикам.  Мета представників культу полягає не в зміцненні та розвитку його структури, а досягненні персональних переживань, психологічного почуття полегшення, духовного і тілесного зцілення. Згодом Беккер допускав можливість послідовної трансформації культу в більш стійкі та структуровані форми релігійної організації – секту, деномінацію, церкву. секуляризованості, або обмирщення.  Церква вирізняє літургійну систему виправдання, яка передбачає концепцію передачі благодаті через особливі церемонії, які проводяться спеціально уповноваженими на те священнослужителями. Відповідно, належність до Церкви визначається через участь у цих церемоніях. На противагу цьому секта пропонує людині суворий етичний кодекс поведінки, виконання якого і належить основним чинником, легітимуючим його членство у створенні. При цьому важливо не змістовне наповнення етичних правил і норм поведінки, але їхнє реальне виконання всіма членами групи. </w:t>
      </w:r>
    </w:p>
    <w:p w14:paraId="20DFCC2C">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1960 р. у статті «Секти і культи» Мартін Марті розмірковує про відмінності «традиційно американських релігійних організацій» від інших релігійних груп США[47]. Марті говорить про цілу плеяду вчених (до яких він зараховує і самого себе), які звертаються до поняття «релігійних груп, що становлять мейнстрім американського національного досвіду» і протиставляють «місцеві», «типово американські», «американізовані» та «однозначно американські церкви» всьому спектру релігійних груп, "випадково пов'язаних" з історією релігій Америки.</w:t>
      </w:r>
    </w:p>
    <w:p w14:paraId="258FEAB7">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Фактично Марті намагається вийти за межі класичного протиставлення «церкви – секти», по-перше, шляхом введення ширшого поняття релігійного мейнстриму, що використовується як синонім традиційних релігій, і, по-друге, додаючи до терміну «секта» ще й поняття «культу» . Фактично йдеться про протиставлення «традиційної» і «нетрадиційної» релігійності для США, хоч і в дещо іншій термінології. згідно зі своїми основними характеристиками. На думку вченого, в результаті розколів і схизм з'являються не лише секти, а й деномінації – помірні, глибоко індивідуалістичні релігійні організації, які не претендують, на відміну від церкви та секти, на єдиність порятунку в межах своєї організації та здатні на мирне співіснування з іншими релігіями . У 1968 р. Джеффрі Нельсон представив першу фундаментальну концепцію культу[49]. Вчений доповнює запропонований Нібуром, Бекером та ін континуум «церква – деномінація – секта» ще одним континуумом «культ – стійкий культ – централізований культ – нова релігія». Під культом Нельсон розуміє групу, засновану на містичному, психічному або екстатичному релігійному досвіді і є фундаментальним розривом з релігійною традицією суспільства, в якій вона знаходиться. Культи лежать в основі всіх світових релігій. Секти сприяють поділу світових релігій різні церкви, деномінації, школи, лінії наступності. Християнство, за Нельсоном, на ранніх етапах свого розвитку було культом, що кардинально відрізняється за своїми ключовими характеристиками як від іудаїзму, так і від язичницьких релігій того часу. У 1968 р. Джон Колеман висунув як основний критерій сектантської релігійної організації її організаційну нестабільність.[43] Відштовхуючись від Нібура, вчений акцентує увагу на нездатності секти зберігати протягом тривалого часу у стабільному стані всі аспекти свого життя і вважає цю заздалегідь запрограмовану мінливість основною її характеристикою. Секта визначається Колеманом як «харизматична, нещодавно виникла дисидентська група, яка страждає на організаційну нестабільність, що вимірюється в чотирьох площинах: статус членства, стабільність лідерства, ступінь конкретності організаційних цілей, ступінь відданості членів групі». Церква, на противагу секті, визначається як встановлена, бюрократично організована релігійна група, з високим ступенем інституалізації. Поява культів та особливості їх віровчення визначаються домінантними культурними цінностями суспільства. Так, наприклад, загальна акцентуація суспільства на індивідуалізмі та раціоналізмі призведе до появи культів індивідуалістично-містичної, колективістсько-раціоналістичної та колективістськомістичної спрямованостей. У товаристві з колективістсько-містичними домінуючими цінностями виникатимуть культи з індивідуалістично-раціоналістичною, індивідуалістично-містичною та колективістсько-раціоналістичною спрямованостями.</w:t>
      </w:r>
    </w:p>
    <w:p w14:paraId="3B38CE17">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1981 р. Вільям Сватос пропонує свою концепцію основних понять сектознавства[52]. Під культом вчений розуміє якесь співтовариство людей, що сформувалося навколо реальної чи легендарної особистості. Культи різняться між собою:</w:t>
      </w:r>
    </w:p>
    <w:p w14:paraId="04D4FF5C">
      <w:pPr>
        <w:shd w:val="clear" w:color="auto" w:fill="FFFFFF" w:themeFill="background1"/>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а) за рівнем організації (від високо структурованих груп до аморфних та розріджених спільностей);</w:t>
      </w:r>
    </w:p>
    <w:p w14:paraId="09DEE175">
      <w:pPr>
        <w:shd w:val="clear" w:color="auto" w:fill="FFFFFF" w:themeFill="background1"/>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б) за особливостями членства (від інституту постійного членства до симпатії, що ні до чого не зобов'язує, до ідей культу розрізнених індивідів);</w:t>
      </w:r>
    </w:p>
    <w:p w14:paraId="289719EF">
      <w:pPr>
        <w:shd w:val="clear" w:color="auto" w:fill="FFFFFF" w:themeFill="background1"/>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в) по відношенню до інших релігійних організацій (від культів у рамках традиційних церков до повністю опозиційних по відношенню до церков груп);</w:t>
      </w:r>
    </w:p>
    <w:p w14:paraId="601B53F4">
      <w:pPr>
        <w:shd w:val="clear" w:color="auto" w:fill="FFFFFF" w:themeFill="background1"/>
        <w:spacing w:line="360" w:lineRule="auto"/>
        <w:ind w:left="851" w:hanging="284"/>
        <w:jc w:val="both"/>
        <w:rPr>
          <w:rFonts w:ascii="Times New Roman" w:hAnsi="Times New Roman" w:cs="Times New Roman"/>
          <w:sz w:val="28"/>
          <w:szCs w:val="28"/>
          <w:lang w:val="uk-UA"/>
        </w:rPr>
      </w:pPr>
      <w:r>
        <w:rPr>
          <w:rFonts w:ascii="Times New Roman" w:hAnsi="Times New Roman" w:cs="Times New Roman"/>
          <w:sz w:val="28"/>
          <w:szCs w:val="28"/>
          <w:lang w:val="uk-UA"/>
        </w:rPr>
        <w:t>г) за специфікою змісту (від релігійних навчань до нерелігійних концепцій).</w:t>
      </w:r>
    </w:p>
    <w:p w14:paraId="6CCA8DB4">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1985 р. Старк і Беинбридж у розвиток підходу Марті, хоч і без нього, запропонували концепцію географічної обумовленості понять «секта» і «культ»[50]. На думку вчених, для точного визначення статусу релігійної організації необхідно брати за основу конкретну країну, біля якої вона діє, і традиційні релігії цієї країни. Сектами, таким чином, будуть називатися релігійні організації, які відокремилися від традиційної для конкретно взятої країни релігії і лише на теренах тих країн, де домінує та ж традиційна релігія, що й у них на батьківщині. У 1994 р. Хосе Казанова говорить про глибоку неадекватність будь-яких протиставлень понять «церква» і «секта» у зв'язку з радикальним зміною місця та ролі релігії в сучасному обществе[42]. Церква, за Казановою, вже не є обов'язковою вседостатньою інституцією суспільства, завжди і в усьому підтримуваною державою.  Повсюдне поширення принципу свободи совісті та віросповідання підриває всю систему співвідношення та статусів релігійних організацій суспільства. Люди вільні йти з церкви в будь-яку іншу релігійну організацію, а держава більше не потребує її як основної опори. Церква опинилася за умов рівної конкуренції коїться з іншими релігійними організаціями і дедалі сильніше тендує до області схожих з деномінаціями і сектами структурних реакцій навколишній світ. Секта, як і раніше, прагне самозбереження та збільшення кількості послідовників. Однак ситуація множинності варіантів релігійного вибору штовхає її до необхідності ще більшого підкреслення власної винятковості та неповторності, що посилює у ній напруженість із навколишнім суспільством. Це підтримує інтерес до секти з боку справжніх та потенційних послідовників та одночасно гальмує її розвиток у сучасному плюралістичному суспільстві. </w:t>
      </w:r>
    </w:p>
    <w:p w14:paraId="68A49D67">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Жодна релігійна організація неспроможна ставитися лише до одного типу у межах будь-якої з існуючих типологій. Залежно від конкретного географічного регіону та часу проведення дослідження одна й та сама група може одночасно класифікуватися в межах кількох типів, наприклад, як секта, стійка секта, деномінація або навіть церква. Наприклад мормоні, які у Північній Америці загалом діють як секта, але водночас у штаті Юта, США – як церква, а Південній Альберті, Канада – як деномінація.</w:t>
      </w:r>
    </w:p>
    <w:p w14:paraId="0072D23B">
      <w:pPr>
        <w:shd w:val="clear" w:color="auto" w:fill="FFFFFF" w:themeFill="background1"/>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Тепер щодо понять маніпулювання свідомістю, кодування, зомбування, програмування і т.д. Ці терміни теж прийшли до нас у 1992-93 рр., коли почала перекладатися американська антикультистська література. Книга Уолтера Мартіна «Царство культів» та книга Джорджа Макдауела та Девіда Стюарта «Ошуканця» Істотним недоліком у критиці чи навіть в оцінці діяльності тих організацій, які належать до культових та деструктивних, є ігнорування динаміки або еволюції цих організацій. Вони почали з'являтися на гребені перебудови. Наприклад послідовникі “Віссаріону” – Церква останнього заповіту. Ці організації перебувають у динаміці. Стартовий психологічний стан будь-якої нової організації характеризується емоційним піднесенням та альтернативним ставленням до панівної релігії та існуючого стану речей, засудження їх як гріховне, диявольське. Так само виникало вчення Христа в рамках іудаїзму. Віссаріон стверджував, що кінець світу настане за життя цього покоління. Потім був компромісний варіант, коли дата кінця світу не називалася. По телебаченню їх показують у білих шатах. З 1995 року жодних білих шат вони не носять. Більшість із цих організацій від світовідкидної моделі ставлення до існуючої реальності перейшло сьогодні до світолікуючої, що фактично легітимізує сьогоднішній стан речей.</w:t>
      </w:r>
    </w:p>
    <w:p w14:paraId="0FF735D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Спільними рисами «вчень» засновників сект усіх часів та народів є:</w:t>
      </w:r>
    </w:p>
    <w:p w14:paraId="07BFF8D0">
      <w:pPr>
        <w:numPr>
          <w:ilvl w:val="0"/>
          <w:numId w:val="1"/>
        </w:numPr>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Рішуче неприйняття Апостольської Церкви та священноначалія, тобто не лише її догматів, а й її ієрархічного устрою. Для обґрунтування свого неприйняття Церкви будь-які сектанти звинувачують її в тому, що вона "зіпсована", що "в ній царює сатана", що обряди її безблагодатні, а священство порочне. Звідси - заперечення Священного Передання, заклики не ходити в православні храми, гребувати священиками і обійманими ними обрядами, святими іконами і мощами.</w:t>
      </w:r>
    </w:p>
    <w:p w14:paraId="09A09FA4">
      <w:pPr>
        <w:numPr>
          <w:ilvl w:val="0"/>
          <w:numId w:val="1"/>
        </w:numPr>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Очікування настання месіанського царства. На нього чекають іудаїсти та суботники, влаштовують протестанти та капіталісті хлисті-скопці, духобори та молокани. Звідси в одних мрії про "цара юдейського" і його царювання в "пресвятому граді Сіоні", в інших - надії на царювання "білого царя" в новоявленому "граді Китежі". Всі вони очікують одного й того ж тисячолітнього царства месії Христа на землі, а не Царства Божого на Небесах. Церква АСД неодноразово потрапляла до сфери наукових інтересів релігієзнавців, істориків, політологів, соціологів та ін. Дослідження, як правило, велися відповідно до державних ідеологічних вимог. За часів Й. В. Сталіна та М. С. Хрущова державні методи боротьби з релігією вимагали від науковців розкривати в очах громадськості „ реакційну сутність” релігійних організацій. Переважно висвітлювався історичний аспект розвитку релігійних конфесій, тоді як науковий аналіз змісту їхніх вчень був відсутній. У коло наукових інтересів релігієзнавців поступово входять питання особливостей функціонування, церковної догматики, методики роботи з віруючими. Нова державна політика нарешті дала змогу дослідникам 60–70=х років ХХ ст. започаткувати системний аналіз культової специфіки та розвитку релігійних конфесій. Протестантські течії було виділено в окрему категорію, почалося вивчення історії їхнього виникнення, внутрішньої структури, динаміки розвитку, теологічних та догматичних особливостей, ставлення до радянського законодавства. Процес оцерковлення не аналізувався в принципі, адже його наявність не допускалася навіть гіпотетично. Прогнозуючи майбутнє всіх без винятку релігій в СРСР, науковці наголошували на їх неодмінному поступовому згасанні. Адвентизм довгий час вивчався у комплексі з іншими течіями пізнього протестантизму. Перші ґрунтовні праці, що стосувалися власне адвентистів, належали А. В. Бєлову[3]. У своїх роботах науковець розкрив умови зародження адвентизму у США та Російській імперії, розглянув відомі у світі адвентистські течії, системно висвітлив основи віровчення та культу конфесії ; приділив увагу теології та догматиці адвентизму, визначив особливості функціонування релігійної спільноти в радянській державі, зокрема у довоєнний період. В розпал антирелігійної боротьби, адвентисти ще в дореволюційну епоху встигли конституюватися у самостійну церкву. Науково цінними є зібрані В. М. Лентіним соціально-демографічні дані, а також проведений ним огляд видавничої діяльності, форм і методів місіонерської роботи адвентистів у середині 60-х років ХХ ст. Крім того, автором було з’ясовано соціально-економічні передумови виникнення та поширення, особливості культу та організації Церкви, розглянуто специфіку наукового мислення адвентизму. </w:t>
      </w:r>
    </w:p>
    <w:p w14:paraId="50E630E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Керівники нетрадиційних релігій та культів нерідко використовують останні досягнення науки та техніки. Особливу увагу приділяють вивчення наркології. Часто використовується гіпноз та інші методи впливу на психіку, і навіть спеціальні апарати, створені для прямого впливу на мозок, котрі підключаються до комп`ютерних мереж(“АУМ сінрікьо”, “Церква Сайєнтології”, “Трансцендальна медитація” та інші). Значну частину членів новітніх релігій та містичних об’єднань можна порівняти з наркоманами, які готові на все заради чергової дози. Наркоман досягає екстазу, просто вводячи шприц у вену. А названі об`єднання нерідко запозичують з арсеналу східних релігій різноманітні психотехніки, що допомагають впливати безпосередньо на центр задоволення в мозку. До нерелігійних груп людей проводять різні мотиви – невдоволення життям, прагнення до самопізнання, бажання виділитися з натовпу. Проте потім і ті, й інші нерідко потрапляють на біохімічний “гачок”. Негативним наслідком перебування людей у лавах деяких нетрадиційних релігійних та містичних угрупованнях є суттєве погіршення їх психічного стану. Значна кількість керівників цих об`єднань вимагає від своїх адептів абсолютної покори. Для досягнення цієї мети нерідко застосовується особливий режим, а саме багатогодинні молитви, відмова від їжі, довготривале усамітнення, а у деяких випадках і вживання наркотичних засобів. Безумовної шкоди здоров’ю членів нетрадиційних культів завдає поява у деяких подібних угрупованнях практика відмови від медичної допомоги, заподіянні собі поранень і каліцтв. Особливе занепокоєння викликає залучення до новітніх релігій та містичних рухів неповнолітніх, які ще не усвідомлюють майбутні негативні наслідки перебування у них та виконання відповідних культових приписів. Діяльність окремих релігійних та містичних груп завдає шкоди державі та суспільству в цілому. Окремі представники неорелігій відкрито виступають проти появи у суспільстві моральних засад, вважаючи, що тільки норми, котрі діють у цих угрупованнях, мають право на існування. У деяких випадках це призводить до провокування громадських заворушень. Деякі представники нетрадиційних культів, займаючись підпільним виробництвом різноманітної продукції, незаконною діяльністю, завдають, таким чином, економічної шкоди державі [12, 5 с].   </w:t>
      </w:r>
    </w:p>
    <w:p w14:paraId="7996284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Причини появи нових релігій пов'язують з наявністю глобальних проблем людства: економічні кризи, соціальні катаклізми, руйнування природи, загроза термоядерної війни, різні воєнні конфлікти криза ідей гуманізму і цінностей духовної культури, тощо. Врешті-решт саме ці явища є причиною негативних суспільних настроїв, формують почуття песимізму, втрати перспективи у житті, що в свою чергу однією з причин долучення людини до  культу.</w:t>
      </w:r>
    </w:p>
    <w:p w14:paraId="3CC23D2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стосується термінології даного питання, то вона на сьогодні теж неоднозначна. М.Вебер та Е. Трелч вперше розмежували церкви і секти. На їх думку, Церква - це велике, усталене релігійне формування. Секта - це невелика, не така організована група переконаних віруючих, яка утворюється на знак протесту проти церкви. Далі типологію церков та сект розвинули інші автори, наприклад, Г. Бекер додав ще два види: деномінація й культ.[41] Деномінація - це секта, які активно діяли протягом певного часу, але згодом перетворилась на інституційний орган (кальвіністи, методисти). Культи - складаються з осіб, які заперечують цінності навколишнього суспільства, згуртовуються навколо духовного проповідника, дотримуються певних теорій, рекомендованих способів поведінки (прихильники ТМ). [41]  </w:t>
      </w:r>
    </w:p>
    <w:p w14:paraId="1200384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467155FE">
      <w:pPr>
        <w:spacing w:line="360" w:lineRule="auto"/>
        <w:ind w:firstLine="720"/>
        <w:jc w:val="both"/>
        <w:rPr>
          <w:rFonts w:ascii="Times New Roman" w:hAnsi="Times New Roman" w:cs="Times New Roman"/>
          <w:sz w:val="28"/>
          <w:szCs w:val="28"/>
          <w:lang w:val="uk-UA"/>
        </w:rPr>
      </w:pPr>
    </w:p>
    <w:p w14:paraId="60A84F58">
      <w:pPr>
        <w:spacing w:line="360" w:lineRule="auto"/>
        <w:ind w:left="851" w:hanging="284"/>
        <w:jc w:val="both"/>
        <w:rPr>
          <w:rFonts w:ascii="Times New Roman" w:hAnsi="Times New Roman" w:cs="Times New Roman"/>
          <w:sz w:val="28"/>
          <w:szCs w:val="28"/>
          <w:lang w:val="uk-UA"/>
        </w:rPr>
      </w:pPr>
    </w:p>
    <w:p w14:paraId="626E0E8C">
      <w:pPr>
        <w:spacing w:line="360" w:lineRule="auto"/>
        <w:ind w:left="851" w:hanging="284"/>
        <w:rPr>
          <w:rFonts w:ascii="Times New Roman" w:hAnsi="Times New Roman" w:cs="Times New Roman"/>
          <w:sz w:val="28"/>
          <w:szCs w:val="28"/>
          <w:lang w:val="uk-UA"/>
        </w:rPr>
      </w:pPr>
    </w:p>
    <w:p w14:paraId="432C9E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5A4B09BE">
      <w:pPr>
        <w:spacing w:line="360" w:lineRule="auto"/>
        <w:ind w:firstLine="720"/>
        <w:jc w:val="both"/>
        <w:rPr>
          <w:rFonts w:ascii="Times New Roman" w:hAnsi="Times New Roman" w:cs="Times New Roman"/>
          <w:sz w:val="28"/>
          <w:szCs w:val="28"/>
          <w:lang w:val="uk-UA"/>
        </w:rPr>
      </w:pPr>
    </w:p>
    <w:p w14:paraId="33496219">
      <w:pPr>
        <w:spacing w:line="360" w:lineRule="auto"/>
        <w:ind w:firstLine="720"/>
        <w:jc w:val="both"/>
        <w:rPr>
          <w:rFonts w:ascii="Times New Roman" w:hAnsi="Times New Roman" w:cs="Times New Roman"/>
          <w:sz w:val="28"/>
          <w:szCs w:val="28"/>
          <w:lang w:val="uk-UA"/>
        </w:rPr>
      </w:pPr>
    </w:p>
    <w:p w14:paraId="640357CB">
      <w:pPr>
        <w:spacing w:line="360" w:lineRule="auto"/>
        <w:ind w:firstLine="720"/>
        <w:jc w:val="both"/>
        <w:rPr>
          <w:rFonts w:ascii="Times New Roman" w:hAnsi="Times New Roman" w:cs="Times New Roman"/>
          <w:sz w:val="28"/>
          <w:szCs w:val="28"/>
          <w:lang w:val="uk-UA"/>
        </w:rPr>
      </w:pPr>
    </w:p>
    <w:p w14:paraId="0FB6E374">
      <w:pPr>
        <w:spacing w:line="360" w:lineRule="auto"/>
        <w:ind w:firstLine="720"/>
        <w:jc w:val="both"/>
        <w:rPr>
          <w:rFonts w:ascii="Times New Roman" w:hAnsi="Times New Roman" w:cs="Times New Roman"/>
          <w:b/>
          <w:caps/>
          <w:sz w:val="28"/>
          <w:szCs w:val="28"/>
          <w:lang w:val="uk-UA"/>
        </w:rPr>
      </w:pPr>
      <w:r>
        <w:rPr>
          <w:rFonts w:ascii="Times New Roman" w:hAnsi="Times New Roman" w:cs="Times New Roman"/>
          <w:b/>
          <w:caps/>
          <w:sz w:val="28"/>
          <w:szCs w:val="28"/>
          <w:lang w:val="uk-UA"/>
        </w:rPr>
        <w:t>Розділ 2. Секта як культурний феномен</w:t>
      </w:r>
    </w:p>
    <w:p w14:paraId="397E7A88">
      <w:pPr>
        <w:spacing w:line="360" w:lineRule="auto"/>
        <w:ind w:firstLine="720"/>
        <w:jc w:val="both"/>
        <w:rPr>
          <w:rFonts w:ascii="Times New Roman" w:hAnsi="Times New Roman" w:cs="Times New Roman"/>
          <w:sz w:val="28"/>
          <w:szCs w:val="28"/>
          <w:lang w:val="uk-UA"/>
        </w:rPr>
      </w:pPr>
    </w:p>
    <w:p w14:paraId="7BF73E2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Нетрадиційна релігійність часто асоціюється із сектами, які суттєво відрізняються від традиційних релігійних інституцій за своїми цінностями, структурою та взаємовідносинами з суспільством. Для глибшого розуміння ролі та впливу сект у сучасній культурі важливо розглянути, чим саме секта відрізняється від традиційної церкви.</w:t>
      </w:r>
    </w:p>
    <w:p w14:paraId="796961E2">
      <w:pPr>
        <w:spacing w:line="360" w:lineRule="auto"/>
        <w:ind w:firstLine="720"/>
        <w:jc w:val="both"/>
        <w:rPr>
          <w:rFonts w:ascii="Times New Roman" w:hAnsi="Times New Roman" w:cs="Times New Roman"/>
          <w:sz w:val="28"/>
          <w:szCs w:val="28"/>
          <w:lang w:val="uk-UA"/>
        </w:rPr>
      </w:pPr>
    </w:p>
    <w:p w14:paraId="5774D2E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2.1. Поняття та ознаки секти: теоретичний аспект</w:t>
      </w:r>
    </w:p>
    <w:p w14:paraId="33E4F59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Секту визначають як релігійну групу або рух, що характеризується відокремленістю від загальноприйнятих релігійних норм і часто створює альтернативні релігійні, етичні та соціальні системи. Термін «секта» історично мав нейтральне значення і використовувався для позначення будь-якої відокремленої групи або школи. Однак, у сучасному вживанні, особливо в мас-медіа, поняття «секта» часто набуло негативного значення, позначаючи організацію, яка суперечить загальноприйнятим нормам і може мати деструктивний вплив на своїх послідовників.</w:t>
      </w:r>
    </w:p>
    <w:p w14:paraId="4B75A68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Ознаки секти, на які вказують релігієзнавці, включають:</w:t>
      </w:r>
    </w:p>
    <w:p w14:paraId="6359FDA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Ізоляцію від суспільства: секти часто вимагають від своїх послідовників обмежити контакти з людьми, що не поділяють їхніх вірувань, і можуть пропонувати або навіть примушувати до проживання в окремих громадах.</w:t>
      </w:r>
    </w:p>
    <w:p w14:paraId="6270656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Жорстка ієрархія та контроль: у сектах часто присутній сильний авторитет лідера, який контролює всі аспекти життя членів групи. Такі лідери можуть мати статус «пророків» чи «посланців», що підкреслює їхній авторитет.</w:t>
      </w:r>
    </w:p>
    <w:p w14:paraId="1ECDF94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Нетрадиційні релігійні практики: секти можуть вводити практики та ритуали, які суперечать традиційним релігійним нормам і цінностям.</w:t>
      </w:r>
    </w:p>
    <w:p w14:paraId="5621D1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Ідея обраності або місії: багато сект проголошують себе єдиним шляхом до «істини», що відрізняє їх від інших релігій і дає підставу вважати своїх членів обраними.</w:t>
      </w:r>
    </w:p>
    <w:p w14:paraId="67AD2FBD">
      <w:pPr>
        <w:spacing w:line="360" w:lineRule="auto"/>
        <w:ind w:left="851" w:hanging="284"/>
        <w:rPr>
          <w:rFonts w:ascii="Times New Roman" w:hAnsi="Times New Roman" w:cs="Times New Roman"/>
          <w:sz w:val="28"/>
          <w:szCs w:val="28"/>
          <w:lang w:val="uk-UA"/>
        </w:rPr>
      </w:pPr>
    </w:p>
    <w:tbl>
      <w:tblPr>
        <w:tblStyle w:val="23"/>
        <w:tblW w:w="97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60"/>
        <w:gridCol w:w="3260"/>
        <w:gridCol w:w="3261"/>
      </w:tblGrid>
      <w:tr w14:paraId="4F007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3260" w:type="dxa"/>
          </w:tcPr>
          <w:p w14:paraId="0FEE82ED">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Характеристики</w:t>
            </w:r>
          </w:p>
        </w:tc>
        <w:tc>
          <w:tcPr>
            <w:tcW w:w="3260" w:type="dxa"/>
          </w:tcPr>
          <w:p w14:paraId="09113A4B">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Церква</w:t>
            </w:r>
          </w:p>
        </w:tc>
        <w:tc>
          <w:tcPr>
            <w:tcW w:w="3261" w:type="dxa"/>
          </w:tcPr>
          <w:p w14:paraId="64E881F6">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Секта</w:t>
            </w:r>
          </w:p>
        </w:tc>
      </w:tr>
      <w:tr w14:paraId="6E0DC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rPr>
        <w:tc>
          <w:tcPr>
            <w:tcW w:w="3260" w:type="dxa"/>
          </w:tcPr>
          <w:p w14:paraId="2291CC7E">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Число прихильників</w:t>
            </w:r>
          </w:p>
        </w:tc>
        <w:tc>
          <w:tcPr>
            <w:tcW w:w="3260" w:type="dxa"/>
          </w:tcPr>
          <w:p w14:paraId="07B735C5">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Від поміркованого до значного</w:t>
            </w:r>
          </w:p>
        </w:tc>
        <w:tc>
          <w:tcPr>
            <w:tcW w:w="3261" w:type="dxa"/>
          </w:tcPr>
          <w:p w14:paraId="074160E9">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Незначне</w:t>
            </w:r>
          </w:p>
        </w:tc>
      </w:tr>
      <w:tr w14:paraId="433A5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3260" w:type="dxa"/>
          </w:tcPr>
          <w:p w14:paraId="6DCB745C">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Власність</w:t>
            </w:r>
          </w:p>
        </w:tc>
        <w:tc>
          <w:tcPr>
            <w:tcW w:w="3260" w:type="dxa"/>
          </w:tcPr>
          <w:p w14:paraId="7DA7BC7F">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Велика</w:t>
            </w:r>
          </w:p>
        </w:tc>
        <w:tc>
          <w:tcPr>
            <w:tcW w:w="3261" w:type="dxa"/>
          </w:tcPr>
          <w:p w14:paraId="45ADC6A4">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Невелика</w:t>
            </w:r>
          </w:p>
        </w:tc>
      </w:tr>
      <w:tr w14:paraId="44AC4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3260" w:type="dxa"/>
          </w:tcPr>
          <w:p w14:paraId="3D97EE43">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Релігійні служби</w:t>
            </w:r>
          </w:p>
        </w:tc>
        <w:tc>
          <w:tcPr>
            <w:tcW w:w="3260" w:type="dxa"/>
          </w:tcPr>
          <w:p w14:paraId="41E5D095">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Обмежений ступінь участі конгрегації</w:t>
            </w:r>
          </w:p>
        </w:tc>
        <w:tc>
          <w:tcPr>
            <w:tcW w:w="3261" w:type="dxa"/>
          </w:tcPr>
          <w:p w14:paraId="1DA2FA9A">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Високий ступінь участі конгрегації</w:t>
            </w:r>
          </w:p>
        </w:tc>
      </w:tr>
      <w:tr w14:paraId="1C123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trPr>
        <w:tc>
          <w:tcPr>
            <w:tcW w:w="3260" w:type="dxa"/>
          </w:tcPr>
          <w:p w14:paraId="364BFAB2">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акцент</w:t>
            </w:r>
          </w:p>
        </w:tc>
        <w:tc>
          <w:tcPr>
            <w:tcW w:w="3260" w:type="dxa"/>
          </w:tcPr>
          <w:p w14:paraId="37C3E111">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На релігійну освіту та виховання дітей, які вірять у релігійні ідеали</w:t>
            </w:r>
          </w:p>
        </w:tc>
        <w:tc>
          <w:tcPr>
            <w:tcW w:w="3261" w:type="dxa"/>
          </w:tcPr>
          <w:p w14:paraId="1DC24BEF">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На проповідь Євангелія дорослим членам секти</w:t>
            </w:r>
          </w:p>
        </w:tc>
      </w:tr>
      <w:tr w14:paraId="69B6D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3260" w:type="dxa"/>
          </w:tcPr>
          <w:p w14:paraId="7F19EDF5">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Священнослужителі</w:t>
            </w:r>
          </w:p>
        </w:tc>
        <w:tc>
          <w:tcPr>
            <w:tcW w:w="3260" w:type="dxa"/>
          </w:tcPr>
          <w:p w14:paraId="42E9E016">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Професійно підготовлені люди, які віддають службі повний робочий час</w:t>
            </w:r>
          </w:p>
        </w:tc>
        <w:tc>
          <w:tcPr>
            <w:tcW w:w="3261" w:type="dxa"/>
          </w:tcPr>
          <w:p w14:paraId="47426500">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Нефахівці з обмеженою офіційно визнаною підготовкою. Зайняті неповний робочий час</w:t>
            </w:r>
          </w:p>
        </w:tc>
      </w:tr>
      <w:tr w14:paraId="16BB7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trPr>
        <w:tc>
          <w:tcPr>
            <w:tcW w:w="3260" w:type="dxa"/>
          </w:tcPr>
          <w:p w14:paraId="238CF987">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Доктрини</w:t>
            </w:r>
          </w:p>
        </w:tc>
        <w:tc>
          <w:tcPr>
            <w:tcW w:w="3260" w:type="dxa"/>
          </w:tcPr>
          <w:p w14:paraId="28C48816">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Буквальна інтерпретація Священного  Письма; акцент на мирські справи</w:t>
            </w:r>
          </w:p>
        </w:tc>
        <w:tc>
          <w:tcPr>
            <w:tcW w:w="3261" w:type="dxa"/>
          </w:tcPr>
          <w:p w14:paraId="17FE6B8A">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Буквальна інтерпретація Святого Письма; акцент на потойбічний світ</w:t>
            </w:r>
          </w:p>
        </w:tc>
      </w:tr>
      <w:tr w14:paraId="185AD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trPr>
        <w:tc>
          <w:tcPr>
            <w:tcW w:w="3260" w:type="dxa"/>
          </w:tcPr>
          <w:p w14:paraId="6BF9BA72">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Соціальний клас членів</w:t>
            </w:r>
          </w:p>
        </w:tc>
        <w:tc>
          <w:tcPr>
            <w:tcW w:w="3260" w:type="dxa"/>
          </w:tcPr>
          <w:p w14:paraId="4E698CFB">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 основному вищі класи</w:t>
            </w:r>
          </w:p>
        </w:tc>
        <w:tc>
          <w:tcPr>
            <w:tcW w:w="3261" w:type="dxa"/>
          </w:tcPr>
          <w:p w14:paraId="57C89EE9">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 основному нижчі класи</w:t>
            </w:r>
          </w:p>
        </w:tc>
      </w:tr>
      <w:tr w14:paraId="38755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trPr>
        <w:tc>
          <w:tcPr>
            <w:tcW w:w="3260" w:type="dxa"/>
          </w:tcPr>
          <w:p w14:paraId="2A0F6074">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Ставлення до інших релігійних груп</w:t>
            </w:r>
          </w:p>
        </w:tc>
        <w:tc>
          <w:tcPr>
            <w:tcW w:w="3260" w:type="dxa"/>
          </w:tcPr>
          <w:p w14:paraId="2EA2BD05">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Зневага або жалість до всіх сект</w:t>
            </w:r>
          </w:p>
        </w:tc>
        <w:tc>
          <w:tcPr>
            <w:tcW w:w="3261" w:type="dxa"/>
          </w:tcPr>
          <w:p w14:paraId="3C07FC40">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Підозрілість щодо інших сект</w:t>
            </w:r>
          </w:p>
        </w:tc>
      </w:tr>
      <w:tr w14:paraId="7E5DE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 w:hRule="atLeast"/>
        </w:trPr>
        <w:tc>
          <w:tcPr>
            <w:tcW w:w="3260" w:type="dxa"/>
          </w:tcPr>
          <w:p w14:paraId="7CAA54C1">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Ставлення до секулярного світу</w:t>
            </w:r>
          </w:p>
        </w:tc>
        <w:tc>
          <w:tcPr>
            <w:tcW w:w="3260" w:type="dxa"/>
          </w:tcPr>
          <w:p w14:paraId="6AE86644">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Підтверджують домінуючу культуру та існуючий соціальний порядок</w:t>
            </w:r>
          </w:p>
        </w:tc>
        <w:tc>
          <w:tcPr>
            <w:tcW w:w="3261" w:type="dxa"/>
          </w:tcPr>
          <w:p w14:paraId="36D13F5F">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Відкидає домінуючу культуру та існуючий соціальний порядок. Налаштовані до світу здебільшого вороже</w:t>
            </w:r>
          </w:p>
        </w:tc>
      </w:tr>
      <w:tr w14:paraId="52321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 w:hRule="atLeast"/>
        </w:trPr>
        <w:tc>
          <w:tcPr>
            <w:tcW w:w="3260" w:type="dxa"/>
          </w:tcPr>
          <w:p w14:paraId="0E022522">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Гімни</w:t>
            </w:r>
          </w:p>
        </w:tc>
        <w:tc>
          <w:tcPr>
            <w:tcW w:w="3260" w:type="dxa"/>
          </w:tcPr>
          <w:p w14:paraId="1184F80A">
            <w:pPr>
              <w:spacing w:after="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Велика музика, висхідна до більш віддаленим за часом літургійним</w:t>
            </w:r>
          </w:p>
          <w:p w14:paraId="0934B946">
            <w:pPr>
              <w:spacing w:after="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традиціям</w:t>
            </w:r>
          </w:p>
        </w:tc>
        <w:tc>
          <w:tcPr>
            <w:tcW w:w="3261" w:type="dxa"/>
          </w:tcPr>
          <w:p w14:paraId="5B1A68B4">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Нагадують сучасну популярну музику</w:t>
            </w:r>
          </w:p>
        </w:tc>
      </w:tr>
      <w:tr w14:paraId="59A78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9" w:hRule="atLeast"/>
        </w:trPr>
        <w:tc>
          <w:tcPr>
            <w:tcW w:w="3260" w:type="dxa"/>
          </w:tcPr>
          <w:p w14:paraId="72312AAD">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Джерела членства</w:t>
            </w:r>
          </w:p>
        </w:tc>
        <w:tc>
          <w:tcPr>
            <w:tcW w:w="3260" w:type="dxa"/>
          </w:tcPr>
          <w:p w14:paraId="3A552EC1">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Прихильники церкви народжені у цій вірі. Церква прагне охопити своєю вірою всіх людей</w:t>
            </w:r>
          </w:p>
        </w:tc>
        <w:tc>
          <w:tcPr>
            <w:tcW w:w="3261" w:type="dxa"/>
          </w:tcPr>
          <w:p w14:paraId="34603F72">
            <w:pPr>
              <w:spacing w:after="160" w:line="240" w:lineRule="auto"/>
              <w:jc w:val="center"/>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Люди вступають у секти добровільно на конфесійній основі</w:t>
            </w:r>
          </w:p>
        </w:tc>
      </w:tr>
    </w:tbl>
    <w:p w14:paraId="0A5997F0">
      <w:pPr>
        <w:spacing w:line="360" w:lineRule="auto"/>
        <w:jc w:val="both"/>
        <w:rPr>
          <w:rFonts w:ascii="Times New Roman" w:hAnsi="Times New Roman" w:cs="Times New Roman"/>
          <w:sz w:val="28"/>
          <w:szCs w:val="28"/>
          <w:lang w:val="uk-UA"/>
        </w:rPr>
      </w:pPr>
    </w:p>
    <w:p w14:paraId="6B09EC9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Ухвалення без опору. Секти, утворювані вихідцями із середнього класу, зазвичай схильні приймати запропоновану їм соціальну реальність без особливої критики. Хоча члени секти відчувають, що зіткнулися із серйозними проблемами, у вирішенні яких їм не можуть допомогти домінуючі релігійні організації, вони не вважають ці проблеми соціальними. Загалом суспільство прихильно ставиться до них та їхнього найближчого оточення. Члени секти впевнені, що всі труднощі походять від нестачі віри, егоїзму та ізоляції, але не від хибної соціальної системи. Тому їхня головна ідея - повірте, знайдіть собі друзів, об'єднайтеся в групу зі своїми однодумцями. Прикладом секти цього може бути Оксфордський рух.</w:t>
      </w:r>
    </w:p>
    <w:p w14:paraId="35CE707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Агресивний опір. Деякі секти, члени яких переважно належать до нижчих класів, концентрують свою увагу насамперед на проблемах, пов'язаних із бідністю та безправ'ям. Якщо це секти християнського віросповідання, вони інтерпретують вчення Ісуса Христа у дусі етичного радикалізму, як програму соціальних реформ. Суспільство загалом третює ці секти і сприймає їх як втілення зла. Справжня релігія, на думку членів таких сект, має ставити за мету соціальну реорганізацію. Такі секти характеризуються різкою опозиційною спрямованістю і часто розпадаються, або переходять у третій тип. Прикладом можуть бути анабаптисти.</w:t>
      </w:r>
    </w:p>
    <w:p w14:paraId="6B2E75C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Ескапізм. Ці секти що неспроможні прийняти існуюче навколо них суспільство (як секти першого типу) і сподіваються реформувати його (як секти другого типу). Звичайною психологічною реакцією на соціальну ситуацію, що склалася, тут стає знецінення свого земного життя, проектування нездійснених надій на потойбічне існування і об'єднання в групу зі своїми однодумцями. Такі секти реагують на важкі умови життя нижчих класів, злидні, соціальну несправедливість та безправ'я. Не бачачи нічого доброго в цьому світі і жодної надії на покращення, вони об'єднують людей, які зневірилися в тому, що їхні потреби будь-коли будуть задоволені суспільством. Прихильники таких сект сповідують мілінаризм і вбачають неминучість загибелі нинішнього світопорядку в космічній катастрофі. Вони вороже ставляться до світу і шукають вихід у катаклізмі, який скине тих, хто був високо піднесений, і забезпечить віруючим важливу роль у новому Царстві на землі та вічне блаженство на небесах.</w:t>
      </w:r>
    </w:p>
    <w:p w14:paraId="64E843A8">
      <w:pPr>
        <w:spacing w:line="360" w:lineRule="auto"/>
        <w:ind w:left="720"/>
        <w:jc w:val="both"/>
        <w:rPr>
          <w:rFonts w:ascii="Times New Roman" w:hAnsi="Times New Roman" w:cs="Times New Roman"/>
          <w:sz w:val="28"/>
          <w:szCs w:val="28"/>
          <w:lang w:val="uk-UA"/>
        </w:rPr>
      </w:pPr>
    </w:p>
    <w:p w14:paraId="5913640A">
      <w:pPr>
        <w:pStyle w:val="82"/>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традиційної релігійної організації</w:t>
      </w:r>
    </w:p>
    <w:p w14:paraId="0DDFBFE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Релігія як соціальний інститут виконує у суспільстві низку функцій.</w:t>
      </w:r>
    </w:p>
    <w:p w14:paraId="376AAC1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Світоглядна функція. У всьому світі релігія дає відповіді на актуальні питання про сенс існування, причину людських страждань та сутність смерті. Вони дають людям відчуття мети. Замість того, щоб почуватися безпорадними істотами, які володіють безглуздим існуванням під ударами долі, віруючі переконані в тому, що їхні життя складають частину єдиного божественного задуму.   Компенсаторна функція. Відповіді, які дає релігія на питання про сенс існування, дарують віруючим втіху, переконуючи їх у тому, що їхні страждання на землі не є марними. Релігійні ритуали, пов'язані з такими критичними подіями, як хвороба і смерть, дозволяють людям зберігати душевну рівновагу в гіркий час життя. Індивід знає, що інші співчувають йому, і знаходить втіху у знайомих та чітко встановлених ритуалах.</w:t>
      </w:r>
    </w:p>
    <w:p w14:paraId="2A3B504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Функція соціальної самоідентифікації. Релігійні вчення об'єднують віруючих у спільноту людей, які розділяють одні й самі цінності і переслідують одні й самі цілі (“ми, іудеї”, “ми, християни”, “ми, мусульмани”). Релігійні ритуали, які супроводжують, наприклад, церемонію одруження, пов'язують наречену і нареченого з більшим співтовариством людей, які бажають молодим добра. Те саме стосується й інших релігійних обрядів, наприклад, хрещення немовляти або відспівування покійника.</w:t>
      </w:r>
    </w:p>
    <w:p w14:paraId="57D6DB7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Соціально-регламентуюча функція. Релігійні вчення недостатньо абстракція. Вони також застосовні до повсякденного життя людей. Наприклад, чотири з Десяти Заповідей, проповіданих Мойсеєм ізраїльтянам, мають відношення до Бога, натомість у шести інших містяться настанови для повсякденного життя людей, у тому числі стосунки з батьками, роботодавцями та сусідами.функція соціального контролю. Релігія як задає норми для повсякденного життя, а й здійснює контролю над поведінкою людей. Більшість норм релігійної групи застосовується лише до її членів, проте деякі норми встановлюють обмеження й інших громадян, які не належать до релігійної громади. Прикладом цього можуть бути релігійні настанови, що у складі кримінального законодавства. Так, у Росії богохульство і перелюб колись були кримінальними злочинами, які люди судили і карали за всієї суворості закону. Закони, що забороняють продаж спиртних напоїв до 12 години дня в неділю або навіть продаж у недільні дні “товарів, які не є предметом першої необхідності”, є ще однією ілюстрацією такого ж характеру.</w:t>
      </w:r>
    </w:p>
    <w:p w14:paraId="2F8035B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Адаптаційна функція. Релігія здатна допомогти людям адаптуватися до нового середовища. Наприклад, іммігрантам не так легко пристосуватись до звичаїв нової країни. Зберігаючи рідну мову, знайомі ритуали та віровчення, релігія забезпечує нерозривний зв'язок іммігрантів зі своїм культурним минулим.</w:t>
      </w:r>
    </w:p>
    <w:p w14:paraId="75945A3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Охоронна функція. Більшість релігій надає підтримку уряду і чинить опір будь-яким змінам у соціальному житті, спрямовуючи свій сакральний авторитет проти сил, що вимагають порушити статус-кво, та засуджуючи спроби державних переворотів. Церква охороняє і підтримує існуючу владу, а влада у свою чергу надає підтримку конфесіям, які її охороняють.  У деяких випадках уряд підтримує одну релігію, забороняє всі інші віровчення, надає фінансову допомогу в будівництві церков і семінарій і навіть може платити священнослужителям заробітну плату. Такі релігії, що перебувають під особливим заступництвом держави, відомі як державні. В інших випадках держава не виявляє заступництва якоїсь конкретної релігії, проте релігійні вчення настільки глибоко вкорінюються в житті країни, що її історія та соціальні інститути вважаються освяченими завдяки своєму зв'язку з Богом.</w:t>
      </w:r>
    </w:p>
    <w:p w14:paraId="706C218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Соціально-критична функція. Хоча релігія часто настільки тісно пов'язана з панівним соціальним ладом, що чинить опір змінам, бувають випадки, коли вона виступає з критикою готівкової ситуації в суспільстві. У 1960-ті роки в США рух на захист громадянських прав, що боровся за відміну сегрегації в громадських місцях і зменшення расової дискримінації в південних виборчих округах США, очолювали релігійні лідери, наприклад Мартін Лютер Кінг, який був баптистським священиком. Мова, вимовлена Кінгом в 1963 році у Вашингтоні, справила на слухачів незабутнє враження завдяки часто повторюваним словам оратора "у мене є мрія". Кінг мав на увазі під своєю мрією кінець расової дискримінації, коли "всі божі діти" житимуть у гармонії та світі. Церкви також можуть відігравати роль центрів, які здійснюють підготовку демонстрантів та організацію мітингів.</w:t>
      </w:r>
    </w:p>
    <w:p w14:paraId="1B008DF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Описані вище функції релігії можуть виконуватися й іншими громадськими інститутами. Якщо якийсь інший соціальний компонент здатний дати відповіді на питання про сенс існування, забезпечити емоційний комфорт та орієнтувати індивіда у його повсякденному житті, соціологи визначають його як функціональний еквівалент релігії. Наприклад, деяким людям релігію замінює Товариство анонімних алкоголіків. Для інших людей функції релігії виконують психотерапія, ідеї гуманізму, трансцендентальна медитація чи навіть політична партія. Деякі функціональні еквіваленти важко відрізнити від власне релігії. Наприклад, комунізм має своїх пророків (Маркс і Ленін), свої священні писання (всі праці Маркса, Енгельса і Леніна, але насамперед “Маніфест Комуністичної Партії”), свої верховні священнослужителі (глави Комуністичної партії), священні будівлі (Кремль) , святині (тіло Леніна), ритуали (щорічний травневий парад на Червоній площі) і навіть свої мученики (наприклад, Лазо). У роки войовничого атеїзму були спроби замінити обряди хрещення та обрізання новими соціальними ритуалами(наприклад, піонери та комсомольці дают клятву державі). Комуністична партія розробила також свої ритуали одруження та похорону.</w:t>
      </w:r>
    </w:p>
    <w:p w14:paraId="06808B7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визначення секти в релігієзнавстві та соціології релігії спираються на роботи М. Вебера, Е. Трьольча та Р. Нібура. Основоположники типологізації «церква-секта» були протестантами на переконання, але їхній богословський вплив був непомітним, оскільки «модерністська протестантська теологія ставала майже тотожною науці про релігію». Деномінація може розвиватися з інших типів об'єднань або складатися від початку як такої. Її ідейні, культові та організаційні принципи формуються в опозиції до церкви та секти і мають різноплановий характер. Зберігаючи акцент на «вибраності» членів, вона визнає можливість духовного відродження для кожного віруючого. Ізоляція від зовнішнього «світу» та замкнутість усередині релігійної групи не вважається обов'язковою ознакою «істинної релігійності». Хоча й висувається принцип строго контрольованого членства… спостерігається тенденція до возз'єднання зі світом. Деномінації властива чітка організація як у горизонталі, і по вертикалі».</w:t>
      </w:r>
    </w:p>
    <w:p w14:paraId="6CF53E92">
      <w:pPr>
        <w:spacing w:line="360" w:lineRule="auto"/>
        <w:ind w:firstLine="720"/>
        <w:jc w:val="both"/>
        <w:rPr>
          <w:rFonts w:ascii="Times New Roman" w:hAnsi="Times New Roman" w:cs="Times New Roman"/>
          <w:sz w:val="28"/>
          <w:szCs w:val="28"/>
          <w:lang w:val="uk-UA"/>
        </w:rPr>
      </w:pPr>
    </w:p>
    <w:p w14:paraId="5CB8CF9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2.3 Соціальні та культурні відмінності між сектою та традиційним релігійним інститутом</w:t>
      </w:r>
    </w:p>
    <w:p w14:paraId="75B2D1A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Різниця між сектою і традиційною церквою включає декілька важливих аспектів:</w:t>
      </w:r>
    </w:p>
    <w:p w14:paraId="6FA22A5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Організаційна структура та керівництво. Традиційні релігійні організації мають усталену ієрархію з чіткими ролями, але водночас мають певну систему самоконтролю та взаємного контролю. У сектах же структура організації найчастіше вибудовується навколо центрального лідера, авторитет якого є абсолютним. Його вчення та вказівки вважаються єдино правильними, що нерідко призводить до культу особистості.</w:t>
      </w:r>
    </w:p>
    <w:p w14:paraId="5B7E2C5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Відношення до традиційних релігійних доктрин. Традиційні релігії, як правило, мають канонічні тексти, догматичні та етичні засади, що формувалися століттями. Секти часто змінюють традиційні доктрини, додають нові ідеї та трактують канонічні тексти на свій розсуд. Це сприяє розвитку унікальних ритуалів і переконань, які можуть кардинально відрізнятися від класичних релігійних цінностей.</w:t>
      </w:r>
    </w:p>
    <w:p w14:paraId="4B953AF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Зв’язок із суспільством. Традиційні релігійні організації переважно інтегровані в суспільне життя і взаємодіють з ним через освітні, культурні та соціальні проєкти. Секти, навпаки, часто ізолюють своїх членів від суспільства, пропагуючи ідею, що оточуючий світ є ворожим або неправдивим. Це часто призводить до розриву зв’язків з близькими людьми, якщо вони не поділяють поглядів секти.</w:t>
      </w:r>
    </w:p>
    <w:p w14:paraId="5A766E9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Фінансові аспекти. Традиційні церкви існують за рахунок пожертвувань і часто публічно звітують перед суспільством. Секти можуть вимагати від своїх послідовників великих фінансових внесків, що іноді веде до матеріальної залежності членів групи від організації. </w:t>
      </w:r>
    </w:p>
    <w:p w14:paraId="60B9300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Нетрадиційні релігійні рухи починають виникати у світовому конфесійному просторі після Другої світової війни. Початковим періодом можна вважати 50–60-ті роки ХХ століття. На фоні кризи старих переконань та поглядів нетрадиційна релігійність почала уособлювати в  собі дещо відмінне від пропонованого традиційною релігійністю. Перші нетрадиційні релігійні рухи виникають у Сполучених Штатах Америки. Звідти вони швидко поширюються до Західної Європи. Не менш важливим ареалом виникнення неорелігійних організацій стає і азійський регіон. Неоорієнталістські рухи охоплюють все більші групи прихильників пропонованих ними ідей. Україна зіткнулася с нетрадиційною релігійністю фактично в останньому десятилітті ХХ століття. З розпадом Радянського Союзу та зникненням інформаційної завіси навколо соціалістичних республік, нетрадиційні релігійні рухи починають проникати на нові території, захоплюючи своїми ідеями. Початком поширення нетрадиційної релігійності в Україні можна вважати 1989 рік, коли було зареєстровано у відповідних органах перші організації неорелігійного характеру. У кінці 80 – середині 90-х років населення зіткнулося з великою кількістю груп та організацій, які пропонували нові ідеї спасіння. З середини 90-х років ХХ століття відбувається утвердження громад нетрадиційної релігійності серед українських вірян, набуття популярності та їх організайно-інституційне оформлення. [14, с.117]</w:t>
      </w:r>
    </w:p>
    <w:p w14:paraId="5D46236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Релігійна організація за своєю юридичною природою є об’єднанням громадян, одним із різновидів громадських організацій. Переважна більшість вчених-правників визнає релігійні організації суб’єктами права. Між іншим, ще в радянський період в юридичній науці релігійні організації в певній сфері своєї діяльності визнавалися суб’єктами радянського права. У адміністративному праві під суб’єктом розуміють носія (власника) прав і обов’язків у сфері державного управління, які передбачені адміністративно-правовими нормами, здатного надані права реалізовувати, а покладені обов’язки виконувати. Що ж до класифікації суб’єктів адміністративного права, то серед вчених-адміністративістів та віднесення до них релігійних організацій немає єдиного підходу. Про це ще зауважував І. М. Компанієць у своєму дисертаційному дослідженні «Адміністративно-правове регулювання свободи совісті». Так, Ю. П. Битяк до числа суб’єктів адміністративного права включає: громадян, іноземних громадян і осіб без громадянства; органи виконавчої влади; органи місцевого самоврядування; державних службовців; підприємства, установи та об’єднання громадян.</w:t>
      </w:r>
    </w:p>
    <w:p w14:paraId="7BCD83DA">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Православна та католицька церкви мають особливий культ святих",тобто обраних богом осіб, які відіграють роль виконавців його волі. Сектанти відкидають поклоніння "святим". Більшість сект відкидають культ ікон. Сектантські проповідники відкинули сповідь як обряд. [33]</w:t>
      </w:r>
    </w:p>
    <w:p w14:paraId="679887A3">
      <w:pPr>
        <w:spacing w:line="360" w:lineRule="auto"/>
        <w:ind w:left="851" w:hanging="284"/>
        <w:rPr>
          <w:rFonts w:ascii="Times New Roman" w:hAnsi="Times New Roman" w:cs="Times New Roman"/>
          <w:sz w:val="28"/>
          <w:szCs w:val="28"/>
          <w:lang w:val="uk-UA"/>
        </w:rPr>
      </w:pPr>
    </w:p>
    <w:p w14:paraId="267373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прикладі сучасної секти можна показати відмінності у навчанні церкви та секти.</w:t>
      </w:r>
    </w:p>
    <w:tbl>
      <w:tblPr>
        <w:tblStyle w:val="81"/>
        <w:tblW w:w="10070"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3"/>
        <w:gridCol w:w="4536"/>
        <w:gridCol w:w="3861"/>
      </w:tblGrid>
      <w:tr w14:paraId="75772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3" w:type="dxa"/>
          </w:tcPr>
          <w:p w14:paraId="027FAC39">
            <w:pPr>
              <w:rPr>
                <w:rFonts w:ascii="Times New Roman" w:hAnsi="Times New Roman" w:cs="Times New Roman"/>
                <w:bCs/>
                <w:lang w:val="uk-UA"/>
              </w:rPr>
            </w:pPr>
            <w:r>
              <w:rPr>
                <w:rFonts w:ascii="Times New Roman" w:hAnsi="Times New Roman" w:cs="Times New Roman"/>
                <w:bCs/>
                <w:lang w:val="uk-UA"/>
              </w:rPr>
              <w:t>Догми</w:t>
            </w:r>
          </w:p>
        </w:tc>
        <w:tc>
          <w:tcPr>
            <w:tcW w:w="4536" w:type="dxa"/>
          </w:tcPr>
          <w:p w14:paraId="7493DBAC">
            <w:pPr>
              <w:rPr>
                <w:rFonts w:ascii="Times New Roman" w:hAnsi="Times New Roman" w:cs="Times New Roman"/>
                <w:bCs/>
                <w:lang w:val="uk-UA"/>
              </w:rPr>
            </w:pPr>
            <w:r>
              <w:rPr>
                <w:rFonts w:ascii="Times New Roman" w:hAnsi="Times New Roman" w:cs="Times New Roman"/>
                <w:bCs/>
                <w:lang w:val="uk-UA"/>
              </w:rPr>
              <w:t>Церква</w:t>
            </w:r>
          </w:p>
        </w:tc>
        <w:tc>
          <w:tcPr>
            <w:tcW w:w="3861" w:type="dxa"/>
          </w:tcPr>
          <w:p w14:paraId="7F80E70E">
            <w:pPr>
              <w:rPr>
                <w:rFonts w:ascii="Times New Roman" w:hAnsi="Times New Roman" w:cs="Times New Roman"/>
                <w:bCs/>
                <w:lang w:val="uk-UA"/>
              </w:rPr>
            </w:pPr>
            <w:r>
              <w:rPr>
                <w:rFonts w:ascii="Times New Roman" w:hAnsi="Times New Roman" w:cs="Times New Roman"/>
                <w:bCs/>
                <w:lang w:val="uk-UA"/>
              </w:rPr>
              <w:t>Церкви Об'єднання</w:t>
            </w:r>
          </w:p>
        </w:tc>
      </w:tr>
      <w:tr w14:paraId="2CE11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3" w:type="dxa"/>
          </w:tcPr>
          <w:p w14:paraId="7668160B">
            <w:pPr>
              <w:rPr>
                <w:rFonts w:ascii="Times New Roman" w:hAnsi="Times New Roman" w:cs="Times New Roman"/>
                <w:bCs/>
                <w:lang w:val="uk-UA"/>
              </w:rPr>
            </w:pPr>
            <w:r>
              <w:rPr>
                <w:rFonts w:ascii="Times New Roman" w:hAnsi="Times New Roman" w:cs="Times New Roman"/>
                <w:lang w:val="uk-UA"/>
              </w:rPr>
              <w:t>Бог</w:t>
            </w:r>
          </w:p>
        </w:tc>
        <w:tc>
          <w:tcPr>
            <w:tcW w:w="4536" w:type="dxa"/>
          </w:tcPr>
          <w:p w14:paraId="09BD4515">
            <w:pPr>
              <w:jc w:val="both"/>
              <w:rPr>
                <w:rFonts w:ascii="Times New Roman" w:hAnsi="Times New Roman" w:cs="Times New Roman"/>
                <w:bCs/>
                <w:lang w:val="uk-UA"/>
              </w:rPr>
            </w:pPr>
            <w:r>
              <w:rPr>
                <w:rFonts w:ascii="Times New Roman" w:hAnsi="Times New Roman" w:cs="Times New Roman"/>
                <w:bCs/>
                <w:lang w:val="uk-UA"/>
              </w:rPr>
              <w:t>Поняття Бога нерозривно пов'язані з поняттям Одкровення. Предметом дослідження можуть бути лише епіфеномени Одкровення, але не Сам Бог. Відповідно там, де розум не має в своєму розпорядженні інструментів і критеріїв для коректного сприйняття та аналізу Одкровення, він виявляється безпорадним у своїх судженнях про Бога. Лише Церква є справжньою хранителькою і тлумачкою Божественного Одкровення, даного їй Господом. Тому достовірне міркування про Бога можливе лише на підставі вчення, яке викладає Церква, тобто в рамках церковного богослов'я. Підкреслюючи виняткову достовірність свого бачення Бога і усвідомлюючи свою особливу історичну роль у проповіді про Нього світу, Церква в той же час бачить у світовій культурі, історії, суспільній та індивідуальній свідомості плюралізм форм сприйняття Бога людиною, в яких брало тією чи іншою мірою Є елементи істини.</w:t>
            </w:r>
          </w:p>
        </w:tc>
        <w:tc>
          <w:tcPr>
            <w:tcW w:w="3861" w:type="dxa"/>
          </w:tcPr>
          <w:p w14:paraId="68A13982">
            <w:pPr>
              <w:jc w:val="both"/>
              <w:rPr>
                <w:rFonts w:ascii="Times New Roman" w:hAnsi="Times New Roman" w:cs="Times New Roman"/>
                <w:bCs/>
                <w:lang w:val="uk-UA"/>
              </w:rPr>
            </w:pPr>
            <w:r>
              <w:rPr>
                <w:rFonts w:ascii="Times New Roman" w:hAnsi="Times New Roman" w:cs="Times New Roman"/>
                <w:bCs/>
                <w:lang w:val="uk-UA"/>
              </w:rPr>
              <w:t>Поняття Бога у вченні «» дуже розмите. В основі вчення секти фактично лежить типовий для східних релігійних систем пантеїстичний монізм: Бог нерозривно пов'язаний із природою та людиною і не може існувати без них. Бог, природа та людина суть одне. Відповідно до вчення секти, «людина є видима форма Бога, а Бог є невидима форма людини». Також говориться, що «людина є втілений Бог». У вченні Муна присутні характерні елементи даосизму: Бог має чоловічий і жіночий початок. У Бозі є якась «універсальна початкова сила», яка є абсолютним законом і підкоряє собі Самого Бога. У той же час Бог мислиться як особистість, і при тому не абсолютна. За вченням Муна, Бог – істота не досконала, яка змінюється і страждає, до того ж має тіло, душу, емоції та нездійснені бажання. Таким чином, вчення Муна про Бога можна визначити як синкретичне, що увібрало в себе елементи східного містицизму (зокрема даосизму) і примітивно зрозумілого християнства.</w:t>
            </w:r>
          </w:p>
        </w:tc>
      </w:tr>
      <w:tr w14:paraId="45FA8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3" w:type="dxa"/>
          </w:tcPr>
          <w:p w14:paraId="5C7011B2">
            <w:pPr>
              <w:rPr>
                <w:rFonts w:ascii="Times New Roman" w:hAnsi="Times New Roman" w:cs="Times New Roman"/>
                <w:bCs/>
                <w:lang w:val="uk-UA"/>
              </w:rPr>
            </w:pPr>
            <w:r>
              <w:rPr>
                <w:rFonts w:ascii="Times New Roman" w:hAnsi="Times New Roman" w:cs="Times New Roman"/>
                <w:bCs/>
                <w:lang w:val="uk-UA"/>
              </w:rPr>
              <w:t>Ісус  Христос</w:t>
            </w:r>
          </w:p>
        </w:tc>
        <w:tc>
          <w:tcPr>
            <w:tcW w:w="4536" w:type="dxa"/>
          </w:tcPr>
          <w:p w14:paraId="57BF4243">
            <w:pPr>
              <w:jc w:val="both"/>
              <w:rPr>
                <w:rFonts w:ascii="Times New Roman" w:hAnsi="Times New Roman" w:cs="Times New Roman"/>
                <w:bCs/>
                <w:lang w:val="uk-UA"/>
              </w:rPr>
            </w:pPr>
            <w:r>
              <w:rPr>
                <w:rFonts w:ascii="Times New Roman" w:hAnsi="Times New Roman" w:cs="Times New Roman"/>
                <w:bCs/>
                <w:lang w:val="uk-UA"/>
              </w:rPr>
              <w:t>Боголюдина (досконалий Бог і разом досконала людина), Син Божий, що втілився заради Спасіння людей, Спаситель, Месія (Помазаник); Друга Іпостась Пресвятої Трійці.</w:t>
            </w:r>
          </w:p>
        </w:tc>
        <w:tc>
          <w:tcPr>
            <w:tcW w:w="3861" w:type="dxa"/>
          </w:tcPr>
          <w:p w14:paraId="3543C42A">
            <w:pPr>
              <w:jc w:val="both"/>
              <w:rPr>
                <w:rFonts w:ascii="Times New Roman" w:hAnsi="Times New Roman" w:cs="Times New Roman"/>
                <w:bCs/>
                <w:lang w:val="uk-UA"/>
              </w:rPr>
            </w:pPr>
            <w:r>
              <w:rPr>
                <w:rFonts w:ascii="Times New Roman" w:hAnsi="Times New Roman" w:cs="Times New Roman"/>
                <w:bCs/>
                <w:lang w:val="uk-UA"/>
              </w:rPr>
              <w:t>Послідовники Муна не можуть за жодних обставин вважатися християнами, оскільки заперечують божественність Христа, і, більше того, вважають хресну смерть Христа провалом Його місії. За вченням «Церкви Об'єднання», завдання Христа полягало в тому, щоб знайти «другу Єву», одружитися і почати фізичне відродження людства. Однак, Він не зміг цього зробити, тому що був відкинутий власним народом і розіп'ятий на хресті. Мун вважає, що «Ісус на землі був людиною, яка нічим не відрізнялася від нас, за винятком того факту, що на Ньому не було первородного гріха». «Якби Ісус був Богом, тоді б у духовному світі після Його воскресіння Він був би тим самим, що й Бог, а не був би в позиції «поруч із Богом».</w:t>
            </w:r>
          </w:p>
        </w:tc>
      </w:tr>
      <w:tr w14:paraId="595AE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3" w:type="dxa"/>
          </w:tcPr>
          <w:p w14:paraId="20A72E44">
            <w:pPr>
              <w:rPr>
                <w:rFonts w:ascii="Times New Roman" w:hAnsi="Times New Roman" w:cs="Times New Roman"/>
                <w:bCs/>
                <w:lang w:val="uk-UA"/>
              </w:rPr>
            </w:pPr>
            <w:r>
              <w:rPr>
                <w:rFonts w:ascii="Times New Roman" w:hAnsi="Times New Roman" w:cs="Times New Roman"/>
                <w:lang w:val="uk-UA"/>
              </w:rPr>
              <w:t>Спасіння</w:t>
            </w:r>
          </w:p>
        </w:tc>
        <w:tc>
          <w:tcPr>
            <w:tcW w:w="4536" w:type="dxa"/>
          </w:tcPr>
          <w:p w14:paraId="7BCA3DF9">
            <w:pPr>
              <w:jc w:val="both"/>
              <w:rPr>
                <w:rFonts w:ascii="Times New Roman" w:hAnsi="Times New Roman" w:cs="Times New Roman"/>
                <w:bCs/>
                <w:lang w:val="uk-UA"/>
              </w:rPr>
            </w:pPr>
            <w:r>
              <w:rPr>
                <w:rFonts w:ascii="Times New Roman" w:hAnsi="Times New Roman" w:cs="Times New Roman"/>
                <w:bCs/>
                <w:lang w:val="uk-UA"/>
              </w:rPr>
              <w:t>Звільнення від небезпеки чи страждань. Врятувати – означає звільнити чи захистити. Це слово несе ідею перемоги, миру чи захисту. Іноді Біблія використовує слова «рятівний» або «порятунок» щодо тимчасового, фізичного звільнення, як, наприклад, визволення Павла з в'язниці (Филип'ян 1:19).</w:t>
            </w:r>
          </w:p>
        </w:tc>
        <w:tc>
          <w:tcPr>
            <w:tcW w:w="3861" w:type="dxa"/>
          </w:tcPr>
          <w:p w14:paraId="78C5A20F">
            <w:pPr>
              <w:jc w:val="both"/>
              <w:rPr>
                <w:rFonts w:ascii="Times New Roman" w:hAnsi="Times New Roman" w:cs="Times New Roman"/>
                <w:bCs/>
                <w:lang w:val="uk-UA"/>
              </w:rPr>
            </w:pPr>
            <w:r>
              <w:rPr>
                <w:rFonts w:ascii="Times New Roman" w:hAnsi="Times New Roman" w:cs="Times New Roman"/>
                <w:bCs/>
                <w:lang w:val="uk-UA"/>
              </w:rPr>
              <w:t>Порятунок розуміється Муном абсолютно матеріально. Оновлення світу – це створення нового обраного народу, який має походить від єдиних «істинних батьків» тобто. від Муна та його останньої дружини. Таким чином, буде створено Царство Боже на землі. Спочатку Мун просто вступав у сексуальні стосунки з усіма жінками з його громади (не завжди добровільно, за що бував неодноразово судимий), а потім, коли кількість послідовників багаторазово зросла, вигадав теорію про «усиновлення» послідовників через особливий обряд, в результаті якого всі вони становлять народ дітей Муна. Залучення до цієї «родини» здійснюється через церемонію «Благословення», яка складається з двох частин: одночасне одруження багатьох пар – «священне одруження» та «причастя» крові преподобного Муна та його дружини – «церемонія святого вина» або обряд «зміни родоводи». Під час останнього наречені випивають спеціально приготовлений напій – «вино, яке містить 21 рід речовин, а також кров Батька і Матері (тобто Муна та його дружини)». Через цей обряд послідовники стають кровними родичами Муна, вільними від первородного гріха та «сатанинського світу». На церемонії одруження вони дають клятву вірності «Істинним батькам». Сам Мун називає ці церемонії «символічними процесами щеплення, за яких ви відокремлюєте себе від сатанинського світу і приживляєте себе до сім'ї Істинних Батьків». Власне через прийняття муністського вчення, вірність і послух «Господу Другого Пришестя» та заслуги перед «Церквою Об'єднання» досягається «порятунок» послідовників Муна. Християнське вчення про воскресіння плоті та вічне життя відкидається.</w:t>
            </w:r>
          </w:p>
        </w:tc>
      </w:tr>
      <w:tr w14:paraId="29EB9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73" w:type="dxa"/>
          </w:tcPr>
          <w:p w14:paraId="2527DF58">
            <w:pPr>
              <w:rPr>
                <w:rFonts w:ascii="Times New Roman" w:hAnsi="Times New Roman" w:cs="Times New Roman"/>
                <w:bCs/>
                <w:lang w:val="uk-UA"/>
              </w:rPr>
            </w:pPr>
            <w:r>
              <w:rPr>
                <w:rFonts w:ascii="Times New Roman" w:hAnsi="Times New Roman" w:cs="Times New Roman"/>
                <w:lang w:val="uk-UA"/>
              </w:rPr>
              <w:t>Віра  в Трійцю</w:t>
            </w:r>
          </w:p>
        </w:tc>
        <w:tc>
          <w:tcPr>
            <w:tcW w:w="4536" w:type="dxa"/>
          </w:tcPr>
          <w:p w14:paraId="6F0047FE">
            <w:pPr>
              <w:rPr>
                <w:rFonts w:ascii="Times New Roman" w:hAnsi="Times New Roman" w:cs="Times New Roman"/>
                <w:bCs/>
                <w:lang w:val="uk-UA"/>
              </w:rPr>
            </w:pPr>
            <w:r>
              <w:rPr>
                <w:rFonts w:ascii="Times New Roman" w:hAnsi="Times New Roman" w:cs="Times New Roman"/>
                <w:bCs/>
                <w:lang w:val="uk-UA"/>
              </w:rPr>
              <w:t>Віра в Трійцю відрізняє християнство від інших монотеїстичних релігій: іудаїзму, ісламу. Вчення про Трійцю є основою всього християнського віро- і моралі, наприклад, вчення про Бога Спасителя, про Бога Освятителя і т. д. В.Н. … пізнати таємницю Пресвятої Трійці у її повноті – значить увійти у Божественне життя, у саме життя Пресвятої Трійці»</w:t>
            </w:r>
          </w:p>
          <w:p w14:paraId="478462DF">
            <w:pPr>
              <w:rPr>
                <w:rFonts w:ascii="Times New Roman" w:hAnsi="Times New Roman" w:cs="Times New Roman"/>
                <w:bCs/>
                <w:lang w:val="uk-UA"/>
              </w:rPr>
            </w:pPr>
            <w:r>
              <w:rPr>
                <w:rFonts w:ascii="Times New Roman" w:hAnsi="Times New Roman" w:cs="Times New Roman"/>
                <w:bCs/>
                <w:lang w:val="uk-UA"/>
              </w:rPr>
              <w:t>Вчення про Триєдиного Бога зводиться до трьох положень:</w:t>
            </w:r>
          </w:p>
          <w:p w14:paraId="136E51BA">
            <w:pPr>
              <w:rPr>
                <w:rFonts w:ascii="Times New Roman" w:hAnsi="Times New Roman" w:cs="Times New Roman"/>
                <w:bCs/>
                <w:lang w:val="uk-UA"/>
              </w:rPr>
            </w:pPr>
            <w:r>
              <w:rPr>
                <w:rFonts w:ascii="Times New Roman" w:hAnsi="Times New Roman" w:cs="Times New Roman"/>
                <w:bCs/>
                <w:lang w:val="uk-UA"/>
              </w:rPr>
              <w:t>1) Бог триєдиний і трієдність полягає в тому, що в Бозі Три Особи (іпостасі): Отець, Син, Святий Дух.</w:t>
            </w:r>
          </w:p>
          <w:p w14:paraId="20420729">
            <w:pPr>
              <w:rPr>
                <w:rFonts w:ascii="Times New Roman" w:hAnsi="Times New Roman" w:cs="Times New Roman"/>
                <w:bCs/>
                <w:lang w:val="uk-UA"/>
              </w:rPr>
            </w:pPr>
            <w:r>
              <w:rPr>
                <w:rFonts w:ascii="Times New Roman" w:hAnsi="Times New Roman" w:cs="Times New Roman"/>
                <w:bCs/>
                <w:lang w:val="uk-UA"/>
              </w:rPr>
              <w:t>2) Кожна Обличчя Пресвятої Трійці є Бог, але Вони є не три Бога, а суть єдина Божественна істота.</w:t>
            </w:r>
          </w:p>
          <w:p w14:paraId="7728C097">
            <w:pPr>
              <w:rPr>
                <w:rFonts w:ascii="Times New Roman" w:hAnsi="Times New Roman" w:cs="Times New Roman"/>
                <w:bCs/>
                <w:lang w:val="uk-UA"/>
              </w:rPr>
            </w:pPr>
            <w:r>
              <w:rPr>
                <w:rFonts w:ascii="Times New Roman" w:hAnsi="Times New Roman" w:cs="Times New Roman"/>
                <w:bCs/>
                <w:lang w:val="uk-UA"/>
              </w:rPr>
              <w:t>3) Усі три Особи відрізняються особистими, чи іпостасними властивостями.</w:t>
            </w:r>
          </w:p>
        </w:tc>
        <w:tc>
          <w:tcPr>
            <w:tcW w:w="3861" w:type="dxa"/>
          </w:tcPr>
          <w:p w14:paraId="350BCF14">
            <w:pPr>
              <w:jc w:val="both"/>
              <w:rPr>
                <w:rFonts w:ascii="Times New Roman" w:hAnsi="Times New Roman" w:cs="Times New Roman"/>
                <w:bCs/>
                <w:lang w:val="uk-UA"/>
              </w:rPr>
            </w:pPr>
            <w:r>
              <w:rPr>
                <w:rFonts w:ascii="Times New Roman" w:hAnsi="Times New Roman" w:cs="Times New Roman"/>
                <w:bCs/>
                <w:lang w:val="uk-UA"/>
              </w:rPr>
              <w:t>Пресвяту Трійцю Мун сприймає як тимчасове об'єднання трьох індивідуумів для здійснення однієї мети, тому у нього виникають друга та третя «трійці». При цьому в них поєднуються як божественні, так і людські особистості. Перша – т.зв. «ідеальна трійця»: Бог, Адам та Єва. Вона не здійснилася через гріхопадіння. Друга – т.зв. «Пала трійця»: Адам, Єва та Сатана. Третя – “духовна”: Отець, Син і Святий Дух. Оскільки перша не здійснилася і перетворилася на другу, а третя «трійця» – чисто духовна (не повноцінна, оскільки Ісус і Св. Дух не знайшли «другу Єву»), то Богові довелося створити четверту «трійцю»: Бог, Мун (названий « істинним батьком» або «паном другого пришестя») і остання дружина Муна (пані Як Джа Хан Мун, іменована «справжньою матір'ю»). Ця «трійця» нібито і є остаточним здійсненням Божого задуму.</w:t>
            </w:r>
          </w:p>
          <w:p w14:paraId="5066C4B7">
            <w:pPr>
              <w:rPr>
                <w:rFonts w:ascii="Times New Roman" w:hAnsi="Times New Roman" w:cs="Times New Roman"/>
                <w:bCs/>
                <w:lang w:val="uk-UA"/>
              </w:rPr>
            </w:pPr>
            <w:r>
              <w:rPr>
                <w:rFonts w:ascii="Times New Roman" w:hAnsi="Times New Roman" w:cs="Times New Roman"/>
                <w:bCs/>
                <w:lang w:val="uk-UA"/>
              </w:rPr>
              <w:t>Святий Дух. Про Св. Духа у вченні секти говориться мало, проте ясно, що під Св. Духом Мун розуміє жіночий початок у Бозі.</w:t>
            </w:r>
          </w:p>
        </w:tc>
      </w:tr>
    </w:tbl>
    <w:p w14:paraId="7209ED8D">
      <w:pPr>
        <w:spacing w:line="360" w:lineRule="auto"/>
        <w:ind w:firstLine="720"/>
        <w:jc w:val="both"/>
        <w:rPr>
          <w:rFonts w:ascii="Times New Roman" w:hAnsi="Times New Roman" w:eastAsia="Times New Roman" w:cs="Times New Roman"/>
          <w:sz w:val="24"/>
          <w:szCs w:val="24"/>
          <w:lang w:val="uk-UA" w:eastAsia="ru-RU"/>
        </w:rPr>
      </w:pPr>
    </w:p>
    <w:p w14:paraId="2C23B225">
      <w:pPr>
        <w:spacing w:line="360" w:lineRule="auto"/>
        <w:ind w:firstLine="720"/>
        <w:jc w:val="both"/>
        <w:rPr>
          <w:rFonts w:ascii="Times New Roman" w:hAnsi="Times New Roman" w:eastAsia="Times New Roman" w:cs="Times New Roman"/>
          <w:sz w:val="24"/>
          <w:szCs w:val="24"/>
          <w:lang w:val="uk-UA" w:eastAsia="ru-RU"/>
        </w:rPr>
      </w:pPr>
      <w:r>
        <w:rPr>
          <w:rFonts w:ascii="Times New Roman" w:hAnsi="Times New Roman" w:eastAsia="Times New Roman" w:cs="Times New Roman"/>
          <w:sz w:val="24"/>
          <w:szCs w:val="24"/>
          <w:lang w:val="uk-UA" w:eastAsia="ru-RU"/>
        </w:rPr>
        <w:t>Ставлення суспільства до сект і нетрадиційних релігійних течій є неоднозначним. Суспільні уявлення про секти часто формуються під впливом ЗМІ, що висвітлюють сектантські організації як небезпечні групи з радикальними ідеями, що впливають на поведінку їхніх послідовників. Це формує стереотипи щодо сект як деструктивних культів, хоча не всі вони такими є.</w:t>
      </w:r>
    </w:p>
    <w:p w14:paraId="081A2C3A">
      <w:pPr>
        <w:spacing w:line="360" w:lineRule="auto"/>
        <w:ind w:firstLine="720"/>
        <w:jc w:val="both"/>
        <w:rPr>
          <w:rFonts w:ascii="Times New Roman" w:hAnsi="Times New Roman" w:eastAsia="Times New Roman" w:cs="Times New Roman"/>
          <w:sz w:val="24"/>
          <w:szCs w:val="24"/>
          <w:lang w:val="uk-UA" w:eastAsia="ru-RU"/>
        </w:rPr>
      </w:pPr>
      <w:r>
        <w:rPr>
          <w:rFonts w:ascii="Times New Roman" w:hAnsi="Times New Roman" w:eastAsia="Times New Roman" w:cs="Times New Roman"/>
          <w:sz w:val="24"/>
          <w:szCs w:val="24"/>
          <w:lang w:val="uk-UA" w:eastAsia="ru-RU"/>
        </w:rPr>
        <w:t>Суспільна стурбованість з приводу діяльності сект зумовлена насамперед випадками маніпуляцій та психологічного контролю, що можуть призвести до психологічного або матеріального виснаження членів групи. Традиційні релігійні організації, у свою чергу, здебільшого мають налагоджені зв'язки із суспільством та здійснюють певні соціальні функції, що створює відчуття безпеки та надійності.</w:t>
      </w:r>
    </w:p>
    <w:p w14:paraId="0C8B38F7">
      <w:pPr>
        <w:spacing w:line="360" w:lineRule="auto"/>
        <w:ind w:firstLine="720"/>
        <w:jc w:val="both"/>
        <w:rPr>
          <w:rFonts w:ascii="Times New Roman" w:hAnsi="Times New Roman" w:eastAsia="Times New Roman" w:cs="Times New Roman"/>
          <w:sz w:val="24"/>
          <w:szCs w:val="24"/>
          <w:lang w:val="uk-UA" w:eastAsia="ru-RU"/>
        </w:rPr>
      </w:pPr>
      <w:r>
        <w:rPr>
          <w:rFonts w:ascii="Times New Roman" w:hAnsi="Times New Roman" w:eastAsia="Times New Roman" w:cs="Times New Roman"/>
          <w:sz w:val="24"/>
          <w:szCs w:val="24"/>
          <w:lang w:val="uk-UA" w:eastAsia="ru-RU"/>
        </w:rPr>
        <w:t>Таким чином, відмінності між сектою та традиційною церквою відображають різні способи розуміння та реалізації релігійної ідентичності. Традиційна релігія є частиною культурної спадщини, тоді як секти часто пропонують нові, нетрадиційні шляхи до духовності. Розуміння цих відмінностей дозволяє глибше осмислити феномен нетрадиційної релігійності та її роль у сучасному суспільстві.</w:t>
      </w:r>
    </w:p>
    <w:p w14:paraId="44227C32">
      <w:pPr>
        <w:spacing w:line="360" w:lineRule="auto"/>
        <w:ind w:left="851" w:hanging="284"/>
        <w:rPr>
          <w:rFonts w:ascii="Times New Roman" w:hAnsi="Times New Roman" w:cs="Times New Roman"/>
          <w:b/>
          <w:bCs/>
          <w:sz w:val="28"/>
          <w:szCs w:val="28"/>
          <w:lang w:val="uk-UA"/>
        </w:rPr>
      </w:pPr>
    </w:p>
    <w:p w14:paraId="16FAB7F3">
      <w:pPr>
        <w:spacing w:line="360" w:lineRule="auto"/>
        <w:ind w:left="851" w:hanging="284"/>
        <w:rPr>
          <w:rFonts w:ascii="Times New Roman" w:hAnsi="Times New Roman" w:cs="Times New Roman"/>
          <w:sz w:val="28"/>
          <w:szCs w:val="28"/>
          <w:lang w:val="uk-UA"/>
        </w:rPr>
      </w:pPr>
    </w:p>
    <w:p w14:paraId="01681BF4">
      <w:pPr>
        <w:spacing w:line="360" w:lineRule="auto"/>
        <w:ind w:left="851" w:hanging="284"/>
        <w:rPr>
          <w:rFonts w:ascii="Times New Roman" w:hAnsi="Times New Roman" w:cs="Times New Roman"/>
          <w:sz w:val="28"/>
          <w:szCs w:val="28"/>
          <w:lang w:val="uk-UA"/>
        </w:rPr>
      </w:pPr>
    </w:p>
    <w:p w14:paraId="10A9CB68">
      <w:pPr>
        <w:spacing w:line="360" w:lineRule="auto"/>
        <w:ind w:left="851" w:hanging="284"/>
        <w:rPr>
          <w:rFonts w:ascii="Times New Roman" w:hAnsi="Times New Roman" w:cs="Times New Roman"/>
          <w:sz w:val="28"/>
          <w:szCs w:val="28"/>
          <w:lang w:val="uk-UA"/>
        </w:rPr>
      </w:pPr>
    </w:p>
    <w:p w14:paraId="290E56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59428A92">
      <w:pPr>
        <w:spacing w:line="360" w:lineRule="auto"/>
        <w:jc w:val="both"/>
        <w:rPr>
          <w:rFonts w:ascii="Times New Roman" w:hAnsi="Times New Roman" w:cs="Times New Roman"/>
          <w:sz w:val="28"/>
          <w:szCs w:val="28"/>
          <w:lang w:val="uk-UA"/>
        </w:rPr>
      </w:pPr>
    </w:p>
    <w:p w14:paraId="13DF9F4C">
      <w:pPr>
        <w:spacing w:line="360" w:lineRule="auto"/>
        <w:jc w:val="both"/>
        <w:rPr>
          <w:rFonts w:ascii="Times New Roman" w:hAnsi="Times New Roman" w:cs="Times New Roman"/>
          <w:sz w:val="28"/>
          <w:szCs w:val="28"/>
          <w:lang w:val="uk-UA"/>
        </w:rPr>
      </w:pPr>
    </w:p>
    <w:p w14:paraId="35329FAD">
      <w:pPr>
        <w:spacing w:line="360" w:lineRule="auto"/>
        <w:jc w:val="both"/>
        <w:rPr>
          <w:rFonts w:ascii="Times New Roman" w:hAnsi="Times New Roman" w:cs="Times New Roman"/>
          <w:sz w:val="28"/>
          <w:szCs w:val="28"/>
          <w:lang w:val="uk-UA"/>
        </w:rPr>
      </w:pPr>
    </w:p>
    <w:p w14:paraId="06D7769A">
      <w:pPr>
        <w:spacing w:line="360" w:lineRule="auto"/>
        <w:jc w:val="both"/>
        <w:rPr>
          <w:rFonts w:ascii="Times New Roman" w:hAnsi="Times New Roman" w:cs="Times New Roman"/>
          <w:sz w:val="28"/>
          <w:szCs w:val="28"/>
          <w:lang w:val="uk-UA"/>
        </w:rPr>
      </w:pPr>
    </w:p>
    <w:p w14:paraId="3CA260C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07BA6001">
      <w:pPr>
        <w:spacing w:line="360" w:lineRule="auto"/>
        <w:jc w:val="both"/>
        <w:rPr>
          <w:rFonts w:ascii="Times New Roman" w:hAnsi="Times New Roman" w:cs="Times New Roman"/>
          <w:sz w:val="28"/>
          <w:szCs w:val="28"/>
          <w:lang w:val="uk-UA"/>
        </w:rPr>
      </w:pPr>
    </w:p>
    <w:p w14:paraId="3252670B">
      <w:pPr>
        <w:spacing w:line="360" w:lineRule="auto"/>
        <w:jc w:val="both"/>
        <w:rPr>
          <w:rFonts w:ascii="Times New Roman" w:hAnsi="Times New Roman" w:cs="Times New Roman"/>
          <w:sz w:val="28"/>
          <w:szCs w:val="28"/>
          <w:lang w:val="uk-UA"/>
        </w:rPr>
      </w:pPr>
    </w:p>
    <w:p w14:paraId="4E444953">
      <w:pPr>
        <w:spacing w:line="360" w:lineRule="auto"/>
        <w:jc w:val="both"/>
        <w:rPr>
          <w:rFonts w:ascii="Times New Roman" w:hAnsi="Times New Roman" w:cs="Times New Roman"/>
          <w:sz w:val="28"/>
          <w:szCs w:val="28"/>
          <w:lang w:val="uk-UA"/>
        </w:rPr>
      </w:pPr>
    </w:p>
    <w:p w14:paraId="5B5FAF84">
      <w:pPr>
        <w:spacing w:line="360" w:lineRule="auto"/>
        <w:jc w:val="both"/>
        <w:rPr>
          <w:rFonts w:ascii="Times New Roman" w:hAnsi="Times New Roman" w:cs="Times New Roman"/>
          <w:sz w:val="28"/>
          <w:szCs w:val="28"/>
          <w:lang w:val="uk-UA"/>
        </w:rPr>
      </w:pPr>
    </w:p>
    <w:p w14:paraId="02C94368">
      <w:pPr>
        <w:spacing w:line="360" w:lineRule="auto"/>
        <w:jc w:val="both"/>
        <w:rPr>
          <w:rFonts w:ascii="Times New Roman" w:hAnsi="Times New Roman" w:cs="Times New Roman"/>
          <w:sz w:val="28"/>
          <w:szCs w:val="28"/>
          <w:lang w:val="uk-UA"/>
        </w:rPr>
      </w:pPr>
    </w:p>
    <w:p w14:paraId="62901DAE">
      <w:pPr>
        <w:spacing w:line="360" w:lineRule="auto"/>
        <w:jc w:val="both"/>
        <w:rPr>
          <w:rFonts w:ascii="Times New Roman" w:hAnsi="Times New Roman" w:cs="Times New Roman"/>
          <w:sz w:val="28"/>
          <w:szCs w:val="28"/>
          <w:lang w:val="uk-UA"/>
        </w:rPr>
      </w:pPr>
    </w:p>
    <w:p w14:paraId="5A8A0A05">
      <w:pPr>
        <w:spacing w:line="360" w:lineRule="auto"/>
        <w:jc w:val="both"/>
        <w:rPr>
          <w:rFonts w:ascii="Times New Roman" w:hAnsi="Times New Roman" w:cs="Times New Roman"/>
          <w:sz w:val="28"/>
          <w:szCs w:val="28"/>
          <w:lang w:val="uk-UA"/>
        </w:rPr>
      </w:pPr>
    </w:p>
    <w:p w14:paraId="2C3191A7">
      <w:pPr>
        <w:spacing w:line="360" w:lineRule="auto"/>
        <w:jc w:val="both"/>
        <w:rPr>
          <w:rFonts w:ascii="Times New Roman" w:hAnsi="Times New Roman" w:cs="Times New Roman"/>
          <w:sz w:val="28"/>
          <w:szCs w:val="28"/>
          <w:lang w:val="uk-UA"/>
        </w:rPr>
      </w:pPr>
    </w:p>
    <w:p w14:paraId="5AA9B269">
      <w:pPr>
        <w:spacing w:line="360" w:lineRule="auto"/>
        <w:jc w:val="both"/>
        <w:rPr>
          <w:rFonts w:ascii="Times New Roman" w:hAnsi="Times New Roman" w:cs="Times New Roman"/>
          <w:sz w:val="28"/>
          <w:szCs w:val="28"/>
          <w:lang w:val="uk-UA"/>
        </w:rPr>
      </w:pPr>
    </w:p>
    <w:p w14:paraId="3763A9C7">
      <w:pPr>
        <w:spacing w:line="360" w:lineRule="auto"/>
        <w:jc w:val="both"/>
        <w:rPr>
          <w:rFonts w:ascii="Times New Roman" w:hAnsi="Times New Roman" w:cs="Times New Roman"/>
          <w:sz w:val="28"/>
          <w:szCs w:val="28"/>
          <w:lang w:val="uk-UA"/>
        </w:rPr>
      </w:pPr>
    </w:p>
    <w:p w14:paraId="2DB9AD91">
      <w:pPr>
        <w:spacing w:line="360" w:lineRule="auto"/>
        <w:jc w:val="both"/>
        <w:rPr>
          <w:rFonts w:ascii="Times New Roman" w:hAnsi="Times New Roman" w:cs="Times New Roman"/>
          <w:sz w:val="28"/>
          <w:szCs w:val="28"/>
          <w:lang w:val="uk-UA"/>
        </w:rPr>
      </w:pPr>
    </w:p>
    <w:p w14:paraId="2D06AEB4">
      <w:pPr>
        <w:spacing w:line="360" w:lineRule="auto"/>
        <w:rPr>
          <w:rFonts w:ascii="Times New Roman" w:hAnsi="Times New Roman" w:cs="Times New Roman"/>
          <w:b/>
          <w:caps/>
          <w:sz w:val="28"/>
          <w:szCs w:val="28"/>
          <w:lang w:val="uk-UA"/>
        </w:rPr>
      </w:pPr>
      <w:r>
        <w:rPr>
          <w:rFonts w:ascii="Times New Roman" w:hAnsi="Times New Roman" w:cs="Times New Roman"/>
          <w:b/>
          <w:caps/>
          <w:sz w:val="28"/>
          <w:szCs w:val="28"/>
          <w:lang w:val="uk-UA"/>
        </w:rPr>
        <w:t>Розділ 3. Нью-ейдж: нова міфологія та її відображення в кінематографі</w:t>
      </w:r>
    </w:p>
    <w:p w14:paraId="552E7CF9">
      <w:pPr>
        <w:spacing w:line="360" w:lineRule="auto"/>
        <w:rPr>
          <w:rFonts w:ascii="Times New Roman" w:hAnsi="Times New Roman" w:cs="Times New Roman"/>
          <w:b/>
          <w:caps/>
          <w:sz w:val="28"/>
          <w:szCs w:val="28"/>
          <w:lang w:val="uk-UA"/>
        </w:rPr>
      </w:pPr>
    </w:p>
    <w:p w14:paraId="309D8D6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3.1 Філософія і символіка руху Нью-ейдж</w:t>
      </w:r>
    </w:p>
    <w:p w14:paraId="66291F5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Рух Нью-ейдж – це культурний і духовний феномен, що виник у другій половині ХХ століття і об’єднав ідеї, практики та вірування, які ґрунтуються на особистісному розвитку, прагненні до самопізнання, гармонії з природою та космосом.</w:t>
      </w:r>
    </w:p>
    <w:p w14:paraId="2D6DC09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New Age - загальна назва сукупності різних містичних течій та рухів, в основному окультного, езотеричного та синкретичного характеру, що сформувалися у XX столітті. З одного боку це стрибок у духовному і ментальному розвитку людини від традиційних релігійних рухів, що не представлені якимось одним певним духовним вченням або релігійним поглядам (сектою, громадою, традицією, школою), і включає безліч (іноді на практиці дуже мало сумісних) різних духовно налаштованих окультних, езотеричних та метафізичних навчань, практик та концепцій.</w:t>
      </w:r>
    </w:p>
    <w:p w14:paraId="76C8053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особливість руху Нью - Ейдж - це багатоспрямованість, яка поєднує між собою багато містичних вчень. Читання літератури «Нового століття» спочатку спонукає нас глибше вивчити східні релігійні догмати (гуруїзм, індуїзм, буддизм). Цінність правильного способу життя (вегетаріанство, благодійність, цнотливість (що у вузькому сенсі, однак, не має на увазі відмову від будь-яких сексуальних контактів взагалі), обітниця не заподіяння зла (без видимої на те необхідності) всьому живому.</w:t>
      </w:r>
    </w:p>
    <w:p w14:paraId="1745BD0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Ми вже говорили, що однією з рис, що характеризує сучасне християнське сектантство, є зміна релігійної свідомості віруючих під впливом соціальної дійсності, соціального та науково-технічного прогресу, тих величезних змін, які відбулися за 60-ть років Радянської влади у житті нашого народу. Які саме ці зміни у релігійній свідомості? Чи є якісь чіткі критерії їх визначення?</w:t>
      </w:r>
    </w:p>
    <w:p w14:paraId="3A79B13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Уявлення про них дають конкретні соціологічні дослідження, що стали останніми роками невід'ємною частиною теорії та практики науки. Завданням цих досліджень є «вивчення релігійності у всій сукупності поглядів, інтересів, смаків, звичок віруючого». Отримані дані дозволяють відтворити портрет сучасного віруючого — послідовника об'єднань, які прийнято відносити до сектантських.</w:t>
      </w:r>
    </w:p>
    <w:p w14:paraId="4FBC075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необхідно зробити застереження, що, звичайно, цілісний портрет «сектанта взагалі» відтворити неможливо. Адже до сектантів відносяться і послідовники протестантських об'єднань, які виявляють достатню активність, і прихильники старих російських сект, що швидко йдуть до свого заходу сонця, і члени локальних груп віруючих, які, зберігаючи назви колишніх сект, є їх залишками, бо часом налічують лише кілька десятків або сотень послідовників, що фанатично чіпляються за свою вже померлу віру.</w:t>
      </w:r>
      <w:r>
        <w:rPr>
          <w:lang w:val="uk-UA"/>
        </w:rPr>
        <w:t xml:space="preserve"> </w:t>
      </w:r>
      <w:r>
        <w:rPr>
          <w:rFonts w:ascii="Times New Roman" w:hAnsi="Times New Roman" w:cs="Times New Roman"/>
          <w:sz w:val="28"/>
          <w:szCs w:val="28"/>
          <w:lang w:val="uk-UA"/>
        </w:rPr>
        <w:t>[3]</w:t>
      </w:r>
    </w:p>
    <w:p w14:paraId="7B4B96D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Дуже важливо зрозуміти, що таке контроль над свідомістю, проте не менш важливо розуміти, чим він відрізняється від, здавалося б схожих на нього, методів на особистість. На жаль, у популярних статтях та лекціях на цю тему термін «промивання мозку» часто використовується як синонім «контролю над свідомістю». Насправді, однак, ці два процеси абсолютно різні і не повинні змішуватись. Контроль над свідомістю – це промивання мізків.</w:t>
      </w:r>
    </w:p>
    <w:p w14:paraId="6CD7E9D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Поширеним є уявлення про те, що окультні ідеї не змінюються і не розвиваються, подібно до наукових і філософських концепцій. Це підтверджують численні посилання представників окультних систем на стародавні джерела або вказівку на традиційну наступність своїх шкіл. Насправді думка про незмінність окультних ідей помилкова. Подібно до всіх інших елементів людської культури окультизм розвивається, відкидаючи чи забуваючи одні ідеї та висуваючи першому плані інші. Так, окультні вчення XX ст. збагатилися безліччю нових ідей та методів. Найбільші зміни зазнали самих цілей окультизму. Поряд з традиційною метою - досягненням звільнення, або просвітління, з'явилися нові, такі як усвідомленість, психологічна цілісність і соціальна ефективність. Змінилося також відношення більшості систем до соціуму. У на відміну від багатьох древніх систем, які відкидали соціальне життя, сучасні окультні школи активно включають проблему соціуму в систему своїх езотеричних практик, розглядаючи його як свого роду полігон, необхідний для розвитку учня чи перевірки ступеня його розвиненості. [30]</w:t>
      </w:r>
    </w:p>
    <w:p w14:paraId="3CC9F21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«Промивання мозку» – термін, запроваджений 1951 р. журналістом Едвардом Хантером. Промивання мозку зазвичай носить насильницький характер. Об'єкт знає від початку, що він перебуває у руках ворога. Ролі сторін у процесі чітко розділені, ясно, хто – ув'язнений, хто – тюремник, і в'язня є лише мінімальна можливість вибору. Зазвичай застосовується грубе насильство, іноді навіть тортури. Контроль над свідомістю зазвичай має місце без явного фізичного насильства. Натомість застосовуються гіпноз та групові вправи, що дозволяє досягти стійких результатів навіювання. Людину обманюють, нею маніпулюють – але не безпосередньо залякують – для того, щоб змусити її зробити потрібний вибір. Загалом він позитивно реагує на все, що з ним роблять.</w:t>
      </w:r>
    </w:p>
    <w:p w14:paraId="08F9E00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Необхідність контролю поведінки є причиною, через яку більшість сект вимагає від своїх членів дотримання жорсткого розпорядку. Щодня значна частина часу відводиться на відправлення культових ритуалів та сеанси навіювання. Членам секти доручається виконання конкретних робіт і доручень, про те, щоб вони залишався лише мінімум вільного часу та можливості незалежної поведінки. У деструктивних сектах завжди є робота.</w:t>
      </w:r>
    </w:p>
    <w:p w14:paraId="6C44AE4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найсуворіших сектах її члени повинні отримувати дозвіл у лідера практично на будь-яку дію. У деяких сектах жорстка фінансова залежність автоматично обмежує можливості вибору поведінки. Людина має просити гроші на автобус, одяг, лікування – на все те, що ми зазвичай отримуємо майже не замислюючись. Вона змушена запитувати дозволи на дзвінок родичам чи друзям поза сектою. Без контролю не залишається жодна година життя. Завдяки цьому здійснюється повна влада секти над поведінкою членів, отже, і з їхніми думками і почуттями.  </w:t>
      </w:r>
    </w:p>
    <w:p w14:paraId="6DE1E18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у деструктивних сектах використовується особлива мова, що складається зі специфічних слів та виразів. Оскільки мова забезпечує нас символами, які використовують у процесі мислення, контроль над словами веде і до контролю над думками. Багато сект зводять складні життєві ситуації до типових кліше за допомогою спеціальних ярликів. Ці ярлики або мітки, що служать вербальними засобами вираження особливої «завантаженої мови», управляють образами людини у цій ситуації.</w:t>
      </w:r>
    </w:p>
    <w:p w14:paraId="2A41DDD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Культові кліше, або завантажена мова, також сприяють спорудженню невидимої стіни між сектантами та простими людьми. Ця мова допомагає членам секти відчувати свою особливість та відокремлює їх від інших людей. Крім того, він служить також засобом збентеження новачків, які прагнуть зрозуміти, про що йдеться, і думають; що вони повинні просто краще вчитися, щоб осягнути «істину». Насправді, засвоюючи цю мову, вони вчаться не тому, як ефективніше та краще думати, а тому, як не думати. Вони дізнаються, що розуміти означає вірити.</w:t>
      </w:r>
    </w:p>
    <w:p w14:paraId="4B50885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Інший ключовий аспект контролю над свідомістю полягає у тренуванні блокування будь-якої критичної по відношенню до секти інформації. </w:t>
      </w:r>
    </w:p>
    <w:p w14:paraId="6B5E4BA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Інформаційний контроль – остання складова контролю за свідомістю. Інформація – це паливо, якого потребує наш мозок для того, щоб він міг нормально працювати. Позбавте людину інформації, яка необхідна їй для прийняття правильного рішення, і вона не зможе цього зробити. Люди перебувають у полоні деструктивних сект не лише тому, що їм не дають потрібної інформації, а й тому, що вони пригнічують нормальні механізми обробки її. Такий інформаційний контроль має найбільш руйнівні наслідки особистості людини.</w:t>
      </w:r>
    </w:p>
    <w:p w14:paraId="2261E0C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Інформаційний контроль часто поширюється і відносини для людей. Членам секти не дозволяється у розмовах один з одним критикувати лідера, доктрину чи організацію. </w:t>
      </w:r>
    </w:p>
    <w:p w14:paraId="226F5DF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Депрограми діють не дуже м'яко, іноді їх методи жорстокі. «Батько» депрограмування Тед Патрік з гордістю писав про окремі найбільш жорсткі методи, якими він користувався: Я твердо вірю, що Господь допомагає тим, хто допомагає. Іноді добре користуватися підручними засобами, на кшталт прийомів карате, газу мейс, наручников.</w:t>
      </w:r>
    </w:p>
    <w:p w14:paraId="07EEB29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Крім прикладів фізичного насильства, описаних у книзі Патрика, існує ряд свідчень, які викликають тривогу свідчень жертв, «невдалих» спроб депрограмування, даних під присягою в різних країнах, включаючи і Великобританію. У свідченнях йдеться про фізичне насильство, про загрози під дулом пістолета та сексуальні домагання. Навіть у тих випадках, коли були присутні батьки і фізичне насильство не застосовувалося, нав'язане депрограмування майже завжди викликало у «жертви» почуття страху принаймні на ранніх етапах.  Примусове депрограмування  незаконно і морально неприйнятно більшістю людей; воно базується на надзвичайно спірному твердженні і, як правило, викликає набагато більше проблем, ніж вирішує. Наукові дослідження практично знімають основний аргумент на користь депрограмування, а саме – про програмування рухом своїх членів таким чином, що вони в прямому значенні слова не в змозі вийти з НРД із власної волі. Ті релігійні рухи, члени яких найчастіше піддаються депрограмуванню, добровільно залишає набагато більше народу, ніж залишається, причому для переважної більшості немає потреби у будь-якому фізичному опорі.</w:t>
      </w:r>
    </w:p>
    <w:p w14:paraId="4F56750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Філософсько-езотеричними вченнями та синкретичнми системами нью-ейдж є:</w:t>
      </w:r>
    </w:p>
    <w:p w14:paraId="0C93220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Доктрина австрійського езотерика, окультиста, основоположник антропософії Рудольфа Штейнера (1861 – 1925). Його концепція відрізнялася глибоким гуманізмом і синтезом наукового методу із надприродним баченням світу.</w:t>
      </w:r>
    </w:p>
    <w:p w14:paraId="0B115B1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Система Р. І. Гурджієва "Четвертий шлях", розвинена П. Д. Успенським, була спрямована на саморозвиток людини, зростання її свідомості та буття у повсякденному житті. До трьох класичних шляхів: вольовий розвиток (шлях сили, "факіра"), серцевий розвиток (шлях почуттів, "ченця") та інтелектуальний розвиток (шлях розуму, "йогіна"), був доданий четвертий шлях, суть якого полягала в твердженнях: а ) людина є біологічною машиною, вона повинна зрозуміти це і досягти "пробудження"; б) вона повинна використовувати спеціальні методи збільшення та концентрації уваги та енергії, для того щоб перетворитися на просвітленого індивіда, в) сам шлях постійно змінює свої форми, приходить, розвивається і йде за своїми власними законами, а внутрішня робота виконується у зв'язку з необхідністю досягнення певних цілей.</w:t>
      </w:r>
    </w:p>
    <w:p w14:paraId="546EDE6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Ця система була розвинена в роботах британського письменника в галузі духовного розвитку та вчителя у традиції «Четвертого шляху» Родні Колліна (1909 – 1956). На його творчість великий вплив зробив його вчитель П. Д. Успенський. Він спробував об'єднати низку природничих наук: астрономію, фізику, хімію, фізіологію людини та всесвітню історію зі своєю власною концепцією планетарних впливів. В основу своєї концепції він поклав єдність Закону трьох (тріада Теза, антитеза, синтез Гегеля) та Закону Семи, які він геометрично представив у вигляді Еннеаграми. Його роботи «Теорія вічного життя», «Теорія свідомої гармонії» та «Дзеркало світла» є дослідженнями духовних цінностей людства.</w:t>
      </w:r>
    </w:p>
    <w:p w14:paraId="31E7886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Агні-Йога або Жива Етика - синкретичне релігійно-філософське вчення, що поєднує західну окультно-теософську традицію та езотеризм Сходу, який претендує на синтез усіх йог та релігій, засновниками якої є Микола та Олена Реріх. Агні-йога прагне внутрішнього перетворення, розкриття внутрішніх здібностей, намагаючись опанувати космічну енергію - Агні. Мета вчення - стимулювання еволюції людства до дедалі вищим формам космічного буття, навіщо у текстах даються настанови необхідного способу життя.</w:t>
      </w:r>
    </w:p>
    <w:p w14:paraId="2615EAA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Рух саєнтології та вчення діанетики, засновником якої був американський письменник Рон Хаббард (1911 - 1986). У книзі "Діанетика: сучасна наука душевного здоров'я" Р. А. Хаббард описав причини нераціональної поведінки та психосоматичних захворювань, а також запропонував систему методів їхньої терапії (одитинг). Метою реалізації людини є звільнення від реактивного розуму та досягнення вищого стану духовної свідомості Кліра (від англ. Clear – чистий), що дозволяє в ході подальших зусиль стану «Тетана, що оперує». У цьому стані людина досягає повного розкриття свого потенціалу, відновлює вихідний, природний стан духовної істоти, що дозволяє діяти раціонально, успішно та бути «причиною» подій та стосунків у своєму повсякденному житті.</w:t>
      </w:r>
    </w:p>
    <w:p w14:paraId="6719E9E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діанетики було розроблено Саєнтологію, яка являла собою новий міжнародний релігійний рух гностичного типу. Воно виходить з уявлення про те, що людина є духовною істотою і має божественну природу, а духовна сутність людини здатна відокремлюватися від тіла і проживати життя за життям у різних тілах. На початку 1980-х саєнтологія була реорганізована на Міжнародну церкву саєнтології.</w:t>
      </w:r>
    </w:p>
    <w:p w14:paraId="2935C99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Кредо саєнтології: а) людина в основі своїй хороша. б) вона прагне виживати. в) її виживання залежить від неї самої, від її ближніх та від досягнення нею єдності зі всесвітом. г) дух може бути врятований, і лише дух може врятувати або зцілити тіло.</w:t>
      </w:r>
    </w:p>
    <w:p w14:paraId="3AC217E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Вчення «Шлях знання» Карлоса Кастанеди (1925 - 1998) американського письменника, мислителя-езотерика і містика, викладена в 12 книгах автора, перша з яких мала назву «Вчення Дон Хуана» (1968). Метою вчення є подолання сноподібного трансу повсякденності, досягнення абсолютної свободи та вихід до розуміння абсолютної енергетичної реальності. При цьому автор пропонує свої медоди виходу за межі сприйняття повсякденного світу, що дозволяють осягнути абсолютну реальність.</w:t>
      </w:r>
    </w:p>
    <w:p w14:paraId="44C55A2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Рам Дасса концепції. У 1971 році американський гуру і психолог Рам Дасс (1931-2019) опублікував бестселер «Будь тут і зараз». У своїй системі автор поєднав західний досвід саморозвитку з різними духовними практиками, такими як індуїзм, йога та суфізм. Його книга допомогла популяризувати східну духовність і йогу серед молодого покоління Заходу. В Індії він звернувся до індуїзму, ставши учнем індуїстського садху Ним Каролі Баби.</w:t>
      </w:r>
    </w:p>
    <w:p w14:paraId="2B59EEB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Оскар Ічазо (1931 – 2020) болівійський філософ та основоположник інтегральної філософії. У 1968 році О. Ічазо заснував школу Аріка або Інститут Аріка, в якій активно практикувалися методи підвищення космічної свідомості задля досягнення пробудженого ставлення до світу.</w:t>
      </w:r>
    </w:p>
    <w:p w14:paraId="05B760F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Інтегральна філософія представляла повний аналіз стану людини від нижчих рівнів людської психіки до найвищих станів свідомості. Його концепція була заснована на ідеї вродженої структури розуму, Інстинктів, які є результатом структури, що існувала раніше - основи самого Розуму.</w:t>
      </w:r>
    </w:p>
    <w:p w14:paraId="682E29A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Відхилення від сутнісного стану єдності він називав фіксаціями, які виявлялися за допомогою протоаналізу та долалися практикою самоспостереження та саморозвитку. Відхилення від сутнісного стану єдності він називав фіксаціями, які виявлялися за допомогою протоаналізу та долалися практикою самоспостереження та саморозвитку. Основні психологічні зв'язки між дев'ятьма фіксаціями его можуть бути нанесені на карту за допомогою точок, ліній і кола фігури еннеаграми (9 образів).</w:t>
      </w:r>
    </w:p>
    <w:p w14:paraId="3D6A24F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Вчення Друнвало Мельхиседека (нар. 18 січня 1941), американського езотеричного дослідника та духовного вчителя, включає елементи індуїстської медитації, християнства та інших авраамічних релігій та їх відгалужень, особливо каббали.</w:t>
      </w:r>
    </w:p>
    <w:p w14:paraId="497EE13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його основі лежить Сакральна геометрія, що виражає фундаментальні властивості Всесвіту в простих формах і зразках, ядром якої є сітка кругів, що перекриваються, відома як Квітка Життя. Метою системи є відновлення за допомогою «правильної» медитації правильного обертання колеса Меркаби, що породжує невидиму метафізичну енергію та піднесення до вищого стану.</w:t>
      </w:r>
    </w:p>
    <w:p w14:paraId="579AAB3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Філософська система практичної духовності або «духовності втілення», американського духовного філософа Девіда Спенглера (нар. 7 січня 1945) представляє «мистецтво створення цілісності між духом і матерією, душею та особистістю, собою та іншими, особистістю та світом, благополуччям та святістю». Починаючи як контактер, він виклав досвід спілкування з духовною сутністю на ім'я «Безмежна Любов і Істина». Він вважається одним із основоположників сучасного руху Нью Ейдж. Наразі він очолює «Асоціацію Ліндісфарн» — духовно-езотеричну організацію для наукової та творчої інтелігенції.</w:t>
      </w:r>
    </w:p>
    <w:p w14:paraId="19B4477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Інтегральний підхід американського філософа та письменника Кеннета Вілбера (нар. 31 січня 1949) створив інтегральне вчення, що дозволяє об'єднати в цілісну систему різні точки зору на Всесвіт. За допомогою поняття «Космос» (Kosmos) об'єднують усі прояви буття, включаючи й різні галузі свідомості. Дана система дозволяє об'єднати всі відкриття, скоєні в різних сферах людської діяльності, як психологія, соціологія, філософія, містицизм і релігієзнавство, постмодерністські рухи, емпіричні науки, теорія систем, а також і в інших областях. Водночас Кен Вілбер представляє складні, передові теорії та моделі, зокрема «спектр свідомості», які поєднують сфери тіла, розуму, душі та духу. провідної моделі еволюції людини, моделі, яка називається «спіральною динамікою». Результатом такого синтезу є ефективна система цілісної самотрансформації та інтегральної усвідомленості. У своїх роботах Кен Вілбер демонструє як абстрактні теорії та моделі застосовуються до проблем реального світу, пропонує «інтегральну перетворюючу практику», систему медитації, призначену для всеосяжної трансформації свідомості та розвитку цілісного бачення у своєму особистому повсякденному житті.</w:t>
      </w:r>
    </w:p>
    <w:p w14:paraId="0CE0A90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Рух Богині американської письменниці та феміністки Стархок (нар. 17 червня 1951). Вона була теоретиком феміністського неоязичництва та екофемінізму. Її книга «Спіральний танець: відродження стародавньої релігії великої богині» (1979) стала однією з головних натхненників руху Богині. Рух є різновидом неоязичництва, духовного фемінізму та відрізняється візіонерським містицизмом, «широкою філософією гармонії з природою» та екстатичною свідомістю.</w:t>
      </w:r>
    </w:p>
    <w:p w14:paraId="23525A1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Американський письменник і езотерик Джеймс Редфілд (нар. 19 березня 1950) у 1993 році видав книгу «Селестинські пророцтва» а пізніше «Десяте пророцтво» і «Утримуючи Бачення», «Дванадцяте пророцтво: час прийняття рішень». У своїх роботах він окреслив світогляд, що зароджується, зробив прорив до зовсім нового способу життя і нової культури, запропонував варіант нової міфології третього тисячоліття. Його концепція сприяла поглибленню нової свідомості, розкривала суть особливого сприйняття явищ і людської духовності.</w:t>
      </w:r>
    </w:p>
    <w:p w14:paraId="639491F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Філософія Нью-ейдж об’єднує кілька основних ідей, які спрямовані на розвиток особистості й усвідомлення власної ролі у Всесвіті:</w:t>
      </w:r>
    </w:p>
    <w:p w14:paraId="53EA9AE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Єдність всього сущого: концепція, яка підкреслює взаємозв’язок між усіма живими істотами, природою і космосом. У філософії Нью-ейдж людина розглядається як частина цілісної енергії Всесвіту, і гармонія з цією енергією є важливою для досягнення духовної цілісності.</w:t>
      </w:r>
    </w:p>
    <w:p w14:paraId="5695B2F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Самопізнання і духовний розвиток: рух пропонує шлях індивідуального пошуку істини через медитацію, вивчення духовних текстів та участь у різних духовних практиках.</w:t>
      </w:r>
    </w:p>
    <w:p w14:paraId="109DE72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Реінкарнація та карма: багато послідовників Нью-ейдж вірять у реінкарнацію, що дає можливість подолати страх перед смертю, розглядаючи життя як частину нескінченного циклу.</w:t>
      </w:r>
    </w:p>
    <w:p w14:paraId="7B4EFD7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Магічні й езотеричні знання: Нью-ейдж включає віру у сили астрології, хіромантії, медитації, кристалотерапії та інші альтернативні практики, які, за переконанням послідовників, допомагають розкрити приховані можливості.</w:t>
      </w:r>
    </w:p>
    <w:p w14:paraId="5675E64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Символіка Нью-ейдж також є яскравою та багатозначною. Серед ключових символів можна виділити такі як мандали і сакральна геометрія: втілюють гармонію, цілісність і зв'язок з вищими силами; символи природи: дерева, кристали, гори, вода, що символізують єдність і зв’язок із землею, космічні символи: зорі, планети, галактики, які відображають масштабність світобудови та значення індивідуального в контексті космосу.</w:t>
      </w:r>
    </w:p>
    <w:p w14:paraId="5229C750">
      <w:pPr>
        <w:spacing w:line="360" w:lineRule="auto"/>
        <w:ind w:firstLine="720"/>
        <w:jc w:val="both"/>
        <w:rPr>
          <w:rFonts w:ascii="Times New Roman" w:hAnsi="Times New Roman" w:cs="Times New Roman"/>
          <w:sz w:val="28"/>
          <w:szCs w:val="28"/>
          <w:lang w:val="uk-UA"/>
        </w:rPr>
      </w:pPr>
    </w:p>
    <w:p w14:paraId="07322BC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3.2 Основні ідеї та мотиви, притаманні міфології Нью-ейдж та сучасний кінематограф:</w:t>
      </w:r>
    </w:p>
    <w:p w14:paraId="7E063E6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Міфологія Нью-ейдж включає кілька основних мотивів:</w:t>
      </w:r>
    </w:p>
    <w:p w14:paraId="6EA74C4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Мотив пробудження: герої, що знаходяться на межі духовного прозріння, часто проходять шлях від звичайного життя до усвідомлення своєї особливої місії.</w:t>
      </w:r>
    </w:p>
    <w:p w14:paraId="379D0D7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Мотив самопізнання та внутрішньої трансформації: прагнення розкрити внутрішній потенціал і досягти гармонії зі Всесвітом.</w:t>
      </w:r>
    </w:p>
    <w:p w14:paraId="2D2EB50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Мотив мандрівки: подорож як спосіб здобути нові знання і пройти духовне очищення, як фізично, так і ментально.</w:t>
      </w:r>
    </w:p>
    <w:p w14:paraId="67BA18A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Духовний гуру або наставник: важливий персонаж, який направляє головного героя на шляху духовного зростання.</w:t>
      </w:r>
    </w:p>
    <w:p w14:paraId="29D5EAA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Ідея альтернативної реальності: світ, який існує поза межами фізичного, відображає ідею Нью-ейдж про множинність світів і реальностей.</w:t>
      </w:r>
    </w:p>
    <w:p w14:paraId="576590F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Практика ченнелінгу (від англ. Channeling - «передача по каналу») - встановлення контакту та прийом інформації від Вищого Розуму, ангелів та вчителів шляхом вступу з ними у мислений контакт.</w:t>
      </w:r>
    </w:p>
    <w:p w14:paraId="59670D0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Концепція ченнелінгу як передачі від роз втілених духовних сутностей має в зв'язку зі спіритуалізмом як форми «артикульованого одкровення» через трансові канали і сновидні канали.</w:t>
      </w:r>
    </w:p>
    <w:p w14:paraId="36D97B8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основі ченнелінгу лежить ідея про те, що людські істоти в стані трансу, можуть діяти як канал інформації з джерел, відмінних від їх нормального я. Ці джерела по-різному описуються як Бог і богині, ангели, «всесвітній розум» доброзичлива нелюдська духовна істота, історичні постаті, наставники, вчителі та духи природи.</w:t>
      </w:r>
    </w:p>
    <w:p w14:paraId="16D3934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Американський клінічний психолог Хелен Кон Шукман (1909 – 1981) працювала професором медичної психології в Колумбійському університеті в Нью-Йорку з 1958 року до виходу на пенсію у 1976 році. Шукман найбільш відома тим, що за допомогою колеги Вільяма Тетфорда "написала" книгу "Курс чудес" (1975). зміст якого, як вона стверджувала, було передано їй внутрішнім голосом, що вона впізнала як Ісуса.</w:t>
      </w:r>
    </w:p>
    <w:p w14:paraId="3E42E24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Містик і релігійний діяч Марк Л. Профет (1918-1973) був засновником організації Summit Lighthouse (1958) та Братство Охоронців Полум'я (1961). Він стверджував, що є Посланцем Вознесеного Владики. Протягом 1958-1973 років. він передав понад 1000 листів Вознесених Владик. Він працював разом зі своєю дружиною та співавтором Елізабет Клер Профет (1939 –2009), яка також була автором, містиком та духовним учителем.</w:t>
      </w:r>
    </w:p>
    <w:p w14:paraId="6E9A398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Американська письменниця та духовний медіум Дороті Джейн Робертс (1929-1984) стверджувала, що її спрямовує енергетична особистість, яка називає себе «Сет». Робертс описала процес написання книг Сета як вхід у стан трансу, у якому, за її словами, Сет брав він управління її тілом і починав говорити через неї, тоді як її чоловік записував слова, які вона повторювала.</w:t>
      </w:r>
    </w:p>
    <w:p w14:paraId="7C17629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Магістр природничих наук та доктор у галузі філософії Дон Елкінс (1930 – 1984), провів понад 200 гіпнотичних сеансів тимчасової регресії, досліджуючи досвід минулих народжень. Він розробляв способи та засоби отримання позаземної інформації. У книгах «Матеріал Ра. Говорить древній астронавт Книги 1-3), у процесі спілкування з позаземною істотою Ра, він розкриває універсальні закони Всесвіту.</w:t>
      </w:r>
    </w:p>
    <w:p w14:paraId="79D71BC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Американська письменниця, медіум, гіпнотерапевт Сільвія Браун (1936-2013). Була автором десятків книг на духовні теми, таких як «Пригоди екстрасенсу», «На інший бік і назад». У 1986 році в Каліфорнії нею було засновано церкву, відому як суспільство Novus Spiritus.</w:t>
      </w:r>
    </w:p>
    <w:p w14:paraId="2F43800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Канадська письменниця і контактер Аурелія Джоунс (нар. 1940), опублікувала книги «Телос, том 1. Одкровення Нової Лемурії», «Телос, том 2. Навчання для освіти людства у трансформації», «Телос, том 3. Протоколи п'ятого виміру».</w:t>
      </w:r>
    </w:p>
    <w:p w14:paraId="4FF8432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Вагомий внесок у теорію та практику ченнелінгу зробив американський письменник, Ніл Доналд Уолш (нар.10 вересня 1943), екстрасенс, автор книг-бестселерів «Бесіди з Богом. Книги 1-3, 4 (1996-1998, 2017), "Єднання з Богом" (2000), Книга Змін (2009).</w:t>
      </w:r>
    </w:p>
    <w:p w14:paraId="22680D5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Американський письменник контактер, метафізик Лі Керрол (нар. 15 лютого 1944), був одним з основних популяризаторів терміну та руху Нью-Ейдж. Він стверджував, що за допомогою каналу (ченнелінга), що відкрився, з землянами говорить якась астральна сутність, вища, або «ангелічна» істота з «вищого виміру», безтілесна істота, яка присутня на Землі «з самого початку» яка назвала себе Крайоном. За твердженням Лі Керролла, Крайон прагне сприяти "сходженню людства на більш високий енергетичний рівень".</w:t>
      </w:r>
    </w:p>
    <w:p w14:paraId="6AB7D62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Американська представниця Нью Ейдж та духовний вчитель Джей Зі Найт (нар. 16 березня 1946), була відома як єдиний Канал духовної сутності на ім'я Рамта, що передає давню мудрість та силу свідомості.</w:t>
      </w:r>
    </w:p>
    <w:p w14:paraId="562F9FB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її словами, Рамта - це особистість, якій вже 35 тисяч років і зараз він передає через неї, всі накопичені знання, а також мудрість Всесвіту сучасному людству. Джей Зі стверджувала, що є специфічним каналом передачі інформації та послань. За її словами, не можна поклонятися посланцю, оскільки люди роблячи це за всіх часів, упускали саме послання і зміст переданої мудрості, що й стало причиною неосвіченості людства сьогодні.</w:t>
      </w:r>
    </w:p>
    <w:p w14:paraId="7011426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Французький журналіст Раель (нар. 30 вересня 1946) заснував і нині очолює Раеліанський рух, міжнародну релігію НЛО. За його словами, після зустрічі з інопланетянами у грудні 1973 року він опублікував кілька книг, у яких докладно описується зустріч із істотою на ім'я Яхве. У своїй роботі «Книга, яка говорить правду» він описує зустріч із інопланетянином, який оголосив, що його місія – передати це повідомлення людям Землі. що близько сорока пророків в історії Землі були надіслані Елохімом, але їх повідомлення були спотворені людьми. У книзі «Інопланетяни забрали мене на свій корабель», він описує гармонійних та миролюбних істот, вільних від грошей, хвороб та воєн. На його думку, людство повільно переходить у суспільство, в якому людям не потрібно буде працювати або мати роботу, яка призначена для машин, тоді як люди створені, щоб створювати, думати та збагачувати себе.</w:t>
      </w:r>
    </w:p>
    <w:p w14:paraId="1C489DA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Американська письменниця та трансовий ченнелер Барбара Марсініак (нар. 1948), у своїх книгах «Земля – плеядеанські ключі від живої бібліотеки» (1994) та «Сім'я Світла. Плеядеанські оповідання та уроки життя» (2001), «Несучі світанок: вчення плеядеанців» (2001) та ін. розкриває таємниці буття та описує знання, отримані шляхом контакту з Плеядеанцями – групою позаземних істот із зіркової системи Плеяд. «Все змінюється, коли ви починаєте випромінювати свою власну частоту, а не поглинати частоти навколо вас, коли ви починаєте знімати свій намір у всесвіті, а не отримувати відбиток від існування».</w:t>
      </w:r>
    </w:p>
    <w:p w14:paraId="07DDC2B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Естер Хікс (нар. 5 березня 1948), американська письменниця та медіум, мотиваційний спікер, автор книг із самопізнання.</w:t>
      </w:r>
    </w:p>
    <w:p w14:paraId="7DE598F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Разом зі своїм чоловіком Джеррі Хіксом (Jerry Hicks, 1927-2011) вона розвинула ідею «закону тяжіння». Естер і Джеррі Хікс з 1988 по 2009 були написані дев'ять книг, серед яких: «Новий початок» (1988), «Вихор: де закон тяжіння об'єднує всі відносини співпраці» (2009).</w:t>
      </w:r>
    </w:p>
    <w:p w14:paraId="59DCB8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авторами, зміст книг та всі знання були їм «передані групою нефізичних сутностей на ім'я Абрахам, групою Нефізичних Сутностей, що лежать в основі всіх релігій». Стверджується, що їхнє вчення, передане людям через Естер Хікс, сприяє їхньому самовдосконаленню і підводить до возз'єднання зі своєю Внутрішньою Сутністю, що любить. Щоразу, коли людина відчуває моменти великого кохання, захоплення чи чистої радості, це енергія джерела, і це те, ким є Абрахам.</w:t>
      </w:r>
    </w:p>
    <w:p w14:paraId="29C07C7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авторів, основним законом Всесвіту є Закон тяжіння, який стверджує, що «Все, що має подібні вібрації, притягується один до одного». Якщо людина має бажання, то достатньо звернути на неї всю свою увагу, і тоді, згідно із Законом Тяжіння, ви надішлете потрібну вібрацію і отримаєте те, чого хотіли.</w:t>
      </w:r>
    </w:p>
    <w:p w14:paraId="1837C3A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Американська письменниця, контактер Амора Гуань-Інь (нар. 30 листопада 1950), є засновником Школи Містерії Храму Зірки Дельфіна та шанувальником стародавньої Єгипетської Школи Містерії. Її ченнелінг призвів до появи кількох книг, які вона приписувала істотам з Плеяд. "Пробудження вашого божественного Ка", "Пробудження вашого божественного Ба", "Плеядеанські погляди на еволюцію людини". (1996). У «Плеядеанської Робочого зошита» описується робота Світлана відкриває канали Ка тіла, невидимі канали світлової енергії, схожі на меридіани, описані в китайській медицині.</w:t>
      </w:r>
    </w:p>
    <w:p w14:paraId="036B564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За словами американського автора та метафізика Стіва Ротера (нар. 1 січня 1951), його перетворення на Працівника Світла відбулася після духовного переживання напередодні нового 1996 року. Тієї ночі він почав говорити речі, які, за його словами, виходили не від нього самого, а від «групи 9 «енергетичних сутностей». Людство переходить із досвіду дуальності в область Тріальності, де світлі та темні «я» врівноважуються новим зв'язком із вищим «я».</w:t>
      </w:r>
    </w:p>
    <w:p w14:paraId="3863F67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Американська письменниця, психолог, діячка нових релігійних рухів та мотиваційний оратор Дорін Верче (нар. 29 квітня 1958), була автором понад 50 книг на психологічну та містичну тематику. Свої здібності ясновидіння та спілкування з ангелами-охоронцями вона використовувала для того, щоб допомагати справлятися з важкими життєвими ситуаціями та з серйозними психологічними проблемами. На початку 2017 року припинила підтримку та пропаганду Нью-Ейдж, після чого прийняла християнство.</w:t>
      </w:r>
    </w:p>
    <w:p w14:paraId="3875852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Патрісія Корі (нар. 1996), американська письменниця, контактер, містик. У 1995 році вона відкрила один із перших у Римі духовних центрів Нової Ери - Асоціацію «Робота Світла» з цілительським центром, школою та єдиною в Римі нью-ейджевською бібліотекою. Автор трилогії "Сиріанські Одкровення", За її словами, книги передані через ченнелінг від дуже високорозвинених істот системи Сіріуса, місія яких - допомогти нам подолати одержимість матеріальним успіхом і усвідомити наше справжнє призначення і закликають нас до Пробудження.</w:t>
      </w:r>
    </w:p>
    <w:p w14:paraId="32D6B45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Американський містик, ченнелер та цілитель Сел Рейчел був піонером у галузі людського потенціалу протягом понад 25 років. метод під назвою "Alpha-Theta Programming", спрямований на перепрограмування підсвідомого та блокування творчого потенціалу.</w:t>
      </w:r>
    </w:p>
    <w:p w14:paraId="3503675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Еллен Тадд  – всесвітньо відомий консультант з ясновидіння, педагог та письменник. Вона почала контактувати з наставниками та вчителями із духовних сфер, які дали їй незвичайні знання. У своїх книгах вона пропонує сутнісний практичний спосіб підключення до духовності. Еллен Тедд закликає читачів розглянути новий підхід, який дозволяє і емоціям, і інтелекту керуватися мудрістю, розширити їхнє сприйняття, щоб знайти практичні вирішення повсякденних проблем.</w:t>
      </w:r>
    </w:p>
    <w:p w14:paraId="5926003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Роберт Шварц, автор книги «План твоєї душі», у якій описується досвід роботи з чотирма медіумами, якими він встановлював контакти зі своїми особистими наставниками, які допомагають вирішувати життєві проблеми.</w:t>
      </w:r>
    </w:p>
    <w:p w14:paraId="5F040B9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Ярослава Герінга - екстрасенс, медіум тренер з розвитку інтуїції, екстрасенсорного та дистанційного бачення. У 2017 році школу з містичної парапсихології «Mysterium про Aeternum», в якій практикується однойменний метод, що допомагає увійти в контакт з шістьма потужними Сутностями Всесвіту. </w:t>
      </w:r>
    </w:p>
    <w:p w14:paraId="102C966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Напрямок Нью-Ейдж «Особиста трансформація та рух за розвиток людського потенціалу» вплинув на західну культуру і послужив вагомим внеском даної течії у становлення систем самопізнання і саморозвитку людини в ХХ столітті.</w:t>
      </w:r>
    </w:p>
    <w:p w14:paraId="585B627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Ті, хто отримав сьогодні повсюдне поширення програми особистісного зростання, бізнес і психологічні тренінги у своїй основі мають практики, вироблені саме в рамках Нью-Ейдж.</w:t>
      </w:r>
    </w:p>
    <w:p w14:paraId="76A358AE">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Ключовим у цьому процесі є вивчення чужих догм, а отримання власного містичного досвіду, який дозволить людині піднятися наступну щабель у самопізнанні. Основною тезою даного руху є важливість самовдосконалення людини та розвитку її потенціалу та позитивних якостей.</w:t>
      </w:r>
    </w:p>
    <w:p w14:paraId="77D094C0">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1962 року в Каліфорнії американськими психологами Майклом Мерфі та Річардом Прайсом, було відкрито Есаленський інститут – центр гуманістичної альтернативної освіти та духовних практик. Робота інституту включала дослідження та практику Трансцендентальної Медитації, розробку нових психотерапевтичних практик та тренінгів та різних методів індивідуального та колективного розвитку людських здібностей. Велика увага також приділялася зціленню, особливо з використанням форм альтернативної медицини, і упор на ідею у тому, що духовність і наука може бути об'єднані. Численні автори, що представляють Рух за людський потенціал, вплинули на становлення руху Нью-Ейдж в США і на появу безлічі нових психотерапевтичних практик і тренінгів.</w:t>
      </w:r>
    </w:p>
    <w:p w14:paraId="4950D6D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1973 році колишній астронавт Едгар Мітчер (1930-2016) та Вілліс У. Харман (1918 - 1997) американський інженер, футурист і автор, пов'язаний із рухом за людський потенціал, заснували у Каліфорнії Інститут ноетичних наук, який виступав за зміну свідомості з метою боротьби з глобальними кризами. В Інституті проводилися дослідження на такі теми, як спонтанна ремісія, медитація, альтернативна медицина, свідомість, духовність, людський потенціал, психічні здібності, телекінез.</w:t>
      </w:r>
    </w:p>
    <w:p w14:paraId="4FB298B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основі цього напряму лежала творчість американської письменниці Луїзи Лінн Хей (1926-2017), автора понад 30 книг з психології саморозвитку, однієї з родоначальниць руху самодопомоги. У своїх роботах вона висловлювала думку, що люди несуть відповідальність за події, які відбуваються з ними протягом їхнього життя і прийняття цієї відповідальності надає людині сили. У книзі «Ти можеш зцілити своє життя» (1984) вона запропонувала певний метод за допомогою якого людина може змінити своє мислення та зцілити своє тіло.</w:t>
      </w:r>
    </w:p>
    <w:p w14:paraId="39D726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Американський психолог Річард Прайс (1930 – 1985), який у 1962 році був співзасновником Інституту Есален, широко використав у своїй практиці досвід східних релігій.</w:t>
      </w:r>
    </w:p>
    <w:p w14:paraId="411B2FE8">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Окремим напрямком Нью-Ейдж є Рух Холістичного Здоров'я, в основі якого лежить ідея, що трансформація особистості та свідомості призводить до зцілення, а також комплексний, цілісний та індивідуальний підхід до хворого ("лікувати необхідно не хворобу, а хворого"). Послідовники цього напряму безпосередньо пов'язують фізичне та духовне здоров'я та широко використовують такі методи лікування: аюрведа, цигун, різні психотерапевтичні практики, релігійні ритуали, екстрасенсорика, а також акупунктуру, мануальну терапію, йогу, масажні техніки, спеціальні дієти, вегетаріанство, натуральні рослинні препарати та багато інших нетрадиційних типів терапій.</w:t>
      </w:r>
    </w:p>
    <w:p w14:paraId="38B4FD49">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Ці мотиви знаходять втілення у кінематографі, де стають основою сюжетів фільмів про самопізнання, вищий сенс життя та внутрішню трансформацію.</w:t>
      </w:r>
    </w:p>
    <w:p w14:paraId="13F1F734">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Фільми, що відображають ідеї та символіку Нью-ейдж, активно використовують його філософські концепції для створення незвичайних світів, де головні герої проходять через значущі трансформації.</w:t>
      </w:r>
    </w:p>
    <w:p w14:paraId="2EC3E8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Фільми на тему віри та релігії створювалися від моменту появи кінематографа. Ще брати Люм'єр, його родоначальники, в 1898 зняли фільм "Пристрасті Ісусові". Та й Голлівуд досить рано звернувся до фільмів на біблійні теми, тріумф яких припав на 1950-ті роки.  Релігійна тематика в кіно завжди відрізнялася великою різноманітністю сюжетів та аспектів. Були і спроби представити на кіноекрані визначні постаті релігійної традиції,  фільми про життєві проблеми віруючих, і комедійне висвітлення релігійних тем.</w:t>
      </w:r>
    </w:p>
    <w:p w14:paraId="6042AF5A">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Найцікавіші фільми створили люди, які критично розглядали тему віри. Серед них, наприклад, Інгмар Бергман та Луїс Бюнюель(фільм Назарін 1959) Бергман вважав себе атеістом, але його трилогія віри (Крізь тьмяне скло (Як у дзеркалі) (1961), Причастя (1962) і Мовчання (1963), Сьома  печатка(1957), комедія Око діявола(1960) показують  його відношення до віри.</w:t>
      </w:r>
    </w:p>
    <w:p w14:paraId="59772B1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Релігійний підтекст несуть у собі і такі популярні фільми у стилі бойовика та фентезі, як "Матриця" та "Володар кілець", і, звичайно, голлівудські драми про кінець світу.</w:t>
      </w:r>
    </w:p>
    <w:p w14:paraId="20C54A2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Фільм діє як релігія, він  пропонує зв'язок між «цим» і «іншим» світом, уявним,  бачення того, який світ насправді і яким він має бути. Фільми пропонують майже ідеальні світи, які не зовсім відповідають реальності, яку ми  сприймаємо, але ми часто віримо, що вони є моделями (і не лише моделями) реальності, яку нам хотілося б  бачити. Це не потрібно сприймати просто як прийняття бажаного за дійсне, оскільки бажання розглядати моделі, що відбивають і наслідують, як ідентичні, засноване на нашому бажанні реалізувати єдність того й іншого, викликати утопію. Це бажання змінити світ, щоб він був більш схожий на той, яким його вже вважає «релігія», що розглядається, на «вищому» рівні. Крім того, той факт, що культурний феномен —релігія чи фільм — створений людиною, не позбавляє її здатності виражати іншу реальність, навіть коли люди усвідомлюють сконструйований, уявний характер цього явища. Так само, як люди можуть бути порушені історіями, які, як вони знають, є вигаданими, і в результаті навіть змінити їх погляди на світ, так і сконструйовані релігійні артефакти можуть пов'язати людей з іншими реальностями, навіть якщо ті знають, що вони є людськими винаходами. Маски, що використовуються у релігійних ритуалах американських індіанців, є не маскуванням, а символічним уявленням духовної реальності. Ті, хто їх носить, не «маскуються» під божеств, щоб обдурити публіку, а зображують у драматичній формі істот, яких вони вважають реальними. Виконавець, який носить маску, приймає особу зображуваного персонажа. Навіть коли дітей долучають до процесу маскування, і вони усвідомлюють, що маски носять їхні родичі, це не означає, що боги, що зображуються, тепер визнаються нереальними або що ритуал розглядається як вдавання.  Виконавець, який виглядає з-під маски, щоб побачити через неї реальність, ідентифікує себе з персонажем, що зображується, і тому «знає» його реальність у більш ясному сенсі, ніж глядачі, які його бачать. Питання не приховує правди, а розкриває її. Глядачі теж знають, що фільми не є «справжніми», але уявні конструкції в них все ж таки можуть служити для передачі реальних істин про природу реальності і про те, якою вона вважається. Ще може виникнути питання, чи «справді» існує референт для релігійних вірувань, чи релігійна людина тільки думає, що світ, уявний релігією, є реальним. Деякі з тих, хто визначає релігію за її функцією в людському житті, були редукціоністами, стверджуючи, що жодного референта, крім її культурної функції, немає, або що ці домагання ілюзорні. Це не моя точка зору чи точка зору Гірца, який уникає редукціонізму. Питання про «істинність» релігійних вірувань релігієзнавець повинен укладати у дужки, оскільки вони ніколи не можуть бути остаточно відкинуті. Це, однак, не забороняє релігійним людям, у тому числі деяким релігієзнавцям, вірити у певні твердження щодо істинності певних релігій чи робити подібні заяви; це лише означає, що неможливо довести, мають такі твердження референт зовнішньої реальності чи ні. Що ми можемо зробити, то це вивчити віру тих, хто дотримується таких тверджень, щоб побачити відмінності, які вона створює для них з погляду світогляду та етосу. </w:t>
      </w:r>
    </w:p>
    <w:p w14:paraId="2B2C0C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ми можемо спробувати зрозуміти вірування християн, які мають значення незалежно від того, чи існують насправді Бог або Ісус, і ми можемо спробувати зрозуміти кінематографічну релігію, незалежно від того, чи «істинні» бачення реальності, які вона представляє. Навіть якщо хороші хлопці не завжди перемагають і не всі романи закінчуються хепі-ендом, ті, хто любить фільми, що у багатьох фільмах це видається як природа реальності. А оскільки такі твердження не підлягають верифікації чи фальсифікації, кіноглядачі можуть віддати перевагу таким речам, навіть якщо деякі докази, здається, спростовують їх — наприклад, вважається, що врешті-решт правосуддя переможе, навіть якщо ми не завжди бачимо, як це відбувається.</w:t>
      </w:r>
    </w:p>
    <w:p w14:paraId="5B44452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більшість країн світу перебувають в стані постійної трансформації, що спричиняється різними процесами  сучасності, переходом від жорсткої соціально-економічної матриці розвитку до мінливої, гнучкої, такої, що постійно змінюється. Цей процес постійної трансформації стосується також тих форм людської ідентичності, які відіграють неабияку роль у життєдіяльності людини, визначають її систему цінностей і, зрештою, надають сенс існуванню індивіду. Саме тому пошуки нових форм ідентичності набувають в наш час особливого значення. Тому часто в пошуках себе індивідууми звертаються до релігійних традицій(сект), приклади таких пошуків теж бачимо у кіно. Наприклад,у  фільмі «Мастер». Головний герой  пройшов війну і намагається знайти своє місце в житті. Він потрапляє на корабель, де знайомиться з засновником культу. У цьому фільмі показано, що в секту потрапляють люди в безвихідних ситуаціях. А от у фільмі «Два світи» показують, зіткнення релігійного і атеїстичного світу і головній героїні треба робити вибір. </w:t>
      </w:r>
      <w:r>
        <w:rPr>
          <w:rFonts w:ascii="Times New Roman" w:hAnsi="Times New Roman" w:cs="Times New Roman"/>
          <w:sz w:val="28"/>
          <w:szCs w:val="28"/>
          <w:lang w:val="uk-UA"/>
        </w:rPr>
        <w:cr/>
      </w:r>
      <w:r>
        <w:rPr>
          <w:rFonts w:ascii="Times New Roman" w:hAnsi="Times New Roman" w:cs="Times New Roman"/>
          <w:sz w:val="28"/>
          <w:szCs w:val="28"/>
          <w:lang w:val="uk-UA"/>
        </w:rPr>
        <w:t xml:space="preserve">           Не менш цікавими є документальні фільми в яких викривається діяльність нетрадиційних релігій. В фільмі «Три дні в Джонстауні» розповідається про  секту Храм народу.  Вона стала відомою після того як її члени здійснили масове самогубство.  Загинуло 918 людей з них 276 це діти.</w:t>
      </w:r>
    </w:p>
    <w:p w14:paraId="4D74F14F">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фільмі «Мати» Даррен Аронофські робить спробу показати біблійні сюжети у вигляді відносин у парі. Також цікавим є те, що у головних героїв немає імен.  Творець виступає як поет якого обожнює натовп. Ми можемо побачити в цьому риси нетрадиційній  релігії. </w:t>
      </w:r>
    </w:p>
    <w:p w14:paraId="6413B91C">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«Матриця», цей фільм розглядається як класичний приклад втілення ідей Нью-ейдж у кіно. Герой Нео проходить шлях пробудження, коли розуміє, що реальність, в якій він жив, є ілюзією. Мотив самопізнання, трансформації та пошуку істини є основними у цьому фільмі. У міфології Нью-ейдж це часто ототожнюється з пробудженням до «вищої реальності» і знаходженням істини.</w:t>
      </w:r>
    </w:p>
    <w:p w14:paraId="329495C6">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«Аватар», фільм Джеймса Кемерона втілює ідеї гармонії з природою та взаємозв’язку всіх живих істот. Головний герой, Джейк Саллі, знаходить свою місію в чужому світі, де усвідомлює значущість єдності з природою. Такі ідеї перегукуються з концепціями Нью-ейдж, де природа розглядається як жива система, з якою треба бути в гармонії.</w:t>
      </w:r>
    </w:p>
    <w:p w14:paraId="61995713">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«Доктор Стрендж»,  фільм показує шлях героя від звичайного лікаря до могутнього мага. У ньому відображається процес духовного пробудження і пізнання прихованих сил. Крім того, фільм демонструє тему альтернативних реальностей і вищих знань, що є важливими аспектами міфології Нью-ейдж.</w:t>
      </w:r>
    </w:p>
    <w:p w14:paraId="6C337D6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«Інтерстеллар», кінострічка зосереджена на ідеї зв’язку всього сущого через час і простір. Хоча фільм не безпосередньо пов'язаний з Нью-ейдж, він демонструє концепції зв’язку між людьми, значення часу та простору, які є основними у цьому русі. Герої фільму проходять через випробування, які змушують їх переосмислити своє місце у всесвіті.</w:t>
      </w:r>
    </w:p>
    <w:p w14:paraId="6CCD9322">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 кінематограф активно використовує ідеї Нью-ейдж, вплітаючи їх у сюжети та образи, які стають виразом прагнень сучасної людини до духовного зростання, пошуку істини та гармонії з космосом. Міфологія Нью-ейдж не лише розширює уявлення про духовність, але й пропонує новий погляд на людську природу, наші можливості та місце у світі. Відображення таких тем у кінематографі говорить про важливість ідей Нью-ейдж у сучасній культурі, адже вони задовольняють запити суспільства на нові форми духовності та пошуки вищого сенсу у глобалізованому світі.</w:t>
      </w:r>
    </w:p>
    <w:p w14:paraId="463F037B">
      <w:pPr>
        <w:spacing w:line="360" w:lineRule="auto"/>
        <w:ind w:firstLine="720"/>
        <w:jc w:val="both"/>
        <w:rPr>
          <w:rFonts w:ascii="Times New Roman" w:hAnsi="Times New Roman" w:cs="Times New Roman"/>
          <w:sz w:val="28"/>
          <w:szCs w:val="28"/>
          <w:lang w:val="uk-UA"/>
        </w:rPr>
      </w:pPr>
    </w:p>
    <w:p w14:paraId="0E72F17E">
      <w:pPr>
        <w:spacing w:line="360" w:lineRule="auto"/>
        <w:ind w:firstLine="720"/>
        <w:jc w:val="both"/>
        <w:rPr>
          <w:rFonts w:ascii="Times New Roman" w:hAnsi="Times New Roman" w:cs="Times New Roman"/>
          <w:sz w:val="28"/>
          <w:szCs w:val="28"/>
          <w:lang w:val="uk-UA"/>
        </w:rPr>
      </w:pPr>
    </w:p>
    <w:p w14:paraId="5FEC2F61">
      <w:pPr>
        <w:spacing w:line="360" w:lineRule="auto"/>
        <w:ind w:firstLine="720"/>
        <w:jc w:val="both"/>
        <w:rPr>
          <w:rFonts w:ascii="Times New Roman" w:hAnsi="Times New Roman" w:cs="Times New Roman"/>
          <w:sz w:val="28"/>
          <w:szCs w:val="28"/>
          <w:lang w:val="uk-UA"/>
        </w:rPr>
      </w:pPr>
    </w:p>
    <w:p w14:paraId="019346D7">
      <w:pPr>
        <w:spacing w:line="360" w:lineRule="auto"/>
        <w:ind w:firstLine="720"/>
        <w:jc w:val="both"/>
        <w:rPr>
          <w:rFonts w:ascii="Times New Roman" w:hAnsi="Times New Roman" w:cs="Times New Roman"/>
          <w:sz w:val="28"/>
          <w:szCs w:val="28"/>
          <w:lang w:val="uk-UA"/>
        </w:rPr>
      </w:pPr>
    </w:p>
    <w:p w14:paraId="177C9338">
      <w:pPr>
        <w:spacing w:line="360" w:lineRule="auto"/>
        <w:ind w:firstLine="720"/>
        <w:jc w:val="both"/>
        <w:rPr>
          <w:rFonts w:ascii="Times New Roman" w:hAnsi="Times New Roman" w:cs="Times New Roman"/>
          <w:sz w:val="28"/>
          <w:szCs w:val="28"/>
          <w:lang w:val="uk-UA"/>
        </w:rPr>
      </w:pPr>
    </w:p>
    <w:p w14:paraId="61BA1DA9">
      <w:pPr>
        <w:spacing w:line="360" w:lineRule="auto"/>
        <w:ind w:firstLine="720"/>
        <w:jc w:val="both"/>
        <w:rPr>
          <w:rFonts w:ascii="Times New Roman" w:hAnsi="Times New Roman" w:cs="Times New Roman"/>
          <w:sz w:val="28"/>
          <w:szCs w:val="28"/>
          <w:lang w:val="uk-UA"/>
        </w:rPr>
      </w:pPr>
    </w:p>
    <w:p w14:paraId="17134371">
      <w:pPr>
        <w:shd w:val="clear" w:color="auto" w:fill="FFFFFF"/>
        <w:spacing w:after="24" w:line="360" w:lineRule="auto"/>
        <w:rPr>
          <w:rFonts w:ascii="Times New Roman" w:hAnsi="Times New Roman" w:cs="Times New Roman"/>
          <w:sz w:val="28"/>
          <w:szCs w:val="28"/>
          <w:lang w:val="uk-UA"/>
        </w:rPr>
      </w:pPr>
    </w:p>
    <w:p w14:paraId="1BFCF495">
      <w:pPr>
        <w:shd w:val="clear" w:color="auto" w:fill="FFFFFF"/>
        <w:spacing w:after="24" w:line="360" w:lineRule="auto"/>
        <w:rPr>
          <w:rFonts w:ascii="Times New Roman" w:hAnsi="Times New Roman" w:cs="Times New Roman"/>
          <w:sz w:val="28"/>
          <w:szCs w:val="28"/>
          <w:lang w:val="uk-UA"/>
        </w:rPr>
      </w:pPr>
    </w:p>
    <w:p w14:paraId="0F55DC73">
      <w:pPr>
        <w:shd w:val="clear" w:color="auto" w:fill="FFFFFF"/>
        <w:spacing w:after="24" w:line="360" w:lineRule="auto"/>
        <w:rPr>
          <w:rFonts w:ascii="Times New Roman" w:hAnsi="Times New Roman" w:cs="Times New Roman"/>
          <w:sz w:val="28"/>
          <w:szCs w:val="28"/>
          <w:lang w:val="uk-UA"/>
        </w:rPr>
      </w:pPr>
    </w:p>
    <w:p w14:paraId="32F6FA33">
      <w:pPr>
        <w:shd w:val="clear" w:color="auto" w:fill="FFFFFF"/>
        <w:spacing w:after="24" w:line="360" w:lineRule="auto"/>
        <w:rPr>
          <w:rFonts w:ascii="Times New Roman" w:hAnsi="Times New Roman" w:cs="Times New Roman"/>
          <w:sz w:val="28"/>
          <w:szCs w:val="28"/>
          <w:lang w:val="uk-UA"/>
        </w:rPr>
      </w:pPr>
    </w:p>
    <w:p w14:paraId="6594D45F">
      <w:pPr>
        <w:shd w:val="clear" w:color="auto" w:fill="FFFFFF"/>
        <w:spacing w:after="24" w:line="360" w:lineRule="auto"/>
        <w:rPr>
          <w:rFonts w:ascii="Times New Roman" w:hAnsi="Times New Roman" w:cs="Times New Roman"/>
          <w:sz w:val="28"/>
          <w:szCs w:val="28"/>
          <w:lang w:val="uk-UA"/>
        </w:rPr>
      </w:pPr>
    </w:p>
    <w:p w14:paraId="4CDB5EA4">
      <w:pPr>
        <w:shd w:val="clear" w:color="auto" w:fill="FFFFFF"/>
        <w:spacing w:after="24" w:line="360" w:lineRule="auto"/>
        <w:rPr>
          <w:rFonts w:ascii="Times New Roman" w:hAnsi="Times New Roman" w:cs="Times New Roman"/>
          <w:sz w:val="28"/>
          <w:szCs w:val="28"/>
          <w:lang w:val="uk-UA"/>
        </w:rPr>
      </w:pPr>
    </w:p>
    <w:p w14:paraId="6DFC2A1D">
      <w:pPr>
        <w:shd w:val="clear" w:color="auto" w:fill="FFFFFF"/>
        <w:spacing w:after="24" w:line="360" w:lineRule="auto"/>
        <w:rPr>
          <w:rFonts w:ascii="Times New Roman" w:hAnsi="Times New Roman" w:cs="Times New Roman"/>
          <w:sz w:val="28"/>
          <w:szCs w:val="28"/>
          <w:lang w:val="uk-UA"/>
        </w:rPr>
      </w:pPr>
    </w:p>
    <w:p w14:paraId="12CE4F50">
      <w:pPr>
        <w:shd w:val="clear" w:color="auto" w:fill="FFFFFF"/>
        <w:spacing w:after="24" w:line="360" w:lineRule="auto"/>
        <w:rPr>
          <w:rFonts w:ascii="Times New Roman" w:hAnsi="Times New Roman" w:cs="Times New Roman"/>
          <w:sz w:val="28"/>
          <w:szCs w:val="28"/>
          <w:lang w:val="uk-UA"/>
        </w:rPr>
      </w:pPr>
    </w:p>
    <w:p w14:paraId="4679A07C">
      <w:pPr>
        <w:shd w:val="clear" w:color="auto" w:fill="FFFFFF"/>
        <w:spacing w:after="24" w:line="360" w:lineRule="auto"/>
        <w:rPr>
          <w:rFonts w:ascii="Times New Roman" w:hAnsi="Times New Roman" w:cs="Times New Roman"/>
          <w:sz w:val="28"/>
          <w:szCs w:val="28"/>
          <w:lang w:val="uk-UA"/>
        </w:rPr>
      </w:pPr>
    </w:p>
    <w:p w14:paraId="1BC38282">
      <w:pPr>
        <w:shd w:val="clear" w:color="auto" w:fill="FFFFFF"/>
        <w:spacing w:after="24" w:line="360" w:lineRule="auto"/>
        <w:rPr>
          <w:rFonts w:ascii="Times New Roman" w:hAnsi="Times New Roman" w:cs="Times New Roman"/>
          <w:sz w:val="28"/>
          <w:szCs w:val="28"/>
          <w:lang w:val="uk-UA"/>
        </w:rPr>
      </w:pPr>
    </w:p>
    <w:p w14:paraId="00295173">
      <w:pPr>
        <w:shd w:val="clear" w:color="auto" w:fill="FFFFFF"/>
        <w:spacing w:after="24" w:line="360" w:lineRule="auto"/>
        <w:rPr>
          <w:rFonts w:ascii="Times New Roman" w:hAnsi="Times New Roman" w:cs="Times New Roman"/>
          <w:sz w:val="28"/>
          <w:szCs w:val="28"/>
          <w:lang w:val="uk-UA"/>
        </w:rPr>
      </w:pPr>
    </w:p>
    <w:p w14:paraId="7B1AA28B">
      <w:pPr>
        <w:shd w:val="clear" w:color="auto" w:fill="FFFFFF"/>
        <w:spacing w:after="24" w:line="360" w:lineRule="auto"/>
        <w:rPr>
          <w:rFonts w:ascii="Times New Roman" w:hAnsi="Times New Roman" w:cs="Times New Roman"/>
          <w:sz w:val="28"/>
          <w:szCs w:val="28"/>
          <w:lang w:val="uk-UA"/>
        </w:rPr>
      </w:pPr>
    </w:p>
    <w:p w14:paraId="4A045540">
      <w:pPr>
        <w:shd w:val="clear" w:color="auto" w:fill="FFFFFF"/>
        <w:spacing w:after="24" w:line="360" w:lineRule="auto"/>
        <w:rPr>
          <w:rFonts w:ascii="Times New Roman" w:hAnsi="Times New Roman" w:cs="Times New Roman"/>
          <w:sz w:val="28"/>
          <w:szCs w:val="28"/>
          <w:lang w:val="uk-UA"/>
        </w:rPr>
      </w:pPr>
    </w:p>
    <w:p w14:paraId="313B941D">
      <w:pPr>
        <w:shd w:val="clear" w:color="auto" w:fill="FFFFFF"/>
        <w:spacing w:after="24" w:line="360" w:lineRule="auto"/>
        <w:rPr>
          <w:rFonts w:ascii="Times New Roman" w:hAnsi="Times New Roman" w:cs="Times New Roman"/>
          <w:sz w:val="28"/>
          <w:szCs w:val="28"/>
          <w:lang w:val="uk-UA"/>
        </w:rPr>
      </w:pPr>
    </w:p>
    <w:p w14:paraId="65770290">
      <w:pPr>
        <w:shd w:val="clear" w:color="auto" w:fill="FFFFFF"/>
        <w:spacing w:after="24" w:line="360" w:lineRule="auto"/>
        <w:rPr>
          <w:rFonts w:ascii="Times New Roman" w:hAnsi="Times New Roman" w:cs="Times New Roman"/>
          <w:sz w:val="28"/>
          <w:szCs w:val="28"/>
          <w:lang w:val="uk-UA"/>
        </w:rPr>
      </w:pPr>
    </w:p>
    <w:p w14:paraId="4B84D8A6">
      <w:pPr>
        <w:shd w:val="clear" w:color="auto" w:fill="FFFFFF"/>
        <w:spacing w:after="24" w:line="360" w:lineRule="auto"/>
        <w:rPr>
          <w:rFonts w:ascii="Times New Roman" w:hAnsi="Times New Roman" w:cs="Times New Roman"/>
          <w:sz w:val="28"/>
          <w:szCs w:val="28"/>
          <w:lang w:val="uk-UA"/>
        </w:rPr>
      </w:pPr>
    </w:p>
    <w:p w14:paraId="3E34ABBE">
      <w:pPr>
        <w:shd w:val="clear" w:color="auto" w:fill="FFFFFF"/>
        <w:spacing w:after="24" w:line="360" w:lineRule="auto"/>
        <w:rPr>
          <w:rFonts w:ascii="Times New Roman" w:hAnsi="Times New Roman" w:cs="Times New Roman"/>
          <w:sz w:val="28"/>
          <w:szCs w:val="28"/>
          <w:lang w:val="uk-UA"/>
        </w:rPr>
      </w:pPr>
    </w:p>
    <w:p w14:paraId="7468102C">
      <w:pPr>
        <w:shd w:val="clear" w:color="auto" w:fill="FFFFFF"/>
        <w:spacing w:after="24" w:line="360" w:lineRule="auto"/>
        <w:rPr>
          <w:rFonts w:ascii="Times New Roman" w:hAnsi="Times New Roman" w:cs="Times New Roman"/>
          <w:sz w:val="28"/>
          <w:szCs w:val="28"/>
          <w:lang w:val="uk-UA"/>
        </w:rPr>
      </w:pPr>
    </w:p>
    <w:p w14:paraId="6D9E93F4">
      <w:pPr>
        <w:shd w:val="clear" w:color="auto" w:fill="FFFFFF"/>
        <w:spacing w:after="24"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w:t>
      </w:r>
    </w:p>
    <w:p w14:paraId="4CA7F0B8">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дослідження теми «Нетрадиційна релігійність в сучасній культурі: символіка та нова міфологія» було здійснено огляд ключових аспектів формування, розвитку та проявів нетрадиційних релігійних рухів у контексті сучасної культури. Проведений аналіз дозволяє зробити такі висновки:</w:t>
      </w:r>
    </w:p>
    <w:p w14:paraId="1C4F624B">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Нетрадиційні релігійні рухи виникли як відповідь на соціокультурні зміни, що відбулися в другій половині ХХ століття. Вони виникли на основі пошуку нових форм духовності, які б відповідали потребам індивідуального розвитку та самопізнання. Змішування різноманітних елементів східної і західної філософій, міфології, окультних і езотеричних знань сприяло розвитку сучасної нетрадиційної релігійності. Важливо, що ці рухи в багатьох аспектах відображають кризу традиційної релігії та потребу суспільства в нових духовних формах.</w:t>
      </w:r>
    </w:p>
    <w:p w14:paraId="7E0FAECE">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нетрадиційні релігійні рухи різноманітні за формою та змістом, проте всі вони характеризуються наявністю індивідуального підходу до віри, нетрадиційними ритуалами та ідеологічною самостійністю. Основні течії, такі як Нью-ейдж, релігії самовдосконалення, групи езотеричної практики, мають спільні риси: прагнення до духовної автономії, орієнтація на особистісний розвиток і прагнення інтегрувати різні світоглядні системи. Науковий інтерес до цього феномену зростає, і нетрадиційна релігійність розглядається як важлива частина сучасної духовної культури.</w:t>
      </w:r>
    </w:p>
    <w:p w14:paraId="510D2BB4">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Секта, як особлива форма релігійного руху, відрізняється від традиційних релігійних організацій специфічною структурою, внутрішньою замкнутістю і характером взаємодії з зовнішнім світом. Відмінними ознаками сект є жорстка ієрархія, централізація навколо лідера, іноді наявність елементів ізоляції та контролю над членами групи. Водночас традиційні релігійні організації прагнуть до гармонізації взаємодії з суспільством і слідують усталеним релігійним канонам. Різниця між традиційною церквою і сектою також проявляється у різних рівнях адаптації до культурних норм та інтеграції в суспільне життя, що підтверджує багатозначність релігійного феномену в сучасній культурі.</w:t>
      </w:r>
    </w:p>
    <w:p w14:paraId="6BF653F7">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сучасний період принципи руху New Age активно поширюються в масовій культурі через засоби масової інформації, що транслюють ідеї даного напряму як безпосередньо у вигляді різноманітних семінарів, програм, так і опосередковано через фільми, музику, розважальні програми, політичні організації, що дозволяють руху New Age зміцнюватися і претендувати на реалізацію певних політичних подій.</w:t>
      </w:r>
    </w:p>
    <w:p w14:paraId="6D7101C9">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Рух Нью-ейдж, який є одним із найвідоміших нетрадиційних релігійних рухів, створює унікальну міфологію, що інтегрує ідеї самопізнання, гармонії з природою та універсальну єдність із космосом. Його символіка та філософські мотиви активно знаходять відображення у кінематографі, де стають основою для сюжетів, що включають мотиви духовного пробудження, альтернативної реальності та внутрішньої трансформації. Фільми, такі як «Матриця», «Аватар», «Доктор Стрендж» та інші, демонструють ключові ідеї руху Нью-ейдж та підкреслюють важливість пошуку нових форм духовності в умовах глобалізації та технологічного прогресу. Це свідчить про те, що кінематограф стає важливим простором для поширення ідей нової міфології Нью-ейдж та осмислення альтернативної духовної культури.</w:t>
      </w:r>
    </w:p>
    <w:p w14:paraId="0253FEFF">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Нетрадиційна релігійність, будучи своєрідною реакцією на традиційну релігійну культуру, відображає культурні потреби сучасної людини в індивідуалізації духовних практик та експериментуванні з різними формами вірувань. Вона дозволяє переосмислити роль людини у світі та її взаємозв’язок з природою і космосом, формує нові цінності й символи, що відображаються у кінематографі, літературі та інших формах мистецтва.</w:t>
      </w:r>
    </w:p>
    <w:p w14:paraId="359002F4">
      <w:pPr>
        <w:shd w:val="clear" w:color="auto" w:fill="FFFFFF"/>
        <w:spacing w:after="3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Отже, нетрадиційна релігійність є важливим і багатогранним феноменом, що глибоко впливає на сучасну культуру. Вона пропонує нові форми духовності, переосмислення традиційних релігійних концепцій та привертає увагу широкого загалу завдяки своєму культурному відображенню в мас-медіа. Вивчення цього феномену дозволяє краще зрозуміти сучасні тенденції в релігійності, зміну цінностей у суспільстві та нові шляхи культурного самовираження.</w:t>
      </w:r>
    </w:p>
    <w:p w14:paraId="4877A17A">
      <w:pPr>
        <w:shd w:val="clear" w:color="auto" w:fill="FFFFFF"/>
        <w:spacing w:after="24" w:line="360" w:lineRule="auto"/>
        <w:jc w:val="both"/>
        <w:rPr>
          <w:rFonts w:ascii="Times New Roman" w:hAnsi="Times New Roman" w:cs="Times New Roman"/>
          <w:sz w:val="28"/>
          <w:szCs w:val="28"/>
          <w:lang w:val="uk-UA"/>
        </w:rPr>
      </w:pPr>
    </w:p>
    <w:p w14:paraId="13893B18">
      <w:pPr>
        <w:shd w:val="clear" w:color="auto" w:fill="FFFFFF"/>
        <w:spacing w:after="24" w:line="360" w:lineRule="auto"/>
        <w:jc w:val="both"/>
        <w:rPr>
          <w:rFonts w:ascii="Times New Roman" w:hAnsi="Times New Roman" w:cs="Times New Roman"/>
          <w:sz w:val="28"/>
          <w:szCs w:val="28"/>
          <w:lang w:val="uk-UA"/>
        </w:rPr>
      </w:pPr>
    </w:p>
    <w:p w14:paraId="5888A324">
      <w:pPr>
        <w:shd w:val="clear" w:color="auto" w:fill="FFFFFF"/>
        <w:spacing w:after="24" w:line="360" w:lineRule="auto"/>
        <w:jc w:val="both"/>
        <w:rPr>
          <w:rFonts w:ascii="Times New Roman" w:hAnsi="Times New Roman" w:cs="Times New Roman"/>
          <w:sz w:val="28"/>
          <w:szCs w:val="28"/>
          <w:lang w:val="uk-UA"/>
        </w:rPr>
      </w:pPr>
    </w:p>
    <w:p w14:paraId="38B5EFA7">
      <w:pPr>
        <w:shd w:val="clear" w:color="auto" w:fill="FFFFFF"/>
        <w:spacing w:after="24" w:line="360" w:lineRule="auto"/>
        <w:jc w:val="both"/>
        <w:rPr>
          <w:rFonts w:ascii="Times New Roman" w:hAnsi="Times New Roman" w:cs="Times New Roman"/>
          <w:sz w:val="28"/>
          <w:szCs w:val="28"/>
          <w:lang w:val="uk-UA"/>
        </w:rPr>
      </w:pPr>
    </w:p>
    <w:p w14:paraId="58B623B7">
      <w:pPr>
        <w:shd w:val="clear" w:color="auto" w:fill="FFFFFF"/>
        <w:spacing w:after="24" w:line="360" w:lineRule="auto"/>
        <w:jc w:val="both"/>
        <w:rPr>
          <w:rFonts w:ascii="Times New Roman" w:hAnsi="Times New Roman" w:cs="Times New Roman"/>
          <w:sz w:val="28"/>
          <w:szCs w:val="28"/>
          <w:lang w:val="uk-UA"/>
        </w:rPr>
      </w:pPr>
    </w:p>
    <w:p w14:paraId="6DFD18E5">
      <w:pPr>
        <w:shd w:val="clear" w:color="auto" w:fill="FFFFFF"/>
        <w:spacing w:after="24" w:line="360" w:lineRule="auto"/>
        <w:jc w:val="both"/>
        <w:rPr>
          <w:rFonts w:ascii="Times New Roman" w:hAnsi="Times New Roman" w:cs="Times New Roman"/>
          <w:sz w:val="28"/>
          <w:szCs w:val="28"/>
          <w:lang w:val="uk-UA"/>
        </w:rPr>
      </w:pPr>
    </w:p>
    <w:p w14:paraId="019B48C2">
      <w:pPr>
        <w:shd w:val="clear" w:color="auto" w:fill="FFFFFF"/>
        <w:spacing w:after="24" w:line="360" w:lineRule="auto"/>
        <w:jc w:val="both"/>
        <w:rPr>
          <w:rFonts w:ascii="Times New Roman" w:hAnsi="Times New Roman" w:cs="Times New Roman"/>
          <w:sz w:val="28"/>
          <w:szCs w:val="28"/>
          <w:lang w:val="uk-UA"/>
        </w:rPr>
      </w:pPr>
    </w:p>
    <w:p w14:paraId="683138BA">
      <w:pPr>
        <w:shd w:val="clear" w:color="auto" w:fill="FFFFFF"/>
        <w:spacing w:after="24" w:line="360" w:lineRule="auto"/>
        <w:jc w:val="both"/>
        <w:rPr>
          <w:rFonts w:ascii="Times New Roman" w:hAnsi="Times New Roman" w:cs="Times New Roman"/>
          <w:sz w:val="28"/>
          <w:szCs w:val="28"/>
          <w:lang w:val="uk-UA"/>
        </w:rPr>
      </w:pPr>
    </w:p>
    <w:p w14:paraId="756CFCE0">
      <w:pPr>
        <w:shd w:val="clear" w:color="auto" w:fill="FFFFFF"/>
        <w:spacing w:after="24" w:line="360" w:lineRule="auto"/>
        <w:jc w:val="both"/>
        <w:rPr>
          <w:rFonts w:ascii="Times New Roman" w:hAnsi="Times New Roman" w:cs="Times New Roman"/>
          <w:sz w:val="28"/>
          <w:szCs w:val="28"/>
          <w:lang w:val="uk-UA"/>
        </w:rPr>
      </w:pPr>
    </w:p>
    <w:p w14:paraId="377A144D">
      <w:pPr>
        <w:shd w:val="clear" w:color="auto" w:fill="FFFFFF"/>
        <w:spacing w:after="24" w:line="360" w:lineRule="auto"/>
        <w:jc w:val="both"/>
        <w:rPr>
          <w:rFonts w:ascii="Times New Roman" w:hAnsi="Times New Roman" w:cs="Times New Roman"/>
          <w:sz w:val="28"/>
          <w:szCs w:val="28"/>
          <w:lang w:val="uk-UA"/>
        </w:rPr>
      </w:pPr>
    </w:p>
    <w:p w14:paraId="33D2E3E0">
      <w:pPr>
        <w:shd w:val="clear" w:color="auto" w:fill="FFFFFF"/>
        <w:spacing w:after="24" w:line="360" w:lineRule="auto"/>
        <w:jc w:val="both"/>
        <w:rPr>
          <w:rFonts w:ascii="Times New Roman" w:hAnsi="Times New Roman" w:cs="Times New Roman"/>
          <w:sz w:val="28"/>
          <w:szCs w:val="28"/>
          <w:lang w:val="uk-UA"/>
        </w:rPr>
      </w:pPr>
    </w:p>
    <w:p w14:paraId="22D0403F">
      <w:pPr>
        <w:shd w:val="clear" w:color="auto" w:fill="FFFFFF"/>
        <w:spacing w:after="24" w:line="360" w:lineRule="auto"/>
        <w:jc w:val="both"/>
        <w:rPr>
          <w:rFonts w:ascii="Times New Roman" w:hAnsi="Times New Roman" w:cs="Times New Roman"/>
          <w:sz w:val="28"/>
          <w:szCs w:val="28"/>
          <w:lang w:val="uk-UA"/>
        </w:rPr>
      </w:pPr>
    </w:p>
    <w:p w14:paraId="2F7D80F6">
      <w:pPr>
        <w:shd w:val="clear" w:color="auto" w:fill="FFFFFF"/>
        <w:spacing w:after="24" w:line="360" w:lineRule="auto"/>
        <w:jc w:val="both"/>
        <w:rPr>
          <w:rFonts w:ascii="Times New Roman" w:hAnsi="Times New Roman" w:cs="Times New Roman"/>
          <w:sz w:val="28"/>
          <w:szCs w:val="28"/>
          <w:lang w:val="uk-UA"/>
        </w:rPr>
      </w:pPr>
    </w:p>
    <w:p w14:paraId="69D18AFD">
      <w:pPr>
        <w:shd w:val="clear" w:color="auto" w:fill="FFFFFF"/>
        <w:spacing w:after="24" w:line="360" w:lineRule="auto"/>
        <w:jc w:val="both"/>
        <w:rPr>
          <w:rFonts w:ascii="Times New Roman" w:hAnsi="Times New Roman" w:cs="Times New Roman"/>
          <w:sz w:val="28"/>
          <w:szCs w:val="28"/>
          <w:lang w:val="uk-UA"/>
        </w:rPr>
      </w:pPr>
    </w:p>
    <w:p w14:paraId="489EB459">
      <w:pPr>
        <w:shd w:val="clear" w:color="auto" w:fill="FFFFFF"/>
        <w:spacing w:after="24" w:line="360" w:lineRule="auto"/>
        <w:jc w:val="both"/>
        <w:rPr>
          <w:rFonts w:ascii="Times New Roman" w:hAnsi="Times New Roman" w:cs="Times New Roman"/>
          <w:sz w:val="28"/>
          <w:szCs w:val="28"/>
          <w:lang w:val="uk-UA"/>
        </w:rPr>
      </w:pPr>
    </w:p>
    <w:p w14:paraId="59B396E3">
      <w:pPr>
        <w:shd w:val="clear" w:color="auto" w:fill="FFFFFF"/>
        <w:spacing w:after="24" w:line="360" w:lineRule="auto"/>
        <w:rPr>
          <w:rFonts w:ascii="Times New Roman" w:hAnsi="Times New Roman" w:eastAsia="Times New Roman" w:cs="Times New Roman"/>
          <w:b/>
          <w:sz w:val="24"/>
          <w:szCs w:val="24"/>
          <w:lang w:val="uk-UA"/>
        </w:rPr>
      </w:pPr>
      <w:r>
        <w:rPr>
          <w:rFonts w:ascii="Times New Roman" w:hAnsi="Times New Roman" w:eastAsia="Times New Roman" w:cs="Times New Roman"/>
          <w:b/>
          <w:color w:val="000000"/>
          <w:sz w:val="28"/>
          <w:szCs w:val="28"/>
          <w:lang w:val="uk-UA"/>
        </w:rPr>
        <w:t>Список використаних джерел та літератури</w:t>
      </w:r>
    </w:p>
    <w:p w14:paraId="238CE4B7">
      <w:pPr>
        <w:shd w:val="clear" w:color="auto" w:fill="FFFFFF"/>
        <w:spacing w:after="24" w:line="360" w:lineRule="auto"/>
        <w:rPr>
          <w:rFonts w:ascii="Times New Roman" w:hAnsi="Times New Roman" w:eastAsia="Times New Roman" w:cs="Times New Roman"/>
          <w:b/>
          <w:sz w:val="24"/>
          <w:szCs w:val="24"/>
          <w:lang w:val="uk-UA"/>
        </w:rPr>
      </w:pPr>
      <w:r>
        <w:rPr>
          <w:rFonts w:ascii="Times New Roman" w:hAnsi="Times New Roman" w:eastAsia="Times New Roman" w:cs="Times New Roman"/>
          <w:sz w:val="28"/>
          <w:szCs w:val="28"/>
          <w:lang w:val="uk-UA"/>
        </w:rPr>
        <w:t xml:space="preserve"> </w:t>
      </w:r>
    </w:p>
    <w:p w14:paraId="10F3D4F8">
      <w:pPr>
        <w:pStyle w:val="18"/>
        <w:shd w:val="clear" w:color="auto" w:fill="F8F9FA"/>
        <w:spacing w:line="360" w:lineRule="auto"/>
        <w:rPr>
          <w:rFonts w:ascii="Times New Roman" w:hAnsi="Times New Roman" w:eastAsia="Times New Roman" w:cs="Times New Roman"/>
          <w:color w:val="000000" w:themeColor="text1"/>
          <w:sz w:val="28"/>
          <w:szCs w:val="28"/>
          <w14:textFill>
            <w14:solidFill>
              <w14:schemeClr w14:val="tx1"/>
            </w14:solidFill>
          </w14:textFill>
        </w:rPr>
      </w:pPr>
      <w:r>
        <w:rPr>
          <w:rFonts w:ascii="Times New Roman" w:hAnsi="Times New Roman" w:eastAsia="Times New Roman" w:cs="Times New Roman"/>
          <w:sz w:val="28"/>
          <w:szCs w:val="28"/>
          <w:lang w:val="uk-UA"/>
        </w:rPr>
        <w:t xml:space="preserve">1.  </w:t>
      </w:r>
      <w:r>
        <w:rPr>
          <w:rFonts w:ascii="Times New Roman" w:hAnsi="Times New Roman" w:eastAsia="Times New Roman" w:cs="Times New Roman"/>
          <w:color w:val="000000" w:themeColor="text1"/>
          <w:sz w:val="28"/>
          <w:szCs w:val="28"/>
          <w:lang w:val="uk-UA"/>
          <w14:textFill>
            <w14:solidFill>
              <w14:schemeClr w14:val="tx1"/>
            </w14:solidFill>
          </w14:textFill>
        </w:rPr>
        <w:t>Баркер А. Нові релігійні рухи та свобода релігії та переконань</w:t>
      </w:r>
    </w:p>
    <w:p w14:paraId="3DB2E3FC">
      <w:pPr>
        <w:spacing w:line="360" w:lineRule="auto"/>
        <w:ind w:left="720"/>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shd w:val="clear" w:color="auto" w:fill="F9F9F9"/>
          <w14:textFill>
            <w14:solidFill>
              <w14:schemeClr w14:val="tx1"/>
            </w14:solidFill>
          </w14:textFill>
        </w:rPr>
        <w:t>// </w:t>
      </w:r>
      <w:r>
        <w:fldChar w:fldCharType="begin"/>
      </w:r>
      <w:r>
        <w:instrText xml:space="preserve"> HYPERLINK "http://www.irbis-nbuv.gov.ua/cgi-bin/irbis_nbuv/cgiirbis_64.exe?Z21ID=&amp;I21DBN=UJRN&amp;P21DBN=UJRN&amp;S21STN=1&amp;S21REF=10&amp;S21FMT=JUU_all&amp;C21COM=S&amp;S21CNR=20&amp;S21P01=0&amp;S21P02=0&amp;S21P03=IJ=&amp;S21COLORTERMS=1&amp;S21STR=%D0%9670374" \o "Періодичне видання" </w:instrText>
      </w:r>
      <w:r>
        <w:fldChar w:fldCharType="separate"/>
      </w:r>
      <w:r>
        <w:rPr>
          <w:rFonts w:ascii="Times New Roman" w:hAnsi="Times New Roman" w:cs="Times New Roman"/>
          <w:color w:val="000000" w:themeColor="text1"/>
          <w:sz w:val="28"/>
          <w:szCs w:val="28"/>
          <w:u w:val="single"/>
          <w14:textFill>
            <w14:solidFill>
              <w14:schemeClr w14:val="tx1"/>
            </w14:solidFill>
          </w14:textFill>
        </w:rPr>
        <w:t>Релігійна свобода</w:t>
      </w:r>
      <w:r>
        <w:rPr>
          <w:rFonts w:ascii="Times New Roman" w:hAnsi="Times New Roman" w:cs="Times New Roman"/>
          <w:color w:val="000000" w:themeColor="text1"/>
          <w:sz w:val="28"/>
          <w:szCs w:val="28"/>
          <w:u w:val="single"/>
          <w14:textFill>
            <w14:solidFill>
              <w14:schemeClr w14:val="tx1"/>
            </w14:solidFill>
          </w14:textFill>
        </w:rPr>
        <w:fldChar w:fldCharType="end"/>
      </w:r>
      <w:r>
        <w:rPr>
          <w:rFonts w:ascii="Times New Roman" w:hAnsi="Times New Roman" w:cs="Times New Roman"/>
          <w:color w:val="000000" w:themeColor="text1"/>
          <w:sz w:val="28"/>
          <w:szCs w:val="28"/>
          <w:shd w:val="clear" w:color="auto" w:fill="F9F9F9"/>
          <w14:textFill>
            <w14:solidFill>
              <w14:schemeClr w14:val="tx1"/>
            </w14:solidFill>
          </w14:textFill>
        </w:rPr>
        <w:t>. - </w:t>
      </w:r>
      <w:r>
        <w:rPr>
          <w:rFonts w:ascii="Times New Roman" w:hAnsi="Times New Roman" w:cs="Times New Roman"/>
          <w:color w:val="000000" w:themeColor="text1"/>
          <w:sz w:val="28"/>
          <w:szCs w:val="28"/>
          <w14:textFill>
            <w14:solidFill>
              <w14:schemeClr w14:val="tx1"/>
            </w14:solidFill>
          </w14:textFill>
        </w:rPr>
        <w:t>2011</w:t>
      </w:r>
      <w:r>
        <w:rPr>
          <w:rFonts w:ascii="Times New Roman" w:hAnsi="Times New Roman" w:cs="Times New Roman"/>
          <w:color w:val="000000" w:themeColor="text1"/>
          <w:sz w:val="28"/>
          <w:szCs w:val="28"/>
          <w:shd w:val="clear" w:color="auto" w:fill="F9F9F9"/>
          <w14:textFill>
            <w14:solidFill>
              <w14:schemeClr w14:val="tx1"/>
            </w14:solidFill>
          </w14:textFill>
        </w:rPr>
        <w:t>. - № 16. - С. 124-136.</w:t>
      </w:r>
    </w:p>
    <w:p w14:paraId="3D727D09">
      <w:pPr>
        <w:spacing w:line="360" w:lineRule="auto"/>
        <w:ind w:left="709"/>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2 Баркер А. Наукове вивчення релігії? Ви, мабуть, жартуєте! // Релігієзнавство, 2003. №4. С. 93-113.</w:t>
      </w:r>
    </w:p>
    <w:p w14:paraId="510631C4">
      <w:pPr>
        <w:spacing w:line="360" w:lineRule="auto"/>
        <w:ind w:left="720"/>
        <w:jc w:val="both"/>
        <w:rPr>
          <w:rFonts w:ascii="Times New Roman" w:hAnsi="Times New Roman" w:eastAsia="Times New Roman" w:cs="Times New Roman"/>
          <w:sz w:val="28"/>
          <w:szCs w:val="28"/>
          <w:lang w:val="uk-UA"/>
        </w:rPr>
      </w:pPr>
      <w:r>
        <w:rPr>
          <w:rFonts w:ascii="Times New Roman" w:hAnsi="Times New Roman" w:eastAsia="Times New Roman" w:cs="Times New Roman"/>
          <w:sz w:val="28"/>
          <w:szCs w:val="28"/>
          <w:lang w:val="uk-UA"/>
        </w:rPr>
        <w:t>3.  Бєлов А. В. Секти, сектанство, сектанти  К: Інтернаука, 2000. 151 с.</w:t>
      </w:r>
    </w:p>
    <w:p w14:paraId="6FF44640">
      <w:pPr>
        <w:spacing w:line="360" w:lineRule="auto"/>
        <w:ind w:left="720"/>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iCs/>
          <w:color w:val="000000"/>
          <w:sz w:val="28"/>
          <w:szCs w:val="28"/>
          <w:lang w:val="uk-UA"/>
        </w:rPr>
        <w:t>4. Богдановський І. В.</w:t>
      </w:r>
      <w:r>
        <w:rPr>
          <w:rFonts w:ascii="Times New Roman" w:hAnsi="Times New Roman" w:eastAsia="Times New Roman" w:cs="Times New Roman"/>
          <w:color w:val="000000"/>
          <w:sz w:val="28"/>
          <w:szCs w:val="28"/>
          <w:lang w:val="uk-UA"/>
        </w:rPr>
        <w:t> </w:t>
      </w:r>
      <w:r>
        <w:fldChar w:fldCharType="begin"/>
      </w:r>
      <w:r>
        <w:instrText xml:space="preserve"> HYPERLINK "http://jrnl.nau.edu.ua/index.php/VisnikPK/article/view/2221/2211" </w:instrText>
      </w:r>
      <w:r>
        <w:fldChar w:fldCharType="separate"/>
      </w:r>
      <w:r>
        <w:rPr>
          <w:rFonts w:ascii="Times New Roman" w:hAnsi="Times New Roman" w:eastAsia="Times New Roman" w:cs="Times New Roman"/>
          <w:color w:val="000000"/>
          <w:sz w:val="28"/>
          <w:szCs w:val="28"/>
          <w:lang w:val="uk-UA"/>
        </w:rPr>
        <w:t>Релігія і сучасний світ: нові форми взаємодії</w:t>
      </w:r>
      <w:r>
        <w:rPr>
          <w:rFonts w:ascii="Times New Roman" w:hAnsi="Times New Roman" w:eastAsia="Times New Roman" w:cs="Times New Roman"/>
          <w:color w:val="000000"/>
          <w:sz w:val="28"/>
          <w:szCs w:val="28"/>
          <w:lang w:val="uk-UA"/>
        </w:rPr>
        <w:fldChar w:fldCharType="end"/>
      </w:r>
      <w:r>
        <w:rPr>
          <w:rFonts w:ascii="Times New Roman" w:hAnsi="Times New Roman" w:eastAsia="Times New Roman" w:cs="Times New Roman"/>
          <w:color w:val="000000"/>
          <w:sz w:val="28"/>
          <w:szCs w:val="28"/>
          <w:lang w:val="uk-UA"/>
        </w:rPr>
        <w:t> // </w:t>
      </w:r>
      <w:r>
        <w:fldChar w:fldCharType="begin"/>
      </w:r>
      <w:r>
        <w:instrText xml:space="preserve"> HYPERLINK "https://ru.wikipedia.org/wiki/%D0%9D%D0%B0%D1%86%D0%B8%D0%BE%D0%BD%D0%B0%D0%BB%D1%8C%D0%BD%D1%8B%D0%B9_%D0%B0%D0%B2%D0%B8%D0%B0%D1%86%D0%B8%D0%BE%D0%BD%D0%BD%D1%8B%D0%B9_%D1%83%D0%BD%D0%B8%D0%B2%D0%B5%D1%80%D1%81%D0%B8%D1%82%D0%B5%D1%82" \o "Национальный авиационный университет" </w:instrText>
      </w:r>
      <w:r>
        <w:fldChar w:fldCharType="separate"/>
      </w:r>
      <w:r>
        <w:rPr>
          <w:rFonts w:ascii="Times New Roman" w:hAnsi="Times New Roman" w:eastAsia="Times New Roman" w:cs="Times New Roman"/>
          <w:color w:val="000000"/>
          <w:sz w:val="28"/>
          <w:szCs w:val="28"/>
          <w:lang w:val="uk-UA"/>
        </w:rPr>
        <w:t>Вісник Національного Авіаційного Університету</w:t>
      </w:r>
      <w:r>
        <w:rPr>
          <w:rFonts w:ascii="Times New Roman" w:hAnsi="Times New Roman" w:eastAsia="Times New Roman" w:cs="Times New Roman"/>
          <w:color w:val="000000"/>
          <w:sz w:val="28"/>
          <w:szCs w:val="28"/>
          <w:lang w:val="uk-UA"/>
        </w:rPr>
        <w:fldChar w:fldCharType="end"/>
      </w:r>
      <w:r>
        <w:rPr>
          <w:rFonts w:ascii="Times New Roman" w:hAnsi="Times New Roman" w:eastAsia="Times New Roman" w:cs="Times New Roman"/>
          <w:color w:val="000000"/>
          <w:sz w:val="28"/>
          <w:szCs w:val="28"/>
          <w:lang w:val="uk-UA"/>
        </w:rPr>
        <w:t>. Серія: Філософія. Культурологія : Зб. наук. пр. – К.: Вид-во Нац. авіац. ун-ту «НАУ–друк»,  2008. - № 2 (8). – С. 117-121.</w:t>
      </w:r>
      <w:r>
        <w:rPr>
          <w:rFonts w:ascii="Times New Roman" w:hAnsi="Times New Roman" w:eastAsia="Times New Roman" w:cs="Times New Roman"/>
          <w:color w:val="000000"/>
          <w:sz w:val="28"/>
          <w:szCs w:val="28"/>
          <w:lang w:val="uk-UA"/>
        </w:rPr>
        <w:cr/>
      </w:r>
      <w:r>
        <w:rPr>
          <w:rFonts w:ascii="Times New Roman" w:hAnsi="Times New Roman" w:eastAsia="Times New Roman" w:cs="Times New Roman"/>
          <w:iCs/>
          <w:color w:val="000000"/>
          <w:sz w:val="28"/>
          <w:szCs w:val="28"/>
          <w:lang w:val="uk-UA"/>
        </w:rPr>
        <w:t>5. Богдановський І. В</w:t>
      </w:r>
      <w:r>
        <w:rPr>
          <w:rFonts w:ascii="Times New Roman" w:hAnsi="Times New Roman" w:eastAsia="Times New Roman" w:cs="Times New Roman"/>
          <w:i/>
          <w:iCs/>
          <w:color w:val="000000"/>
          <w:sz w:val="28"/>
          <w:szCs w:val="28"/>
          <w:lang w:val="uk-UA"/>
        </w:rPr>
        <w:t>.</w:t>
      </w:r>
      <w:r>
        <w:rPr>
          <w:rFonts w:ascii="Times New Roman" w:hAnsi="Times New Roman" w:eastAsia="Times New Roman" w:cs="Times New Roman"/>
          <w:color w:val="000000"/>
          <w:sz w:val="28"/>
          <w:szCs w:val="28"/>
          <w:lang w:val="uk-UA"/>
        </w:rPr>
        <w:t> </w:t>
      </w:r>
      <w:r>
        <w:fldChar w:fldCharType="begin"/>
      </w:r>
      <w:r>
        <w:instrText xml:space="preserve"> HYPERLINK "http://jrnl.nau.edu.ua/index.php/VisnikPK/article/view/2291/2280" </w:instrText>
      </w:r>
      <w:r>
        <w:fldChar w:fldCharType="separate"/>
      </w:r>
      <w:r>
        <w:rPr>
          <w:rFonts w:ascii="Times New Roman" w:hAnsi="Times New Roman" w:eastAsia="Times New Roman" w:cs="Times New Roman"/>
          <w:color w:val="000000"/>
          <w:sz w:val="28"/>
          <w:szCs w:val="28"/>
          <w:lang w:val="uk-UA"/>
        </w:rPr>
        <w:t>Світоглядні основи нетрадиційних релігій</w:t>
      </w:r>
      <w:r>
        <w:rPr>
          <w:rFonts w:ascii="Times New Roman" w:hAnsi="Times New Roman" w:eastAsia="Times New Roman" w:cs="Times New Roman"/>
          <w:color w:val="000000"/>
          <w:sz w:val="28"/>
          <w:szCs w:val="28"/>
          <w:lang w:val="uk-UA"/>
        </w:rPr>
        <w:fldChar w:fldCharType="end"/>
      </w:r>
      <w:r>
        <w:rPr>
          <w:rFonts w:ascii="Times New Roman" w:hAnsi="Times New Roman" w:eastAsia="Times New Roman" w:cs="Times New Roman"/>
          <w:color w:val="000000"/>
          <w:sz w:val="28"/>
          <w:szCs w:val="28"/>
          <w:lang w:val="uk-UA"/>
        </w:rPr>
        <w:t> // </w:t>
      </w:r>
      <w:r>
        <w:fldChar w:fldCharType="begin"/>
      </w:r>
      <w:r>
        <w:instrText xml:space="preserve"> HYPERLINK "https://ru.wikipedia.org/wiki/%D0%9D%D0%B0%D1%86%D0%B8%D0%BE%D0%BD%D0%B0%D0%BB%D1%8C%D0%BD%D1%8B%D0%B9_%D0%B0%D0%B2%D0%B8%D0%B0%D1%86%D0%B8%D0%BE%D0%BD%D0%BD%D1%8B%D0%B9_%D1%83%D0%BD%D0%B8%D0%B2%D0%B5%D1%80%D1%81%D0%B8%D1%82%D0%B5%D1%82" \o "Национальный авиационный университет" </w:instrText>
      </w:r>
      <w:r>
        <w:fldChar w:fldCharType="separate"/>
      </w:r>
      <w:r>
        <w:rPr>
          <w:rFonts w:ascii="Times New Roman" w:hAnsi="Times New Roman" w:eastAsia="Times New Roman" w:cs="Times New Roman"/>
          <w:color w:val="000000"/>
          <w:sz w:val="28"/>
          <w:szCs w:val="28"/>
          <w:lang w:val="uk-UA"/>
        </w:rPr>
        <w:t>Вісник Національного авіаційного університету</w:t>
      </w:r>
      <w:r>
        <w:rPr>
          <w:rFonts w:ascii="Times New Roman" w:hAnsi="Times New Roman" w:eastAsia="Times New Roman" w:cs="Times New Roman"/>
          <w:color w:val="000000"/>
          <w:sz w:val="28"/>
          <w:szCs w:val="28"/>
          <w:lang w:val="uk-UA"/>
        </w:rPr>
        <w:fldChar w:fldCharType="end"/>
      </w:r>
      <w:r>
        <w:rPr>
          <w:rFonts w:ascii="Times New Roman" w:hAnsi="Times New Roman" w:eastAsia="Times New Roman" w:cs="Times New Roman"/>
          <w:color w:val="000000"/>
          <w:sz w:val="28"/>
          <w:szCs w:val="28"/>
          <w:lang w:val="uk-UA"/>
        </w:rPr>
        <w:t>. Серія: Філософія. Культорологія: Збірник наукових праць. К.: </w:t>
      </w:r>
      <w:r>
        <w:fldChar w:fldCharType="begin"/>
      </w:r>
      <w:r>
        <w:instrText xml:space="preserve"> HYPERLINK "https://ru.wikipedia.org/wiki/%D0%9D%D0%B0%D1%86%D0%B8%D0%BE%D0%BD%D0%B0%D0%BB%D1%8C%D0%BD%D1%8B%D0%B9_%D0%B0%D0%B2%D0%B8%D0%B0%D1%86%D0%B8%D0%BE%D0%BD%D0%BD%D1%8B%D0%B9_%D1%83%D0%BD%D0%B8%D0%B2%D0%B5%D1%80%D1%81%D0%B8%D1%82%D0%B5%D1%82" \o "Национальный авиационный университет" </w:instrText>
      </w:r>
      <w:r>
        <w:fldChar w:fldCharType="separate"/>
      </w:r>
      <w:r>
        <w:rPr>
          <w:rFonts w:ascii="Times New Roman" w:hAnsi="Times New Roman" w:eastAsia="Times New Roman" w:cs="Times New Roman"/>
          <w:color w:val="000000"/>
          <w:sz w:val="28"/>
          <w:szCs w:val="28"/>
          <w:lang w:val="uk-UA"/>
        </w:rPr>
        <w:t>Вид-во Національного авіаційного університету “НАУ-друк”</w:t>
      </w:r>
      <w:r>
        <w:rPr>
          <w:rFonts w:ascii="Times New Roman" w:hAnsi="Times New Roman" w:eastAsia="Times New Roman" w:cs="Times New Roman"/>
          <w:color w:val="000000"/>
          <w:sz w:val="28"/>
          <w:szCs w:val="28"/>
          <w:lang w:val="uk-UA"/>
        </w:rPr>
        <w:fldChar w:fldCharType="end"/>
      </w:r>
      <w:r>
        <w:rPr>
          <w:rFonts w:ascii="Times New Roman" w:hAnsi="Times New Roman" w:eastAsia="Times New Roman" w:cs="Times New Roman"/>
          <w:color w:val="000000"/>
          <w:sz w:val="28"/>
          <w:szCs w:val="28"/>
          <w:lang w:val="uk-UA"/>
        </w:rPr>
        <w:t>, 2009. Вип. 9, № 1.</w:t>
      </w:r>
    </w:p>
    <w:p w14:paraId="4EAF060B">
      <w:pPr>
        <w:spacing w:line="360" w:lineRule="auto"/>
        <w:ind w:left="720"/>
        <w:jc w:val="both"/>
        <w:rPr>
          <w:rFonts w:ascii="Times New Roman" w:hAnsi="Times New Roman" w:eastAsia="Times New Roman" w:cs="Times New Roman"/>
          <w:sz w:val="28"/>
          <w:szCs w:val="28"/>
          <w:lang w:val="uk-UA"/>
        </w:rPr>
      </w:pPr>
      <w:r>
        <w:rPr>
          <w:rFonts w:ascii="Times New Roman" w:hAnsi="Times New Roman" w:cs="Times New Roman"/>
          <w:color w:val="202122"/>
          <w:sz w:val="28"/>
          <w:szCs w:val="28"/>
          <w:shd w:val="clear" w:color="auto" w:fill="FFFFFF"/>
          <w:lang w:val="uk-UA"/>
        </w:rPr>
        <w:t>6.  Вебер М.;Протестанська етика та дух капіталізму. перекл. з нім. О. Погорілого. К.: Основи, 1994. 261 с. </w:t>
      </w:r>
      <w:r>
        <w:rPr>
          <w:rFonts w:ascii="Times New Roman" w:hAnsi="Times New Roman" w:eastAsia="Times New Roman" w:cs="Times New Roman"/>
          <w:sz w:val="28"/>
          <w:szCs w:val="28"/>
          <w:lang w:val="uk-UA"/>
        </w:rPr>
        <w:t xml:space="preserve"> </w:t>
      </w:r>
    </w:p>
    <w:p w14:paraId="2D522AE0">
      <w:pPr>
        <w:spacing w:line="360" w:lineRule="auto"/>
        <w:ind w:left="709"/>
        <w:jc w:val="both"/>
        <w:rPr>
          <w:rFonts w:ascii="Times New Roman" w:hAnsi="Times New Roman" w:eastAsia="Times New Roman" w:cs="Times New Roman"/>
          <w:sz w:val="28"/>
          <w:szCs w:val="28"/>
          <w:highlight w:val="yellow"/>
          <w:lang w:val="uk-UA"/>
        </w:rPr>
      </w:pPr>
      <w:r>
        <w:rPr>
          <w:rFonts w:ascii="Times New Roman" w:hAnsi="Times New Roman" w:cs="Times New Roman"/>
          <w:color w:val="000000"/>
          <w:sz w:val="28"/>
          <w:szCs w:val="28"/>
          <w:lang w:val="uk-UA"/>
        </w:rPr>
        <w:t>7.  Воронянська Н.  Розвиток церкви адвентистів сьомого дня в україні у дослідженнях радянської та сучасної вітчизняної історіографії.//</w:t>
      </w:r>
      <w:r>
        <w:rPr>
          <w:lang w:val="uk-UA"/>
        </w:rPr>
        <w:t xml:space="preserve"> </w:t>
      </w:r>
      <w:r>
        <w:rPr>
          <w:rFonts w:ascii="Times New Roman" w:hAnsi="Times New Roman" w:cs="Times New Roman"/>
          <w:bCs/>
          <w:sz w:val="28"/>
          <w:szCs w:val="28"/>
          <w:shd w:val="clear" w:color="auto" w:fill="FFFFFF"/>
          <w:lang w:val="uk-UA"/>
        </w:rPr>
        <w:t>Історія релігій в Україні: науковий щорічник</w:t>
      </w:r>
      <w:r>
        <w:rPr>
          <w:rFonts w:ascii="Times New Roman" w:hAnsi="Times New Roman" w:cs="Times New Roman"/>
          <w:sz w:val="28"/>
          <w:szCs w:val="28"/>
          <w:shd w:val="clear" w:color="auto" w:fill="FFFFFF"/>
          <w:lang w:val="uk-UA"/>
        </w:rPr>
        <w:t xml:space="preserve">/ упоряд. О. Киричук, М. Омельчук,І. Орлевич.  Л. : Львівський музей історії релігії; вид-во «Логос», 2010. Книга </w:t>
      </w:r>
      <w:r>
        <w:rPr>
          <w:rFonts w:ascii="Times New Roman" w:hAnsi="Times New Roman" w:cs="Times New Roman"/>
          <w:sz w:val="28"/>
          <w:szCs w:val="28"/>
          <w:shd w:val="clear" w:color="auto" w:fill="FFFFFF"/>
        </w:rPr>
        <w:t>I</w:t>
      </w:r>
      <w:r>
        <w:rPr>
          <w:rFonts w:ascii="Times New Roman" w:hAnsi="Times New Roman" w:cs="Times New Roman"/>
          <w:sz w:val="28"/>
          <w:szCs w:val="28"/>
          <w:shd w:val="clear" w:color="auto" w:fill="FFFFFF"/>
          <w:lang w:val="uk-UA"/>
        </w:rPr>
        <w:t>. 936 с.</w:t>
      </w:r>
    </w:p>
    <w:p w14:paraId="11478CA1">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Pr>
          <w:rFonts w:ascii="Times New Roman" w:hAnsi="Times New Roman" w:cs="Times New Roman"/>
          <w:color w:val="000000"/>
          <w:sz w:val="28"/>
          <w:szCs w:val="28"/>
          <w:lang w:val="uk-UA"/>
        </w:rPr>
        <w:t>Дмитрієв Д.А. Релігійні організації як суб’єкти адміністративного права. //</w:t>
      </w:r>
      <w:r>
        <w:rPr>
          <w:rFonts w:ascii="Times New Roman" w:hAnsi="Times New Roman" w:cs="Times New Roman"/>
          <w:color w:val="000000"/>
          <w:sz w:val="28"/>
          <w:szCs w:val="28"/>
        </w:rPr>
        <w:t>Juris</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Europensis</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Scientia</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Випуск 2, 2022. С. 69-75.</w:t>
      </w:r>
      <w:r>
        <w:rPr>
          <w:rFonts w:ascii="Times New Roman" w:hAnsi="Times New Roman" w:cs="Times New Roman"/>
          <w:sz w:val="28"/>
          <w:szCs w:val="28"/>
          <w:lang w:val="uk-UA"/>
        </w:rPr>
        <w:t xml:space="preserve"> </w:t>
      </w:r>
    </w:p>
    <w:p w14:paraId="3F367FB7">
      <w:pPr>
        <w:spacing w:line="360" w:lineRule="auto"/>
        <w:ind w:left="720"/>
        <w:jc w:val="both"/>
        <w:rPr>
          <w:rFonts w:ascii="Times New Roman" w:hAnsi="Times New Roman" w:cs="Times New Roman"/>
          <w:sz w:val="28"/>
          <w:szCs w:val="28"/>
          <w:lang w:val="uk-UA"/>
        </w:rPr>
      </w:pPr>
      <w:r>
        <w:rPr>
          <w:rFonts w:ascii="Times New Roman" w:hAnsi="Times New Roman" w:cs="Times New Roman"/>
          <w:color w:val="202122"/>
          <w:sz w:val="28"/>
          <w:szCs w:val="28"/>
          <w:shd w:val="clear" w:color="auto" w:fill="FFFFFF"/>
          <w:lang w:val="uk-UA"/>
        </w:rPr>
        <w:t>9. Дюркгайм Е. Первісні форми релігійного життя: Тотемна система в Австралії. Київ: Юніверс, 2002. 423 с.</w:t>
      </w:r>
    </w:p>
    <w:p w14:paraId="641DBBD1">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10. Єленський В. Є. Біле Братство як підручник соціології релігії // Людина і світ. 1996. № 5-6. С. 23-27.</w:t>
      </w:r>
    </w:p>
    <w:p w14:paraId="1E8B1CD4">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11. Коваленко Е. А. Нові релігійні течіі як девіація.</w:t>
      </w:r>
      <w:r>
        <w:rPr>
          <w:rFonts w:ascii="Segoe UI" w:hAnsi="Segoe UI" w:cs="Segoe UI"/>
          <w:color w:val="343A40"/>
          <w:shd w:val="clear" w:color="auto" w:fill="FFFFFF"/>
          <w:lang w:val="uk-UA"/>
        </w:rPr>
        <w:t xml:space="preserve"> </w:t>
      </w:r>
      <w:r>
        <w:rPr>
          <w:rFonts w:ascii="Times New Roman" w:hAnsi="Times New Roman" w:cs="Times New Roman"/>
          <w:color w:val="343A40"/>
          <w:sz w:val="28"/>
          <w:szCs w:val="28"/>
          <w:shd w:val="clear" w:color="auto" w:fill="FFFFFF"/>
          <w:lang w:val="uk-UA"/>
        </w:rPr>
        <w:t xml:space="preserve">// Вісник Харківського університету. </w:t>
      </w:r>
      <w:r>
        <w:rPr>
          <w:rFonts w:ascii="Times New Roman" w:hAnsi="Times New Roman" w:cs="Times New Roman"/>
          <w:color w:val="343A40"/>
          <w:sz w:val="28"/>
          <w:szCs w:val="28"/>
          <w:shd w:val="clear" w:color="auto" w:fill="FFFFFF"/>
        </w:rPr>
        <w:t>Сер. Теорія культури і філософія науки. – Харків, 2015. – № 1142, вип. 52. – С. 81–88.</w:t>
      </w:r>
      <w:r>
        <w:rPr>
          <w:rFonts w:ascii="Times New Roman" w:hAnsi="Times New Roman" w:cs="Times New Roman"/>
          <w:sz w:val="28"/>
          <w:szCs w:val="28"/>
          <w:lang w:val="uk-UA"/>
        </w:rPr>
        <w:t xml:space="preserve"> </w:t>
      </w:r>
      <w:r>
        <w:fldChar w:fldCharType="begin"/>
      </w:r>
      <w:r>
        <w:instrText xml:space="preserve"> HYPERLINK "file:///C:\\Users\\user\\Downloads\\2193-Article%20Text-4259-1-10-20150501%20(7).pdf" </w:instrText>
      </w:r>
      <w:r>
        <w:fldChar w:fldCharType="separate"/>
      </w:r>
      <w:r>
        <w:rPr>
          <w:rFonts w:ascii="Times New Roman" w:hAnsi="Times New Roman" w:cs="Times New Roman"/>
          <w:color w:val="0000FF"/>
          <w:sz w:val="28"/>
          <w:szCs w:val="28"/>
          <w:u w:val="single"/>
          <w:lang w:val="uk-UA"/>
        </w:rPr>
        <w:t>2193-</w:t>
      </w:r>
      <w:r>
        <w:rPr>
          <w:rFonts w:ascii="Times New Roman" w:hAnsi="Times New Roman" w:cs="Times New Roman"/>
          <w:color w:val="0000FF"/>
          <w:sz w:val="28"/>
          <w:szCs w:val="28"/>
          <w:u w:val="single"/>
        </w:rPr>
        <w:t>Article</w:t>
      </w:r>
      <w:r>
        <w:rPr>
          <w:rFonts w:ascii="Times New Roman" w:hAnsi="Times New Roman" w:cs="Times New Roman"/>
          <w:color w:val="0000FF"/>
          <w:sz w:val="28"/>
          <w:szCs w:val="28"/>
          <w:u w:val="single"/>
          <w:lang w:val="uk-UA"/>
        </w:rPr>
        <w:t xml:space="preserve"> </w:t>
      </w:r>
      <w:r>
        <w:rPr>
          <w:rFonts w:ascii="Times New Roman" w:hAnsi="Times New Roman" w:cs="Times New Roman"/>
          <w:color w:val="0000FF"/>
          <w:sz w:val="28"/>
          <w:szCs w:val="28"/>
          <w:u w:val="single"/>
        </w:rPr>
        <w:t>Text</w:t>
      </w:r>
      <w:r>
        <w:rPr>
          <w:rFonts w:ascii="Times New Roman" w:hAnsi="Times New Roman" w:cs="Times New Roman"/>
          <w:color w:val="0000FF"/>
          <w:sz w:val="28"/>
          <w:szCs w:val="28"/>
          <w:u w:val="single"/>
          <w:lang w:val="uk-UA"/>
        </w:rPr>
        <w:t>-4259-1-10-20150501 (7).</w:t>
      </w:r>
      <w:r>
        <w:rPr>
          <w:rFonts w:ascii="Times New Roman" w:hAnsi="Times New Roman" w:cs="Times New Roman"/>
          <w:color w:val="0000FF"/>
          <w:sz w:val="28"/>
          <w:szCs w:val="28"/>
          <w:u w:val="single"/>
        </w:rPr>
        <w:t>pdf</w:t>
      </w:r>
      <w:r>
        <w:rPr>
          <w:rFonts w:ascii="Times New Roman" w:hAnsi="Times New Roman" w:cs="Times New Roman"/>
          <w:color w:val="0000FF"/>
          <w:sz w:val="28"/>
          <w:szCs w:val="28"/>
          <w:u w:val="single"/>
        </w:rPr>
        <w:fldChar w:fldCharType="end"/>
      </w:r>
      <w:r>
        <w:rPr>
          <w:rFonts w:ascii="Times New Roman" w:hAnsi="Times New Roman" w:cs="Times New Roman"/>
          <w:sz w:val="28"/>
          <w:szCs w:val="28"/>
          <w:lang w:val="uk-UA"/>
        </w:rPr>
        <w:t xml:space="preserve"> </w:t>
      </w:r>
    </w:p>
    <w:p w14:paraId="5B9045F2">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12. Кінь Р. М. Секти та їх шкода суспільству. - Україна: Сумська єпархія. 2009. - 364 с</w:t>
      </w:r>
    </w:p>
    <w:p w14:paraId="0C85C1AF">
      <w:pPr>
        <w:spacing w:line="360" w:lineRule="auto"/>
        <w:ind w:left="720"/>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lang w:val="uk-UA"/>
          <w14:textFill>
            <w14:solidFill>
              <w14:schemeClr w14:val="tx1"/>
            </w14:solidFill>
          </w14:textFill>
        </w:rPr>
        <w:t xml:space="preserve">13. Кришталь Ю </w:t>
      </w:r>
      <w:r>
        <w:rPr>
          <w:rFonts w:ascii="Times New Roman" w:hAnsi="Times New Roman" w:cs="Times New Roman"/>
          <w:bCs/>
          <w:color w:val="000000" w:themeColor="text1"/>
          <w:sz w:val="28"/>
          <w:szCs w:val="28"/>
          <w:lang w:val="uk-UA"/>
          <w14:textFill>
            <w14:solidFill>
              <w14:schemeClr w14:val="tx1"/>
            </w14:solidFill>
          </w14:textFill>
        </w:rPr>
        <w:t>Нетрадиційна релігійність в Україні у другій половині ХХ-початку ХХІ століття: проблема ідентифікації та класифікації</w:t>
      </w:r>
      <w:r>
        <w:rPr>
          <w:rFonts w:ascii="Times New Roman" w:hAnsi="Times New Roman" w:cs="Times New Roman"/>
          <w:color w:val="000000" w:themeColor="text1"/>
          <w:sz w:val="28"/>
          <w:szCs w:val="28"/>
          <w:shd w:val="clear" w:color="auto" w:fill="F9F9F9"/>
          <w:lang w:val="uk-UA"/>
          <w14:textFill>
            <w14:solidFill>
              <w14:schemeClr w14:val="tx1"/>
            </w14:solidFill>
          </w14:textFill>
        </w:rPr>
        <w:t> / Ю. Кришталь // </w:t>
      </w:r>
      <w:r>
        <w:fldChar w:fldCharType="begin"/>
      </w:r>
      <w:r>
        <w:instrText xml:space="preserve"> HYPERLINK "http://www.irbis-nbuv.gov.ua/cgi-bin/irbis_nbuv/cgiirbis_64.exe?Z21ID=&amp;I21DBN=UJRN&amp;P21DBN=UJRN&amp;S21STN=1&amp;S21REF=10&amp;S21FMT=JUU_all&amp;C21COM=S&amp;S21CNR=20&amp;S21P01=0&amp;S21P02=0&amp;S21P03=IJ=&amp;S21COLORTERMS=1&amp;S21STR=%D0%9669265" \o "Періодичне видання" </w:instrText>
      </w:r>
      <w:r>
        <w:fldChar w:fldCharType="separate"/>
      </w:r>
      <w:r>
        <w:rPr>
          <w:rFonts w:ascii="Times New Roman" w:hAnsi="Times New Roman" w:cs="Times New Roman"/>
          <w:color w:val="000000" w:themeColor="text1"/>
          <w:sz w:val="28"/>
          <w:szCs w:val="28"/>
          <w:lang w:val="uk-UA"/>
          <w14:textFill>
            <w14:solidFill>
              <w14:schemeClr w14:val="tx1"/>
            </w14:solidFill>
          </w14:textFill>
        </w:rPr>
        <w:t>Українське релігієзнавство</w:t>
      </w:r>
      <w:r>
        <w:rPr>
          <w:rFonts w:ascii="Times New Roman" w:hAnsi="Times New Roman" w:cs="Times New Roman"/>
          <w:color w:val="000000" w:themeColor="text1"/>
          <w:sz w:val="28"/>
          <w:szCs w:val="28"/>
          <w:lang w:val="uk-UA"/>
          <w14:textFill>
            <w14:solidFill>
              <w14:schemeClr w14:val="tx1"/>
            </w14:solidFill>
          </w14:textFill>
        </w:rPr>
        <w:fldChar w:fldCharType="end"/>
      </w:r>
      <w:r>
        <w:rPr>
          <w:rFonts w:ascii="Times New Roman" w:hAnsi="Times New Roman" w:cs="Times New Roman"/>
          <w:color w:val="000000" w:themeColor="text1"/>
          <w:sz w:val="28"/>
          <w:szCs w:val="28"/>
          <w:shd w:val="clear" w:color="auto" w:fill="F9F9F9"/>
          <w:lang w:val="uk-UA"/>
          <w14:textFill>
            <w14:solidFill>
              <w14:schemeClr w14:val="tx1"/>
            </w14:solidFill>
          </w14:textFill>
        </w:rPr>
        <w:t xml:space="preserve">. </w:t>
      </w:r>
      <w:r>
        <w:rPr>
          <w:rFonts w:ascii="Times New Roman" w:hAnsi="Times New Roman" w:cs="Times New Roman"/>
          <w:color w:val="000000" w:themeColor="text1"/>
          <w:sz w:val="28"/>
          <w:szCs w:val="28"/>
          <w:lang w:val="uk-UA"/>
          <w14:textFill>
            <w14:solidFill>
              <w14:schemeClr w14:val="tx1"/>
            </w14:solidFill>
          </w14:textFill>
        </w:rPr>
        <w:t>2015</w:t>
      </w:r>
      <w:r>
        <w:rPr>
          <w:rFonts w:ascii="Times New Roman" w:hAnsi="Times New Roman" w:cs="Times New Roman"/>
          <w:color w:val="000000" w:themeColor="text1"/>
          <w:sz w:val="28"/>
          <w:szCs w:val="28"/>
          <w:shd w:val="clear" w:color="auto" w:fill="F9F9F9"/>
          <w:lang w:val="uk-UA"/>
          <w14:textFill>
            <w14:solidFill>
              <w14:schemeClr w14:val="tx1"/>
            </w14:solidFill>
          </w14:textFill>
        </w:rPr>
        <w:t>. № 73.С.179-186.http://</w:t>
      </w:r>
      <w:r>
        <w:fldChar w:fldCharType="begin"/>
      </w:r>
      <w:r>
        <w:instrText xml:space="preserve"> HYPERLINK "www.irbis-nbuv.gov.ua/cgi-bin/irbis_nbuv/cgiirbis_64.exe?I21DBN" </w:instrText>
      </w:r>
      <w:r>
        <w:fldChar w:fldCharType="separate"/>
      </w:r>
      <w:r>
        <w:rPr>
          <w:rStyle w:val="19"/>
          <w:rFonts w:ascii="Times New Roman" w:hAnsi="Times New Roman" w:cs="Times New Roman"/>
          <w:sz w:val="28"/>
          <w:szCs w:val="28"/>
          <w:shd w:val="clear" w:color="auto" w:fill="F9F9F9"/>
          <w:lang w:val="uk-UA"/>
        </w:rPr>
        <w:t>www.irbis-nbuv.gov.ua/cgi-bin/irbis_nbuv/cgiirbis_64.exe?I21DBN</w:t>
      </w:r>
      <w:r>
        <w:rPr>
          <w:rStyle w:val="19"/>
          <w:rFonts w:ascii="Times New Roman" w:hAnsi="Times New Roman" w:cs="Times New Roman"/>
          <w:sz w:val="28"/>
          <w:szCs w:val="28"/>
          <w:shd w:val="clear" w:color="auto" w:fill="F9F9F9"/>
          <w:lang w:val="uk-UA"/>
        </w:rPr>
        <w:fldChar w:fldCharType="end"/>
      </w:r>
    </w:p>
    <w:p w14:paraId="56EFC231">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14.  Культурологія : Зб. наук. пр. К.: Вид-во Нац. авіац. ун-ту «НАУ–друк», 2008. № 2 (8). С. 117-121.</w:t>
      </w:r>
      <w:r>
        <w:rPr>
          <w:rFonts w:ascii="Times New Roman" w:hAnsi="Times New Roman" w:cs="Times New Roman"/>
          <w:sz w:val="28"/>
          <w:szCs w:val="28"/>
          <w:lang w:val="uk-UA"/>
        </w:rPr>
        <w:cr/>
      </w:r>
      <w:r>
        <w:rPr>
          <w:rFonts w:ascii="Times New Roman" w:hAnsi="Times New Roman" w:cs="Times New Roman"/>
          <w:sz w:val="28"/>
          <w:szCs w:val="28"/>
          <w:lang w:val="uk-UA"/>
        </w:rPr>
        <w:t>15. Ліщинська О. А. Культова психічна залежність особистості.  К.: Шк. Світ, 2007. 112 с.</w:t>
      </w:r>
    </w:p>
    <w:p w14:paraId="2AAA7561">
      <w:pPr>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16. Макдауелл Дж. , Д. Стюарт Ошуканці. В що вірять культи, як вони приймають віруючих. К.:Основи, 1997.  223 с.</w:t>
      </w:r>
    </w:p>
    <w:p w14:paraId="05CB0E33">
      <w:pPr>
        <w:spacing w:line="360" w:lineRule="auto"/>
        <w:ind w:left="709"/>
        <w:jc w:val="both"/>
        <w:rPr>
          <w:rFonts w:ascii="Times New Roman" w:hAnsi="Times New Roman" w:cs="Times New Roman"/>
          <w:sz w:val="28"/>
          <w:szCs w:val="28"/>
          <w:lang w:val="uk-UA"/>
        </w:rPr>
      </w:pPr>
      <w:r>
        <w:rPr>
          <w:rFonts w:ascii="Times New Roman" w:hAnsi="Times New Roman" w:cs="Times New Roman"/>
          <w:color w:val="202122"/>
          <w:sz w:val="28"/>
          <w:szCs w:val="28"/>
          <w:shd w:val="clear" w:color="auto" w:fill="FFFFFF"/>
          <w:lang w:val="uk-UA"/>
        </w:rPr>
        <w:t>17. Маліновський  Б. Магія, наука та релігія.</w:t>
      </w:r>
      <w:r>
        <w:rPr>
          <w:rFonts w:ascii="Times New Roman" w:hAnsi="Times New Roman" w:cs="Times New Roman"/>
          <w:sz w:val="28"/>
          <w:szCs w:val="28"/>
          <w:lang w:val="uk-UA"/>
        </w:rPr>
        <w:t xml:space="preserve"> </w:t>
      </w:r>
      <w:r>
        <w:fldChar w:fldCharType="begin"/>
      </w:r>
      <w:r>
        <w:instrText xml:space="preserve"> HYPERLINK "https://www.gumer.info/bogoslov_Buks/Relig/malin/index.php" </w:instrText>
      </w:r>
      <w:r>
        <w:fldChar w:fldCharType="separate"/>
      </w:r>
      <w:r>
        <w:rPr>
          <w:rFonts w:ascii="Times New Roman" w:hAnsi="Times New Roman" w:cs="Times New Roman"/>
          <w:color w:val="202122"/>
          <w:sz w:val="28"/>
          <w:szCs w:val="28"/>
          <w:shd w:val="clear" w:color="auto" w:fill="FFFFFF"/>
          <w:lang w:val="uk-UA"/>
        </w:rPr>
        <w:t>К.: Академічний      проект, 2015</w:t>
      </w:r>
      <w:r>
        <w:rPr>
          <w:rFonts w:ascii="Times New Roman" w:hAnsi="Times New Roman" w:cs="Times New Roman"/>
          <w:color w:val="202122"/>
          <w:sz w:val="28"/>
          <w:szCs w:val="28"/>
          <w:shd w:val="clear" w:color="auto" w:fill="FFFFFF"/>
          <w:lang w:val="uk-UA"/>
        </w:rPr>
        <w:fldChar w:fldCharType="end"/>
      </w:r>
      <w:r>
        <w:rPr>
          <w:rFonts w:ascii="Times New Roman" w:hAnsi="Times New Roman" w:cs="Times New Roman"/>
          <w:color w:val="202122"/>
          <w:sz w:val="28"/>
          <w:szCs w:val="28"/>
          <w:shd w:val="clear" w:color="auto" w:fill="FFFFFF"/>
          <w:lang w:val="uk-UA"/>
        </w:rPr>
        <w:t>. 289 с</w:t>
      </w:r>
    </w:p>
    <w:p w14:paraId="59B5B603">
      <w:pPr>
        <w:spacing w:line="360" w:lineRule="auto"/>
        <w:ind w:left="720"/>
        <w:jc w:val="both"/>
        <w:rPr>
          <w:rFonts w:ascii="Times New Roman" w:hAnsi="Times New Roman" w:cs="Times New Roman"/>
          <w:sz w:val="28"/>
          <w:szCs w:val="28"/>
          <w:lang w:val="uk-UA"/>
        </w:rPr>
      </w:pPr>
      <w:r>
        <w:rPr>
          <w:lang w:val="uk-UA"/>
        </w:rPr>
        <w:t xml:space="preserve"> </w:t>
      </w:r>
      <w:r>
        <w:rPr>
          <w:rFonts w:ascii="Times New Roman" w:hAnsi="Times New Roman" w:cs="Times New Roman"/>
          <w:sz w:val="28"/>
          <w:szCs w:val="28"/>
          <w:lang w:val="uk-UA"/>
        </w:rPr>
        <w:t>18. Мосюкова Н. Г., Савченко С. В. Християнство в незалежній Україні перед викликами «нової релігійності» // Вісник національного технічного університету «Харківський політехнічний інститут». Збірник наукових праць. Тематичний випуск «Актуальні проблеми історії України». Харків: НТУ «ХПІ», 2011. № 37.</w:t>
      </w:r>
    </w:p>
    <w:p w14:paraId="717DDFFD">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19. Новітні релігії в сучасній Україні. Збірник матеріалів / ред.кол.: В. Д. Бондаренко. гол.ред. та ін. К., 2000. 256 с</w:t>
      </w:r>
    </w:p>
    <w:p w14:paraId="28CFDCED">
      <w:pPr>
        <w:spacing w:line="360" w:lineRule="auto"/>
        <w:ind w:left="720"/>
        <w:jc w:val="both"/>
        <w:rPr>
          <w:rFonts w:ascii="Times New Roman" w:hAnsi="Times New Roman" w:cs="Times New Roman"/>
          <w:sz w:val="28"/>
          <w:szCs w:val="28"/>
          <w:lang w:val="uk-UA"/>
        </w:rPr>
      </w:pPr>
      <w:r>
        <w:rPr>
          <w:rFonts w:ascii="Times New Roman" w:hAnsi="Times New Roman" w:cs="Times New Roman"/>
          <w:color w:val="333333"/>
          <w:sz w:val="28"/>
          <w:szCs w:val="28"/>
          <w:shd w:val="clear" w:color="auto" w:fill="FFFFFF"/>
          <w:lang w:val="uk-UA"/>
        </w:rPr>
        <w:t>20. Орлов В. Генеза нових релігійних течій у сучасній українській та зарубіжній історіографії / Владлен Орлов // Наукові записки Тернопільського національного педагогічного університету імені Володимира Гнатюка. Сер. Історія. 2012. Вип. 1. С. 265–271. </w:t>
      </w:r>
    </w:p>
    <w:p w14:paraId="6E4DF683">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21. Парахонський Б. О., Сьомін С. В. Нетрадиційні релігійні культи, як питання наіональної безпеки // Стратегічна панорама. 2000. № 1.  С. 54-68.</w:t>
      </w:r>
    </w:p>
    <w:p w14:paraId="24999FFF">
      <w:pPr>
        <w:pStyle w:val="18"/>
        <w:shd w:val="clear" w:color="auto" w:fill="F8F9FA"/>
        <w:spacing w:line="360" w:lineRule="auto"/>
        <w:ind w:left="709"/>
        <w:jc w:val="both"/>
        <w:rPr>
          <w:rFonts w:ascii="Times New Roman" w:hAnsi="Times New Roman" w:cs="Times New Roman"/>
          <w:color w:val="1F1F1F"/>
          <w:sz w:val="28"/>
          <w:szCs w:val="28"/>
        </w:rPr>
      </w:pPr>
      <w:r>
        <w:rPr>
          <w:rFonts w:ascii="Times New Roman" w:hAnsi="Times New Roman" w:eastAsia="Times New Roman" w:cs="Times New Roman"/>
          <w:sz w:val="28"/>
          <w:szCs w:val="28"/>
          <w:lang w:val="uk-UA"/>
        </w:rPr>
        <w:t>22. Перссон Бертіл.</w:t>
      </w:r>
      <w:r>
        <w:rPr>
          <w:rFonts w:ascii="inherit" w:hAnsi="inherit" w:cs="Courier New"/>
          <w:color w:val="1F1F1F"/>
          <w:sz w:val="42"/>
          <w:szCs w:val="42"/>
          <w:lang w:val="uk-UA"/>
        </w:rPr>
        <w:t xml:space="preserve"> </w:t>
      </w:r>
      <w:r>
        <w:rPr>
          <w:rFonts w:ascii="Times New Roman" w:hAnsi="Times New Roman" w:cs="Times New Roman"/>
          <w:color w:val="1F1F1F"/>
          <w:sz w:val="28"/>
          <w:szCs w:val="28"/>
          <w:lang w:val="uk-UA"/>
        </w:rPr>
        <w:t>Боротьба проти сект: ідейні основи та їх       неспроможність.</w:t>
      </w:r>
      <w:r>
        <w:rPr>
          <w:rFonts w:ascii="Times New Roman" w:hAnsi="Times New Roman" w:eastAsia="Times New Roman" w:cs="Times New Roman"/>
          <w:sz w:val="28"/>
          <w:szCs w:val="28"/>
          <w:lang w:val="uk-UA"/>
        </w:rPr>
        <w:t xml:space="preserve"> Дніпро: Дерево життя, 2012. 174 с.</w:t>
      </w:r>
      <w:r>
        <w:rPr>
          <w:rFonts w:ascii="Times New Roman" w:hAnsi="Times New Roman" w:cs="Times New Roman"/>
          <w:color w:val="1F1F1F"/>
          <w:sz w:val="28"/>
          <w:szCs w:val="28"/>
          <w:lang w:val="uk-UA"/>
        </w:rPr>
        <w:t xml:space="preserve">     </w:t>
      </w:r>
    </w:p>
    <w:p w14:paraId="13410FE3">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23. Петрик В. В. Захист прав і свобод громадян від антисуспільних проявів з боку деструктивних культів // Правовий статус особи: стан, проблеми, перспективи. Збірник наукових праць з нагоди 50-річчя прийняття і проголошення Генеральною Асамблеєю ООН Загальної Декларації прав людини. К., 1998. Ч. 1. С. 42-46.</w:t>
      </w:r>
    </w:p>
    <w:p w14:paraId="60566383">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24. Петрик В. М. Використання досвіду країн Європи для захисту українського суспільства та прав і свобод громадян від антиконституційних дій з боку неокультів // Українська національна ідея: реалії і перспективи розвитку. Наукове видання. Львів: «Львівська політехніка», 1999.  Вип. 2.  С. 101-107.</w:t>
      </w:r>
    </w:p>
    <w:p w14:paraId="3636B366">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25. Петрик В. М. Щодо питання захисту українського суспільства від протиправних діянь представників неокультів // Збірник наукових праць Донецької державної академії управління. Донецьк: Донецька державна академія управління. 2002. Т. 3. Вип. 17. Серія: «Державне управління». «Соціальний менеджмент і управління інформаційними процесами». С. 391-401.</w:t>
      </w:r>
      <w:r>
        <w:rPr>
          <w:rFonts w:ascii="Times New Roman" w:hAnsi="Times New Roman" w:cs="Times New Roman"/>
          <w:sz w:val="28"/>
          <w:szCs w:val="28"/>
          <w:lang w:val="uk-UA"/>
        </w:rPr>
        <w:tab/>
      </w:r>
    </w:p>
    <w:p w14:paraId="5CBE761D">
      <w:pPr>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26. Петрик В. М., Ліхтенштейн Є. В., Сьомін С. В. Новітні та нетрадиційні релігії, містичні рухи у суспільно-політичний сфері України: Монографія / За заг. ред. З. І. Тимошенко. К: Вид-во Європ. ун-ту, 2002.  331 с.</w:t>
      </w:r>
    </w:p>
    <w:p w14:paraId="39D3ED0D">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27. Петрик В. М., Остроухов В. В. Ловці довірливих душ // Політика і час. 2002. № 10. С. 38-43.</w:t>
      </w:r>
    </w:p>
    <w:p w14:paraId="4DE36405">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28. Петрик В. М., Остроухов В. В. Порівняльній аналіз класифікацій новітніх та нетрадиційних релігій, окультно-містичних течій // Вісник Київського національного лінгвістичного університету. Серія: «Історія, економіка, філософія». 2002. Вип. 6. С. 108-111.</w:t>
      </w:r>
    </w:p>
    <w:p w14:paraId="49178AFD">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29. Петрик В. М., Остроухов В. В. Проти ерозійного впливу неокультів // Політика і час.  2002. № 8. С. 42-50</w:t>
      </w:r>
    </w:p>
    <w:p w14:paraId="4674B296">
      <w:pPr>
        <w:spacing w:line="360" w:lineRule="auto"/>
        <w:ind w:left="720"/>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lang w:val="uk-UA"/>
          <w14:textFill>
            <w14:solidFill>
              <w14:schemeClr w14:val="tx1"/>
            </w14:solidFill>
          </w14:textFill>
        </w:rPr>
        <w:t>30. Сафронов А. Г. Релігійні психопрактики в історії культури.</w:t>
      </w:r>
      <w:r>
        <w:rPr>
          <w:color w:val="000000"/>
          <w:sz w:val="27"/>
          <w:szCs w:val="27"/>
          <w:shd w:val="clear" w:color="auto" w:fill="FFFFFF"/>
        </w:rPr>
        <w:t xml:space="preserve"> </w:t>
      </w:r>
      <w:r>
        <w:rPr>
          <w:rStyle w:val="85"/>
          <w:color w:val="000000"/>
          <w:sz w:val="27"/>
          <w:szCs w:val="27"/>
          <w:shd w:val="clear" w:color="auto" w:fill="FFFFFF"/>
        </w:rPr>
        <w:t xml:space="preserve">X.: </w:t>
      </w:r>
      <w:r>
        <w:rPr>
          <w:rStyle w:val="85"/>
          <w:rFonts w:ascii="TimesNewRomanPSMT_vq" w:hAnsi="TimesNewRomanPSMT_vq"/>
          <w:color w:val="000000"/>
          <w:spacing w:val="1"/>
          <w:sz w:val="27"/>
          <w:szCs w:val="27"/>
          <w:shd w:val="clear" w:color="auto" w:fill="FFFFFF"/>
        </w:rPr>
        <w:t>ХГАК</w:t>
      </w:r>
      <w:r>
        <w:rPr>
          <w:rStyle w:val="85"/>
          <w:color w:val="000000"/>
          <w:spacing w:val="2"/>
          <w:sz w:val="27"/>
          <w:szCs w:val="27"/>
          <w:shd w:val="clear" w:color="auto" w:fill="FFFFFF"/>
        </w:rPr>
        <w:t xml:space="preserve">, 2004. 304 </w:t>
      </w:r>
      <w:r>
        <w:rPr>
          <w:rStyle w:val="85"/>
          <w:rFonts w:ascii="TimesNewRomanPSMT_vq" w:hAnsi="TimesNewRomanPSMT_vq"/>
          <w:color w:val="000000"/>
          <w:sz w:val="27"/>
          <w:szCs w:val="27"/>
          <w:shd w:val="clear" w:color="auto" w:fill="FFFFFF"/>
        </w:rPr>
        <w:t>с</w:t>
      </w:r>
      <w:r>
        <w:rPr>
          <w:rStyle w:val="85"/>
          <w:color w:val="000000"/>
          <w:sz w:val="27"/>
          <w:szCs w:val="27"/>
          <w:shd w:val="clear" w:color="auto" w:fill="FFFFFF"/>
        </w:rPr>
        <w:t>.</w:t>
      </w:r>
      <w:r>
        <w:rPr>
          <w:rStyle w:val="85"/>
          <w:color w:val="000000"/>
          <w:sz w:val="27"/>
          <w:szCs w:val="27"/>
          <w:shd w:val="clear" w:color="auto" w:fill="FFFFFF"/>
          <w:lang w:val="uk-UA"/>
        </w:rPr>
        <w:t xml:space="preserve"> </w:t>
      </w:r>
      <w:r>
        <w:rPr>
          <w:rFonts w:ascii="Times New Roman" w:hAnsi="Times New Roman" w:cs="Times New Roman"/>
          <w:color w:val="000000" w:themeColor="text1"/>
          <w:sz w:val="28"/>
          <w:szCs w:val="28"/>
          <w:lang w:val="uk-UA"/>
          <w14:textFill>
            <w14:solidFill>
              <w14:schemeClr w14:val="tx1"/>
            </w14:solidFill>
          </w14:textFill>
        </w:rPr>
        <w:t xml:space="preserve"> </w:t>
      </w:r>
    </w:p>
    <w:p w14:paraId="53C67FC0">
      <w:pPr>
        <w:spacing w:line="360" w:lineRule="auto"/>
        <w:ind w:left="720"/>
        <w:jc w:val="both"/>
        <w:rPr>
          <w:rFonts w:ascii="Times New Roman" w:hAnsi="Times New Roman" w:cs="Times New Roman"/>
          <w:sz w:val="28"/>
          <w:szCs w:val="28"/>
        </w:rPr>
      </w:pPr>
      <w:r>
        <w:rPr>
          <w:rFonts w:ascii="Times New Roman" w:hAnsi="Times New Roman" w:cs="Times New Roman"/>
          <w:sz w:val="28"/>
          <w:szCs w:val="28"/>
          <w:lang w:val="uk-UA"/>
        </w:rPr>
        <w:t xml:space="preserve">31. Слободиська О. А. Активність нетрадиційных релігій в українському суспільстві. //Доповідь. XⅠI Міжнародна наукова інтернет-конференція Науковий потенціал 2016. </w:t>
      </w:r>
      <w:r>
        <w:fldChar w:fldCharType="begin"/>
      </w:r>
      <w:r>
        <w:instrText xml:space="preserve"> HYPERLINK "https://web.archive.org/web/20160304090238/http:/intkonf.org/kin-slobodiska-oa-aktivnist-netraditsiynih-religiy-v-ukrayinskomu-suspilstvi/" </w:instrText>
      </w:r>
      <w:r>
        <w:fldChar w:fldCharType="separate"/>
      </w:r>
      <w:r>
        <w:rPr>
          <w:rFonts w:ascii="Times New Roman" w:hAnsi="Times New Roman" w:cs="Times New Roman"/>
          <w:color w:val="BB6633"/>
          <w:sz w:val="28"/>
          <w:szCs w:val="28"/>
          <w:u w:val="single"/>
        </w:rPr>
        <w:t>Архивная копия</w:t>
      </w:r>
      <w:r>
        <w:rPr>
          <w:rFonts w:ascii="Times New Roman" w:hAnsi="Times New Roman" w:cs="Times New Roman"/>
          <w:color w:val="BB6633"/>
          <w:sz w:val="28"/>
          <w:szCs w:val="28"/>
          <w:u w:val="single"/>
        </w:rPr>
        <w:fldChar w:fldCharType="end"/>
      </w:r>
      <w:r>
        <w:rPr>
          <w:rFonts w:ascii="Arial" w:hAnsi="Arial" w:cs="Arial"/>
          <w:color w:val="202122"/>
          <w:sz w:val="19"/>
          <w:szCs w:val="19"/>
          <w:shd w:val="clear" w:color="auto" w:fill="FFFFFF"/>
        </w:rPr>
        <w:t> </w:t>
      </w:r>
    </w:p>
    <w:p w14:paraId="0A4EFC4A">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32. Токарєв З. А. Релігія історія народів світу Вид. 3-тє, О:</w:t>
      </w:r>
      <w:r>
        <w:t xml:space="preserve"> </w:t>
      </w:r>
      <w:r>
        <w:rPr>
          <w:rFonts w:ascii="Times New Roman" w:hAnsi="Times New Roman" w:cs="Times New Roman"/>
          <w:sz w:val="28"/>
          <w:szCs w:val="28"/>
          <w:lang w:val="uk-UA"/>
        </w:rPr>
        <w:t>Фенікс 2015, 582 с</w:t>
      </w:r>
    </w:p>
    <w:p w14:paraId="5BBF6C59">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33. Федоренко Ф. І. Секти, їх віра та справи. К.:Основи,2002. 120 с. 34. Филипович Л. О. Новітні релігійні течії: український контекст (огляд, документи, переклади).  К.: Наукова думка, 2000. 132 с</w:t>
      </w:r>
    </w:p>
    <w:p w14:paraId="05CD5B89">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35. Хассен С Протистояння сектам та контролю за свідомістю. К.: Основи, 2007. 315 с</w:t>
      </w:r>
    </w:p>
    <w:p w14:paraId="3FC7B261">
      <w:pPr>
        <w:spacing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36. Хенд Роберт З. Ніч і день: планетарні секти в астрології Л.: Ліга незалежних астрологів, 1998 – 88 с</w:t>
      </w:r>
    </w:p>
    <w:p w14:paraId="1979162B">
      <w:pPr>
        <w:spacing w:line="360" w:lineRule="auto"/>
        <w:ind w:left="720"/>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37. Чернишов В.М. Сектознавство. Том 1. Київ: Товариство любителів православної літератури; Вид-во ім. свт. Лева, Папи Римського, 2006: 608 с.</w:t>
      </w:r>
    </w:p>
    <w:p w14:paraId="683DE529">
      <w:pPr>
        <w:spacing w:line="360" w:lineRule="auto"/>
        <w:ind w:left="720"/>
        <w:jc w:val="both"/>
        <w:rPr>
          <w:rFonts w:ascii="Times New Roman" w:hAnsi="Times New Roman" w:cs="Times New Roman"/>
          <w:sz w:val="28"/>
          <w:szCs w:val="28"/>
        </w:rPr>
      </w:pPr>
      <w:r>
        <w:rPr>
          <w:rFonts w:ascii="Times New Roman" w:hAnsi="Times New Roman" w:cs="Times New Roman"/>
          <w:sz w:val="28"/>
          <w:szCs w:val="28"/>
          <w:lang w:val="uk-UA"/>
        </w:rPr>
        <w:t>38. Шилз Едвард  Традиція. К.: Основи, 2005. 368 с</w:t>
      </w:r>
    </w:p>
    <w:p w14:paraId="0B3AD533">
      <w:pPr>
        <w:spacing w:line="360" w:lineRule="auto"/>
        <w:ind w:left="720"/>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39.</w:t>
      </w:r>
      <w:r>
        <w:rPr>
          <w:rFonts w:ascii="Times New Roman" w:hAnsi="Times New Roman" w:cs="Times New Roman"/>
          <w:color w:val="3F4348"/>
          <w:sz w:val="28"/>
          <w:szCs w:val="28"/>
          <w:shd w:val="clear" w:color="auto" w:fill="FFFFFF"/>
          <w:lang w:val="uk-UA"/>
        </w:rPr>
        <w:t xml:space="preserve"> Яроцький П. Меншини релігійні. //</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Енциклопедія Сучасної України</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 Редкол.</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 І.</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М.</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Дзюба, А.</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І.</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Жуковський, М.</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Г.</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Железняк [та ін.] ; НАН України, НТШ. – К.</w:t>
      </w:r>
      <w:r>
        <w:rPr>
          <w:rFonts w:ascii="Times New Roman" w:hAnsi="Times New Roman" w:cs="Times New Roman"/>
          <w:color w:val="3F4348"/>
          <w:sz w:val="28"/>
          <w:szCs w:val="28"/>
          <w:shd w:val="clear" w:color="auto" w:fill="FFFFFF"/>
        </w:rPr>
        <w:t> </w:t>
      </w:r>
      <w:r>
        <w:rPr>
          <w:rFonts w:ascii="Times New Roman" w:hAnsi="Times New Roman" w:cs="Times New Roman"/>
          <w:color w:val="3F4348"/>
          <w:sz w:val="28"/>
          <w:szCs w:val="28"/>
          <w:shd w:val="clear" w:color="auto" w:fill="FFFFFF"/>
          <w:lang w:val="uk-UA"/>
        </w:rPr>
        <w:t xml:space="preserve">: Інститут енциклопедичних досліджень НАН України, 2018.  </w:t>
      </w:r>
      <w:r>
        <w:rPr>
          <w:rFonts w:ascii="Times New Roman" w:hAnsi="Times New Roman" w:cs="Times New Roman"/>
          <w:color w:val="3F4348"/>
          <w:sz w:val="28"/>
          <w:szCs w:val="28"/>
          <w:shd w:val="clear" w:color="auto" w:fill="FFFFFF"/>
        </w:rPr>
        <w:t>https</w:t>
      </w:r>
      <w:r>
        <w:rPr>
          <w:rFonts w:ascii="Times New Roman" w:hAnsi="Times New Roman" w:cs="Times New Roman"/>
          <w:color w:val="3F4348"/>
          <w:sz w:val="28"/>
          <w:szCs w:val="28"/>
          <w:shd w:val="clear" w:color="auto" w:fill="FFFFFF"/>
          <w:lang w:val="uk-UA"/>
        </w:rPr>
        <w:t>://</w:t>
      </w:r>
      <w:r>
        <w:rPr>
          <w:rFonts w:ascii="Times New Roman" w:hAnsi="Times New Roman" w:cs="Times New Roman"/>
          <w:color w:val="3F4348"/>
          <w:sz w:val="28"/>
          <w:szCs w:val="28"/>
          <w:shd w:val="clear" w:color="auto" w:fill="FFFFFF"/>
        </w:rPr>
        <w:t>esu</w:t>
      </w:r>
      <w:r>
        <w:rPr>
          <w:rFonts w:ascii="Times New Roman" w:hAnsi="Times New Roman" w:cs="Times New Roman"/>
          <w:color w:val="3F4348"/>
          <w:sz w:val="28"/>
          <w:szCs w:val="28"/>
          <w:shd w:val="clear" w:color="auto" w:fill="FFFFFF"/>
          <w:lang w:val="uk-UA"/>
        </w:rPr>
        <w:t>.</w:t>
      </w:r>
      <w:r>
        <w:rPr>
          <w:rFonts w:ascii="Times New Roman" w:hAnsi="Times New Roman" w:cs="Times New Roman"/>
          <w:color w:val="3F4348"/>
          <w:sz w:val="28"/>
          <w:szCs w:val="28"/>
          <w:shd w:val="clear" w:color="auto" w:fill="FFFFFF"/>
        </w:rPr>
        <w:t>com</w:t>
      </w:r>
      <w:r>
        <w:rPr>
          <w:rFonts w:ascii="Times New Roman" w:hAnsi="Times New Roman" w:cs="Times New Roman"/>
          <w:color w:val="3F4348"/>
          <w:sz w:val="28"/>
          <w:szCs w:val="28"/>
          <w:shd w:val="clear" w:color="auto" w:fill="FFFFFF"/>
          <w:lang w:val="uk-UA"/>
        </w:rPr>
        <w:t>.</w:t>
      </w:r>
      <w:r>
        <w:rPr>
          <w:rFonts w:ascii="Times New Roman" w:hAnsi="Times New Roman" w:cs="Times New Roman"/>
          <w:color w:val="3F4348"/>
          <w:sz w:val="28"/>
          <w:szCs w:val="28"/>
          <w:shd w:val="clear" w:color="auto" w:fill="FFFFFF"/>
        </w:rPr>
        <w:t>ua</w:t>
      </w:r>
      <w:r>
        <w:rPr>
          <w:rFonts w:ascii="Times New Roman" w:hAnsi="Times New Roman" w:cs="Times New Roman"/>
          <w:color w:val="3F4348"/>
          <w:sz w:val="28"/>
          <w:szCs w:val="28"/>
          <w:shd w:val="clear" w:color="auto" w:fill="FFFFFF"/>
          <w:lang w:val="uk-UA"/>
        </w:rPr>
        <w:t>/</w:t>
      </w:r>
      <w:r>
        <w:rPr>
          <w:rFonts w:ascii="Times New Roman" w:hAnsi="Times New Roman" w:cs="Times New Roman"/>
          <w:color w:val="3F4348"/>
          <w:sz w:val="28"/>
          <w:szCs w:val="28"/>
          <w:shd w:val="clear" w:color="auto" w:fill="FFFFFF"/>
        </w:rPr>
        <w:t>article</w:t>
      </w:r>
      <w:r>
        <w:rPr>
          <w:rFonts w:ascii="Times New Roman" w:hAnsi="Times New Roman" w:cs="Times New Roman"/>
          <w:color w:val="3F4348"/>
          <w:sz w:val="28"/>
          <w:szCs w:val="28"/>
          <w:shd w:val="clear" w:color="auto" w:fill="FFFFFF"/>
          <w:lang w:val="uk-UA"/>
        </w:rPr>
        <w:t>-66544</w:t>
      </w:r>
    </w:p>
    <w:p w14:paraId="0BDD3386">
      <w:pPr>
        <w:spacing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40. Barker, Eileen New Religious Movements: A Practical Introduction    (Paperback) Bernan Press  1990</w:t>
      </w:r>
    </w:p>
    <w:p w14:paraId="108B4609">
      <w:pPr>
        <w:spacing w:line="360" w:lineRule="auto"/>
        <w:ind w:left="720"/>
        <w:jc w:val="both"/>
        <w:rPr>
          <w:rFonts w:ascii="Times New Roman" w:hAnsi="Times New Roman" w:cs="Times New Roman"/>
          <w:color w:val="000000"/>
          <w:sz w:val="28"/>
          <w:szCs w:val="28"/>
          <w:shd w:val="clear" w:color="auto" w:fill="FBF5EA"/>
          <w:lang w:val="uk-UA"/>
        </w:rPr>
      </w:pPr>
      <w:r>
        <w:rPr>
          <w:rFonts w:ascii="Times New Roman" w:hAnsi="Times New Roman" w:cs="Times New Roman"/>
          <w:color w:val="000000"/>
          <w:sz w:val="28"/>
          <w:szCs w:val="28"/>
          <w:shd w:val="clear" w:color="auto" w:fill="FBF5EA"/>
          <w:lang w:val="uk-UA"/>
        </w:rPr>
        <w:t>41. Becker, H. Sociologie als Wissenschaft vom Socialen Handeln / H. Bekker. – Würzburg: Holzner Verlag, 1959.  402 s.</w:t>
      </w:r>
    </w:p>
    <w:p w14:paraId="4806351F">
      <w:pPr>
        <w:spacing w:line="360" w:lineRule="auto"/>
        <w:ind w:left="720"/>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color w:val="000000"/>
          <w:sz w:val="28"/>
          <w:szCs w:val="28"/>
          <w:shd w:val="clear" w:color="auto" w:fill="FBF5EA"/>
          <w:lang w:val="uk-UA"/>
        </w:rPr>
        <w:t>42.  </w:t>
      </w:r>
      <w:r>
        <w:rPr>
          <w:rFonts w:ascii="Times New Roman" w:hAnsi="Times New Roman" w:eastAsia="Times New Roman" w:cs="Times New Roman"/>
          <w:color w:val="000000"/>
          <w:sz w:val="28"/>
          <w:szCs w:val="28"/>
          <w:lang w:val="uk-UA"/>
        </w:rPr>
        <w:t>Casanova, J. Public Religions in the Modern World / J. Casanova. – Chicago and London: The University of Chicago Press, 1994. 320 p.</w:t>
      </w:r>
    </w:p>
    <w:p w14:paraId="3C1C787F">
      <w:pPr>
        <w:spacing w:line="360" w:lineRule="auto"/>
        <w:ind w:left="72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BF5EA"/>
          <w:lang w:val="uk-UA"/>
        </w:rPr>
        <w:t xml:space="preserve">43. Coleman, J.A. Church-Sect typology and organizational precariousness / J.A. Coleman // Sociological Analysis. – 1968. – Vol. 29:2. </w:t>
      </w:r>
    </w:p>
    <w:p w14:paraId="386CDA3F">
      <w:pPr>
        <w:spacing w:line="360" w:lineRule="auto"/>
        <w:jc w:val="both"/>
        <w:rPr>
          <w:rFonts w:ascii="Times New Roman" w:hAnsi="Times New Roman" w:cs="Times New Roman"/>
          <w:sz w:val="28"/>
          <w:szCs w:val="28"/>
          <w:lang w:val="uk-UA"/>
        </w:rPr>
      </w:pPr>
      <w:r>
        <w:rPr>
          <w:rFonts w:ascii="Times New Roman" w:hAnsi="Times New Roman" w:eastAsia="Times New Roman" w:cs="Times New Roman"/>
          <w:sz w:val="24"/>
          <w:szCs w:val="24"/>
          <w:lang w:val="uk-UA"/>
        </w:rPr>
        <w:t xml:space="preserve">           </w:t>
      </w:r>
      <w:r>
        <w:rPr>
          <w:rFonts w:ascii="Times New Roman" w:hAnsi="Times New Roman" w:cs="Times New Roman"/>
          <w:sz w:val="28"/>
          <w:szCs w:val="28"/>
          <w:lang w:val="uk-UA"/>
        </w:rPr>
        <w:t xml:space="preserve">44. Franz, Raymond. Crisis of Conscience. Commentary Press, 2002. </w:t>
      </w:r>
    </w:p>
    <w:p w14:paraId="44371C0F">
      <w:pPr>
        <w:spacing w:line="360" w:lineRule="auto"/>
        <w:ind w:left="709"/>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lang w:val="uk-UA"/>
        </w:rPr>
        <w:t>45</w:t>
      </w:r>
      <w:r>
        <w:rPr>
          <w:rFonts w:ascii="Times New Roman" w:hAnsi="Times New Roman" w:cs="Times New Roman"/>
          <w:sz w:val="28"/>
          <w:szCs w:val="28"/>
          <w:lang w:val="en-US"/>
        </w:rPr>
        <w:t>. Grof Stanislav</w:t>
      </w:r>
      <w:r>
        <w:rPr>
          <w:rFonts w:ascii="Times New Roman" w:hAnsi="Times New Roman" w:cs="Times New Roman"/>
          <w:sz w:val="28"/>
          <w:szCs w:val="28"/>
          <w:lang w:val="uk-UA"/>
        </w:rPr>
        <w:t>.</w:t>
      </w:r>
      <w:r>
        <w:rPr>
          <w:rFonts w:ascii="Times New Roman" w:hAnsi="Times New Roman" w:cs="Times New Roman"/>
          <w:i/>
          <w:iCs/>
          <w:sz w:val="28"/>
          <w:szCs w:val="28"/>
          <w:shd w:val="clear" w:color="auto" w:fill="FFFFFF"/>
          <w:lang w:val="uk-UA"/>
        </w:rPr>
        <w:t xml:space="preserve"> </w:t>
      </w:r>
      <w:r>
        <w:rPr>
          <w:rFonts w:ascii="Times New Roman" w:hAnsi="Times New Roman" w:cs="Times New Roman"/>
          <w:sz w:val="28"/>
          <w:szCs w:val="28"/>
          <w:shd w:val="clear" w:color="auto" w:fill="FFFFFF"/>
          <w:lang w:val="en-US"/>
        </w:rPr>
        <w:t>Beyond the Brain: Birth, Death And Transcendence I</w:t>
      </w:r>
      <w:r>
        <w:rPr>
          <w:rFonts w:ascii="Arial" w:hAnsi="Arial" w:cs="Arial"/>
          <w:color w:val="202122"/>
          <w:sz w:val="21"/>
          <w:szCs w:val="21"/>
          <w:shd w:val="clear" w:color="auto" w:fill="FFFFFF"/>
          <w:lang w:val="en-US"/>
        </w:rPr>
        <w:t xml:space="preserve">n </w:t>
      </w:r>
      <w:r>
        <w:rPr>
          <w:rFonts w:ascii="Times New Roman" w:hAnsi="Times New Roman" w:cs="Times New Roman"/>
          <w:sz w:val="28"/>
          <w:szCs w:val="28"/>
          <w:shd w:val="clear" w:color="auto" w:fill="FFFFFF"/>
          <w:lang w:val="en-US"/>
        </w:rPr>
        <w:t>Psychotherapy.  1985. </w:t>
      </w:r>
    </w:p>
    <w:p w14:paraId="2796C309">
      <w:pPr>
        <w:spacing w:line="360" w:lineRule="auto"/>
        <w:ind w:left="709"/>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lang w:val="uk-UA"/>
        </w:rPr>
        <w:t xml:space="preserve">46. </w:t>
      </w:r>
      <w:r>
        <w:fldChar w:fldCharType="begin"/>
      </w:r>
      <w:r>
        <w:instrText xml:space="preserve"> HYPERLINK "https://ru.wikipedia.org/wiki/%D0%9C%D0%B0%D1%80%D1%82%D0%B8%D0%BD,_%D0%A3%D0%BE%D0%BB%D1%82%D0%B5%D1%80" \o "Мартин, Уолтер" </w:instrText>
      </w:r>
      <w:r>
        <w:fldChar w:fldCharType="separate"/>
      </w:r>
      <w:r>
        <w:rPr>
          <w:rFonts w:ascii="Times New Roman" w:hAnsi="Times New Roman" w:cs="Times New Roman"/>
          <w:sz w:val="28"/>
          <w:szCs w:val="28"/>
          <w:shd w:val="clear" w:color="auto" w:fill="FFFFFF"/>
          <w:lang w:val="en-US"/>
        </w:rPr>
        <w:t>Martin, Walter R.</w:t>
      </w:r>
      <w:r>
        <w:rPr>
          <w:rFonts w:ascii="Times New Roman" w:hAnsi="Times New Roman" w:cs="Times New Roman"/>
          <w:sz w:val="28"/>
          <w:szCs w:val="28"/>
          <w:shd w:val="clear" w:color="auto" w:fill="FFFFFF"/>
          <w:lang w:val="en-US"/>
        </w:rPr>
        <w:fldChar w:fldCharType="end"/>
      </w:r>
      <w:r>
        <w:rPr>
          <w:rFonts w:ascii="Times New Roman" w:hAnsi="Times New Roman" w:cs="Times New Roman"/>
          <w:sz w:val="28"/>
          <w:szCs w:val="28"/>
          <w:shd w:val="clear" w:color="auto" w:fill="FFFFFF"/>
          <w:lang w:val="en-US"/>
        </w:rPr>
        <w:t> </w:t>
      </w:r>
      <w:r>
        <w:fldChar w:fldCharType="begin"/>
      </w:r>
      <w:r>
        <w:instrText xml:space="preserve"> HYPERLINK "https://books.google.ru/books/about/The_Kingdom_of_the_Cults.html?id=Nl6wydyvqJ8C" </w:instrText>
      </w:r>
      <w:r>
        <w:fldChar w:fldCharType="separate"/>
      </w:r>
      <w:r>
        <w:rPr>
          <w:rFonts w:ascii="Times New Roman" w:hAnsi="Times New Roman" w:cs="Times New Roman"/>
          <w:sz w:val="28"/>
          <w:szCs w:val="28"/>
          <w:lang w:val="en-US"/>
        </w:rPr>
        <w:t>The Kingdom of the Cults</w:t>
      </w:r>
      <w:r>
        <w:rPr>
          <w:rFonts w:ascii="Times New Roman" w:hAnsi="Times New Roman" w:cs="Times New Roman"/>
          <w:sz w:val="28"/>
          <w:szCs w:val="28"/>
          <w:lang w:val="en-US"/>
        </w:rPr>
        <w:fldChar w:fldCharType="end"/>
      </w:r>
      <w:r>
        <w:rPr>
          <w:rFonts w:ascii="Times New Roman" w:hAnsi="Times New Roman" w:cs="Times New Roman"/>
          <w:sz w:val="28"/>
          <w:szCs w:val="28"/>
          <w:shd w:val="clear" w:color="auto" w:fill="FFFFFF"/>
          <w:lang w:val="en-US"/>
        </w:rPr>
        <w:t>.  Minneapolis, Bethany House Publishers, 1985.  504 </w:t>
      </w:r>
      <w:r>
        <w:rPr>
          <w:rFonts w:ascii="Times New Roman" w:hAnsi="Times New Roman" w:cs="Times New Roman"/>
          <w:sz w:val="28"/>
          <w:szCs w:val="28"/>
          <w:shd w:val="clear" w:color="auto" w:fill="FFFFFF"/>
        </w:rPr>
        <w:t>с</w:t>
      </w:r>
      <w:r>
        <w:rPr>
          <w:rFonts w:ascii="Times New Roman" w:hAnsi="Times New Roman" w:cs="Times New Roman"/>
          <w:sz w:val="28"/>
          <w:szCs w:val="28"/>
          <w:shd w:val="clear" w:color="auto" w:fill="FFFFFF"/>
          <w:lang w:val="en-US"/>
        </w:rPr>
        <w:t>.</w:t>
      </w:r>
    </w:p>
    <w:p w14:paraId="43819DB3">
      <w:pPr>
        <w:spacing w:line="360" w:lineRule="auto"/>
        <w:ind w:left="720"/>
        <w:jc w:val="both"/>
        <w:rPr>
          <w:rFonts w:ascii="Times New Roman" w:hAnsi="Times New Roman" w:cs="Times New Roman"/>
          <w:color w:val="000000"/>
          <w:sz w:val="28"/>
          <w:szCs w:val="28"/>
          <w:shd w:val="clear" w:color="auto" w:fill="FBF5EA"/>
          <w:lang w:val="uk-UA"/>
        </w:rPr>
      </w:pPr>
      <w:r>
        <w:rPr>
          <w:rFonts w:ascii="Times New Roman" w:hAnsi="Times New Roman" w:cs="Times New Roman"/>
          <w:color w:val="000000"/>
          <w:sz w:val="28"/>
          <w:szCs w:val="28"/>
          <w:shd w:val="clear" w:color="auto" w:fill="FBF5EA"/>
          <w:lang w:val="uk-UA"/>
        </w:rPr>
        <w:t xml:space="preserve">47. Marty, M.E. Sects and cults / M.E. Marty // The Annals of the American Academy of Political and Social Science. – 1960. – Vol. 332. </w:t>
      </w:r>
    </w:p>
    <w:p w14:paraId="21187976">
      <w:pPr>
        <w:spacing w:line="360" w:lineRule="auto"/>
        <w:ind w:left="72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BF5EA"/>
          <w:lang w:val="uk-UA"/>
        </w:rPr>
        <w:t>48. Niebuhr, R.H. The Social Sources of Denominationalism / R.H. Niebuhr. New York &amp; London: A Meridian book, 1975. 304 p.</w:t>
      </w:r>
    </w:p>
    <w:p w14:paraId="4E11A468">
      <w:pPr>
        <w:spacing w:line="360" w:lineRule="auto"/>
        <w:ind w:left="72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BF5EA"/>
          <w:lang w:val="uk-UA"/>
        </w:rPr>
        <w:t>49. Nelson, G.K. The Concept of Cult / G.K. Nelson // Sociological Review. 1968. Vol. 16. P.352.</w:t>
      </w:r>
    </w:p>
    <w:p w14:paraId="59EA774E">
      <w:pPr>
        <w:spacing w:line="360" w:lineRule="auto"/>
        <w:ind w:left="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BF5EA"/>
          <w:lang w:val="uk-UA"/>
        </w:rPr>
        <w:t>50. Stark, R. Secularization and Cult Formation in the Jazz Age / R. Stark, W.S. Bainbridge // Journal for the Scientific Study of Religion. 1981. Vol. 20. №4. P. 360–373.</w:t>
      </w:r>
    </w:p>
    <w:p w14:paraId="3A8C9B31">
      <w:pPr>
        <w:spacing w:line="360" w:lineRule="auto"/>
        <w:ind w:left="720"/>
        <w:jc w:val="both"/>
        <w:rPr>
          <w:rFonts w:ascii="Times New Roman" w:hAnsi="Times New Roman" w:cs="Times New Roman"/>
          <w:color w:val="000000"/>
          <w:sz w:val="28"/>
          <w:szCs w:val="28"/>
          <w:shd w:val="clear" w:color="auto" w:fill="FBF5EA"/>
          <w:lang w:val="uk-UA"/>
        </w:rPr>
      </w:pPr>
      <w:r>
        <w:rPr>
          <w:rFonts w:ascii="Times New Roman" w:hAnsi="Times New Roman" w:cs="Times New Roman"/>
          <w:color w:val="000000"/>
          <w:sz w:val="28"/>
          <w:szCs w:val="28"/>
          <w:shd w:val="clear" w:color="auto" w:fill="FBF5EA"/>
          <w:lang w:val="uk-UA"/>
        </w:rPr>
        <w:t>51.  Stark, R. The Rise of Christianity. A Sociologist Reconsiders History / R. Stark. Princeton: Princeton University Press, 1996. 246 p.</w:t>
      </w:r>
    </w:p>
    <w:p w14:paraId="592F7995">
      <w:pPr>
        <w:spacing w:line="360" w:lineRule="auto"/>
        <w:ind w:left="720"/>
        <w:jc w:val="both"/>
        <w:rPr>
          <w:rFonts w:ascii="Times New Roman" w:hAnsi="Times New Roman" w:eastAsia="Times New Roman" w:cs="Times New Roman"/>
          <w:sz w:val="24"/>
          <w:szCs w:val="24"/>
          <w:lang w:val="uk-UA"/>
        </w:rPr>
      </w:pPr>
      <w:r>
        <w:rPr>
          <w:rFonts w:ascii="Times New Roman" w:hAnsi="Times New Roman" w:eastAsia="Times New Roman" w:cs="Times New Roman"/>
          <w:color w:val="000000"/>
          <w:sz w:val="28"/>
          <w:szCs w:val="28"/>
          <w:shd w:val="clear" w:color="auto" w:fill="FBF5EA"/>
          <w:lang w:val="uk-UA"/>
        </w:rPr>
        <w:t>52.  </w:t>
      </w:r>
      <w:r>
        <w:rPr>
          <w:rFonts w:ascii="Times New Roman" w:hAnsi="Times New Roman" w:eastAsia="Times New Roman" w:cs="Times New Roman"/>
          <w:color w:val="000000"/>
          <w:sz w:val="28"/>
          <w:szCs w:val="28"/>
          <w:lang w:val="uk-UA"/>
        </w:rPr>
        <w:t>Swatos, W.H. Church-Sect and Cult: Bringing Mysticism Back In / W.H. Swatos // Sociological Analysis. 1981. Vol. 42:1. P. 17–26.</w:t>
      </w:r>
    </w:p>
    <w:p w14:paraId="2CFECBC3">
      <w:pPr>
        <w:spacing w:line="360" w:lineRule="auto"/>
        <w:ind w:left="720"/>
        <w:jc w:val="both"/>
        <w:rPr>
          <w:rFonts w:ascii="Times New Roman" w:hAnsi="Times New Roman" w:cs="Times New Roman"/>
          <w:color w:val="000000"/>
          <w:sz w:val="28"/>
          <w:szCs w:val="28"/>
          <w:shd w:val="clear" w:color="auto" w:fill="FBF5EA"/>
          <w:lang w:val="uk-UA"/>
        </w:rPr>
      </w:pPr>
    </w:p>
    <w:p w14:paraId="37140D78">
      <w:pPr>
        <w:rPr>
          <w:rFonts w:ascii="Times New Roman" w:hAnsi="Times New Roman" w:cs="Times New Roman"/>
          <w:sz w:val="28"/>
          <w:szCs w:val="28"/>
          <w:lang w:val="en-US"/>
        </w:rPr>
      </w:pPr>
      <w:r>
        <w:rPr>
          <w:rFonts w:ascii="Times New Roman" w:hAnsi="Times New Roman" w:cs="Times New Roman"/>
          <w:i/>
          <w:iCs/>
          <w:sz w:val="28"/>
          <w:szCs w:val="28"/>
          <w:shd w:val="clear" w:color="auto" w:fill="FFFFFF"/>
          <w:lang w:val="uk-UA"/>
        </w:rPr>
        <w:t xml:space="preserve">     </w:t>
      </w:r>
    </w:p>
    <w:p w14:paraId="54583106">
      <w:pPr>
        <w:spacing w:line="360" w:lineRule="auto"/>
        <w:jc w:val="both"/>
        <w:rPr>
          <w:rFonts w:ascii="Times New Roman" w:hAnsi="Times New Roman" w:cs="Times New Roman"/>
          <w:sz w:val="28"/>
          <w:szCs w:val="28"/>
          <w:lang w:val="uk-UA"/>
        </w:rPr>
      </w:pPr>
    </w:p>
    <w:p w14:paraId="40D80B95">
      <w:pPr>
        <w:shd w:val="clear" w:color="auto" w:fill="FFFFFF"/>
        <w:spacing w:line="360" w:lineRule="auto"/>
        <w:ind w:firstLine="720"/>
        <w:jc w:val="both"/>
        <w:rPr>
          <w:rFonts w:ascii="Times New Roman" w:hAnsi="Times New Roman" w:eastAsia="Times New Roman" w:cs="Times New Roman"/>
          <w:b/>
          <w:bCs/>
          <w:color w:val="202122"/>
          <w:sz w:val="28"/>
          <w:szCs w:val="28"/>
          <w:lang w:val="uk-UA"/>
        </w:rPr>
      </w:pPr>
    </w:p>
    <w:sectPr>
      <w:headerReference r:id="rId4" w:type="first"/>
      <w:headerReference r:id="rId3" w:type="default"/>
      <w:pgSz w:w="12240" w:h="15840"/>
      <w:pgMar w:top="1134" w:right="1467" w:bottom="1134" w:left="1701" w:header="708" w:footer="708" w:gutter="0"/>
      <w:pgNumType w:start="0"/>
      <w:cols w:space="708"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CC"/>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CC"/>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UI">
    <w:panose1 w:val="020B0502040204020203"/>
    <w:charset w:val="CC"/>
    <w:family w:val="swiss"/>
    <w:pitch w:val="default"/>
    <w:sig w:usb0="E4002EFF" w:usb1="C000E47F" w:usb2="00000009" w:usb3="00000000" w:csb0="200001FF" w:csb1="00000000"/>
  </w:font>
  <w:font w:name="等线">
    <w:altName w:val="Microsoft YaHei"/>
    <w:panose1 w:val="00000000000000000000"/>
    <w:charset w:val="00"/>
    <w:family w:val="auto"/>
    <w:pitch w:val="default"/>
    <w:sig w:usb0="00000000" w:usb1="00000000" w:usb2="00000000" w:usb3="00000000" w:csb0="00000000" w:csb1="00000000"/>
  </w:font>
  <w:font w:name="Consolas">
    <w:panose1 w:val="020B0609020204030204"/>
    <w:charset w:val="CC"/>
    <w:family w:val="modern"/>
    <w:pitch w:val="default"/>
    <w:sig w:usb0="E00006FF" w:usb1="0000FCFF" w:usb2="00000001" w:usb3="00000000" w:csb0="6000019F" w:csb1="DFD70000"/>
  </w:font>
  <w:font w:name="inherit">
    <w:altName w:val="Times New Roman"/>
    <w:panose1 w:val="00000000000000000000"/>
    <w:charset w:val="00"/>
    <w:family w:val="roman"/>
    <w:pitch w:val="default"/>
    <w:sig w:usb0="00000000" w:usb1="00000000" w:usb2="00000000" w:usb3="00000000" w:csb0="00000000" w:csb1="00000000"/>
  </w:font>
  <w:font w:name="Courier New">
    <w:panose1 w:val="02070309020205020404"/>
    <w:charset w:val="CC"/>
    <w:family w:val="modern"/>
    <w:pitch w:val="default"/>
    <w:sig w:usb0="E0002EFF" w:usb1="C0007843" w:usb2="00000009" w:usb3="00000000" w:csb0="400001FF" w:csb1="FFFF0000"/>
  </w:font>
  <w:font w:name="TimesNewRomanPSMT_vq">
    <w:altName w:val="Times New Roman"/>
    <w:panose1 w:val="00000000000000000000"/>
    <w:charset w:val="00"/>
    <w:family w:val="roman"/>
    <w:pitch w:val="default"/>
    <w:sig w:usb0="00000000" w:usb1="00000000" w:usb2="00000000" w:usb3="00000000" w:csb0="00000000" w:csb1="00000000"/>
  </w:font>
  <w:font w:name="Arial">
    <w:panose1 w:val="020B0604020202020204"/>
    <w:charset w:val="CC"/>
    <w:family w:val="swiss"/>
    <w:pitch w:val="default"/>
    <w:sig w:usb0="E0002EFF" w:usb1="C000785B" w:usb2="00000009" w:usb3="00000000" w:csb0="400001FF" w:csb1="FFFF0000"/>
  </w:font>
  <w:font w:name="Calibri Light">
    <w:panose1 w:val="020F0302020204030204"/>
    <w:charset w:val="00"/>
    <w:family w:val="auto"/>
    <w:pitch w:val="default"/>
    <w:sig w:usb0="E4002EFF" w:usb1="C2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14347538"/>
      <w:docPartObj>
        <w:docPartGallery w:val="AutoText"/>
      </w:docPartObj>
    </w:sdtPr>
    <w:sdtContent>
      <w:p w14:paraId="20681C21">
        <w:pPr>
          <w:pStyle w:val="17"/>
          <w:jc w:val="right"/>
        </w:pPr>
        <w:r>
          <w:fldChar w:fldCharType="begin"/>
        </w:r>
        <w:r>
          <w:instrText xml:space="preserve">PAGE   \* MERGEFORMAT</w:instrText>
        </w:r>
        <w:r>
          <w:fldChar w:fldCharType="separate"/>
        </w:r>
        <w:r>
          <w:rPr>
            <w:lang w:val="ru-RU"/>
          </w:rPr>
          <w:t>81</w:t>
        </w:r>
        <w:r>
          <w:fldChar w:fldCharType="end"/>
        </w:r>
      </w:p>
    </w:sdtContent>
  </w:sdt>
  <w:p w14:paraId="053FBE70">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90734">
    <w:pPr>
      <w:pStyle w:val="17"/>
      <w:jc w:val="right"/>
    </w:pPr>
  </w:p>
  <w:p w14:paraId="58733B13">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BE73E0"/>
    <w:multiLevelType w:val="multilevel"/>
    <w:tmpl w:val="0DBE73E0"/>
    <w:lvl w:ilvl="0" w:tentative="0">
      <w:start w:val="1"/>
      <w:numFmt w:val="decimal"/>
      <w:lvlText w:val="%1."/>
      <w:lvlJc w:val="left"/>
      <w:pPr>
        <w:ind w:left="927" w:hanging="360"/>
      </w:pPr>
      <w:rPr>
        <w:rFonts w:hint="default"/>
      </w:rPr>
    </w:lvl>
    <w:lvl w:ilvl="1" w:tentative="0">
      <w:start w:val="2"/>
      <w:numFmt w:val="decimal"/>
      <w:isLgl/>
      <w:lvlText w:val="%1.%2."/>
      <w:lvlJc w:val="left"/>
      <w:pPr>
        <w:ind w:left="1440" w:hanging="720"/>
      </w:pPr>
      <w:rPr>
        <w:rFonts w:hint="default"/>
      </w:rPr>
    </w:lvl>
    <w:lvl w:ilvl="2" w:tentative="0">
      <w:start w:val="1"/>
      <w:numFmt w:val="decimal"/>
      <w:isLgl/>
      <w:lvlText w:val="%1.%2.%3."/>
      <w:lvlJc w:val="left"/>
      <w:pPr>
        <w:ind w:left="1593" w:hanging="720"/>
      </w:pPr>
      <w:rPr>
        <w:rFonts w:hint="default"/>
      </w:rPr>
    </w:lvl>
    <w:lvl w:ilvl="3" w:tentative="0">
      <w:start w:val="1"/>
      <w:numFmt w:val="decimal"/>
      <w:isLgl/>
      <w:lvlText w:val="%1.%2.%3.%4."/>
      <w:lvlJc w:val="left"/>
      <w:pPr>
        <w:ind w:left="2106" w:hanging="1080"/>
      </w:pPr>
      <w:rPr>
        <w:rFonts w:hint="default"/>
      </w:rPr>
    </w:lvl>
    <w:lvl w:ilvl="4" w:tentative="0">
      <w:start w:val="1"/>
      <w:numFmt w:val="decimal"/>
      <w:isLgl/>
      <w:lvlText w:val="%1.%2.%3.%4.%5."/>
      <w:lvlJc w:val="left"/>
      <w:pPr>
        <w:ind w:left="2259" w:hanging="1080"/>
      </w:pPr>
      <w:rPr>
        <w:rFonts w:hint="default"/>
      </w:rPr>
    </w:lvl>
    <w:lvl w:ilvl="5" w:tentative="0">
      <w:start w:val="1"/>
      <w:numFmt w:val="decimal"/>
      <w:isLgl/>
      <w:lvlText w:val="%1.%2.%3.%4.%5.%6."/>
      <w:lvlJc w:val="left"/>
      <w:pPr>
        <w:ind w:left="2772" w:hanging="1440"/>
      </w:pPr>
      <w:rPr>
        <w:rFonts w:hint="default"/>
      </w:rPr>
    </w:lvl>
    <w:lvl w:ilvl="6" w:tentative="0">
      <w:start w:val="1"/>
      <w:numFmt w:val="decimal"/>
      <w:isLgl/>
      <w:lvlText w:val="%1.%2.%3.%4.%5.%6.%7."/>
      <w:lvlJc w:val="left"/>
      <w:pPr>
        <w:ind w:left="3285" w:hanging="1800"/>
      </w:pPr>
      <w:rPr>
        <w:rFonts w:hint="default"/>
      </w:rPr>
    </w:lvl>
    <w:lvl w:ilvl="7" w:tentative="0">
      <w:start w:val="1"/>
      <w:numFmt w:val="decimal"/>
      <w:isLgl/>
      <w:lvlText w:val="%1.%2.%3.%4.%5.%6.%7.%8."/>
      <w:lvlJc w:val="left"/>
      <w:pPr>
        <w:ind w:left="3438" w:hanging="1800"/>
      </w:pPr>
      <w:rPr>
        <w:rFonts w:hint="default"/>
      </w:rPr>
    </w:lvl>
    <w:lvl w:ilvl="8" w:tentative="0">
      <w:start w:val="1"/>
      <w:numFmt w:val="decimal"/>
      <w:isLgl/>
      <w:lvlText w:val="%1.%2.%3.%4.%5.%6.%7.%8.%9."/>
      <w:lvlJc w:val="left"/>
      <w:pPr>
        <w:ind w:left="3951"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242"/>
    <w:rsid w:val="000071B5"/>
    <w:rsid w:val="00010550"/>
    <w:rsid w:val="00016156"/>
    <w:rsid w:val="00022A92"/>
    <w:rsid w:val="000245D3"/>
    <w:rsid w:val="00026183"/>
    <w:rsid w:val="0004226F"/>
    <w:rsid w:val="000547DD"/>
    <w:rsid w:val="00057905"/>
    <w:rsid w:val="000674FB"/>
    <w:rsid w:val="0006763F"/>
    <w:rsid w:val="00071C30"/>
    <w:rsid w:val="00072BCC"/>
    <w:rsid w:val="0007402C"/>
    <w:rsid w:val="00082D41"/>
    <w:rsid w:val="0008671D"/>
    <w:rsid w:val="000902AA"/>
    <w:rsid w:val="00092116"/>
    <w:rsid w:val="0009373A"/>
    <w:rsid w:val="000B5F9B"/>
    <w:rsid w:val="000C19A6"/>
    <w:rsid w:val="000C1FCF"/>
    <w:rsid w:val="000C20F4"/>
    <w:rsid w:val="000E0524"/>
    <w:rsid w:val="001110C3"/>
    <w:rsid w:val="00120F05"/>
    <w:rsid w:val="00132FB5"/>
    <w:rsid w:val="00142CBA"/>
    <w:rsid w:val="0014634D"/>
    <w:rsid w:val="00157362"/>
    <w:rsid w:val="00165218"/>
    <w:rsid w:val="0017395F"/>
    <w:rsid w:val="001742C6"/>
    <w:rsid w:val="00176837"/>
    <w:rsid w:val="001901D6"/>
    <w:rsid w:val="001925E5"/>
    <w:rsid w:val="00197FCC"/>
    <w:rsid w:val="001A390B"/>
    <w:rsid w:val="001C28B2"/>
    <w:rsid w:val="001C4782"/>
    <w:rsid w:val="001C6B97"/>
    <w:rsid w:val="001D04E0"/>
    <w:rsid w:val="001E1388"/>
    <w:rsid w:val="001E72FC"/>
    <w:rsid w:val="001F47EC"/>
    <w:rsid w:val="001F5C7A"/>
    <w:rsid w:val="0020003E"/>
    <w:rsid w:val="00202590"/>
    <w:rsid w:val="0020676B"/>
    <w:rsid w:val="0020725D"/>
    <w:rsid w:val="00210714"/>
    <w:rsid w:val="0021799B"/>
    <w:rsid w:val="00217CA9"/>
    <w:rsid w:val="00224562"/>
    <w:rsid w:val="00226EA0"/>
    <w:rsid w:val="00227C79"/>
    <w:rsid w:val="00231F01"/>
    <w:rsid w:val="00232B23"/>
    <w:rsid w:val="00247766"/>
    <w:rsid w:val="00247B64"/>
    <w:rsid w:val="00253568"/>
    <w:rsid w:val="0027220D"/>
    <w:rsid w:val="002967A2"/>
    <w:rsid w:val="002B5238"/>
    <w:rsid w:val="002D1687"/>
    <w:rsid w:val="002E3372"/>
    <w:rsid w:val="002E616A"/>
    <w:rsid w:val="002F1436"/>
    <w:rsid w:val="002F2A48"/>
    <w:rsid w:val="002F4154"/>
    <w:rsid w:val="002F5940"/>
    <w:rsid w:val="00301256"/>
    <w:rsid w:val="00310E81"/>
    <w:rsid w:val="00324E5D"/>
    <w:rsid w:val="00326003"/>
    <w:rsid w:val="00350346"/>
    <w:rsid w:val="00350620"/>
    <w:rsid w:val="0035277E"/>
    <w:rsid w:val="00353F1E"/>
    <w:rsid w:val="00356836"/>
    <w:rsid w:val="00360EDF"/>
    <w:rsid w:val="003623A9"/>
    <w:rsid w:val="00365D1B"/>
    <w:rsid w:val="00367F21"/>
    <w:rsid w:val="0037207B"/>
    <w:rsid w:val="003878AB"/>
    <w:rsid w:val="0039286C"/>
    <w:rsid w:val="0039480B"/>
    <w:rsid w:val="003A5363"/>
    <w:rsid w:val="003B0DA2"/>
    <w:rsid w:val="003B140E"/>
    <w:rsid w:val="003B30F2"/>
    <w:rsid w:val="003C6F12"/>
    <w:rsid w:val="003D567D"/>
    <w:rsid w:val="003D60E8"/>
    <w:rsid w:val="003D675E"/>
    <w:rsid w:val="003D741F"/>
    <w:rsid w:val="003E0B23"/>
    <w:rsid w:val="003F0495"/>
    <w:rsid w:val="003F2DF2"/>
    <w:rsid w:val="003F47D5"/>
    <w:rsid w:val="0040486A"/>
    <w:rsid w:val="00410E12"/>
    <w:rsid w:val="004114ED"/>
    <w:rsid w:val="00415027"/>
    <w:rsid w:val="00424AD6"/>
    <w:rsid w:val="004358FC"/>
    <w:rsid w:val="00446AE1"/>
    <w:rsid w:val="00450295"/>
    <w:rsid w:val="00464B5F"/>
    <w:rsid w:val="0046556C"/>
    <w:rsid w:val="00465C51"/>
    <w:rsid w:val="0047093D"/>
    <w:rsid w:val="00471146"/>
    <w:rsid w:val="00471413"/>
    <w:rsid w:val="00476898"/>
    <w:rsid w:val="0048144C"/>
    <w:rsid w:val="00485576"/>
    <w:rsid w:val="00493ACE"/>
    <w:rsid w:val="00494602"/>
    <w:rsid w:val="00497995"/>
    <w:rsid w:val="004A5ACA"/>
    <w:rsid w:val="004B4C53"/>
    <w:rsid w:val="004C24E0"/>
    <w:rsid w:val="004C63B6"/>
    <w:rsid w:val="004C731C"/>
    <w:rsid w:val="004D0391"/>
    <w:rsid w:val="004D691E"/>
    <w:rsid w:val="004E210C"/>
    <w:rsid w:val="004F2CB6"/>
    <w:rsid w:val="00500363"/>
    <w:rsid w:val="00500F8C"/>
    <w:rsid w:val="00521E3B"/>
    <w:rsid w:val="0053089C"/>
    <w:rsid w:val="005335A9"/>
    <w:rsid w:val="00536AE1"/>
    <w:rsid w:val="005417DB"/>
    <w:rsid w:val="00542844"/>
    <w:rsid w:val="00543FC8"/>
    <w:rsid w:val="00551A6B"/>
    <w:rsid w:val="00552884"/>
    <w:rsid w:val="00556D40"/>
    <w:rsid w:val="00564D5B"/>
    <w:rsid w:val="00564E59"/>
    <w:rsid w:val="00575D04"/>
    <w:rsid w:val="005774F4"/>
    <w:rsid w:val="005935B5"/>
    <w:rsid w:val="0059638A"/>
    <w:rsid w:val="005B0971"/>
    <w:rsid w:val="005B4178"/>
    <w:rsid w:val="005C3274"/>
    <w:rsid w:val="005C482C"/>
    <w:rsid w:val="005D0296"/>
    <w:rsid w:val="005E43E7"/>
    <w:rsid w:val="005F4BE4"/>
    <w:rsid w:val="005F4F77"/>
    <w:rsid w:val="0060067C"/>
    <w:rsid w:val="00614D90"/>
    <w:rsid w:val="00616CBA"/>
    <w:rsid w:val="00616E7A"/>
    <w:rsid w:val="00621A30"/>
    <w:rsid w:val="0063655E"/>
    <w:rsid w:val="006508E9"/>
    <w:rsid w:val="0065158C"/>
    <w:rsid w:val="00651BC6"/>
    <w:rsid w:val="00663217"/>
    <w:rsid w:val="00665469"/>
    <w:rsid w:val="00666C18"/>
    <w:rsid w:val="00670179"/>
    <w:rsid w:val="00684746"/>
    <w:rsid w:val="006922CA"/>
    <w:rsid w:val="00693334"/>
    <w:rsid w:val="00693ABF"/>
    <w:rsid w:val="006A1B0C"/>
    <w:rsid w:val="006B03E0"/>
    <w:rsid w:val="006B14C4"/>
    <w:rsid w:val="006B5A7B"/>
    <w:rsid w:val="006C0DF5"/>
    <w:rsid w:val="006F19F1"/>
    <w:rsid w:val="007022E6"/>
    <w:rsid w:val="00702ABC"/>
    <w:rsid w:val="00734927"/>
    <w:rsid w:val="00752A7B"/>
    <w:rsid w:val="00757A7D"/>
    <w:rsid w:val="00765D80"/>
    <w:rsid w:val="0077042D"/>
    <w:rsid w:val="00770E1F"/>
    <w:rsid w:val="00774D10"/>
    <w:rsid w:val="0079680A"/>
    <w:rsid w:val="007A128F"/>
    <w:rsid w:val="007A506D"/>
    <w:rsid w:val="007A694A"/>
    <w:rsid w:val="007A7E66"/>
    <w:rsid w:val="007B3D9C"/>
    <w:rsid w:val="007C7437"/>
    <w:rsid w:val="007D00C7"/>
    <w:rsid w:val="007D088C"/>
    <w:rsid w:val="007E205D"/>
    <w:rsid w:val="007E3574"/>
    <w:rsid w:val="007F0E4A"/>
    <w:rsid w:val="007F355E"/>
    <w:rsid w:val="007F405F"/>
    <w:rsid w:val="007F4718"/>
    <w:rsid w:val="008066CE"/>
    <w:rsid w:val="008110FD"/>
    <w:rsid w:val="00812F1A"/>
    <w:rsid w:val="0081608A"/>
    <w:rsid w:val="00826141"/>
    <w:rsid w:val="00827EBB"/>
    <w:rsid w:val="00837CAB"/>
    <w:rsid w:val="00851242"/>
    <w:rsid w:val="00856D33"/>
    <w:rsid w:val="0086103C"/>
    <w:rsid w:val="0086244A"/>
    <w:rsid w:val="00873E27"/>
    <w:rsid w:val="00875704"/>
    <w:rsid w:val="008814A3"/>
    <w:rsid w:val="008851F9"/>
    <w:rsid w:val="008859F7"/>
    <w:rsid w:val="00890DCC"/>
    <w:rsid w:val="00895514"/>
    <w:rsid w:val="008957C5"/>
    <w:rsid w:val="008973D0"/>
    <w:rsid w:val="0089774D"/>
    <w:rsid w:val="008979A3"/>
    <w:rsid w:val="008A2139"/>
    <w:rsid w:val="008B162C"/>
    <w:rsid w:val="008B2989"/>
    <w:rsid w:val="008B43DC"/>
    <w:rsid w:val="008C49D9"/>
    <w:rsid w:val="008D77A3"/>
    <w:rsid w:val="008D7A91"/>
    <w:rsid w:val="008E3880"/>
    <w:rsid w:val="008F16A8"/>
    <w:rsid w:val="008F1BCE"/>
    <w:rsid w:val="008F6C04"/>
    <w:rsid w:val="008F7653"/>
    <w:rsid w:val="0090144E"/>
    <w:rsid w:val="00903F23"/>
    <w:rsid w:val="00912251"/>
    <w:rsid w:val="00917287"/>
    <w:rsid w:val="009200EE"/>
    <w:rsid w:val="009254B9"/>
    <w:rsid w:val="009400AC"/>
    <w:rsid w:val="009517AE"/>
    <w:rsid w:val="009554F4"/>
    <w:rsid w:val="009610E1"/>
    <w:rsid w:val="00965CD6"/>
    <w:rsid w:val="00971EAB"/>
    <w:rsid w:val="0099095A"/>
    <w:rsid w:val="00990F30"/>
    <w:rsid w:val="00997FDB"/>
    <w:rsid w:val="009A135C"/>
    <w:rsid w:val="009A3989"/>
    <w:rsid w:val="009B1612"/>
    <w:rsid w:val="009B4AF6"/>
    <w:rsid w:val="009C7D67"/>
    <w:rsid w:val="009D08D8"/>
    <w:rsid w:val="009D5C43"/>
    <w:rsid w:val="009E23D8"/>
    <w:rsid w:val="009E2976"/>
    <w:rsid w:val="009E7C48"/>
    <w:rsid w:val="00A2082F"/>
    <w:rsid w:val="00A22D49"/>
    <w:rsid w:val="00A26C89"/>
    <w:rsid w:val="00A26EA7"/>
    <w:rsid w:val="00A319F7"/>
    <w:rsid w:val="00A32311"/>
    <w:rsid w:val="00A3426B"/>
    <w:rsid w:val="00A34C06"/>
    <w:rsid w:val="00A357DB"/>
    <w:rsid w:val="00A539FD"/>
    <w:rsid w:val="00A838A3"/>
    <w:rsid w:val="00A84558"/>
    <w:rsid w:val="00A8483A"/>
    <w:rsid w:val="00A96EEF"/>
    <w:rsid w:val="00A9787B"/>
    <w:rsid w:val="00A97D46"/>
    <w:rsid w:val="00AA7FBC"/>
    <w:rsid w:val="00AB505D"/>
    <w:rsid w:val="00AB64B8"/>
    <w:rsid w:val="00AB6E6A"/>
    <w:rsid w:val="00AB6EAD"/>
    <w:rsid w:val="00AC1AA6"/>
    <w:rsid w:val="00AC4B75"/>
    <w:rsid w:val="00AC5C10"/>
    <w:rsid w:val="00AD2E48"/>
    <w:rsid w:val="00AE4389"/>
    <w:rsid w:val="00AE72AE"/>
    <w:rsid w:val="00AF4875"/>
    <w:rsid w:val="00AF5044"/>
    <w:rsid w:val="00B07C49"/>
    <w:rsid w:val="00B20672"/>
    <w:rsid w:val="00B31D29"/>
    <w:rsid w:val="00B429BA"/>
    <w:rsid w:val="00B47B32"/>
    <w:rsid w:val="00B52C63"/>
    <w:rsid w:val="00B54496"/>
    <w:rsid w:val="00B65683"/>
    <w:rsid w:val="00B65B9C"/>
    <w:rsid w:val="00B73A21"/>
    <w:rsid w:val="00B7475D"/>
    <w:rsid w:val="00BA2CD6"/>
    <w:rsid w:val="00BC3967"/>
    <w:rsid w:val="00BC5778"/>
    <w:rsid w:val="00BD1FDB"/>
    <w:rsid w:val="00BD309B"/>
    <w:rsid w:val="00BD6245"/>
    <w:rsid w:val="00BE2359"/>
    <w:rsid w:val="00BE79B2"/>
    <w:rsid w:val="00C01D31"/>
    <w:rsid w:val="00C10D27"/>
    <w:rsid w:val="00C230F5"/>
    <w:rsid w:val="00C347BC"/>
    <w:rsid w:val="00C42F9E"/>
    <w:rsid w:val="00C5339F"/>
    <w:rsid w:val="00C63471"/>
    <w:rsid w:val="00C7230F"/>
    <w:rsid w:val="00C811F5"/>
    <w:rsid w:val="00C82270"/>
    <w:rsid w:val="00C82D1B"/>
    <w:rsid w:val="00C86254"/>
    <w:rsid w:val="00C868B0"/>
    <w:rsid w:val="00C91DF0"/>
    <w:rsid w:val="00CA0088"/>
    <w:rsid w:val="00CA6E77"/>
    <w:rsid w:val="00CB13BA"/>
    <w:rsid w:val="00CB16AC"/>
    <w:rsid w:val="00CB6075"/>
    <w:rsid w:val="00CB71D3"/>
    <w:rsid w:val="00CB730B"/>
    <w:rsid w:val="00CC5EFA"/>
    <w:rsid w:val="00CC7D16"/>
    <w:rsid w:val="00CD203B"/>
    <w:rsid w:val="00CD3558"/>
    <w:rsid w:val="00CD4813"/>
    <w:rsid w:val="00CD6DB6"/>
    <w:rsid w:val="00CE1F21"/>
    <w:rsid w:val="00CE22F0"/>
    <w:rsid w:val="00CE2E41"/>
    <w:rsid w:val="00CE41A8"/>
    <w:rsid w:val="00CE4815"/>
    <w:rsid w:val="00CE7533"/>
    <w:rsid w:val="00CF14B5"/>
    <w:rsid w:val="00CF3AF8"/>
    <w:rsid w:val="00CF695D"/>
    <w:rsid w:val="00D05D92"/>
    <w:rsid w:val="00D065CF"/>
    <w:rsid w:val="00D13666"/>
    <w:rsid w:val="00D14333"/>
    <w:rsid w:val="00D1662B"/>
    <w:rsid w:val="00D17848"/>
    <w:rsid w:val="00D227A2"/>
    <w:rsid w:val="00D23098"/>
    <w:rsid w:val="00D25B7E"/>
    <w:rsid w:val="00D25D67"/>
    <w:rsid w:val="00D26A55"/>
    <w:rsid w:val="00D26EBA"/>
    <w:rsid w:val="00D30C28"/>
    <w:rsid w:val="00D32343"/>
    <w:rsid w:val="00D33187"/>
    <w:rsid w:val="00D37E4C"/>
    <w:rsid w:val="00D40626"/>
    <w:rsid w:val="00D454C0"/>
    <w:rsid w:val="00D474B4"/>
    <w:rsid w:val="00D5654C"/>
    <w:rsid w:val="00D56C52"/>
    <w:rsid w:val="00D65EB5"/>
    <w:rsid w:val="00D66A15"/>
    <w:rsid w:val="00D81C17"/>
    <w:rsid w:val="00D849E6"/>
    <w:rsid w:val="00D87D0B"/>
    <w:rsid w:val="00D9048E"/>
    <w:rsid w:val="00D92269"/>
    <w:rsid w:val="00D92909"/>
    <w:rsid w:val="00D953F8"/>
    <w:rsid w:val="00D97155"/>
    <w:rsid w:val="00DA2492"/>
    <w:rsid w:val="00DA53AC"/>
    <w:rsid w:val="00DB0843"/>
    <w:rsid w:val="00DB1CE7"/>
    <w:rsid w:val="00DB2331"/>
    <w:rsid w:val="00DB5D52"/>
    <w:rsid w:val="00DC4138"/>
    <w:rsid w:val="00DC711B"/>
    <w:rsid w:val="00DD14C2"/>
    <w:rsid w:val="00DD3D82"/>
    <w:rsid w:val="00DE2D26"/>
    <w:rsid w:val="00DE5456"/>
    <w:rsid w:val="00DF3153"/>
    <w:rsid w:val="00DF67AE"/>
    <w:rsid w:val="00E0048B"/>
    <w:rsid w:val="00E032CE"/>
    <w:rsid w:val="00E03458"/>
    <w:rsid w:val="00E05D1E"/>
    <w:rsid w:val="00E17188"/>
    <w:rsid w:val="00E209C1"/>
    <w:rsid w:val="00E2323A"/>
    <w:rsid w:val="00E24E76"/>
    <w:rsid w:val="00E308C3"/>
    <w:rsid w:val="00E36137"/>
    <w:rsid w:val="00E41012"/>
    <w:rsid w:val="00E7221F"/>
    <w:rsid w:val="00E74E10"/>
    <w:rsid w:val="00E97244"/>
    <w:rsid w:val="00EA25B2"/>
    <w:rsid w:val="00EA6154"/>
    <w:rsid w:val="00EC26F7"/>
    <w:rsid w:val="00EC40A5"/>
    <w:rsid w:val="00EC5B6C"/>
    <w:rsid w:val="00EE6399"/>
    <w:rsid w:val="00EF58CF"/>
    <w:rsid w:val="00EF68EC"/>
    <w:rsid w:val="00F16AA3"/>
    <w:rsid w:val="00F31373"/>
    <w:rsid w:val="00F3189B"/>
    <w:rsid w:val="00F3266A"/>
    <w:rsid w:val="00F32BB1"/>
    <w:rsid w:val="00F36E85"/>
    <w:rsid w:val="00F4025B"/>
    <w:rsid w:val="00F458F3"/>
    <w:rsid w:val="00F506B8"/>
    <w:rsid w:val="00F50F2C"/>
    <w:rsid w:val="00F63354"/>
    <w:rsid w:val="00F640B4"/>
    <w:rsid w:val="00F7114E"/>
    <w:rsid w:val="00F72566"/>
    <w:rsid w:val="00F72F7A"/>
    <w:rsid w:val="00F764AA"/>
    <w:rsid w:val="00F846B7"/>
    <w:rsid w:val="00F8790E"/>
    <w:rsid w:val="00F92552"/>
    <w:rsid w:val="00F94357"/>
    <w:rsid w:val="00FA740E"/>
    <w:rsid w:val="00FB149D"/>
    <w:rsid w:val="00FB1D4F"/>
    <w:rsid w:val="00FB2952"/>
    <w:rsid w:val="00FB385D"/>
    <w:rsid w:val="00FC283F"/>
    <w:rsid w:val="00FC49CA"/>
    <w:rsid w:val="00FC6ACF"/>
    <w:rsid w:val="00FD2BCC"/>
    <w:rsid w:val="00FD4707"/>
    <w:rsid w:val="00FF11ED"/>
    <w:rsid w:val="00FF504A"/>
    <w:rsid w:val="7EE136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center"/>
    </w:pPr>
    <w:rPr>
      <w:rFonts w:asciiTheme="minorHAnsi" w:hAnsiTheme="minorHAnsi" w:eastAsiaTheme="minorHAnsi" w:cstheme="minorBidi"/>
      <w:sz w:val="22"/>
      <w:szCs w:val="22"/>
      <w:lang w:val="ru-RU" w:eastAsia="en-US" w:bidi="ar-SA"/>
    </w:rPr>
  </w:style>
  <w:style w:type="paragraph" w:styleId="2">
    <w:name w:val="heading 1"/>
    <w:basedOn w:val="1"/>
    <w:next w:val="1"/>
    <w:link w:val="63"/>
    <w:qFormat/>
    <w:uiPriority w:val="9"/>
    <w:pPr>
      <w:keepNext/>
      <w:keepLines/>
      <w:spacing w:before="240"/>
      <w:outlineLvl w:val="0"/>
    </w:pPr>
    <w:rPr>
      <w:rFonts w:asciiTheme="majorHAnsi" w:hAnsiTheme="majorHAnsi" w:eastAsiaTheme="majorEastAsia" w:cstheme="majorBidi"/>
      <w:color w:val="2E75B6" w:themeColor="accent1" w:themeShade="BF"/>
      <w:sz w:val="32"/>
      <w:szCs w:val="32"/>
    </w:rPr>
  </w:style>
  <w:style w:type="paragraph" w:styleId="3">
    <w:name w:val="heading 2"/>
    <w:basedOn w:val="1"/>
    <w:next w:val="1"/>
    <w:link w:val="38"/>
    <w:semiHidden/>
    <w:unhideWhenUsed/>
    <w:qFormat/>
    <w:uiPriority w:val="9"/>
    <w:pPr>
      <w:keepNext/>
      <w:keepLines/>
      <w:spacing w:before="40"/>
      <w:outlineLvl w:val="1"/>
    </w:pPr>
    <w:rPr>
      <w:rFonts w:ascii="Times New Roman" w:hAnsi="Times New Roman" w:eastAsia="Times New Roman" w:cs="Times New Roman"/>
      <w:color w:val="2E74B5"/>
      <w:sz w:val="28"/>
      <w:szCs w:val="28"/>
      <w:lang w:val="en-US"/>
    </w:rPr>
  </w:style>
  <w:style w:type="paragraph" w:styleId="4">
    <w:name w:val="heading 3"/>
    <w:basedOn w:val="1"/>
    <w:next w:val="1"/>
    <w:link w:val="39"/>
    <w:semiHidden/>
    <w:unhideWhenUsed/>
    <w:qFormat/>
    <w:uiPriority w:val="9"/>
    <w:pPr>
      <w:keepNext/>
      <w:keepLines/>
      <w:spacing w:before="40"/>
      <w:outlineLvl w:val="2"/>
    </w:pPr>
    <w:rPr>
      <w:rFonts w:ascii="Times New Roman" w:hAnsi="Times New Roman" w:eastAsia="Times New Roman" w:cs="Times New Roman"/>
      <w:color w:val="1F4E79"/>
      <w:sz w:val="24"/>
      <w:szCs w:val="24"/>
      <w:lang w:val="en-US"/>
    </w:rPr>
  </w:style>
  <w:style w:type="paragraph" w:styleId="5">
    <w:name w:val="heading 4"/>
    <w:basedOn w:val="1"/>
    <w:next w:val="1"/>
    <w:link w:val="40"/>
    <w:semiHidden/>
    <w:unhideWhenUsed/>
    <w:qFormat/>
    <w:uiPriority w:val="9"/>
    <w:pPr>
      <w:keepNext/>
      <w:keepLines/>
      <w:spacing w:before="40"/>
      <w:outlineLvl w:val="3"/>
    </w:pPr>
    <w:rPr>
      <w:rFonts w:ascii="Times New Roman" w:hAnsi="Times New Roman" w:eastAsia="Times New Roman" w:cs="Times New Roman"/>
      <w:i/>
      <w:iCs/>
      <w:color w:val="2E74B5"/>
      <w:lang w:val="en-US"/>
    </w:rPr>
  </w:style>
  <w:style w:type="paragraph" w:styleId="6">
    <w:name w:val="heading 5"/>
    <w:basedOn w:val="1"/>
    <w:next w:val="1"/>
    <w:link w:val="41"/>
    <w:semiHidden/>
    <w:unhideWhenUsed/>
    <w:qFormat/>
    <w:uiPriority w:val="9"/>
    <w:pPr>
      <w:keepNext/>
      <w:keepLines/>
      <w:spacing w:before="40"/>
      <w:outlineLvl w:val="4"/>
    </w:pPr>
    <w:rPr>
      <w:rFonts w:ascii="Times New Roman" w:hAnsi="Times New Roman" w:eastAsia="Times New Roman" w:cs="Times New Roman"/>
      <w:color w:val="2E74B5"/>
      <w:lang w:val="en-US"/>
    </w:rPr>
  </w:style>
  <w:style w:type="paragraph" w:styleId="7">
    <w:name w:val="heading 6"/>
    <w:basedOn w:val="1"/>
    <w:next w:val="1"/>
    <w:link w:val="42"/>
    <w:semiHidden/>
    <w:unhideWhenUsed/>
    <w:qFormat/>
    <w:uiPriority w:val="9"/>
    <w:pPr>
      <w:keepNext/>
      <w:keepLines/>
      <w:spacing w:before="40"/>
      <w:outlineLvl w:val="5"/>
    </w:pPr>
    <w:rPr>
      <w:rFonts w:ascii="Times New Roman" w:hAnsi="Times New Roman" w:eastAsia="Times New Roman" w:cs="Times New Roman"/>
      <w:color w:val="1F4E79"/>
      <w:lang w:val="en-US"/>
    </w:rPr>
  </w:style>
  <w:style w:type="paragraph" w:styleId="8">
    <w:name w:val="heading 7"/>
    <w:basedOn w:val="1"/>
    <w:next w:val="1"/>
    <w:link w:val="43"/>
    <w:semiHidden/>
    <w:unhideWhenUsed/>
    <w:qFormat/>
    <w:uiPriority w:val="9"/>
    <w:pPr>
      <w:keepNext/>
      <w:keepLines/>
      <w:spacing w:before="40"/>
      <w:outlineLvl w:val="6"/>
    </w:pPr>
    <w:rPr>
      <w:rFonts w:ascii="Times New Roman" w:hAnsi="Times New Roman" w:eastAsia="Times New Roman" w:cs="Times New Roman"/>
      <w:i/>
      <w:iCs/>
      <w:color w:val="1F4E79"/>
      <w:lang w:val="en-US"/>
    </w:rPr>
  </w:style>
  <w:style w:type="paragraph" w:styleId="9">
    <w:name w:val="heading 8"/>
    <w:basedOn w:val="1"/>
    <w:next w:val="1"/>
    <w:link w:val="44"/>
    <w:semiHidden/>
    <w:unhideWhenUsed/>
    <w:qFormat/>
    <w:uiPriority w:val="9"/>
    <w:pPr>
      <w:keepNext/>
      <w:keepLines/>
      <w:spacing w:before="40"/>
      <w:outlineLvl w:val="7"/>
    </w:pPr>
    <w:rPr>
      <w:rFonts w:ascii="Times New Roman" w:hAnsi="Times New Roman" w:eastAsia="Times New Roman" w:cs="Times New Roman"/>
      <w:color w:val="262626"/>
      <w:sz w:val="21"/>
      <w:szCs w:val="21"/>
      <w:lang w:val="en-US"/>
    </w:rPr>
  </w:style>
  <w:style w:type="paragraph" w:styleId="10">
    <w:name w:val="heading 9"/>
    <w:basedOn w:val="1"/>
    <w:next w:val="1"/>
    <w:link w:val="45"/>
    <w:semiHidden/>
    <w:unhideWhenUsed/>
    <w:qFormat/>
    <w:uiPriority w:val="9"/>
    <w:pPr>
      <w:keepNext/>
      <w:keepLines/>
      <w:spacing w:before="40"/>
      <w:outlineLvl w:val="8"/>
    </w:pPr>
    <w:rPr>
      <w:rFonts w:ascii="Times New Roman" w:hAnsi="Times New Roman" w:eastAsia="Times New Roman" w:cs="Times New Roman"/>
      <w:i/>
      <w:iCs/>
      <w:color w:val="262626"/>
      <w:sz w:val="21"/>
      <w:szCs w:val="21"/>
      <w:lang w:val="en-US"/>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alloon Text"/>
    <w:basedOn w:val="1"/>
    <w:link w:val="37"/>
    <w:semiHidden/>
    <w:unhideWhenUsed/>
    <w:qFormat/>
    <w:uiPriority w:val="99"/>
    <w:pPr>
      <w:spacing w:after="160" w:line="259" w:lineRule="auto"/>
      <w:jc w:val="left"/>
    </w:pPr>
    <w:rPr>
      <w:rFonts w:ascii="Segoe UI" w:hAnsi="Segoe UI" w:eastAsia="Times New Roman" w:cs="Segoe UI"/>
      <w:sz w:val="18"/>
      <w:szCs w:val="18"/>
      <w:lang w:val="en-US"/>
    </w:rPr>
  </w:style>
  <w:style w:type="character" w:styleId="14">
    <w:name w:val="Emphasis"/>
    <w:basedOn w:val="11"/>
    <w:qFormat/>
    <w:uiPriority w:val="20"/>
    <w:rPr>
      <w:i/>
      <w:iCs/>
      <w:color w:val="auto"/>
    </w:rPr>
  </w:style>
  <w:style w:type="character" w:styleId="15">
    <w:name w:val="FollowedHyperlink"/>
    <w:basedOn w:val="11"/>
    <w:semiHidden/>
    <w:unhideWhenUsed/>
    <w:uiPriority w:val="99"/>
    <w:rPr>
      <w:color w:val="954F72" w:themeColor="followedHyperlink"/>
      <w:u w:val="single"/>
      <w14:textFill>
        <w14:solidFill>
          <w14:schemeClr w14:val="folHlink"/>
        </w14:solidFill>
      </w14:textFill>
    </w:rPr>
  </w:style>
  <w:style w:type="paragraph" w:styleId="16">
    <w:name w:val="footer"/>
    <w:basedOn w:val="1"/>
    <w:link w:val="35"/>
    <w:unhideWhenUsed/>
    <w:uiPriority w:val="99"/>
    <w:pPr>
      <w:tabs>
        <w:tab w:val="center" w:pos="4844"/>
        <w:tab w:val="right" w:pos="9689"/>
      </w:tabs>
      <w:spacing w:after="160" w:line="259" w:lineRule="auto"/>
      <w:jc w:val="left"/>
    </w:pPr>
    <w:rPr>
      <w:rFonts w:eastAsia="Times New Roman"/>
      <w:lang w:val="en-US"/>
    </w:rPr>
  </w:style>
  <w:style w:type="paragraph" w:styleId="17">
    <w:name w:val="header"/>
    <w:basedOn w:val="1"/>
    <w:link w:val="34"/>
    <w:unhideWhenUsed/>
    <w:uiPriority w:val="99"/>
    <w:pPr>
      <w:tabs>
        <w:tab w:val="center" w:pos="4844"/>
        <w:tab w:val="right" w:pos="9689"/>
      </w:tabs>
      <w:spacing w:after="160" w:line="259" w:lineRule="auto"/>
      <w:jc w:val="left"/>
    </w:pPr>
    <w:rPr>
      <w:rFonts w:eastAsia="Times New Roman"/>
      <w:lang w:val="en-US"/>
    </w:rPr>
  </w:style>
  <w:style w:type="paragraph" w:styleId="18">
    <w:name w:val="HTML Preformatted"/>
    <w:basedOn w:val="1"/>
    <w:link w:val="83"/>
    <w:unhideWhenUsed/>
    <w:qFormat/>
    <w:uiPriority w:val="99"/>
    <w:rPr>
      <w:rFonts w:ascii="Consolas" w:hAnsi="Consolas"/>
      <w:sz w:val="20"/>
      <w:szCs w:val="20"/>
    </w:rPr>
  </w:style>
  <w:style w:type="character" w:styleId="19">
    <w:name w:val="Hyperlink"/>
    <w:basedOn w:val="11"/>
    <w:unhideWhenUsed/>
    <w:qFormat/>
    <w:uiPriority w:val="99"/>
    <w:rPr>
      <w:color w:val="0000FF"/>
      <w:u w:val="single"/>
    </w:rPr>
  </w:style>
  <w:style w:type="paragraph" w:styleId="20">
    <w:name w:val="Normal (Web)"/>
    <w:basedOn w:val="1"/>
    <w:semiHidden/>
    <w:unhideWhenUsed/>
    <w:qFormat/>
    <w:uiPriority w:val="99"/>
    <w:pPr>
      <w:spacing w:before="100" w:beforeAutospacing="1" w:after="100" w:afterAutospacing="1" w:line="259" w:lineRule="auto"/>
      <w:jc w:val="left"/>
    </w:pPr>
    <w:rPr>
      <w:rFonts w:ascii="Times New Roman" w:hAnsi="Times New Roman" w:eastAsia="Times New Roman" w:cs="Times New Roman"/>
      <w:sz w:val="24"/>
      <w:szCs w:val="24"/>
      <w:lang w:val="en-US"/>
    </w:rPr>
  </w:style>
  <w:style w:type="character" w:styleId="21">
    <w:name w:val="Strong"/>
    <w:basedOn w:val="11"/>
    <w:qFormat/>
    <w:uiPriority w:val="22"/>
    <w:rPr>
      <w:b/>
      <w:bCs/>
      <w:color w:val="auto"/>
    </w:rPr>
  </w:style>
  <w:style w:type="paragraph" w:styleId="22">
    <w:name w:val="Subtitle"/>
    <w:basedOn w:val="1"/>
    <w:next w:val="1"/>
    <w:link w:val="50"/>
    <w:qFormat/>
    <w:uiPriority w:val="11"/>
    <w:pPr>
      <w:spacing w:after="160"/>
    </w:pPr>
    <w:rPr>
      <w:color w:val="5A5A5A"/>
      <w:spacing w:val="15"/>
      <w:lang w:val="en-US"/>
    </w:rPr>
  </w:style>
  <w:style w:type="table" w:styleId="23">
    <w:name w:val="Table Grid"/>
    <w:basedOn w:val="12"/>
    <w:qFormat/>
    <w:uiPriority w:val="39"/>
    <w:pPr>
      <w:spacing w:after="160" w:line="259" w:lineRule="auto"/>
      <w:jc w:val="left"/>
    </w:pPr>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4">
    <w:name w:val="Title"/>
    <w:basedOn w:val="1"/>
    <w:next w:val="1"/>
    <w:link w:val="48"/>
    <w:qFormat/>
    <w:uiPriority w:val="10"/>
    <w:pPr>
      <w:contextualSpacing/>
    </w:pPr>
    <w:rPr>
      <w:rFonts w:ascii="Times New Roman" w:hAnsi="Times New Roman" w:eastAsia="Times New Roman" w:cs="Times New Roman"/>
      <w:spacing w:val="-10"/>
      <w:sz w:val="56"/>
      <w:szCs w:val="56"/>
      <w:lang w:val="en-US"/>
    </w:rPr>
  </w:style>
  <w:style w:type="paragraph" w:customStyle="1" w:styleId="25">
    <w:name w:val="Заголовок 11"/>
    <w:basedOn w:val="1"/>
    <w:next w:val="1"/>
    <w:link w:val="36"/>
    <w:qFormat/>
    <w:uiPriority w:val="9"/>
    <w:pPr>
      <w:keepNext/>
      <w:keepLines/>
      <w:spacing w:before="240" w:line="259" w:lineRule="auto"/>
      <w:jc w:val="left"/>
      <w:outlineLvl w:val="0"/>
    </w:pPr>
    <w:rPr>
      <w:rFonts w:ascii="Times New Roman" w:hAnsi="Times New Roman" w:eastAsia="Times New Roman" w:cs="Times New Roman"/>
      <w:color w:val="2E74B5"/>
      <w:sz w:val="32"/>
      <w:szCs w:val="32"/>
      <w:lang w:val="en-US"/>
    </w:rPr>
  </w:style>
  <w:style w:type="paragraph" w:customStyle="1" w:styleId="26">
    <w:name w:val="Заголовок 21"/>
    <w:basedOn w:val="1"/>
    <w:next w:val="1"/>
    <w:semiHidden/>
    <w:unhideWhenUsed/>
    <w:qFormat/>
    <w:uiPriority w:val="9"/>
    <w:pPr>
      <w:keepNext/>
      <w:keepLines/>
      <w:spacing w:before="40" w:line="259" w:lineRule="auto"/>
      <w:jc w:val="left"/>
      <w:outlineLvl w:val="1"/>
    </w:pPr>
    <w:rPr>
      <w:rFonts w:ascii="Times New Roman" w:hAnsi="Times New Roman" w:eastAsia="Times New Roman" w:cs="Times New Roman"/>
      <w:color w:val="2E74B5"/>
      <w:sz w:val="28"/>
      <w:szCs w:val="28"/>
      <w:lang w:val="en-US"/>
    </w:rPr>
  </w:style>
  <w:style w:type="paragraph" w:customStyle="1" w:styleId="27">
    <w:name w:val="Заголовок 31"/>
    <w:basedOn w:val="1"/>
    <w:next w:val="1"/>
    <w:semiHidden/>
    <w:unhideWhenUsed/>
    <w:qFormat/>
    <w:uiPriority w:val="9"/>
    <w:pPr>
      <w:keepNext/>
      <w:keepLines/>
      <w:spacing w:before="40" w:line="259" w:lineRule="auto"/>
      <w:jc w:val="left"/>
      <w:outlineLvl w:val="2"/>
    </w:pPr>
    <w:rPr>
      <w:rFonts w:ascii="Times New Roman" w:hAnsi="Times New Roman" w:eastAsia="Times New Roman" w:cs="Times New Roman"/>
      <w:color w:val="1F4E79"/>
      <w:sz w:val="24"/>
      <w:szCs w:val="24"/>
      <w:lang w:val="en-US"/>
    </w:rPr>
  </w:style>
  <w:style w:type="paragraph" w:customStyle="1" w:styleId="28">
    <w:name w:val="Заголовок 41"/>
    <w:basedOn w:val="1"/>
    <w:next w:val="1"/>
    <w:semiHidden/>
    <w:unhideWhenUsed/>
    <w:qFormat/>
    <w:uiPriority w:val="9"/>
    <w:pPr>
      <w:keepNext/>
      <w:keepLines/>
      <w:spacing w:before="40" w:line="259" w:lineRule="auto"/>
      <w:jc w:val="left"/>
      <w:outlineLvl w:val="3"/>
    </w:pPr>
    <w:rPr>
      <w:rFonts w:ascii="Times New Roman" w:hAnsi="Times New Roman" w:eastAsia="Times New Roman" w:cs="Times New Roman"/>
      <w:i/>
      <w:iCs/>
      <w:color w:val="2E74B5"/>
      <w:lang w:val="en-US"/>
    </w:rPr>
  </w:style>
  <w:style w:type="paragraph" w:customStyle="1" w:styleId="29">
    <w:name w:val="Заголовок 51"/>
    <w:basedOn w:val="1"/>
    <w:next w:val="1"/>
    <w:semiHidden/>
    <w:unhideWhenUsed/>
    <w:qFormat/>
    <w:uiPriority w:val="9"/>
    <w:pPr>
      <w:keepNext/>
      <w:keepLines/>
      <w:spacing w:before="40" w:line="259" w:lineRule="auto"/>
      <w:jc w:val="left"/>
      <w:outlineLvl w:val="4"/>
    </w:pPr>
    <w:rPr>
      <w:rFonts w:ascii="Times New Roman" w:hAnsi="Times New Roman" w:eastAsia="Times New Roman" w:cs="Times New Roman"/>
      <w:color w:val="2E74B5"/>
      <w:lang w:val="en-US"/>
    </w:rPr>
  </w:style>
  <w:style w:type="paragraph" w:customStyle="1" w:styleId="30">
    <w:name w:val="Заголовок 61"/>
    <w:basedOn w:val="1"/>
    <w:next w:val="1"/>
    <w:semiHidden/>
    <w:unhideWhenUsed/>
    <w:qFormat/>
    <w:uiPriority w:val="9"/>
    <w:pPr>
      <w:keepNext/>
      <w:keepLines/>
      <w:spacing w:before="40" w:line="259" w:lineRule="auto"/>
      <w:jc w:val="left"/>
      <w:outlineLvl w:val="5"/>
    </w:pPr>
    <w:rPr>
      <w:rFonts w:ascii="Times New Roman" w:hAnsi="Times New Roman" w:eastAsia="Times New Roman" w:cs="Times New Roman"/>
      <w:color w:val="1F4E79"/>
      <w:lang w:val="en-US"/>
    </w:rPr>
  </w:style>
  <w:style w:type="paragraph" w:customStyle="1" w:styleId="31">
    <w:name w:val="Заголовок 71"/>
    <w:basedOn w:val="1"/>
    <w:next w:val="1"/>
    <w:semiHidden/>
    <w:unhideWhenUsed/>
    <w:qFormat/>
    <w:uiPriority w:val="9"/>
    <w:pPr>
      <w:keepNext/>
      <w:keepLines/>
      <w:spacing w:before="40" w:line="259" w:lineRule="auto"/>
      <w:jc w:val="left"/>
      <w:outlineLvl w:val="6"/>
    </w:pPr>
    <w:rPr>
      <w:rFonts w:ascii="Times New Roman" w:hAnsi="Times New Roman" w:eastAsia="Times New Roman" w:cs="Times New Roman"/>
      <w:i/>
      <w:iCs/>
      <w:color w:val="1F4E79"/>
      <w:lang w:val="en-US"/>
    </w:rPr>
  </w:style>
  <w:style w:type="paragraph" w:customStyle="1" w:styleId="32">
    <w:name w:val="Заголовок 81"/>
    <w:basedOn w:val="1"/>
    <w:next w:val="1"/>
    <w:semiHidden/>
    <w:unhideWhenUsed/>
    <w:qFormat/>
    <w:uiPriority w:val="9"/>
    <w:pPr>
      <w:keepNext/>
      <w:keepLines/>
      <w:spacing w:before="40" w:line="259" w:lineRule="auto"/>
      <w:jc w:val="left"/>
      <w:outlineLvl w:val="7"/>
    </w:pPr>
    <w:rPr>
      <w:rFonts w:ascii="Times New Roman" w:hAnsi="Times New Roman" w:eastAsia="Times New Roman" w:cs="Times New Roman"/>
      <w:color w:val="262626"/>
      <w:sz w:val="21"/>
      <w:szCs w:val="21"/>
      <w:lang w:val="en-US"/>
    </w:rPr>
  </w:style>
  <w:style w:type="paragraph" w:customStyle="1" w:styleId="33">
    <w:name w:val="Заголовок 91"/>
    <w:basedOn w:val="1"/>
    <w:next w:val="1"/>
    <w:semiHidden/>
    <w:unhideWhenUsed/>
    <w:qFormat/>
    <w:uiPriority w:val="9"/>
    <w:pPr>
      <w:keepNext/>
      <w:keepLines/>
      <w:spacing w:before="40" w:line="259" w:lineRule="auto"/>
      <w:jc w:val="left"/>
      <w:outlineLvl w:val="8"/>
    </w:pPr>
    <w:rPr>
      <w:rFonts w:ascii="Times New Roman" w:hAnsi="Times New Roman" w:eastAsia="Times New Roman" w:cs="Times New Roman"/>
      <w:i/>
      <w:iCs/>
      <w:color w:val="262626"/>
      <w:sz w:val="21"/>
      <w:szCs w:val="21"/>
      <w:lang w:val="en-US"/>
    </w:rPr>
  </w:style>
  <w:style w:type="character" w:customStyle="1" w:styleId="34">
    <w:name w:val="Верхний колонтитул Знак"/>
    <w:basedOn w:val="11"/>
    <w:link w:val="17"/>
    <w:qFormat/>
    <w:uiPriority w:val="99"/>
    <w:rPr>
      <w:rFonts w:eastAsia="Times New Roman"/>
    </w:rPr>
  </w:style>
  <w:style w:type="character" w:customStyle="1" w:styleId="35">
    <w:name w:val="Нижний колонтитул Знак"/>
    <w:basedOn w:val="11"/>
    <w:link w:val="16"/>
    <w:qFormat/>
    <w:uiPriority w:val="99"/>
    <w:rPr>
      <w:rFonts w:eastAsia="Times New Roman"/>
    </w:rPr>
  </w:style>
  <w:style w:type="character" w:customStyle="1" w:styleId="36">
    <w:name w:val="Заголовок 1 Знак"/>
    <w:basedOn w:val="11"/>
    <w:link w:val="25"/>
    <w:uiPriority w:val="9"/>
    <w:rPr>
      <w:rFonts w:ascii="Times New Roman" w:hAnsi="Times New Roman" w:eastAsia="Times New Roman" w:cs="Times New Roman"/>
      <w:color w:val="2E74B5"/>
      <w:sz w:val="32"/>
      <w:szCs w:val="32"/>
    </w:rPr>
  </w:style>
  <w:style w:type="character" w:customStyle="1" w:styleId="37">
    <w:name w:val="Текст выноски Знак"/>
    <w:basedOn w:val="11"/>
    <w:link w:val="13"/>
    <w:semiHidden/>
    <w:qFormat/>
    <w:uiPriority w:val="99"/>
    <w:rPr>
      <w:rFonts w:ascii="Segoe UI" w:hAnsi="Segoe UI" w:eastAsia="Times New Roman" w:cs="Segoe UI"/>
      <w:sz w:val="18"/>
      <w:szCs w:val="18"/>
    </w:rPr>
  </w:style>
  <w:style w:type="character" w:customStyle="1" w:styleId="38">
    <w:name w:val="Заголовок 2 Знак"/>
    <w:basedOn w:val="11"/>
    <w:link w:val="3"/>
    <w:semiHidden/>
    <w:uiPriority w:val="9"/>
    <w:rPr>
      <w:rFonts w:ascii="Times New Roman" w:hAnsi="Times New Roman" w:eastAsia="Times New Roman" w:cs="Times New Roman"/>
      <w:color w:val="2E74B5"/>
      <w:sz w:val="28"/>
      <w:szCs w:val="28"/>
    </w:rPr>
  </w:style>
  <w:style w:type="character" w:customStyle="1" w:styleId="39">
    <w:name w:val="Заголовок 3 Знак"/>
    <w:basedOn w:val="11"/>
    <w:link w:val="4"/>
    <w:semiHidden/>
    <w:uiPriority w:val="9"/>
    <w:rPr>
      <w:rFonts w:ascii="Times New Roman" w:hAnsi="Times New Roman" w:eastAsia="Times New Roman" w:cs="Times New Roman"/>
      <w:color w:val="1F4E79"/>
      <w:sz w:val="24"/>
      <w:szCs w:val="24"/>
    </w:rPr>
  </w:style>
  <w:style w:type="character" w:customStyle="1" w:styleId="40">
    <w:name w:val="Заголовок 4 Знак"/>
    <w:basedOn w:val="11"/>
    <w:link w:val="5"/>
    <w:semiHidden/>
    <w:qFormat/>
    <w:uiPriority w:val="9"/>
    <w:rPr>
      <w:rFonts w:ascii="Times New Roman" w:hAnsi="Times New Roman" w:eastAsia="Times New Roman" w:cs="Times New Roman"/>
      <w:i/>
      <w:iCs/>
      <w:color w:val="2E74B5"/>
    </w:rPr>
  </w:style>
  <w:style w:type="character" w:customStyle="1" w:styleId="41">
    <w:name w:val="Заголовок 5 Знак"/>
    <w:basedOn w:val="11"/>
    <w:link w:val="6"/>
    <w:semiHidden/>
    <w:qFormat/>
    <w:uiPriority w:val="9"/>
    <w:rPr>
      <w:rFonts w:ascii="Times New Roman" w:hAnsi="Times New Roman" w:eastAsia="Times New Roman" w:cs="Times New Roman"/>
      <w:color w:val="2E74B5"/>
    </w:rPr>
  </w:style>
  <w:style w:type="character" w:customStyle="1" w:styleId="42">
    <w:name w:val="Заголовок 6 Знак"/>
    <w:basedOn w:val="11"/>
    <w:link w:val="7"/>
    <w:semiHidden/>
    <w:qFormat/>
    <w:uiPriority w:val="9"/>
    <w:rPr>
      <w:rFonts w:ascii="Times New Roman" w:hAnsi="Times New Roman" w:eastAsia="Times New Roman" w:cs="Times New Roman"/>
      <w:color w:val="1F4E79"/>
    </w:rPr>
  </w:style>
  <w:style w:type="character" w:customStyle="1" w:styleId="43">
    <w:name w:val="Заголовок 7 Знак"/>
    <w:basedOn w:val="11"/>
    <w:link w:val="8"/>
    <w:semiHidden/>
    <w:qFormat/>
    <w:uiPriority w:val="9"/>
    <w:rPr>
      <w:rFonts w:ascii="Times New Roman" w:hAnsi="Times New Roman" w:eastAsia="Times New Roman" w:cs="Times New Roman"/>
      <w:i/>
      <w:iCs/>
      <w:color w:val="1F4E79"/>
    </w:rPr>
  </w:style>
  <w:style w:type="character" w:customStyle="1" w:styleId="44">
    <w:name w:val="Заголовок 8 Знак"/>
    <w:basedOn w:val="11"/>
    <w:link w:val="9"/>
    <w:semiHidden/>
    <w:qFormat/>
    <w:uiPriority w:val="9"/>
    <w:rPr>
      <w:rFonts w:ascii="Times New Roman" w:hAnsi="Times New Roman" w:eastAsia="Times New Roman" w:cs="Times New Roman"/>
      <w:color w:val="262626"/>
      <w:sz w:val="21"/>
      <w:szCs w:val="21"/>
    </w:rPr>
  </w:style>
  <w:style w:type="character" w:customStyle="1" w:styleId="45">
    <w:name w:val="Заголовок 9 Знак"/>
    <w:basedOn w:val="11"/>
    <w:link w:val="10"/>
    <w:semiHidden/>
    <w:uiPriority w:val="9"/>
    <w:rPr>
      <w:rFonts w:ascii="Times New Roman" w:hAnsi="Times New Roman" w:eastAsia="Times New Roman" w:cs="Times New Roman"/>
      <w:i/>
      <w:iCs/>
      <w:color w:val="262626"/>
      <w:sz w:val="21"/>
      <w:szCs w:val="21"/>
    </w:rPr>
  </w:style>
  <w:style w:type="paragraph" w:customStyle="1" w:styleId="46">
    <w:name w:val="Название объекта1"/>
    <w:basedOn w:val="1"/>
    <w:next w:val="1"/>
    <w:semiHidden/>
    <w:unhideWhenUsed/>
    <w:qFormat/>
    <w:uiPriority w:val="35"/>
    <w:pPr>
      <w:spacing w:after="200"/>
      <w:jc w:val="left"/>
    </w:pPr>
    <w:rPr>
      <w:rFonts w:eastAsia="Times New Roman"/>
      <w:i/>
      <w:iCs/>
      <w:color w:val="44546A"/>
      <w:sz w:val="18"/>
      <w:szCs w:val="18"/>
      <w:lang w:val="en-US"/>
    </w:rPr>
  </w:style>
  <w:style w:type="paragraph" w:customStyle="1" w:styleId="47">
    <w:name w:val="Заголовок1"/>
    <w:basedOn w:val="1"/>
    <w:next w:val="1"/>
    <w:qFormat/>
    <w:uiPriority w:val="10"/>
    <w:pPr>
      <w:contextualSpacing/>
      <w:jc w:val="left"/>
    </w:pPr>
    <w:rPr>
      <w:rFonts w:ascii="Times New Roman" w:hAnsi="Times New Roman" w:eastAsia="Times New Roman" w:cs="Times New Roman"/>
      <w:spacing w:val="-10"/>
      <w:sz w:val="56"/>
      <w:szCs w:val="56"/>
      <w:lang w:val="en-US"/>
    </w:rPr>
  </w:style>
  <w:style w:type="character" w:customStyle="1" w:styleId="48">
    <w:name w:val="Заголовок Знак"/>
    <w:basedOn w:val="11"/>
    <w:link w:val="24"/>
    <w:qFormat/>
    <w:uiPriority w:val="10"/>
    <w:rPr>
      <w:rFonts w:ascii="Times New Roman" w:hAnsi="Times New Roman" w:eastAsia="Times New Roman" w:cs="Times New Roman"/>
      <w:spacing w:val="-10"/>
      <w:sz w:val="56"/>
      <w:szCs w:val="56"/>
    </w:rPr>
  </w:style>
  <w:style w:type="paragraph" w:customStyle="1" w:styleId="49">
    <w:name w:val="Подзаголовок1"/>
    <w:basedOn w:val="1"/>
    <w:next w:val="1"/>
    <w:qFormat/>
    <w:uiPriority w:val="11"/>
    <w:pPr>
      <w:spacing w:after="160" w:line="259" w:lineRule="auto"/>
      <w:jc w:val="left"/>
    </w:pPr>
    <w:rPr>
      <w:rFonts w:eastAsia="Times New Roman"/>
      <w:color w:val="5A5A5A"/>
      <w:spacing w:val="15"/>
      <w:lang w:val="en-US"/>
    </w:rPr>
  </w:style>
  <w:style w:type="character" w:customStyle="1" w:styleId="50">
    <w:name w:val="Подзаголовок Знак"/>
    <w:basedOn w:val="11"/>
    <w:link w:val="22"/>
    <w:uiPriority w:val="11"/>
    <w:rPr>
      <w:color w:val="5A5A5A"/>
      <w:spacing w:val="15"/>
    </w:rPr>
  </w:style>
  <w:style w:type="paragraph" w:styleId="51">
    <w:name w:val="No Spacing"/>
    <w:qFormat/>
    <w:uiPriority w:val="1"/>
    <w:pPr>
      <w:jc w:val="left"/>
    </w:pPr>
    <w:rPr>
      <w:rFonts w:eastAsia="Times New Roman" w:asciiTheme="minorHAnsi" w:hAnsiTheme="minorHAnsi" w:cstheme="minorBidi"/>
      <w:sz w:val="22"/>
      <w:szCs w:val="22"/>
      <w:lang w:val="en-US" w:eastAsia="en-US" w:bidi="ar-SA"/>
    </w:rPr>
  </w:style>
  <w:style w:type="paragraph" w:customStyle="1" w:styleId="52">
    <w:name w:val="Цитата 21"/>
    <w:basedOn w:val="1"/>
    <w:next w:val="1"/>
    <w:qFormat/>
    <w:uiPriority w:val="29"/>
    <w:pPr>
      <w:spacing w:before="200" w:after="160" w:line="259" w:lineRule="auto"/>
      <w:ind w:left="864" w:right="864"/>
      <w:jc w:val="left"/>
    </w:pPr>
    <w:rPr>
      <w:rFonts w:eastAsia="Times New Roman"/>
      <w:i/>
      <w:iCs/>
      <w:color w:val="404040"/>
      <w:lang w:val="en-US"/>
    </w:rPr>
  </w:style>
  <w:style w:type="character" w:customStyle="1" w:styleId="53">
    <w:name w:val="Цитата 2 Знак"/>
    <w:basedOn w:val="11"/>
    <w:link w:val="54"/>
    <w:uiPriority w:val="29"/>
    <w:rPr>
      <w:i/>
      <w:iCs/>
      <w:color w:val="404040"/>
    </w:rPr>
  </w:style>
  <w:style w:type="paragraph" w:styleId="54">
    <w:name w:val="Quote"/>
    <w:basedOn w:val="1"/>
    <w:next w:val="1"/>
    <w:link w:val="53"/>
    <w:qFormat/>
    <w:uiPriority w:val="29"/>
    <w:pPr>
      <w:spacing w:before="200" w:after="160"/>
      <w:ind w:left="864" w:right="864"/>
    </w:pPr>
    <w:rPr>
      <w:i/>
      <w:iCs/>
      <w:color w:val="404040"/>
      <w:lang w:val="en-US"/>
    </w:rPr>
  </w:style>
  <w:style w:type="paragraph" w:customStyle="1" w:styleId="55">
    <w:name w:val="Выделенная цитата1"/>
    <w:basedOn w:val="1"/>
    <w:next w:val="1"/>
    <w:qFormat/>
    <w:uiPriority w:val="30"/>
    <w:pPr>
      <w:pBdr>
        <w:top w:val="single" w:color="5B9BD5" w:sz="4" w:space="10"/>
        <w:bottom w:val="single" w:color="5B9BD5" w:sz="4" w:space="10"/>
      </w:pBdr>
      <w:spacing w:before="360" w:after="360" w:line="259" w:lineRule="auto"/>
      <w:ind w:left="864" w:right="864"/>
    </w:pPr>
    <w:rPr>
      <w:rFonts w:eastAsia="Times New Roman"/>
      <w:i/>
      <w:iCs/>
      <w:color w:val="5B9BD5"/>
      <w:lang w:val="en-US"/>
    </w:rPr>
  </w:style>
  <w:style w:type="character" w:customStyle="1" w:styleId="56">
    <w:name w:val="Выделенная цитата Знак"/>
    <w:basedOn w:val="11"/>
    <w:link w:val="57"/>
    <w:uiPriority w:val="30"/>
    <w:rPr>
      <w:i/>
      <w:iCs/>
      <w:color w:val="5B9BD5"/>
    </w:rPr>
  </w:style>
  <w:style w:type="paragraph" w:styleId="57">
    <w:name w:val="Intense Quote"/>
    <w:basedOn w:val="1"/>
    <w:next w:val="1"/>
    <w:link w:val="56"/>
    <w:qFormat/>
    <w:uiPriority w:val="30"/>
    <w:pPr>
      <w:pBdr>
        <w:top w:val="single" w:color="5B9BD5" w:themeColor="accent1" w:sz="4" w:space="10"/>
        <w:bottom w:val="single" w:color="5B9BD5" w:themeColor="accent1" w:sz="4" w:space="10"/>
      </w:pBdr>
      <w:spacing w:before="360" w:after="360"/>
      <w:ind w:left="864" w:right="864"/>
    </w:pPr>
    <w:rPr>
      <w:i/>
      <w:iCs/>
      <w:color w:val="5B9BD5"/>
      <w:lang w:val="en-US"/>
    </w:rPr>
  </w:style>
  <w:style w:type="character" w:customStyle="1" w:styleId="58">
    <w:name w:val="Слабое выделение1"/>
    <w:basedOn w:val="11"/>
    <w:qFormat/>
    <w:uiPriority w:val="19"/>
    <w:rPr>
      <w:i/>
      <w:iCs/>
      <w:color w:val="404040"/>
    </w:rPr>
  </w:style>
  <w:style w:type="character" w:customStyle="1" w:styleId="59">
    <w:name w:val="Сильное выделение1"/>
    <w:basedOn w:val="11"/>
    <w:qFormat/>
    <w:uiPriority w:val="21"/>
    <w:rPr>
      <w:i/>
      <w:iCs/>
      <w:color w:val="5B9BD5"/>
    </w:rPr>
  </w:style>
  <w:style w:type="character" w:customStyle="1" w:styleId="60">
    <w:name w:val="Слабая ссылка1"/>
    <w:basedOn w:val="11"/>
    <w:qFormat/>
    <w:uiPriority w:val="31"/>
    <w:rPr>
      <w:smallCaps/>
      <w:color w:val="404040"/>
    </w:rPr>
  </w:style>
  <w:style w:type="character" w:customStyle="1" w:styleId="61">
    <w:name w:val="Сильная ссылка1"/>
    <w:basedOn w:val="11"/>
    <w:qFormat/>
    <w:uiPriority w:val="32"/>
    <w:rPr>
      <w:b/>
      <w:bCs/>
      <w:smallCaps/>
      <w:color w:val="5B9BD5"/>
      <w:spacing w:val="5"/>
    </w:rPr>
  </w:style>
  <w:style w:type="character" w:customStyle="1" w:styleId="62">
    <w:name w:val="Book Title"/>
    <w:basedOn w:val="11"/>
    <w:qFormat/>
    <w:uiPriority w:val="33"/>
    <w:rPr>
      <w:b/>
      <w:bCs/>
      <w:i/>
      <w:iCs/>
      <w:spacing w:val="5"/>
    </w:rPr>
  </w:style>
  <w:style w:type="character" w:customStyle="1" w:styleId="63">
    <w:name w:val="Заголовок 1 Знак1"/>
    <w:basedOn w:val="11"/>
    <w:link w:val="2"/>
    <w:qFormat/>
    <w:uiPriority w:val="9"/>
    <w:rPr>
      <w:rFonts w:asciiTheme="majorHAnsi" w:hAnsiTheme="majorHAnsi" w:eastAsiaTheme="majorEastAsia" w:cstheme="majorBidi"/>
      <w:color w:val="2E75B6" w:themeColor="accent1" w:themeShade="BF"/>
      <w:sz w:val="32"/>
      <w:szCs w:val="32"/>
      <w:lang w:val="ru-RU"/>
    </w:rPr>
  </w:style>
  <w:style w:type="paragraph" w:customStyle="1" w:styleId="64">
    <w:name w:val="TOC Heading"/>
    <w:basedOn w:val="2"/>
    <w:next w:val="1"/>
    <w:semiHidden/>
    <w:unhideWhenUsed/>
    <w:qFormat/>
    <w:uiPriority w:val="39"/>
    <w:pPr>
      <w:spacing w:line="259" w:lineRule="auto"/>
      <w:jc w:val="left"/>
      <w:outlineLvl w:val="9"/>
    </w:pPr>
    <w:rPr>
      <w:lang w:val="en-US"/>
    </w:rPr>
  </w:style>
  <w:style w:type="character" w:customStyle="1" w:styleId="65">
    <w:name w:val="Заголовок 2 Знак1"/>
    <w:basedOn w:val="11"/>
    <w:semiHidden/>
    <w:qFormat/>
    <w:uiPriority w:val="9"/>
    <w:rPr>
      <w:rFonts w:asciiTheme="majorHAnsi" w:hAnsiTheme="majorHAnsi" w:eastAsiaTheme="majorEastAsia" w:cstheme="majorBidi"/>
      <w:color w:val="2E75B6" w:themeColor="accent1" w:themeShade="BF"/>
      <w:sz w:val="26"/>
      <w:szCs w:val="26"/>
      <w:lang w:val="ru-RU"/>
    </w:rPr>
  </w:style>
  <w:style w:type="character" w:customStyle="1" w:styleId="66">
    <w:name w:val="Заголовок 3 Знак1"/>
    <w:basedOn w:val="11"/>
    <w:semiHidden/>
    <w:qFormat/>
    <w:uiPriority w:val="9"/>
    <w:rPr>
      <w:rFonts w:asciiTheme="majorHAnsi" w:hAnsiTheme="majorHAnsi" w:eastAsiaTheme="majorEastAsia" w:cstheme="majorBidi"/>
      <w:color w:val="1F4E79" w:themeColor="accent1" w:themeShade="80"/>
      <w:sz w:val="24"/>
      <w:szCs w:val="24"/>
      <w:lang w:val="ru-RU"/>
    </w:rPr>
  </w:style>
  <w:style w:type="character" w:customStyle="1" w:styleId="67">
    <w:name w:val="Заголовок 4 Знак1"/>
    <w:basedOn w:val="11"/>
    <w:semiHidden/>
    <w:qFormat/>
    <w:uiPriority w:val="9"/>
    <w:rPr>
      <w:rFonts w:asciiTheme="majorHAnsi" w:hAnsiTheme="majorHAnsi" w:eastAsiaTheme="majorEastAsia" w:cstheme="majorBidi"/>
      <w:i/>
      <w:iCs/>
      <w:color w:val="2E75B6" w:themeColor="accent1" w:themeShade="BF"/>
      <w:lang w:val="ru-RU"/>
    </w:rPr>
  </w:style>
  <w:style w:type="character" w:customStyle="1" w:styleId="68">
    <w:name w:val="Заголовок 5 Знак1"/>
    <w:basedOn w:val="11"/>
    <w:semiHidden/>
    <w:qFormat/>
    <w:uiPriority w:val="9"/>
    <w:rPr>
      <w:rFonts w:asciiTheme="majorHAnsi" w:hAnsiTheme="majorHAnsi" w:eastAsiaTheme="majorEastAsia" w:cstheme="majorBidi"/>
      <w:color w:val="2E75B6" w:themeColor="accent1" w:themeShade="BF"/>
      <w:lang w:val="ru-RU"/>
    </w:rPr>
  </w:style>
  <w:style w:type="character" w:customStyle="1" w:styleId="69">
    <w:name w:val="Заголовок 6 Знак1"/>
    <w:basedOn w:val="11"/>
    <w:semiHidden/>
    <w:qFormat/>
    <w:uiPriority w:val="9"/>
    <w:rPr>
      <w:rFonts w:asciiTheme="majorHAnsi" w:hAnsiTheme="majorHAnsi" w:eastAsiaTheme="majorEastAsia" w:cstheme="majorBidi"/>
      <w:color w:val="1F4E79" w:themeColor="accent1" w:themeShade="80"/>
      <w:lang w:val="ru-RU"/>
    </w:rPr>
  </w:style>
  <w:style w:type="character" w:customStyle="1" w:styleId="70">
    <w:name w:val="Заголовок 7 Знак1"/>
    <w:basedOn w:val="11"/>
    <w:semiHidden/>
    <w:qFormat/>
    <w:uiPriority w:val="9"/>
    <w:rPr>
      <w:rFonts w:asciiTheme="majorHAnsi" w:hAnsiTheme="majorHAnsi" w:eastAsiaTheme="majorEastAsia" w:cstheme="majorBidi"/>
      <w:i/>
      <w:iCs/>
      <w:color w:val="1F4E79" w:themeColor="accent1" w:themeShade="80"/>
      <w:lang w:val="ru-RU"/>
    </w:rPr>
  </w:style>
  <w:style w:type="character" w:customStyle="1" w:styleId="71">
    <w:name w:val="Заголовок 8 Знак1"/>
    <w:basedOn w:val="11"/>
    <w:semiHidden/>
    <w:qFormat/>
    <w:uiPriority w:val="9"/>
    <w:rPr>
      <w:rFonts w:asciiTheme="majorHAnsi" w:hAnsiTheme="majorHAnsi" w:eastAsiaTheme="majorEastAsia" w:cstheme="majorBidi"/>
      <w:color w:val="262626" w:themeColor="text1" w:themeTint="D9"/>
      <w:sz w:val="21"/>
      <w:szCs w:val="21"/>
      <w:lang w:val="ru-RU"/>
      <w14:textFill>
        <w14:solidFill>
          <w14:schemeClr w14:val="tx1">
            <w14:lumMod w14:val="85000"/>
            <w14:lumOff w14:val="15000"/>
          </w14:schemeClr>
        </w14:solidFill>
      </w14:textFill>
    </w:rPr>
  </w:style>
  <w:style w:type="character" w:customStyle="1" w:styleId="72">
    <w:name w:val="Заголовок 9 Знак1"/>
    <w:basedOn w:val="11"/>
    <w:semiHidden/>
    <w:qFormat/>
    <w:uiPriority w:val="9"/>
    <w:rPr>
      <w:rFonts w:asciiTheme="majorHAnsi" w:hAnsiTheme="majorHAnsi" w:eastAsiaTheme="majorEastAsia" w:cstheme="majorBidi"/>
      <w:i/>
      <w:iCs/>
      <w:color w:val="262626" w:themeColor="text1" w:themeTint="D9"/>
      <w:sz w:val="21"/>
      <w:szCs w:val="21"/>
      <w:lang w:val="ru-RU"/>
      <w14:textFill>
        <w14:solidFill>
          <w14:schemeClr w14:val="tx1">
            <w14:lumMod w14:val="85000"/>
            <w14:lumOff w14:val="15000"/>
          </w14:schemeClr>
        </w14:solidFill>
      </w14:textFill>
    </w:rPr>
  </w:style>
  <w:style w:type="character" w:customStyle="1" w:styleId="73">
    <w:name w:val="Заголовок Знак1"/>
    <w:basedOn w:val="11"/>
    <w:qFormat/>
    <w:uiPriority w:val="10"/>
    <w:rPr>
      <w:rFonts w:asciiTheme="majorHAnsi" w:hAnsiTheme="majorHAnsi" w:eastAsiaTheme="majorEastAsia" w:cstheme="majorBidi"/>
      <w:spacing w:val="-10"/>
      <w:kern w:val="28"/>
      <w:sz w:val="56"/>
      <w:szCs w:val="56"/>
      <w:lang w:val="ru-RU"/>
    </w:rPr>
  </w:style>
  <w:style w:type="character" w:customStyle="1" w:styleId="74">
    <w:name w:val="Подзаголовок Знак1"/>
    <w:basedOn w:val="11"/>
    <w:qFormat/>
    <w:uiPriority w:val="11"/>
    <w:rPr>
      <w:rFonts w:eastAsiaTheme="minorEastAsia"/>
      <w:color w:val="595959" w:themeColor="text1" w:themeTint="A6"/>
      <w:spacing w:val="15"/>
      <w:lang w:val="ru-RU"/>
      <w14:textFill>
        <w14:solidFill>
          <w14:schemeClr w14:val="tx1">
            <w14:lumMod w14:val="65000"/>
            <w14:lumOff w14:val="35000"/>
          </w14:schemeClr>
        </w14:solidFill>
      </w14:textFill>
    </w:rPr>
  </w:style>
  <w:style w:type="character" w:customStyle="1" w:styleId="75">
    <w:name w:val="Цитата 2 Знак1"/>
    <w:basedOn w:val="11"/>
    <w:uiPriority w:val="29"/>
    <w:rPr>
      <w:i/>
      <w:iCs/>
      <w:color w:val="404040" w:themeColor="text1" w:themeTint="BF"/>
      <w:lang w:val="ru-RU"/>
      <w14:textFill>
        <w14:solidFill>
          <w14:schemeClr w14:val="tx1">
            <w14:lumMod w14:val="75000"/>
            <w14:lumOff w14:val="25000"/>
          </w14:schemeClr>
        </w14:solidFill>
      </w14:textFill>
    </w:rPr>
  </w:style>
  <w:style w:type="character" w:customStyle="1" w:styleId="76">
    <w:name w:val="Выделенная цитата Знак1"/>
    <w:basedOn w:val="11"/>
    <w:qFormat/>
    <w:uiPriority w:val="30"/>
    <w:rPr>
      <w:i/>
      <w:iCs/>
      <w:color w:val="5B9BD5" w:themeColor="accent1"/>
      <w:lang w:val="ru-RU"/>
      <w14:textFill>
        <w14:solidFill>
          <w14:schemeClr w14:val="accent1"/>
        </w14:solidFill>
      </w14:textFill>
    </w:rPr>
  </w:style>
  <w:style w:type="character" w:customStyle="1" w:styleId="77">
    <w:name w:val="Subtle Emphasis"/>
    <w:basedOn w:val="11"/>
    <w:qFormat/>
    <w:uiPriority w:val="19"/>
    <w:rPr>
      <w:i/>
      <w:iCs/>
      <w:color w:val="404040" w:themeColor="text1" w:themeTint="BF"/>
      <w14:textFill>
        <w14:solidFill>
          <w14:schemeClr w14:val="tx1">
            <w14:lumMod w14:val="75000"/>
            <w14:lumOff w14:val="25000"/>
          </w14:schemeClr>
        </w14:solidFill>
      </w14:textFill>
    </w:rPr>
  </w:style>
  <w:style w:type="character" w:customStyle="1" w:styleId="78">
    <w:name w:val="Intense Emphasis"/>
    <w:basedOn w:val="11"/>
    <w:qFormat/>
    <w:uiPriority w:val="21"/>
    <w:rPr>
      <w:i/>
      <w:iCs/>
      <w:color w:val="5B9BD5" w:themeColor="accent1"/>
      <w14:textFill>
        <w14:solidFill>
          <w14:schemeClr w14:val="accent1"/>
        </w14:solidFill>
      </w14:textFill>
    </w:rPr>
  </w:style>
  <w:style w:type="character" w:customStyle="1" w:styleId="79">
    <w:name w:val="Subtle Reference"/>
    <w:basedOn w:val="11"/>
    <w:qFormat/>
    <w:uiPriority w:val="31"/>
    <w:rPr>
      <w:smallCaps/>
      <w:color w:val="595959" w:themeColor="text1" w:themeTint="A6"/>
      <w14:textFill>
        <w14:solidFill>
          <w14:schemeClr w14:val="tx1">
            <w14:lumMod w14:val="65000"/>
            <w14:lumOff w14:val="35000"/>
          </w14:schemeClr>
        </w14:solidFill>
      </w14:textFill>
    </w:rPr>
  </w:style>
  <w:style w:type="character" w:customStyle="1" w:styleId="80">
    <w:name w:val="Intense Reference"/>
    <w:basedOn w:val="11"/>
    <w:qFormat/>
    <w:uiPriority w:val="32"/>
    <w:rPr>
      <w:b/>
      <w:bCs/>
      <w:smallCaps/>
      <w:color w:val="5B9BD5" w:themeColor="accent1"/>
      <w:spacing w:val="5"/>
      <w14:textFill>
        <w14:solidFill>
          <w14:schemeClr w14:val="accent1"/>
        </w14:solidFill>
      </w14:textFill>
    </w:rPr>
  </w:style>
  <w:style w:type="table" w:customStyle="1" w:styleId="81">
    <w:name w:val="Сетка таблицы1"/>
    <w:basedOn w:val="12"/>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82">
    <w:name w:val="List Paragraph"/>
    <w:basedOn w:val="1"/>
    <w:qFormat/>
    <w:uiPriority w:val="34"/>
    <w:pPr>
      <w:ind w:left="720"/>
      <w:contextualSpacing/>
    </w:pPr>
  </w:style>
  <w:style w:type="character" w:customStyle="1" w:styleId="83">
    <w:name w:val="Стандартный HTML Знак"/>
    <w:basedOn w:val="11"/>
    <w:link w:val="18"/>
    <w:uiPriority w:val="99"/>
    <w:rPr>
      <w:rFonts w:ascii="Consolas" w:hAnsi="Consolas"/>
      <w:sz w:val="20"/>
      <w:szCs w:val="20"/>
      <w:lang w:val="ru-RU"/>
    </w:rPr>
  </w:style>
  <w:style w:type="paragraph" w:customStyle="1" w:styleId="84">
    <w:name w:val="txt"/>
    <w:basedOn w:val="1"/>
    <w:qFormat/>
    <w:uiPriority w:val="0"/>
    <w:pPr>
      <w:spacing w:before="100" w:beforeAutospacing="1" w:after="100" w:afterAutospacing="1"/>
      <w:jc w:val="left"/>
    </w:pPr>
    <w:rPr>
      <w:rFonts w:ascii="Times New Roman" w:hAnsi="Times New Roman" w:eastAsia="Times New Roman" w:cs="Times New Roman"/>
      <w:sz w:val="24"/>
      <w:szCs w:val="24"/>
      <w:lang w:val="en-US"/>
    </w:rPr>
  </w:style>
  <w:style w:type="character" w:customStyle="1" w:styleId="85">
    <w:name w:val="t"/>
    <w:basedOn w:val="11"/>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967F97-B85E-457A-9DC1-D7D817F6B2C1}">
  <ds:schemaRefs/>
</ds:datastoreItem>
</file>

<file path=docProps/app.xml><?xml version="1.0" encoding="utf-8"?>
<Properties xmlns="http://schemas.openxmlformats.org/officeDocument/2006/extended-properties" xmlns:vt="http://schemas.openxmlformats.org/officeDocument/2006/docPropsVTypes">
  <Template>Normal</Template>
  <Company>SPecialiST RePack</Company>
  <Pages>84</Pages>
  <Words>20555</Words>
  <Characters>117169</Characters>
  <Lines>976</Lines>
  <Paragraphs>274</Paragraphs>
  <TotalTime>2729</TotalTime>
  <ScaleCrop>false</ScaleCrop>
  <LinksUpToDate>false</LinksUpToDate>
  <CharactersWithSpaces>137450</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2024-11-11T23:41:00Z</dcterms:created>
  <dc:creator>user</dc:creator>
  <cp:lastModifiedBy>ПК</cp:lastModifiedBy>
  <dcterms:modified xsi:type="dcterms:W3CDTF">2024-12-25T10:11:07Z</dcterms:modified>
  <cp:revision>99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4548537C84A245AEB37612C9D3646A9E_13</vt:lpwstr>
  </property>
</Properties>
</file>