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401AD" w:rsidRPr="009401AD" w:rsidRDefault="009401AD" w:rsidP="009401AD">
      <w:pPr>
        <w:suppressAutoHyphens/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Одеський національний університет імені І.І. Мечникова</w:t>
      </w:r>
    </w:p>
    <w:p w:rsidR="009401AD" w:rsidRPr="009401AD" w:rsidRDefault="009401AD" w:rsidP="009401AD">
      <w:pPr>
        <w:suppressAutoHyphens/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Економіко-правовий факультет</w:t>
      </w:r>
    </w:p>
    <w:p w:rsidR="009401AD" w:rsidRPr="009401AD" w:rsidRDefault="009401AD" w:rsidP="009401AD">
      <w:pPr>
        <w:suppressAutoHyphens/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Кафедра цивільно-правових дисциплін</w:t>
      </w:r>
    </w:p>
    <w:p w:rsidR="009401AD" w:rsidRPr="009401AD" w:rsidRDefault="009401AD" w:rsidP="009401AD">
      <w:pPr>
        <w:suppressAutoHyphens/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</w:p>
    <w:p w:rsidR="009401AD" w:rsidRPr="009401AD" w:rsidRDefault="009401AD" w:rsidP="009401AD">
      <w:pPr>
        <w:suppressAutoHyphens/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</w:p>
    <w:p w:rsidR="009401AD" w:rsidRPr="009401AD" w:rsidRDefault="009401AD" w:rsidP="009401AD">
      <w:pPr>
        <w:suppressAutoHyphens/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</w:p>
    <w:p w:rsidR="009401AD" w:rsidRPr="009401AD" w:rsidRDefault="009401AD" w:rsidP="009401AD">
      <w:pPr>
        <w:suppressAutoHyphens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val="ru-RU" w:eastAsia="ar-SA"/>
        </w:rPr>
      </w:pPr>
      <w:r w:rsidRPr="009401AD">
        <w:rPr>
          <w:rFonts w:ascii="Times New Roman" w:eastAsia="Times New Roman" w:hAnsi="Times New Roman" w:cs="Times New Roman"/>
          <w:b/>
          <w:sz w:val="32"/>
          <w:szCs w:val="32"/>
          <w:lang w:eastAsia="ar-SA"/>
        </w:rPr>
        <w:t>Д и п л о м н а  р о б о т а</w:t>
      </w:r>
    </w:p>
    <w:p w:rsidR="009401AD" w:rsidRPr="009401AD" w:rsidRDefault="009401AD" w:rsidP="009401AD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>«Правове регулювання відносин, які виникають внаслідок застосування допоміжних репродуктивних технологій»</w:t>
      </w:r>
    </w:p>
    <w:p w:rsidR="009401AD" w:rsidRPr="009401AD" w:rsidRDefault="009401AD" w:rsidP="009401AD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«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en-US" w:eastAsia="ar-SA"/>
        </w:rPr>
        <w:t>The legal regulation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en-US" w:eastAsia="ar-SA"/>
        </w:rPr>
        <w:t>of the relations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en-US" w:eastAsia="ar-SA"/>
        </w:rPr>
        <w:t>which arise from using of the assisted reproductive technologies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»</w:t>
      </w:r>
    </w:p>
    <w:p w:rsidR="009401AD" w:rsidRPr="009401AD" w:rsidRDefault="009401AD" w:rsidP="009401AD">
      <w:pPr>
        <w:tabs>
          <w:tab w:val="left" w:pos="5324"/>
        </w:tabs>
        <w:suppressAutoHyphens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en-US"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val="en-US" w:eastAsia="ar-SA"/>
        </w:rPr>
        <w:tab/>
      </w:r>
    </w:p>
    <w:p w:rsidR="009401AD" w:rsidRPr="009401AD" w:rsidRDefault="009401AD" w:rsidP="009401AD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на здобуття ступеня вищої освіти 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«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магістр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»</w:t>
      </w:r>
    </w:p>
    <w:p w:rsidR="009401AD" w:rsidRPr="009401AD" w:rsidRDefault="009401AD" w:rsidP="009401AD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</w:p>
    <w:p w:rsidR="009401AD" w:rsidRPr="009401AD" w:rsidRDefault="009401AD" w:rsidP="009401AD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</w:p>
    <w:p w:rsidR="009401AD" w:rsidRPr="009401AD" w:rsidRDefault="009401AD" w:rsidP="009401AD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</w:p>
    <w:p w:rsidR="009401AD" w:rsidRPr="009401AD" w:rsidRDefault="009401AD" w:rsidP="009401AD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</w:p>
    <w:p w:rsidR="009401AD" w:rsidRPr="009401AD" w:rsidRDefault="009401AD" w:rsidP="009401AD">
      <w:pPr>
        <w:suppressAutoHyphens/>
        <w:spacing w:after="0" w:line="240" w:lineRule="auto"/>
        <w:ind w:firstLine="3969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Виконала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: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 студентка денної форми навчання</w:t>
      </w:r>
    </w:p>
    <w:p w:rsidR="009401AD" w:rsidRPr="009401AD" w:rsidRDefault="009401AD" w:rsidP="009401AD">
      <w:pPr>
        <w:suppressAutoHyphens/>
        <w:spacing w:after="0" w:line="240" w:lineRule="auto"/>
        <w:ind w:firstLine="3969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спеціальності 081 Право</w:t>
      </w:r>
    </w:p>
    <w:p w:rsidR="009401AD" w:rsidRPr="009401AD" w:rsidRDefault="009401AD" w:rsidP="009401AD">
      <w:pPr>
        <w:suppressAutoHyphens/>
        <w:spacing w:after="0" w:line="240" w:lineRule="auto"/>
        <w:ind w:firstLine="3969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 xml:space="preserve">Мартинюк Лілія Павлівна </w:t>
      </w:r>
    </w:p>
    <w:p w:rsidR="009401AD" w:rsidRPr="009401AD" w:rsidRDefault="009401AD" w:rsidP="009401AD">
      <w:pPr>
        <w:suppressAutoHyphens/>
        <w:spacing w:after="0" w:line="240" w:lineRule="auto"/>
        <w:ind w:firstLine="3969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</w:p>
    <w:p w:rsidR="009401AD" w:rsidRPr="009401AD" w:rsidRDefault="009401AD" w:rsidP="009401AD">
      <w:pPr>
        <w:suppressAutoHyphens/>
        <w:spacing w:after="0" w:line="240" w:lineRule="auto"/>
        <w:ind w:firstLine="3969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Науковий керівник: </w:t>
      </w:r>
    </w:p>
    <w:p w:rsidR="009401AD" w:rsidRPr="009401AD" w:rsidRDefault="009401AD" w:rsidP="009401AD">
      <w:pPr>
        <w:suppressAutoHyphens/>
        <w:spacing w:after="0" w:line="240" w:lineRule="auto"/>
        <w:ind w:firstLine="3969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д.ю.н., проф.  Канзафарова І.С. ____________                                                              </w:t>
      </w:r>
    </w:p>
    <w:p w:rsidR="009401AD" w:rsidRPr="009401AD" w:rsidRDefault="009401AD" w:rsidP="009401AD">
      <w:pPr>
        <w:suppressAutoHyphens/>
        <w:spacing w:after="0" w:line="240" w:lineRule="auto"/>
        <w:ind w:firstLine="3969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Рецензент: </w:t>
      </w:r>
    </w:p>
    <w:p w:rsidR="009401AD" w:rsidRPr="009401AD" w:rsidRDefault="009401AD" w:rsidP="009401AD">
      <w:pPr>
        <w:suppressAutoHyphens/>
        <w:spacing w:after="0" w:line="240" w:lineRule="auto"/>
        <w:ind w:firstLine="3969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к.ю.н., доц. Клейменова С.М. </w:t>
      </w:r>
    </w:p>
    <w:p w:rsidR="009401AD" w:rsidRPr="009401AD" w:rsidRDefault="009401AD" w:rsidP="009401AD">
      <w:pPr>
        <w:suppressAutoHyphens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</w:p>
    <w:tbl>
      <w:tblPr>
        <w:tblpPr w:leftFromText="180" w:rightFromText="180" w:vertAnchor="text" w:horzAnchor="margin" w:tblpXSpec="center" w:tblpY="-44"/>
        <w:tblW w:w="5155" w:type="pct"/>
        <w:tblLook w:val="00A0" w:firstRow="1" w:lastRow="0" w:firstColumn="1" w:lastColumn="0" w:noHBand="0" w:noVBand="0"/>
      </w:tblPr>
      <w:tblGrid>
        <w:gridCol w:w="5036"/>
        <w:gridCol w:w="4820"/>
      </w:tblGrid>
      <w:tr w:rsidR="009401AD" w:rsidRPr="009401AD" w:rsidTr="004C1F26">
        <w:tc>
          <w:tcPr>
            <w:tcW w:w="5191" w:type="dxa"/>
          </w:tcPr>
          <w:p w:rsidR="009401AD" w:rsidRPr="009401AD" w:rsidRDefault="009401AD" w:rsidP="009401AD">
            <w:pPr>
              <w:suppressAutoHyphens/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  <w:r w:rsidRPr="009401A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>Рекомендовано до захисту:</w:t>
            </w:r>
          </w:p>
          <w:p w:rsidR="009401AD" w:rsidRPr="009401AD" w:rsidRDefault="009401AD" w:rsidP="009401AD">
            <w:pPr>
              <w:suppressAutoHyphens/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  <w:r w:rsidRPr="009401AD"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  <w:t>п</w:t>
            </w:r>
            <w:r w:rsidRPr="009401A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>ротокол засідання кафедри</w:t>
            </w:r>
          </w:p>
          <w:p w:rsidR="009401AD" w:rsidRPr="009401AD" w:rsidRDefault="009401AD" w:rsidP="009401AD">
            <w:pPr>
              <w:suppressAutoHyphens/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</w:pPr>
            <w:r w:rsidRPr="009401A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>№ 4 від 25.11.201</w:t>
            </w:r>
            <w:r w:rsidRPr="009401AD"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  <w:t>9</w:t>
            </w:r>
            <w:r w:rsidRPr="009401A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 xml:space="preserve"> р. </w:t>
            </w:r>
          </w:p>
          <w:p w:rsidR="009401AD" w:rsidRPr="009401AD" w:rsidRDefault="009401AD" w:rsidP="009401AD">
            <w:pPr>
              <w:suppressAutoHyphens/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</w:pPr>
          </w:p>
          <w:p w:rsidR="009401AD" w:rsidRPr="009401AD" w:rsidRDefault="009401AD" w:rsidP="009401AD">
            <w:pPr>
              <w:tabs>
                <w:tab w:val="left" w:pos="1168"/>
                <w:tab w:val="left" w:pos="3861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</w:pPr>
            <w:r w:rsidRPr="009401A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>Завідувач кафедр</w:t>
            </w:r>
            <w:r w:rsidRPr="009401AD"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  <w:t>и</w:t>
            </w:r>
          </w:p>
          <w:p w:rsidR="009401AD" w:rsidRPr="009401AD" w:rsidRDefault="009401AD" w:rsidP="009401AD">
            <w:pPr>
              <w:tabs>
                <w:tab w:val="left" w:pos="1168"/>
                <w:tab w:val="left" w:pos="3861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ru-RU" w:eastAsia="ar-SA"/>
              </w:rPr>
            </w:pPr>
            <w:r w:rsidRPr="009401AD"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  <w:t xml:space="preserve">_____проф. Канзафарова І.С.    </w:t>
            </w:r>
            <w:r w:rsidRPr="009401A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 xml:space="preserve"> </w:t>
            </w:r>
          </w:p>
          <w:p w:rsidR="009401AD" w:rsidRPr="009401AD" w:rsidRDefault="009401AD" w:rsidP="009401AD">
            <w:pPr>
              <w:tabs>
                <w:tab w:val="left" w:pos="284"/>
                <w:tab w:val="left" w:pos="1767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ar-SA"/>
              </w:rPr>
            </w:pPr>
            <w:r w:rsidRPr="009401AD">
              <w:rPr>
                <w:rFonts w:ascii="Times New Roman" w:eastAsia="Times New Roman" w:hAnsi="Times New Roman" w:cs="Times New Roman"/>
                <w:sz w:val="20"/>
                <w:szCs w:val="20"/>
                <w:lang w:val="ru-RU" w:eastAsia="ar-SA"/>
              </w:rPr>
              <w:t>(підпис)</w:t>
            </w:r>
            <w:r w:rsidRPr="009401AD">
              <w:rPr>
                <w:rFonts w:ascii="Times New Roman" w:eastAsia="Times New Roman" w:hAnsi="Times New Roman" w:cs="Times New Roman"/>
                <w:sz w:val="20"/>
                <w:szCs w:val="20"/>
                <w:lang w:val="ru-RU" w:eastAsia="ar-SA"/>
              </w:rPr>
              <w:tab/>
            </w:r>
          </w:p>
        </w:tc>
        <w:tc>
          <w:tcPr>
            <w:tcW w:w="4888" w:type="dxa"/>
          </w:tcPr>
          <w:p w:rsidR="009401AD" w:rsidRPr="009401AD" w:rsidRDefault="009401AD" w:rsidP="009401AD">
            <w:pPr>
              <w:tabs>
                <w:tab w:val="right" w:pos="4462"/>
              </w:tabs>
              <w:suppressAutoHyphens/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  <w:r w:rsidRPr="009401A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>Захищено на засіданні ЕК № 1</w:t>
            </w:r>
          </w:p>
          <w:p w:rsidR="009401AD" w:rsidRPr="009401AD" w:rsidRDefault="009401AD" w:rsidP="009401AD">
            <w:pPr>
              <w:tabs>
                <w:tab w:val="right" w:pos="4462"/>
              </w:tabs>
              <w:suppressAutoHyphens/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  <w:r w:rsidRPr="009401A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 xml:space="preserve">протокол № </w:t>
            </w:r>
            <w:r w:rsidRPr="009401AD"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  <w:t xml:space="preserve">  </w:t>
            </w:r>
            <w:r w:rsidRPr="009401A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>від</w:t>
            </w:r>
            <w:r w:rsidRPr="009401AD"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  <w:t xml:space="preserve"> </w:t>
            </w:r>
            <w:r w:rsidRPr="009401A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>________</w:t>
            </w:r>
            <w:r w:rsidRPr="009401AD"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  <w:t>_</w:t>
            </w:r>
            <w:r w:rsidRPr="009401A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>2019 р.</w:t>
            </w:r>
            <w:r w:rsidRPr="009401A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ab/>
            </w:r>
          </w:p>
          <w:p w:rsidR="009401AD" w:rsidRPr="009401AD" w:rsidRDefault="009401AD" w:rsidP="009401AD">
            <w:pPr>
              <w:tabs>
                <w:tab w:val="right" w:pos="4462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  <w:r w:rsidRPr="009401A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>Оцінка______________/___</w:t>
            </w:r>
            <w:r w:rsidRPr="009401AD">
              <w:rPr>
                <w:rFonts w:ascii="Times New Roman" w:eastAsia="Times New Roman" w:hAnsi="Times New Roman" w:cs="Times New Roman"/>
                <w:sz w:val="20"/>
                <w:szCs w:val="20"/>
                <w:lang w:val="ru-RU" w:eastAsia="ar-SA"/>
              </w:rPr>
              <w:tab/>
            </w:r>
            <w:r w:rsidRPr="009401A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>___/_____</w:t>
            </w:r>
          </w:p>
          <w:p w:rsidR="009401AD" w:rsidRPr="009401AD" w:rsidRDefault="009401AD" w:rsidP="009401AD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9401AD">
              <w:rPr>
                <w:rFonts w:ascii="Times New Roman" w:eastAsia="Times New Roman" w:hAnsi="Times New Roman" w:cs="Times New Roman"/>
                <w:sz w:val="20"/>
                <w:szCs w:val="20"/>
                <w:lang w:val="ru-RU" w:eastAsia="ar-SA"/>
              </w:rPr>
              <w:t>(за національною шкалою/шкалою ЕСТ</w:t>
            </w:r>
            <w:r w:rsidRPr="009401AD">
              <w:rPr>
                <w:rFonts w:ascii="Times New Roman" w:eastAsia="Times New Roman" w:hAnsi="Times New Roman" w:cs="Times New Roman"/>
                <w:sz w:val="20"/>
                <w:szCs w:val="20"/>
                <w:lang w:val="en-US" w:eastAsia="ar-SA"/>
              </w:rPr>
              <w:t>S</w:t>
            </w:r>
            <w:r w:rsidRPr="009401AD">
              <w:rPr>
                <w:rFonts w:ascii="Times New Roman" w:eastAsia="Times New Roman" w:hAnsi="Times New Roman" w:cs="Times New Roman"/>
                <w:sz w:val="20"/>
                <w:szCs w:val="20"/>
                <w:lang w:val="ru-RU" w:eastAsia="ar-SA"/>
              </w:rPr>
              <w:t>/ бали)</w:t>
            </w:r>
          </w:p>
          <w:p w:rsidR="009401AD" w:rsidRPr="009401AD" w:rsidRDefault="009401AD" w:rsidP="009401AD">
            <w:pPr>
              <w:suppressAutoHyphens/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</w:pPr>
          </w:p>
          <w:p w:rsidR="009401AD" w:rsidRPr="009401AD" w:rsidRDefault="009401AD" w:rsidP="009401AD">
            <w:pPr>
              <w:suppressAutoHyphens/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ar-SA"/>
              </w:rPr>
            </w:pPr>
            <w:r w:rsidRPr="009401A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>Голова ЕК</w:t>
            </w:r>
          </w:p>
          <w:p w:rsidR="009401AD" w:rsidRPr="009401AD" w:rsidRDefault="009401AD" w:rsidP="009401AD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ar-SA"/>
              </w:rPr>
            </w:pPr>
            <w:r w:rsidRPr="009401A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 xml:space="preserve">_________ </w:t>
            </w:r>
            <w:r w:rsidRPr="009401AD"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  <w:t xml:space="preserve">проф. </w:t>
            </w:r>
            <w:r w:rsidRPr="009401AD"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  <w:t>Степанова Т.В.</w:t>
            </w:r>
          </w:p>
          <w:p w:rsidR="009401AD" w:rsidRPr="009401AD" w:rsidRDefault="009401AD" w:rsidP="009401AD">
            <w:pPr>
              <w:tabs>
                <w:tab w:val="left" w:pos="454"/>
                <w:tab w:val="left" w:pos="2155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  <w:r w:rsidRPr="009401AD">
              <w:rPr>
                <w:rFonts w:ascii="Times New Roman" w:eastAsia="Times New Roman" w:hAnsi="Times New Roman" w:cs="Times New Roman"/>
                <w:sz w:val="20"/>
                <w:szCs w:val="20"/>
                <w:lang w:val="ru-RU" w:eastAsia="ar-SA"/>
              </w:rPr>
              <w:tab/>
              <w:t>(підпис)</w:t>
            </w:r>
            <w:r w:rsidRPr="009401AD">
              <w:rPr>
                <w:rFonts w:ascii="Times New Roman" w:eastAsia="Times New Roman" w:hAnsi="Times New Roman" w:cs="Times New Roman"/>
                <w:sz w:val="20"/>
                <w:szCs w:val="20"/>
                <w:lang w:val="ru-RU" w:eastAsia="ar-SA"/>
              </w:rPr>
              <w:tab/>
            </w:r>
          </w:p>
        </w:tc>
      </w:tr>
      <w:tr w:rsidR="009401AD" w:rsidRPr="009401AD" w:rsidTr="004C1F26">
        <w:tc>
          <w:tcPr>
            <w:tcW w:w="5191" w:type="dxa"/>
          </w:tcPr>
          <w:p w:rsidR="009401AD" w:rsidRPr="009401AD" w:rsidRDefault="009401AD" w:rsidP="009401AD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</w:p>
        </w:tc>
        <w:tc>
          <w:tcPr>
            <w:tcW w:w="4888" w:type="dxa"/>
          </w:tcPr>
          <w:p w:rsidR="009401AD" w:rsidRPr="009401AD" w:rsidRDefault="009401AD" w:rsidP="009401AD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ar-SA"/>
              </w:rPr>
            </w:pPr>
          </w:p>
        </w:tc>
      </w:tr>
    </w:tbl>
    <w:p w:rsidR="009401AD" w:rsidRPr="009401AD" w:rsidRDefault="009401AD" w:rsidP="009401AD">
      <w:pPr>
        <w:suppressAutoHyphens/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</w:p>
    <w:p w:rsidR="009401AD" w:rsidRPr="009401AD" w:rsidRDefault="009401AD" w:rsidP="009401AD">
      <w:pPr>
        <w:suppressAutoHyphens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>Одеса – 201</w:t>
      </w:r>
      <w:r w:rsidRPr="009401AD">
        <w:rPr>
          <w:rFonts w:ascii="Times New Roman" w:eastAsia="Times New Roman" w:hAnsi="Times New Roman" w:cs="Times New Roman"/>
          <w:b/>
          <w:sz w:val="28"/>
          <w:szCs w:val="28"/>
          <w:lang w:val="ru-RU" w:eastAsia="ar-SA"/>
        </w:rPr>
        <w:t>9</w:t>
      </w:r>
    </w:p>
    <w:p w:rsidR="009401AD" w:rsidRDefault="009401AD" w:rsidP="009401AD">
      <w:pPr>
        <w:suppressAutoHyphens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eastAsia="ar-SA"/>
        </w:rPr>
      </w:pPr>
    </w:p>
    <w:p w:rsidR="009401AD" w:rsidRDefault="009401AD" w:rsidP="009401AD">
      <w:pPr>
        <w:suppressAutoHyphens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eastAsia="ar-SA"/>
        </w:rPr>
      </w:pPr>
    </w:p>
    <w:p w:rsidR="009401AD" w:rsidRPr="009401AD" w:rsidRDefault="009401AD" w:rsidP="009401AD">
      <w:pPr>
        <w:suppressAutoHyphens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eastAsia="ar-SA"/>
        </w:rPr>
      </w:pPr>
      <w:r w:rsidRPr="009401AD">
        <w:rPr>
          <w:rFonts w:ascii="Times New Roman" w:eastAsia="Times New Roman" w:hAnsi="Times New Roman" w:cs="Times New Roman"/>
          <w:b/>
          <w:sz w:val="28"/>
          <w:szCs w:val="24"/>
          <w:lang w:eastAsia="ar-SA"/>
        </w:rPr>
        <w:t>ЗМІСТ</w:t>
      </w:r>
    </w:p>
    <w:p w:rsidR="009401AD" w:rsidRPr="009401AD" w:rsidRDefault="009401AD" w:rsidP="009401AD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 xml:space="preserve">Вступ………………………………………………………………………………с. 4 </w:t>
      </w:r>
    </w:p>
    <w:p w:rsidR="009401AD" w:rsidRPr="009401AD" w:rsidRDefault="009401AD" w:rsidP="009401AD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</w:p>
    <w:p w:rsidR="009401AD" w:rsidRPr="009401AD" w:rsidRDefault="009401AD" w:rsidP="009401AD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>Розділ I. Теоретико-методологічні основи правового регулювання відносин, які виникають  внаслідок застосування допоміжних репродуктивних технологій……………………………………………………с. 8</w:t>
      </w:r>
    </w:p>
    <w:p w:rsidR="009401AD" w:rsidRPr="009401AD" w:rsidRDefault="009401AD" w:rsidP="009401AD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1.1. Поняття та система репродуктивних прав фізичних осіб………………...с. 8</w:t>
      </w:r>
    </w:p>
    <w:p w:rsidR="009401AD" w:rsidRPr="009401AD" w:rsidRDefault="009401AD" w:rsidP="009401AD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1.2. Загальні засади здійснення репродуктивних прав фізичних осіб……….с. 18</w:t>
      </w:r>
    </w:p>
    <w:p w:rsidR="009401AD" w:rsidRPr="009401AD" w:rsidRDefault="009401AD" w:rsidP="009401AD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1.3. Поняття та види репродуктивних технологій…………………………….с. 25</w:t>
      </w:r>
    </w:p>
    <w:p w:rsidR="009401AD" w:rsidRPr="009401AD" w:rsidRDefault="009401AD" w:rsidP="009401AD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1.4. Механізм правового регулювання відносин, які виникають  внаслідок застосування допоміжних репродуктивних технологій……………………...с. 31</w:t>
      </w:r>
    </w:p>
    <w:p w:rsidR="009401AD" w:rsidRPr="009401AD" w:rsidRDefault="009401AD" w:rsidP="009401AD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1.5. Публічно-правові та приватно-правові аспекти  регулювання відносин, які виникають  внаслідок застосування допоміжних репродуктивних технологій……………………………………………………………………......с. 41</w:t>
      </w:r>
    </w:p>
    <w:p w:rsidR="009401AD" w:rsidRPr="009401AD" w:rsidRDefault="009401AD" w:rsidP="009401AD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Висновки до Розділу I…………………………………………………………..с. 50</w:t>
      </w:r>
    </w:p>
    <w:p w:rsidR="009401AD" w:rsidRPr="009401AD" w:rsidRDefault="009401AD" w:rsidP="009401AD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</w:p>
    <w:p w:rsidR="009401AD" w:rsidRPr="009401AD" w:rsidRDefault="009401AD" w:rsidP="009401AD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>Розділ II. Договірне регулювання відносин, які виникають  внаслідок застосування допоміжних репродуктивних технологій…………………..с. 53</w:t>
      </w:r>
    </w:p>
    <w:p w:rsidR="009401AD" w:rsidRPr="009401AD" w:rsidRDefault="009401AD" w:rsidP="009401AD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2.1. Поняття та види договорів про застосування допоміжних репродуктивних технологій………………………………………………………………………..с. 53</w:t>
      </w:r>
    </w:p>
    <w:p w:rsidR="009401AD" w:rsidRPr="009401AD" w:rsidRDefault="009401AD" w:rsidP="009401AD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2.2. Загальна характеристика правовідносин, які виникають на підставі договорів про застосування допоміжних репродуктивних технологій……с. 56</w:t>
      </w:r>
    </w:p>
    <w:p w:rsidR="009401AD" w:rsidRPr="009401AD" w:rsidRDefault="009401AD" w:rsidP="009401AD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2.3. Договір сурогатного материнства як один із видів договорів про застосування допоміжних репродуктивних технологій……………………...с. 62</w:t>
      </w:r>
    </w:p>
    <w:p w:rsidR="009401AD" w:rsidRPr="009401AD" w:rsidRDefault="009401AD" w:rsidP="009401AD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2.3.1. Поняття, правова природа та зміст договору сурогатного материнства……………………………………………………………………...с. 62</w:t>
      </w:r>
    </w:p>
    <w:p w:rsidR="009401AD" w:rsidRPr="009401AD" w:rsidRDefault="009401AD" w:rsidP="009401AD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2.3.2. Сторони договору сурогатного материнства…………………………...с. 69</w:t>
      </w:r>
    </w:p>
    <w:p w:rsidR="009401AD" w:rsidRPr="009401AD" w:rsidRDefault="009401AD" w:rsidP="009401AD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2.3.3. Права та обов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'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язки  сторін договору сурогатного материнства……...с. 74</w:t>
      </w:r>
    </w:p>
    <w:p w:rsidR="009401AD" w:rsidRPr="009401AD" w:rsidRDefault="009401AD" w:rsidP="009401AD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lastRenderedPageBreak/>
        <w:t>2.3.4. Укладення, зміна та припинення договору сурогатного материнства……………………………………………………………………...с. 80</w:t>
      </w:r>
    </w:p>
    <w:p w:rsidR="009401AD" w:rsidRPr="009401AD" w:rsidRDefault="009401AD" w:rsidP="009401AD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Висновки до Розділу II………………………………………………………….с. 87</w:t>
      </w:r>
    </w:p>
    <w:p w:rsidR="009401AD" w:rsidRPr="009401AD" w:rsidRDefault="009401AD" w:rsidP="009401AD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</w:p>
    <w:p w:rsidR="009401AD" w:rsidRPr="009401AD" w:rsidRDefault="009401AD" w:rsidP="009401AD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>Розділ III. Цивільно-правовий захист прав учасників правовідносин, які виникають внаслідок застосування допоміжних репродуктивних технологій……………………………………………………………………….с. 90</w:t>
      </w:r>
    </w:p>
    <w:p w:rsidR="009401AD" w:rsidRPr="009401AD" w:rsidRDefault="009401AD" w:rsidP="009401AD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3.1. Загальні засади цивільно-правового захисту прав учасників правовідносин, які виникають внаслідок застосування допоміжних репродуктивних технологій………………………………………………………………………..с. 90</w:t>
      </w:r>
    </w:p>
    <w:p w:rsidR="009401AD" w:rsidRPr="009401AD" w:rsidRDefault="009401AD" w:rsidP="009401AD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3.2. Особливості  судового захисту прав учасників правовідносин, які виникають внаслідок застосування допоміжних репродуктивних технологій………………………………………………………………………с. 103</w:t>
      </w:r>
    </w:p>
    <w:p w:rsidR="009401AD" w:rsidRPr="009401AD" w:rsidRDefault="009401AD" w:rsidP="009401AD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Висновки до Розділу III………………………………………………………..с. 117</w:t>
      </w:r>
    </w:p>
    <w:p w:rsidR="009401AD" w:rsidRPr="009401AD" w:rsidRDefault="009401AD" w:rsidP="009401AD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</w:p>
    <w:p w:rsidR="009401AD" w:rsidRPr="009401AD" w:rsidRDefault="009401AD" w:rsidP="009401AD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>Висновки………………………………………………………………………с. 118</w:t>
      </w:r>
    </w:p>
    <w:p w:rsidR="009401AD" w:rsidRPr="009401AD" w:rsidRDefault="009401AD" w:rsidP="009401AD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</w:p>
    <w:p w:rsidR="009401AD" w:rsidRPr="009401AD" w:rsidRDefault="009401AD" w:rsidP="009401AD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>Список використаних джерел…………………………………………........с. 123</w:t>
      </w:r>
    </w:p>
    <w:p w:rsidR="009401AD" w:rsidRPr="009401AD" w:rsidRDefault="009401AD" w:rsidP="009401AD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9401AD" w:rsidRPr="009401AD" w:rsidRDefault="009401AD" w:rsidP="009401AD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</w:p>
    <w:p w:rsidR="009401AD" w:rsidRPr="009401AD" w:rsidRDefault="009401AD" w:rsidP="009401AD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</w:p>
    <w:p w:rsidR="009401AD" w:rsidRPr="009401AD" w:rsidRDefault="009401AD" w:rsidP="009401AD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</w:p>
    <w:p w:rsidR="009401AD" w:rsidRPr="009401AD" w:rsidRDefault="009401AD" w:rsidP="009401AD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</w:p>
    <w:p w:rsidR="009401AD" w:rsidRPr="009401AD" w:rsidRDefault="009401AD" w:rsidP="009401AD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</w:p>
    <w:p w:rsidR="009401AD" w:rsidRPr="009401AD" w:rsidRDefault="009401AD" w:rsidP="009401AD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</w:p>
    <w:p w:rsidR="009401AD" w:rsidRPr="009401AD" w:rsidRDefault="009401AD" w:rsidP="009401AD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</w:p>
    <w:p w:rsidR="009401AD" w:rsidRPr="009401AD" w:rsidRDefault="009401AD" w:rsidP="009401AD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</w:p>
    <w:p w:rsidR="009401AD" w:rsidRPr="009401AD" w:rsidRDefault="009401AD" w:rsidP="009401AD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</w:p>
    <w:p w:rsidR="009401AD" w:rsidRPr="009401AD" w:rsidRDefault="009401AD" w:rsidP="009401AD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</w:p>
    <w:p w:rsidR="009401AD" w:rsidRPr="009401AD" w:rsidRDefault="009401AD" w:rsidP="009401AD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</w:p>
    <w:p w:rsidR="009401AD" w:rsidRPr="009401AD" w:rsidRDefault="009401AD" w:rsidP="009401AD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</w:p>
    <w:p w:rsidR="009401AD" w:rsidRPr="009401AD" w:rsidRDefault="009401AD" w:rsidP="009401AD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</w:p>
    <w:p w:rsidR="009401AD" w:rsidRPr="009401AD" w:rsidRDefault="009401AD" w:rsidP="009401AD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</w:p>
    <w:p w:rsidR="009401AD" w:rsidRPr="009401AD" w:rsidRDefault="009401AD" w:rsidP="009401AD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</w:p>
    <w:p w:rsidR="009401AD" w:rsidRPr="009401AD" w:rsidRDefault="009401AD" w:rsidP="009401AD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</w:p>
    <w:p w:rsidR="009401AD" w:rsidRPr="009401AD" w:rsidRDefault="009401AD" w:rsidP="009401AD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</w:p>
    <w:p w:rsidR="009401AD" w:rsidRPr="009401AD" w:rsidRDefault="009401AD" w:rsidP="009401AD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</w:p>
    <w:p w:rsidR="009401AD" w:rsidRDefault="009401AD" w:rsidP="009401AD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</w:p>
    <w:p w:rsidR="009401AD" w:rsidRDefault="009401AD" w:rsidP="009401AD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</w:p>
    <w:p w:rsidR="009401AD" w:rsidRDefault="009401AD" w:rsidP="009401AD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</w:p>
    <w:p w:rsidR="009401AD" w:rsidRDefault="009401AD" w:rsidP="009401AD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</w:p>
    <w:p w:rsidR="009401AD" w:rsidRPr="009401AD" w:rsidRDefault="009401AD" w:rsidP="009401AD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</w:p>
    <w:p w:rsidR="009401AD" w:rsidRPr="009401AD" w:rsidRDefault="009401AD" w:rsidP="009401AD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>ВСТУП</w:t>
      </w:r>
    </w:p>
    <w:p w:rsidR="009401AD" w:rsidRPr="009401AD" w:rsidRDefault="009401AD" w:rsidP="009401AD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</w:p>
    <w:p w:rsidR="009401AD" w:rsidRPr="009401AD" w:rsidRDefault="009401AD" w:rsidP="009401AD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 xml:space="preserve">Актуальність теми дослідження. 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Попри те, що сьогоднішнє суспільство живе у період бурхливого розвитку та всеохоплюючої технологізації і комп’ютеризації, сучасній людині поки не вдалося повністю, чи хоча б  більшою мірою позбавити себе захворювань, які мають катастрофічний вплив на сучасне суспільство, а деякі з яких навіть ставлять під загрозу існування людства.</w:t>
      </w:r>
    </w:p>
    <w:p w:rsidR="009401AD" w:rsidRPr="009401AD" w:rsidRDefault="009401AD" w:rsidP="009401AD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Однією з таких глобальних проблем є зниження народжуваності, що спричиняє погіршення демографічної ситуації у більшості країн. Адже запорукою здорового та успішного суспільства є достатній рівень народжуваності, здоров’я дітей та їхніх батьків.</w:t>
      </w:r>
    </w:p>
    <w:p w:rsidR="009401AD" w:rsidRPr="009401AD" w:rsidRDefault="009401AD" w:rsidP="009401AD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Сучасні дослідження показують, що від безпліддя страждають від 10-15 % до 18-20 % подружніх пар у різних країнах світу. За даними вітчизняних науковців, в Україні кожне п’яте подружжя не може мати дітей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 [1, 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en-US" w:eastAsia="ar-SA"/>
        </w:rPr>
        <w:t>c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. 18]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. </w:t>
      </w:r>
    </w:p>
    <w:p w:rsidR="009401AD" w:rsidRPr="009401AD" w:rsidRDefault="009401AD" w:rsidP="009401AD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Окрім цього, з 1990 р. у нашій країні спостерігається негативний приріст населення, що впливає на соціально-демографічну ситуацію в країні в цілому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 [2;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3]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.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 </w:t>
      </w:r>
    </w:p>
    <w:p w:rsidR="009401AD" w:rsidRPr="009401AD" w:rsidRDefault="009401AD" w:rsidP="009401AD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Одним із найперспективніших та найефективніших способів стати батьками для сімейних пар, які зіткнулися із зазначеною проблемою є застосування допоміжних репродуктивних технологій. Адже окрім подолання проблеми безпліддя, останні мають на меті збільшити вірогідність успішного перебігу вагітності, народження здорових дітей та максимального збереження здоров’я їхніх матерів.</w:t>
      </w:r>
    </w:p>
    <w:p w:rsidR="009401AD" w:rsidRPr="009401AD" w:rsidRDefault="009401AD" w:rsidP="009401AD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Незважаючи на активне впровадження допоміжних репродуктивних технологій в клінічну практику, далеко не в кожній країні світу вони дозволені 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lastRenderedPageBreak/>
        <w:t>та сприймаються. Причиною цього зазвичай стають релігійні, моральні та етичні переконання, які домінують у тій чи іншій країні.</w:t>
      </w:r>
    </w:p>
    <w:p w:rsidR="009401AD" w:rsidRPr="009401AD" w:rsidRDefault="009401AD" w:rsidP="009401AD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Законодавство зарубіжних країн зазвичай передбачає тільки певні види допоміжних репродуктивних технологій.</w:t>
      </w:r>
    </w:p>
    <w:p w:rsidR="009401AD" w:rsidRPr="009401AD" w:rsidRDefault="009401AD" w:rsidP="009401AD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Наприклад, Закон Республіки Білорусь «Про допоміжні репродуктивні технології» передбачає такі види допоміжних репродуктивних технологій, як: екстракорпоральне запліднення; сурогатне материнство; штучна інсемінація [4, 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en-US" w:eastAsia="ar-SA"/>
        </w:rPr>
        <w:t>c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. 190].</w:t>
      </w:r>
    </w:p>
    <w:p w:rsidR="009401AD" w:rsidRPr="009401AD" w:rsidRDefault="009401AD" w:rsidP="009401AD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Втім, законодавство деяких країн доволі жорстко та консервативно підходить до питання допоміжних репродуктивних технологій.</w:t>
      </w:r>
    </w:p>
    <w:p w:rsidR="009401AD" w:rsidRPr="009401AD" w:rsidRDefault="009401AD" w:rsidP="009401AD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Так, Закон Італії «Про норми допоміжних репродуктивних технологій» повністю забороняє застосування сурогатного материнства, а також істотно обмежує інші види репродуктивних технологій. До того ж, цим Законом прямо заборонено проведення репродуктивних програм за участю третьої сторони, якими є сурогатне материнство і донорство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 [4, 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en-US" w:eastAsia="ar-SA"/>
        </w:rPr>
        <w:t>c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. 190]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.</w:t>
      </w:r>
    </w:p>
    <w:p w:rsidR="009401AD" w:rsidRPr="009401AD" w:rsidRDefault="009401AD" w:rsidP="009401AD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Серед небагатьох країн світу, в яких допоміжні репродуктивні технології дозволені, виділяють: Англію, Грецію, Грузію, Ізраїль, Іспанію, Індію, Казахстан та деякі штаті США [4, 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en-US" w:eastAsia="ar-SA"/>
        </w:rPr>
        <w:t>c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. 190]. До переліку цих країн належить і Україна. Саме тому в українські клініки дедалі більше звертаються іноземці, задля того, щоб взяти участь у тій чи іншій репродуктивній програмі. До того ж, науковці зазначають, що ефективність допоміжних репродуктивних технологій в Україні відповідає європейським стандартам.</w:t>
      </w:r>
    </w:p>
    <w:p w:rsidR="009401AD" w:rsidRPr="009401AD" w:rsidRDefault="009401AD" w:rsidP="009401AD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Однак, на нашу думку, термін «європейські стандарти» для репродуктивних технологій в Україні більш притаманний медичному аспекту цього питання, адже у частині правового регулювання застосування допоміжних репродуктивних технологій у нашій країні не все так бездоганно.</w:t>
      </w:r>
    </w:p>
    <w:p w:rsidR="009401AD" w:rsidRPr="009401AD" w:rsidRDefault="009401AD" w:rsidP="009401AD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Таким чином, актуальність теми дослідження зумовлюють: новизна відносин, які виникають при застосуванні допоміжних репродуктивних технологій; наявність проблемних питань, що виникають при більш детальному розгляді правового регулювання вказаних відносин, а саме − відсутність 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lastRenderedPageBreak/>
        <w:t>окремого спеціального закону, який би регулював такі відносини та визначав би права, обов’язки та відповідальність їх учасників; відсутність законодавчого визначення низки понять (зокрема, таких як:  «сурогатна матір», «сурогатне материнство» та «потенційні батьки»); відсутність чіткого врегулювання питання щодо застосування допоміжних репродуктивних технологій для самотніх осіб, тобто тих, які не перебувають у шлюбі тощо.</w:t>
      </w:r>
    </w:p>
    <w:p w:rsidR="009401AD" w:rsidRPr="009401AD" w:rsidRDefault="009401AD" w:rsidP="009401AD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 xml:space="preserve">Метою дипломного дослідження 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є визначення особливостей правового регулювання відносин, які виникають внаслідок застосування допоміжних репродуктивних технологій, формування теоретичних положень, що відображають зазначені особливості, та обґрунтування пропозицій з удосконалення  чинного законодавства України у відповідній частині.</w:t>
      </w:r>
    </w:p>
    <w:p w:rsidR="009401AD" w:rsidRPr="009401AD" w:rsidRDefault="009401AD" w:rsidP="009401AD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Для досягнення зазначеної мети було поставлено такі </w:t>
      </w:r>
      <w:r w:rsidRPr="009401AD"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>основні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r w:rsidRPr="009401AD"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>завдання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:  </w:t>
      </w:r>
    </w:p>
    <w:p w:rsidR="009401AD" w:rsidRPr="009401AD" w:rsidRDefault="009401AD" w:rsidP="009401AD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визначити теоретико-методологічні основи правового регулювання відносин, які виникають внаслідок застосування допоміжних репродуктивних технологій;</w:t>
      </w:r>
    </w:p>
    <w:p w:rsidR="009401AD" w:rsidRPr="009401AD" w:rsidRDefault="009401AD" w:rsidP="009401AD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з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'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ясувати специфіку договірного регулювання відносин, які виникають внаслідок застосування допоміжних репродуктивних технологій;</w:t>
      </w:r>
    </w:p>
    <w:p w:rsidR="009401AD" w:rsidRPr="009401AD" w:rsidRDefault="009401AD" w:rsidP="009401AD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визначити та охарактеризувати особливості цивільно-правового захисту прав учасників правовідносин, які виникають внаслідок застосування допоміжних репродуктивних технологій. </w:t>
      </w:r>
    </w:p>
    <w:p w:rsidR="009401AD" w:rsidRPr="009401AD" w:rsidRDefault="009401AD" w:rsidP="009401AD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>Об’єктом дослідження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є суспільні відносини, які виникають внаслідок застосування допоміжних репродуктивних технологій.</w:t>
      </w:r>
    </w:p>
    <w:p w:rsidR="009401AD" w:rsidRPr="009401AD" w:rsidRDefault="009401AD" w:rsidP="009401AD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 xml:space="preserve">Предметом дослідження 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є правове регулювання відносин, які виникають внаслідок застосування допоміжних репродуктивних технологій.</w:t>
      </w:r>
    </w:p>
    <w:p w:rsidR="009401AD" w:rsidRPr="009401AD" w:rsidRDefault="009401AD" w:rsidP="009401AD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 xml:space="preserve">Методи дослідження. 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Філософсько-світоглядною основою дослідження є матеріалістична діалектика. Основні правові явища, що вивчаються у дипломній роботі, розглядаються у розвитку та взаємозв’язку з іншими явищами об’єктивної дійсності в цілому та державно-правової зокрема.</w:t>
      </w:r>
    </w:p>
    <w:p w:rsidR="009401AD" w:rsidRPr="009401AD" w:rsidRDefault="009401AD" w:rsidP="009401AD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Поряд із цим, використано низку загальнонаукових та спеціальних методів. Так, наприклад, формально-логічний метод дозволив визначити 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lastRenderedPageBreak/>
        <w:t xml:space="preserve">поняття репродуктивних прав фізичних осіб, поняття репродуктивних технологій, поняття та види договорів про застосування допоміжних репродуктивних технологій, поняття договору сурогатного материнства тощо. Системний підхід використано при дослідженні: механізму правового регулювання відносин, які виникають внаслідок застосування допоміжних репродуктивних технологій; структури правовідносин, які виникають на підставі договорів про застосування допоміжних репродуктивних технологій, тощо. 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Історичний метод 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було використано для з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'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ясування </w:t>
      </w:r>
      <w:proofErr w:type="gramStart"/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специфік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и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 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правового</w:t>
      </w:r>
      <w:proofErr w:type="gramEnd"/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регулювання відносин, які виникають внаслідок застосування допоміжних репродуктивних технологій 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у конкретних історичних умовах.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Порівняльно-правовий метод дозволив порівняти доктринальні та законодавчі положення права України та деяких зарубіжних країн,  у частині регулювання відносин, що є об'єктом дипломного дослідження, і сформувати наукові уявлення про особливості правового регулювання відносин, які виникають внаслідок застосування репродуктивних технологій.  </w:t>
      </w:r>
      <w:r w:rsidRPr="009401AD">
        <w:rPr>
          <w:rFonts w:ascii="Times New Roman" w:eastAsia="Times New Roman" w:hAnsi="Times New Roman" w:cs="Times New Roman"/>
          <w:i/>
          <w:sz w:val="28"/>
          <w:szCs w:val="28"/>
          <w:lang w:eastAsia="ar-SA"/>
        </w:rPr>
        <w:t xml:space="preserve"> </w:t>
      </w:r>
    </w:p>
    <w:p w:rsidR="009401AD" w:rsidRPr="009401AD" w:rsidRDefault="009401AD" w:rsidP="009401AD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>Теоретичним підґрунтям дослідження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стали наукові праці таких вчених, як: А. П. Головащук, Д. О. Пугач, Р. О. Стефанчук, А. О. Дутко, М. Р. Заболотна, О. В. Рябенко та ін.</w:t>
      </w:r>
    </w:p>
    <w:p w:rsidR="009401AD" w:rsidRPr="009401AD" w:rsidRDefault="009401AD" w:rsidP="009401AD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Сформульовані у дипломному дослідженні теоретичні висновки ґрунтуються на загальних досягненнях юридичної науки (у тому числі – на результатах досліджень вітчизняних та зарубіжних цивілістів, фахівців інших галузей правознавства), філософії та соціології. </w:t>
      </w:r>
    </w:p>
    <w:p w:rsidR="00CB0239" w:rsidRDefault="00CB0239"/>
    <w:p w:rsidR="009401AD" w:rsidRDefault="009401AD"/>
    <w:p w:rsidR="009401AD" w:rsidRDefault="009401AD"/>
    <w:p w:rsidR="009401AD" w:rsidRDefault="009401AD"/>
    <w:p w:rsidR="009401AD" w:rsidRDefault="009401AD"/>
    <w:p w:rsidR="009401AD" w:rsidRDefault="009401AD"/>
    <w:p w:rsidR="009401AD" w:rsidRDefault="009401AD">
      <w:bookmarkStart w:id="0" w:name="_GoBack"/>
      <w:bookmarkEnd w:id="0"/>
    </w:p>
    <w:p w:rsidR="009401AD" w:rsidRDefault="009401AD"/>
    <w:p w:rsidR="009401AD" w:rsidRPr="009401AD" w:rsidRDefault="009401AD" w:rsidP="009401AD">
      <w:pPr>
        <w:suppressAutoHyphens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lastRenderedPageBreak/>
        <w:t>ВИСНОВКИ</w:t>
      </w:r>
    </w:p>
    <w:p w:rsidR="009401AD" w:rsidRPr="009401AD" w:rsidRDefault="009401AD" w:rsidP="009401AD">
      <w:pPr>
        <w:spacing w:after="200" w:line="360" w:lineRule="auto"/>
        <w:ind w:left="-142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У роботі запропоновано наступну класифікацію репродуктивних прав фізичної особи: за вольовим критерієм: право на прийняття рішення щодо кількості дітей; право на прийняття рішення щодо часу народження дітей; право на вибір виду допоміжних репродуктивних технологій; право на вибір медичного закладу, який займається репродуктивними технологіями; право на вибір сурогатної матері; право на вибір донора репродуктивних клітин; право на вибір методів контрацепції; за критерієм «інформаційності»: право на інформацію про стан свого репродуктивного здоров’я; право на інформацію про доступні види допоміжних репродуктивних технологій; право на отримання інформації про ефективність, можливі побічні реакції засобів та препаратів лікування безпліддя; право на отримання інформації про умови надання кваліфікованих послуг з охорони та покращення репродуктивного здоров’я; право на таємницю реалізації репродуктивних прав; за критерієм розпорядження своїм репродуктивних здоров’ям: право на використання контрацепції; право на стерилізацію; право на штучне переривання вагітності; за критерієм покращення репродуктивних функцій та відновлення репродуктивного здоров’я: право на лікування безпліддя; право на штучне запліднення; право на імплантацію ембріона; право на кріоконсервацію; за критерієм забезпечення захисту репродуктивного здоров’я та репродуктивних прав: право на охорону здоров’я під час вагітності, пологів та після пологів; право на кваліфіковану медичну допомогу; право на захист репродуктивних прав від сексуальної експлуатації, насильства, примусової вагітності, аборту тощо. </w:t>
      </w:r>
    </w:p>
    <w:p w:rsidR="009401AD" w:rsidRPr="009401AD" w:rsidRDefault="009401AD" w:rsidP="009401AD">
      <w:pPr>
        <w:spacing w:after="200" w:line="360" w:lineRule="auto"/>
        <w:ind w:left="-142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Окрім цього, запропоновано новий принцип здійснення репродуктивних прав − принцип інформативності, який полягає у тому, що при реалізації своїх репродуктивних прав, зокрема, права на лікування безпліддя, фізична особа має бути поінформована про стан свого репродуктивного здоров’я та доступні методи лікування.</w:t>
      </w:r>
    </w:p>
    <w:p w:rsidR="009401AD" w:rsidRPr="009401AD" w:rsidRDefault="009401AD" w:rsidP="009401AD">
      <w:pPr>
        <w:spacing w:after="200" w:line="360" w:lineRule="auto"/>
        <w:ind w:left="-142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У роботі також запропоновано визначення поняття репродуктивного здоров’я фізичної особи – сукупність певних характерних ознак та біологічних 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lastRenderedPageBreak/>
        <w:t>процесів, які протікають в організмі, за результатами обстеження яких кваліфікований спеціаліст може зробити висновок про можливість фізичної особи реалізувати свої репродуктивні функції, а також про стан організму в цілому.</w:t>
      </w:r>
    </w:p>
    <w:p w:rsidR="009401AD" w:rsidRPr="009401AD" w:rsidRDefault="009401AD" w:rsidP="009401AD">
      <w:pPr>
        <w:spacing w:after="200" w:line="360" w:lineRule="auto"/>
        <w:ind w:left="-142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Задля нормативного закріплення та більшої обізнаності фізичних осіб у сфері репродуктивних прав, запропоновано прийняти Закон України «Про допоміжні репродуктивні технології».</w:t>
      </w:r>
    </w:p>
    <w:p w:rsidR="009401AD" w:rsidRPr="009401AD" w:rsidRDefault="009401AD" w:rsidP="009401AD">
      <w:pPr>
        <w:spacing w:after="200" w:line="360" w:lineRule="auto"/>
        <w:ind w:left="-142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При детальному дослідженні правового регулювання відносин, які виникають внаслідок застосування ДРТ, було виявлено численні прогалини, зокрема, немає законодавчого визначення понять «сурогатна матір» та «потенційні батьки»; немає чіткого врегулювання питання застосування допоміжних репродуктивних технологій для самотніх осіб, тобто тих, які не перебувають у шлюбі; не визначені права, обов’язки та відповідальність учасників допоміжних репродуктивних технологій.</w:t>
      </w:r>
    </w:p>
    <w:p w:rsidR="009401AD" w:rsidRPr="009401AD" w:rsidRDefault="009401AD" w:rsidP="009401AD">
      <w:pPr>
        <w:spacing w:after="200" w:line="360" w:lineRule="auto"/>
        <w:ind w:left="-142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Окрім цього, було визначено, що на законодавчому рівні в Україні застосування допоміжних репродуктивних технологій можливе лише для осіб, які перебувають в офіційному шлюбі.</w:t>
      </w:r>
    </w:p>
    <w:p w:rsidR="009401AD" w:rsidRPr="009401AD" w:rsidRDefault="009401AD" w:rsidP="009401AD">
      <w:pPr>
        <w:spacing w:after="200" w:line="360" w:lineRule="auto"/>
        <w:ind w:left="-142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Сімейний кодекс України запропоновано доповнити наступними положеннями: 1) про надання права повнолітнім та дієздатним жінці та чоловіку, які перебувають у фактичних шлюбних відносинах за наявністю медичних показань та їхньої інформованої згоди на медичне втручання скористатися допоміжними репродуктивними технологіями; 2) про надання повнолітній дієздатній жінці, яка не перебуває у шлюбних відносинах (незаміжній жінці) або чоловіку, який не перебуває у шлюбних відносинах (неодруженому чоловіку) за наявності їх інформованої згоди на медичне втручання права на застосування допоміжних репродуктивних технологій; 3) у разі народження дитини  за допомогою допоміжних репродуктивних технологій у жінки та чоловіка, які перебувають у фактичних шлюбних відносинах, такі особи визнаються і записуються батьками народженої дитини; 4) у разі народження дитини внаслідок перенесення в організм жінки (сурогатної матері) ембріона людини, 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lastRenderedPageBreak/>
        <w:t>зачатого жінкою, яка не перебуває у шлюбі або чоловіком, який не перебуває у шлюбі, матір’ю або батьком народженої дитини визнаються і записуються, відповідно, ця незаміжня жінка або цей неодружений чоловік; 5) у разі народження дитини незаміжньою жінкою, в організм якої було перенесено чоловічі статеві клітини від донора, матір’ю народженої дитини визнається і записується ця незаміжня жінка.</w:t>
      </w:r>
    </w:p>
    <w:p w:rsidR="009401AD" w:rsidRPr="009401AD" w:rsidRDefault="009401AD" w:rsidP="009401AD">
      <w:pPr>
        <w:spacing w:after="200" w:line="360" w:lineRule="auto"/>
        <w:ind w:left="-142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Відносинам, що виникають у сфері допоміжних репродуктивних технологій, нарівні із сімейно-правовим та цивільно-правовим аспектами, притаманний і відтінок публічного права.  </w:t>
      </w:r>
    </w:p>
    <w:p w:rsidR="009401AD" w:rsidRPr="009401AD" w:rsidRDefault="009401AD" w:rsidP="009401AD">
      <w:pPr>
        <w:spacing w:after="200" w:line="360" w:lineRule="auto"/>
        <w:ind w:left="-142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Вид репродуктивних технологій, що застосовується у кожному окремому випадку дає зрозуміти, який саме договір потрібно укласти задля регулювання відносин у сфері допоміжних репродуктивних технологій.</w:t>
      </w:r>
    </w:p>
    <w:p w:rsidR="009401AD" w:rsidRPr="009401AD" w:rsidRDefault="009401AD" w:rsidP="009401AD">
      <w:pPr>
        <w:spacing w:after="200" w:line="360" w:lineRule="auto"/>
        <w:ind w:left="-142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Дослідження витоків відносин у сфері допоміжних репродуктивних технологій показало, що історія вказаних відносин бере свій початок ще з часів Стародавнього Вавілону та Стародавнього Риму.</w:t>
      </w:r>
    </w:p>
    <w:p w:rsidR="009401AD" w:rsidRPr="009401AD" w:rsidRDefault="009401AD" w:rsidP="009401AD">
      <w:pPr>
        <w:spacing w:after="200" w:line="360" w:lineRule="auto"/>
        <w:ind w:left="-142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Відносини у сфері допоміжних репродуктивних технологій можна охарактеризувати за певними критеріями. Так, за функціональним критерієм ці відносини є регулятивними; за характером здійснення права − зобов’язальними; за характером поведінки зобов’язаної сторони − активними.</w:t>
      </w:r>
    </w:p>
    <w:p w:rsidR="009401AD" w:rsidRPr="009401AD" w:rsidRDefault="009401AD" w:rsidP="009401AD">
      <w:pPr>
        <w:spacing w:after="200" w:line="360" w:lineRule="auto"/>
        <w:ind w:left="-142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Було визначено, що відносинам, що виникають внаслідок застосування допоміжних репродуктивних технологій, притаманні і юридичний, і матеріальний об’єкти.</w:t>
      </w:r>
    </w:p>
    <w:p w:rsidR="009401AD" w:rsidRPr="009401AD" w:rsidRDefault="009401AD" w:rsidP="009401AD">
      <w:pPr>
        <w:spacing w:after="200" w:line="360" w:lineRule="auto"/>
        <w:ind w:left="-142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Було визначено, що сурогатне материнство являє собою специфічний вид послуг.</w:t>
      </w:r>
    </w:p>
    <w:p w:rsidR="009401AD" w:rsidRPr="009401AD" w:rsidRDefault="009401AD" w:rsidP="009401AD">
      <w:pPr>
        <w:spacing w:after="200" w:line="360" w:lineRule="auto"/>
        <w:ind w:left="-142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Договір сурогатного материнства за критерієм моменту виникнення договору було визначено як консенсуальний. Також було встановлено, що цей договір має письмову форму і повинен бути нотаріально посвідченим.</w:t>
      </w:r>
    </w:p>
    <w:p w:rsidR="009401AD" w:rsidRPr="009401AD" w:rsidRDefault="009401AD" w:rsidP="009401AD">
      <w:pPr>
        <w:spacing w:after="200" w:line="360" w:lineRule="auto"/>
        <w:ind w:left="-142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У роботі запропоновано наступне визначення терміну «сурогатна матір»: сурогатна матір – повнолітня дієздатна жінка, яка має власну здорову дитину і 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lastRenderedPageBreak/>
        <w:t>яка на підставі укладеного договору виношує, народжує та передає дитину її потенційним батькам або батьку/матері.</w:t>
      </w:r>
    </w:p>
    <w:p w:rsidR="009401AD" w:rsidRPr="009401AD" w:rsidRDefault="009401AD" w:rsidP="009401AD">
      <w:pPr>
        <w:spacing w:after="200" w:line="360" w:lineRule="auto"/>
        <w:ind w:left="-142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Законодавством України не встановлено обов’язку сурогатної матері перебувати у шлюбі, а також не встановлено граничний вік, з настанням якого жінка не може бути сурогатною матір’ю.</w:t>
      </w:r>
    </w:p>
    <w:p w:rsidR="009401AD" w:rsidRPr="009401AD" w:rsidRDefault="009401AD" w:rsidP="009401AD">
      <w:pPr>
        <w:spacing w:after="200" w:line="360" w:lineRule="auto"/>
        <w:ind w:left="-142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Термін «потенційні батьки» запропоновано визначати наступним чином: потенційні батьки – це повнолітні дієздатні чоловік та жінка, які перебувають у зареєстрованому шлюбі або у фактичних шлюбних відносинах або незаміжня жінка чи неодружений чоловік, які звернулися у медичний заклад, який займається репродуктивними технологіями задля застосування стосовно них репродуктивних технологій та народження внаслідок цього здорової дитини.</w:t>
      </w:r>
    </w:p>
    <w:p w:rsidR="009401AD" w:rsidRPr="009401AD" w:rsidRDefault="009401AD" w:rsidP="009401AD">
      <w:pPr>
        <w:spacing w:after="200" w:line="360" w:lineRule="auto"/>
        <w:ind w:left="-142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Норму у Наказі Міністерства охорони здоров’я № 787 щодо того, що сурогатна матір не повинна мати безпосередній зв'язок з дитиною запропоновано скасувати.</w:t>
      </w:r>
    </w:p>
    <w:p w:rsidR="009401AD" w:rsidRPr="009401AD" w:rsidRDefault="009401AD" w:rsidP="009401AD">
      <w:pPr>
        <w:spacing w:after="200" w:line="360" w:lineRule="auto"/>
        <w:ind w:left="-142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Класифікацію прав сурогатної матері запропоновано розглядати за двома критеріями: за інформаційним критерієм: право на інформацію про медичну сторону сурогатного материнства; право на інформацію про правову складову сурогатного материнства; за критерієм комерційності: право на отримання компенсації за участь у сурогатному материнстві, а також на витрати, пов’язані з проведенням допоміжних репродуктивних технологій; право на компенсацію лише витрат, пов’язаних з проведенням допоміжних репродуктивних технологій.</w:t>
      </w:r>
    </w:p>
    <w:p w:rsidR="009401AD" w:rsidRPr="009401AD" w:rsidRDefault="009401AD" w:rsidP="009401AD">
      <w:pPr>
        <w:spacing w:after="200" w:line="360" w:lineRule="auto"/>
        <w:ind w:left="-142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Було визначено, що сурогатна матір не має права на оспорювання материнства.</w:t>
      </w:r>
    </w:p>
    <w:p w:rsidR="009401AD" w:rsidRPr="009401AD" w:rsidRDefault="009401AD" w:rsidP="009401AD">
      <w:pPr>
        <w:spacing w:after="200" w:line="360" w:lineRule="auto"/>
        <w:ind w:left="-142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Права сурогатної матері запропоновано доповнити правом на переривання вагітності, у разі наявності підтверджених кваліфікованим лікарем погроз для життя та здоров’я сурогатної матері.</w:t>
      </w:r>
    </w:p>
    <w:p w:rsidR="009401AD" w:rsidRPr="009401AD" w:rsidRDefault="009401AD" w:rsidP="009401AD">
      <w:pPr>
        <w:spacing w:after="200" w:line="360" w:lineRule="auto"/>
        <w:ind w:left="-142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Запропоновано класифікацію обов’язків сурогатної матері: за медичним критерієм: обов’язок своєчасно проходити медичні обстеження та надавати лікарю усю інформацію про стан свого здоров’я та перебіг вагітності; обов’язок належного виношування, народження дитини та виконання приписів лікарів; 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lastRenderedPageBreak/>
        <w:t xml:space="preserve">обов’язок не вживати алкогольні, наркотичні та психотропні речовини, не палити та уникати фізичних навантажень; за критерієм виконання умов договору: обов’язок повідомити лікаря та потенційних батьків і приїхати у пологовий будинок, який був обраний потенційними батьками; обов’язок передати дитину потенційним батькам після пологів; обов’язок не розголошувати  факти: участі сурогатної матері у програмі сурогатного материнства, укладання договору та зміст цього договору. </w:t>
      </w:r>
    </w:p>
    <w:p w:rsidR="009401AD" w:rsidRPr="009401AD" w:rsidRDefault="009401AD" w:rsidP="009401AD">
      <w:pPr>
        <w:spacing w:after="0" w:line="360" w:lineRule="auto"/>
        <w:ind w:left="-142" w:firstLine="709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4"/>
          <w:lang w:eastAsia="ar-SA"/>
        </w:rPr>
        <w:t xml:space="preserve">Термін «захист цивільних прав» запропоновано розглядати як  передбачену чинним законодавством України реакцію з боку окремої особи та (або) держави в особі компетентних державних органів, направлену на поновлення порушеного та встановлення невизнаного або оспорюваного права. </w:t>
      </w:r>
    </w:p>
    <w:p w:rsidR="009401AD" w:rsidRPr="009401AD" w:rsidRDefault="009401AD" w:rsidP="009401AD">
      <w:pPr>
        <w:spacing w:after="0" w:line="360" w:lineRule="auto"/>
        <w:ind w:left="-142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Запропоновано наступне визначення способів захисту цивільних прав: передбачені чинним законодавством України варіанти можливої поведінки, за допомогою яких особа може поновити порушене та встановити невизнане або оспорюване право.</w:t>
      </w:r>
    </w:p>
    <w:p w:rsidR="009401AD" w:rsidRPr="009401AD" w:rsidRDefault="009401AD" w:rsidP="009401AD">
      <w:pPr>
        <w:spacing w:after="0" w:line="360" w:lineRule="auto"/>
        <w:ind w:left="-142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Було встановлено, що вітчизняні суди, розглядаючи справи у сфері репродуктивних прав, намагаються надавати перевагу немайновим правам людини по відношенню до майнових, та максимально захистити права та інтереси потерпілої особи. </w:t>
      </w:r>
    </w:p>
    <w:p w:rsidR="009401AD" w:rsidRPr="009401AD" w:rsidRDefault="009401AD" w:rsidP="009401AD">
      <w:pPr>
        <w:spacing w:after="0" w:line="360" w:lineRule="auto"/>
        <w:ind w:left="-142"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Визначення такого способу захисту, як визнання права запропоновано розглядати як такий спосіб захисту цивільних, зокрема репродукційних прав, за якого особа, чиє право є невизнаним або оспорюваним, звертається до компетентних державних органів задля встановлення наявності в такої особи невизнаного або оспорюваного права та набуття можливості повною мірою реалізовувати це право. </w:t>
      </w:r>
    </w:p>
    <w:p w:rsidR="009401AD" w:rsidRPr="009401AD" w:rsidRDefault="009401AD" w:rsidP="009401AD">
      <w:pPr>
        <w:suppressAutoHyphens/>
        <w:spacing w:after="0" w:line="360" w:lineRule="auto"/>
        <w:ind w:left="1169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</w:p>
    <w:p w:rsidR="009401AD" w:rsidRPr="009401AD" w:rsidRDefault="009401AD" w:rsidP="009401AD">
      <w:pPr>
        <w:widowControl w:val="0"/>
        <w:autoSpaceDE w:val="0"/>
        <w:autoSpaceDN w:val="0"/>
        <w:spacing w:after="0" w:line="360" w:lineRule="auto"/>
        <w:ind w:right="103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  <w:sectPr w:rsidR="009401AD" w:rsidRPr="009401AD" w:rsidSect="0067357E">
          <w:footerReference w:type="default" r:id="rId5"/>
          <w:pgSz w:w="11900" w:h="16850"/>
          <w:pgMar w:top="1060" w:right="740" w:bottom="980" w:left="1600" w:header="0" w:footer="786" w:gutter="0"/>
          <w:cols w:space="720"/>
          <w:titlePg/>
          <w:docGrid w:linePitch="381"/>
        </w:sectPr>
      </w:pPr>
    </w:p>
    <w:p w:rsidR="009401AD" w:rsidRPr="009401AD" w:rsidRDefault="009401AD" w:rsidP="009401AD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lastRenderedPageBreak/>
        <w:t>СПИСОК ВИКОРИСТАНИХ ДЖЕРЕЛ</w:t>
      </w:r>
    </w:p>
    <w:p w:rsidR="009401AD" w:rsidRPr="009401AD" w:rsidRDefault="009401AD" w:rsidP="009401AD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Литвин Н.В. Діагностика та профілактика відшарування хоріона у жінок після застосування допоміжних репродуктивних технологій. Дис. … канд. мед. наук. Івано-Франківськ. 2017. 211 с.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Паращук Ю.С., Каліновська О.І., Грищенко М.Г., Паращук В.Ю. Безплідність у шлюбі: навч. посіб. Харків. ХНМУ. 2014. 124 с.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Шафранський В.В. Щорічна доповідь про стан здоров’я населення, санітарно-епідемічну ситуацію та результати діяльності системи охорони здоров’я України. Київ: МОЗ України, ДУ «УІСД МОЗ України». 2016. 452 с.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Головащук А.П. Правове регулювання допоміжних репродуктивних технологій. Часопис Київського університету права. Проблеми цивільного та підприємницького права в Україні. 2013. № 2. С. 189-191.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Стефанчук Р.О. Поняття, система, особливості здійснення і захисту репродуктивних прав фізичної особи. Вісник Хмельницького інституту регіонального управління та права. Цивільне право та процес. 2004. № 1-2. С. 66-72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.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4"/>
          <w:lang w:val="ru-RU" w:eastAsia="ar-SA"/>
        </w:rPr>
        <w:t>О</w:t>
      </w:r>
      <w:r w:rsidRPr="009401AD">
        <w:rPr>
          <w:rFonts w:ascii="Times New Roman" w:eastAsia="Times New Roman" w:hAnsi="Times New Roman" w:cs="Times New Roman"/>
          <w:sz w:val="28"/>
          <w:szCs w:val="24"/>
          <w:lang w:eastAsia="ar-SA"/>
        </w:rPr>
        <w:t xml:space="preserve"> демог</w:t>
      </w:r>
      <w:r w:rsidRPr="009401AD">
        <w:rPr>
          <w:rFonts w:ascii="Times New Roman" w:eastAsia="Times New Roman" w:hAnsi="Times New Roman" w:cs="Times New Roman"/>
          <w:sz w:val="28"/>
          <w:szCs w:val="24"/>
          <w:lang w:val="ru-RU" w:eastAsia="ar-SA"/>
        </w:rPr>
        <w:t xml:space="preserve">рафической безопасности Республики Беларусь: Закон Республики Беларусь от 04.01.2002 г. №80-З.                                                                              </w:t>
      </w:r>
      <w:r w:rsidRPr="009401AD">
        <w:rPr>
          <w:rFonts w:ascii="Times New Roman" w:eastAsia="Times New Roman" w:hAnsi="Times New Roman" w:cs="Times New Roman"/>
          <w:sz w:val="28"/>
          <w:szCs w:val="24"/>
          <w:lang w:val="en-US" w:eastAsia="ar-SA"/>
        </w:rPr>
        <w:t>URL</w:t>
      </w:r>
      <w:r w:rsidRPr="009401AD">
        <w:rPr>
          <w:rFonts w:ascii="Times New Roman" w:eastAsia="Times New Roman" w:hAnsi="Times New Roman" w:cs="Times New Roman"/>
          <w:sz w:val="28"/>
          <w:szCs w:val="24"/>
          <w:lang w:val="ru-RU" w:eastAsia="ar-SA"/>
        </w:rPr>
        <w:t xml:space="preserve">: </w:t>
      </w:r>
      <w:hyperlink r:id="rId6" w:history="1">
        <w:r w:rsidRPr="009401AD">
          <w:rPr>
            <w:rFonts w:ascii="Times New Roman" w:eastAsia="Times New Roman" w:hAnsi="Times New Roman" w:cs="Times New Roman"/>
            <w:sz w:val="28"/>
            <w:szCs w:val="24"/>
            <w:lang w:val="en-US" w:eastAsia="ar-SA"/>
          </w:rPr>
          <w:t>www</w:t>
        </w:r>
        <w:r w:rsidRPr="009401AD">
          <w:rPr>
            <w:rFonts w:ascii="Times New Roman" w:eastAsia="Times New Roman" w:hAnsi="Times New Roman" w:cs="Times New Roman"/>
            <w:sz w:val="28"/>
            <w:szCs w:val="24"/>
            <w:lang w:val="ru-RU" w:eastAsia="ar-SA"/>
          </w:rPr>
          <w:t>.</w:t>
        </w:r>
        <w:r w:rsidRPr="009401AD">
          <w:rPr>
            <w:rFonts w:ascii="Times New Roman" w:eastAsia="Times New Roman" w:hAnsi="Times New Roman" w:cs="Times New Roman"/>
            <w:sz w:val="28"/>
            <w:szCs w:val="24"/>
            <w:lang w:val="en-US" w:eastAsia="ar-SA"/>
          </w:rPr>
          <w:t>demoscope</w:t>
        </w:r>
        <w:r w:rsidRPr="009401AD">
          <w:rPr>
            <w:rFonts w:ascii="Times New Roman" w:eastAsia="Times New Roman" w:hAnsi="Times New Roman" w:cs="Times New Roman"/>
            <w:sz w:val="28"/>
            <w:szCs w:val="24"/>
            <w:lang w:val="ru-RU" w:eastAsia="ar-SA"/>
          </w:rPr>
          <w:t>.</w:t>
        </w:r>
        <w:r w:rsidRPr="009401AD">
          <w:rPr>
            <w:rFonts w:ascii="Times New Roman" w:eastAsia="Times New Roman" w:hAnsi="Times New Roman" w:cs="Times New Roman"/>
            <w:sz w:val="28"/>
            <w:szCs w:val="24"/>
            <w:lang w:val="en-US" w:eastAsia="ar-SA"/>
          </w:rPr>
          <w:t>ru</w:t>
        </w:r>
        <w:r w:rsidRPr="009401AD">
          <w:rPr>
            <w:rFonts w:ascii="Times New Roman" w:eastAsia="Times New Roman" w:hAnsi="Times New Roman" w:cs="Times New Roman"/>
            <w:sz w:val="28"/>
            <w:szCs w:val="24"/>
            <w:lang w:val="ru-RU" w:eastAsia="ar-SA"/>
          </w:rPr>
          <w:t>/</w:t>
        </w:r>
        <w:r w:rsidRPr="009401AD">
          <w:rPr>
            <w:rFonts w:ascii="Times New Roman" w:eastAsia="Times New Roman" w:hAnsi="Times New Roman" w:cs="Times New Roman"/>
            <w:sz w:val="28"/>
            <w:szCs w:val="24"/>
            <w:lang w:val="en-US" w:eastAsia="ar-SA"/>
          </w:rPr>
          <w:t>weekly</w:t>
        </w:r>
        <w:r w:rsidRPr="009401AD">
          <w:rPr>
            <w:rFonts w:ascii="Times New Roman" w:eastAsia="Times New Roman" w:hAnsi="Times New Roman" w:cs="Times New Roman"/>
            <w:sz w:val="28"/>
            <w:szCs w:val="24"/>
            <w:lang w:val="ru-RU" w:eastAsia="ar-SA"/>
          </w:rPr>
          <w:t>/</w:t>
        </w:r>
        <w:r w:rsidRPr="009401AD">
          <w:rPr>
            <w:rFonts w:ascii="Times New Roman" w:eastAsia="Times New Roman" w:hAnsi="Times New Roman" w:cs="Times New Roman"/>
            <w:sz w:val="28"/>
            <w:szCs w:val="24"/>
            <w:lang w:val="en-US" w:eastAsia="ar-SA"/>
          </w:rPr>
          <w:t>knigi</w:t>
        </w:r>
        <w:r w:rsidRPr="009401AD">
          <w:rPr>
            <w:rFonts w:ascii="Times New Roman" w:eastAsia="Times New Roman" w:hAnsi="Times New Roman" w:cs="Times New Roman"/>
            <w:sz w:val="28"/>
            <w:szCs w:val="24"/>
            <w:lang w:val="ru-RU" w:eastAsia="ar-SA"/>
          </w:rPr>
          <w:t>/</w:t>
        </w:r>
        <w:r w:rsidRPr="009401AD">
          <w:rPr>
            <w:rFonts w:ascii="Times New Roman" w:eastAsia="Times New Roman" w:hAnsi="Times New Roman" w:cs="Times New Roman"/>
            <w:sz w:val="28"/>
            <w:szCs w:val="24"/>
            <w:lang w:val="en-US" w:eastAsia="ar-SA"/>
          </w:rPr>
          <w:t>zakon</w:t>
        </w:r>
        <w:r w:rsidRPr="009401AD">
          <w:rPr>
            <w:rFonts w:ascii="Times New Roman" w:eastAsia="Times New Roman" w:hAnsi="Times New Roman" w:cs="Times New Roman"/>
            <w:sz w:val="28"/>
            <w:szCs w:val="24"/>
            <w:lang w:val="ru-RU" w:eastAsia="ar-SA"/>
          </w:rPr>
          <w:t>/</w:t>
        </w:r>
        <w:r w:rsidRPr="009401AD">
          <w:rPr>
            <w:rFonts w:ascii="Times New Roman" w:eastAsia="Times New Roman" w:hAnsi="Times New Roman" w:cs="Times New Roman"/>
            <w:sz w:val="28"/>
            <w:szCs w:val="24"/>
            <w:lang w:val="en-US" w:eastAsia="ar-SA"/>
          </w:rPr>
          <w:t>zakon</w:t>
        </w:r>
        <w:r w:rsidRPr="009401AD">
          <w:rPr>
            <w:rFonts w:ascii="Times New Roman" w:eastAsia="Times New Roman" w:hAnsi="Times New Roman" w:cs="Times New Roman"/>
            <w:sz w:val="28"/>
            <w:szCs w:val="24"/>
            <w:lang w:val="ru-RU" w:eastAsia="ar-SA"/>
          </w:rPr>
          <w:t>082.</w:t>
        </w:r>
        <w:r w:rsidRPr="009401AD">
          <w:rPr>
            <w:rFonts w:ascii="Times New Roman" w:eastAsia="Times New Roman" w:hAnsi="Times New Roman" w:cs="Times New Roman"/>
            <w:sz w:val="28"/>
            <w:szCs w:val="24"/>
            <w:lang w:val="en-US" w:eastAsia="ar-SA"/>
          </w:rPr>
          <w:t>html</w:t>
        </w:r>
      </w:hyperlink>
      <w:r w:rsidRPr="009401AD">
        <w:rPr>
          <w:rFonts w:ascii="Times New Roman" w:eastAsia="Times New Roman" w:hAnsi="Times New Roman" w:cs="Times New Roman"/>
          <w:sz w:val="28"/>
          <w:szCs w:val="24"/>
          <w:lang w:val="ru-RU" w:eastAsia="ar-SA"/>
        </w:rPr>
        <w:t xml:space="preserve"> (дата обращения 25.07.2019 г.)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Про репродуктивні права та гарантії їх здійснення : проект Закону України від 10.02.2004 р.№ 5105. </w:t>
      </w:r>
      <w:hyperlink r:id="rId7" w:history="1">
        <w:r w:rsidRPr="009401AD">
          <w:rPr>
            <w:rFonts w:ascii="Times New Roman" w:eastAsia="Times New Roman" w:hAnsi="Times New Roman" w:cs="Times New Roman"/>
            <w:sz w:val="28"/>
            <w:szCs w:val="28"/>
            <w:lang w:val="en-US" w:eastAsia="ar-SA"/>
          </w:rPr>
          <w:t>URL</w:t>
        </w:r>
        <w:r w:rsidRPr="009401AD">
          <w:rPr>
            <w:rFonts w:ascii="Times New Roman" w:eastAsia="Times New Roman" w:hAnsi="Times New Roman" w:cs="Times New Roman"/>
            <w:sz w:val="28"/>
            <w:szCs w:val="28"/>
            <w:lang w:eastAsia="ar-SA"/>
          </w:rPr>
          <w:t xml:space="preserve">: </w:t>
        </w:r>
        <w:r w:rsidRPr="009401AD">
          <w:rPr>
            <w:rFonts w:ascii="Times New Roman" w:eastAsia="Times New Roman" w:hAnsi="Times New Roman" w:cs="Times New Roman"/>
            <w:sz w:val="28"/>
            <w:szCs w:val="28"/>
            <w:lang w:val="en-US" w:eastAsia="ar-SA"/>
          </w:rPr>
          <w:t>DB</w:t>
        </w:r>
      </w:hyperlink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Ліга:Еліт 7.5.1- 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en-US" w:eastAsia="ar-SA"/>
        </w:rPr>
        <w:t>JD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3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en-US" w:eastAsia="ar-SA"/>
        </w:rPr>
        <w:t>XT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00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en-US" w:eastAsia="ar-SA"/>
        </w:rPr>
        <w:t>A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.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en-US" w:eastAsia="ar-SA"/>
        </w:rPr>
        <w:t>LHT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(дата звернення: 25.07.2019 р)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Свитнев К.Н. Нужен ли закон о ВРТ? Вспомогательные репродуктивные технологии и их правовое регулирование. Национальная идентичность России и демографический кризис: материалы 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en-US" w:eastAsia="ar-SA"/>
        </w:rPr>
        <w:t>II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 Всероссийской научной конференции. М.: Научный эксперт. 2008. С. 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819-825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.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Рябенко О.В. Право фізичної особи на репродукцію (відтворення): поняття та історико-правові аспекти становлення. Науковий вісник Ужгородського національного університету. Серія ПРАВО. Вип. 30.Том 1. 2015. С. 148-151.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lastRenderedPageBreak/>
        <w:t>Стефанчук Р.О. Особисті немайнові права фізичних осіб (поняття, зміст, система, особливості здійснення та захисту): монографія. К.: КНТ. 2008. 626 с.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Дутко А.О., Заболотна М.Р. Закріплення репродуктивних прав особи у сімейному законодавстві. Вісник Національного університету «Львівська політехніка». Юридичні науки. 2016. № 845. С. 257-262.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Тюхтій Н. Репродуктивні особисті немайнові права фізичних осіб. Юридична Україна. Питання розвитку приватного права. 2013. № 6. С. 70-75.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val="en-US" w:eastAsia="ar-SA"/>
        </w:rPr>
        <w:t>Rebecca Perring Failure to find a sexual partner is now a DISABILITY says World Health Organisation. 2016.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5105 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en-US" w:eastAsia="ar-SA"/>
        </w:rPr>
        <w:t>URL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: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en-US" w:eastAsia="ar-SA"/>
        </w:rPr>
        <w:t xml:space="preserve"> </w:t>
      </w:r>
      <w:hyperlink r:id="rId8" w:history="1">
        <w:r w:rsidRPr="009401AD">
          <w:rPr>
            <w:rFonts w:ascii="Times New Roman" w:eastAsia="Times New Roman" w:hAnsi="Times New Roman" w:cs="Times New Roman"/>
            <w:sz w:val="28"/>
            <w:szCs w:val="28"/>
            <w:lang w:val="en-US" w:eastAsia="ar-SA"/>
          </w:rPr>
          <w:t>https</w:t>
        </w:r>
        <w:r w:rsidRPr="009401AD">
          <w:rPr>
            <w:rFonts w:ascii="Times New Roman" w:eastAsia="Times New Roman" w:hAnsi="Times New Roman" w:cs="Times New Roman"/>
            <w:sz w:val="28"/>
            <w:szCs w:val="28"/>
            <w:lang w:eastAsia="ar-SA"/>
          </w:rPr>
          <w:t>://</w:t>
        </w:r>
        <w:r w:rsidRPr="009401AD">
          <w:rPr>
            <w:rFonts w:ascii="Times New Roman" w:eastAsia="Times New Roman" w:hAnsi="Times New Roman" w:cs="Times New Roman"/>
            <w:sz w:val="28"/>
            <w:szCs w:val="28"/>
            <w:lang w:val="en-US" w:eastAsia="ar-SA"/>
          </w:rPr>
          <w:t>www.express.co.uk</w:t>
        </w:r>
      </w:hyperlink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Основи законодавства України про охорону здоров’я: Закон України від 19.11.1992 р. № 2801-12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 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en-US" w:eastAsia="ar-SA"/>
        </w:rPr>
        <w:t>URL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: </w:t>
      </w:r>
      <w:hyperlink r:id="rId9" w:history="1">
        <w:r w:rsidRPr="009401AD">
          <w:rPr>
            <w:rFonts w:ascii="Times New Roman" w:eastAsia="Times New Roman" w:hAnsi="Times New Roman" w:cs="Times New Roman"/>
            <w:sz w:val="28"/>
            <w:szCs w:val="28"/>
            <w:lang w:eastAsia="ar-SA"/>
          </w:rPr>
          <w:t>http://zakon.rada.gov.ua/laws/</w:t>
        </w:r>
        <w:r w:rsidRPr="009401AD">
          <w:rPr>
            <w:rFonts w:ascii="Times New Roman" w:eastAsia="Times New Roman" w:hAnsi="Times New Roman" w:cs="Times New Roman"/>
            <w:sz w:val="28"/>
            <w:szCs w:val="28"/>
            <w:lang w:val="en-US" w:eastAsia="ar-SA"/>
          </w:rPr>
          <w:t>card</w:t>
        </w:r>
        <w:r w:rsidRPr="009401AD">
          <w:rPr>
            <w:rFonts w:ascii="Times New Roman" w:eastAsia="Times New Roman" w:hAnsi="Times New Roman" w:cs="Times New Roman"/>
            <w:sz w:val="28"/>
            <w:szCs w:val="28"/>
            <w:lang w:eastAsia="ar-SA"/>
          </w:rPr>
          <w:t>/2</w:t>
        </w:r>
        <w:r w:rsidRPr="009401AD">
          <w:rPr>
            <w:rFonts w:ascii="Times New Roman" w:eastAsia="Times New Roman" w:hAnsi="Times New Roman" w:cs="Times New Roman"/>
            <w:sz w:val="28"/>
            <w:szCs w:val="28"/>
            <w:lang w:val="ru-RU" w:eastAsia="ar-SA"/>
          </w:rPr>
          <w:t>801-12</w:t>
        </w:r>
      </w:hyperlink>
      <w:r w:rsidRPr="009401AD">
        <w:rPr>
          <w:rFonts w:ascii="Times New Roman" w:eastAsia="Times New Roman" w:hAnsi="Times New Roman" w:cs="Times New Roman"/>
          <w:sz w:val="28"/>
          <w:szCs w:val="24"/>
          <w:lang w:eastAsia="ar-SA"/>
        </w:rPr>
        <w:t xml:space="preserve"> (дата звернення: 27.07.2019)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Цивільний кодекс України: Закон України № 435-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en-US" w:eastAsia="ar-SA"/>
        </w:rPr>
        <w:t>IV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від 16 січня 2003 року. Відомості Верховної Ради України. 2003. № 40. Ст. 356.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Про затвердження Порядку застосування допоміжних репродуктивних технологій в Україні: Наказ Міністерства охорони здоров’я України від 09.09.2013 р. № 787. 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en-US" w:eastAsia="ar-SA"/>
        </w:rPr>
        <w:t>URL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: </w:t>
      </w:r>
      <w:hyperlink r:id="rId10" w:history="1">
        <w:r w:rsidRPr="009401AD">
          <w:rPr>
            <w:rFonts w:ascii="Times New Roman" w:eastAsia="Times New Roman" w:hAnsi="Times New Roman" w:cs="Times New Roman"/>
            <w:sz w:val="28"/>
            <w:szCs w:val="28"/>
            <w:lang w:eastAsia="ar-SA"/>
          </w:rPr>
          <w:t>http://zakon5.rada.gov.ua/laws/show/z1697-13</w:t>
        </w:r>
      </w:hyperlink>
      <w:r w:rsidRPr="009401AD">
        <w:rPr>
          <w:rFonts w:ascii="Times New Roman" w:eastAsia="Times New Roman" w:hAnsi="Times New Roman" w:cs="Times New Roman"/>
          <w:sz w:val="28"/>
          <w:szCs w:val="24"/>
          <w:lang w:eastAsia="ar-SA"/>
        </w:rPr>
        <w:t xml:space="preserve"> (дата звернення: 27.07.2019)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Сімейний кодекс України від </w:t>
      </w:r>
      <w:r w:rsidRPr="009401AD">
        <w:rPr>
          <w:rFonts w:ascii="Times New Roman" w:eastAsia="Times New Roman" w:hAnsi="Times New Roman" w:cs="Times New Roman"/>
          <w:bCs/>
          <w:sz w:val="28"/>
          <w:szCs w:val="28"/>
          <w:lang w:eastAsia="ar-SA"/>
        </w:rPr>
        <w:t xml:space="preserve">10.01.2002 р. </w:t>
      </w:r>
      <w:r w:rsidRPr="009401A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ar-SA"/>
        </w:rPr>
        <w:t>№</w:t>
      </w:r>
      <w:r w:rsidRPr="009401A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ar-SA"/>
        </w:rPr>
        <w:t> </w:t>
      </w:r>
      <w:r w:rsidRPr="009401AD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shd w:val="clear" w:color="auto" w:fill="FFFFFF"/>
          <w:lang w:eastAsia="ar-SA"/>
        </w:rPr>
        <w:t>2947-</w:t>
      </w:r>
      <w:r w:rsidRPr="009401AD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shd w:val="clear" w:color="auto" w:fill="FFFFFF"/>
          <w:lang w:val="en-US" w:eastAsia="ar-SA"/>
        </w:rPr>
        <w:t>III</w:t>
      </w:r>
      <w:r w:rsidRPr="009401AD">
        <w:rPr>
          <w:rFonts w:ascii="Times New Roman" w:eastAsia="Times New Roman" w:hAnsi="Times New Roman" w:cs="Times New Roman"/>
          <w:bCs/>
          <w:sz w:val="28"/>
          <w:szCs w:val="28"/>
          <w:lang w:eastAsia="ar-SA"/>
        </w:rPr>
        <w:t xml:space="preserve"> 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(із змінами та доповненнями).</w:t>
      </w:r>
      <w:r w:rsidRPr="009401AD">
        <w:rPr>
          <w:rFonts w:ascii="Times New Roman" w:eastAsia="Times New Roman" w:hAnsi="Times New Roman" w:cs="Times New Roman"/>
          <w:bCs/>
          <w:sz w:val="28"/>
          <w:szCs w:val="28"/>
          <w:lang w:eastAsia="ar-SA"/>
        </w:rPr>
        <w:t xml:space="preserve"> </w:t>
      </w:r>
      <w:r w:rsidRPr="009401AD">
        <w:rPr>
          <w:rFonts w:ascii="Times New Roman" w:eastAsia="Times New Roman" w:hAnsi="Times New Roman" w:cs="Times New Roman"/>
          <w:iCs/>
          <w:sz w:val="28"/>
          <w:szCs w:val="28"/>
          <w:lang w:eastAsia="ar-SA"/>
        </w:rPr>
        <w:t>Відомості Верховної Ради України. 2002. № 21–22. Ст. 135.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iCs/>
          <w:sz w:val="28"/>
          <w:szCs w:val="28"/>
          <w:lang w:eastAsia="ar-SA"/>
        </w:rPr>
        <w:t>Григоренко О.В. Принципи реалізації прав фізичних осіб у відносинах, що виникають при застосуванні допоміжних репродуктивних технологій. Право і суспільство. Цивілістика. 2016. № 3. С. 46-51.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iCs/>
          <w:sz w:val="28"/>
          <w:szCs w:val="28"/>
          <w:lang w:val="ru-RU" w:eastAsia="ar-SA"/>
        </w:rPr>
        <w:t>Виниченко Ю.В. Категория «разумность» в гражданском праве России. Иркутск: Изд-во БГУЭП. 2007. 171 с.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iCs/>
          <w:sz w:val="28"/>
          <w:szCs w:val="28"/>
          <w:lang w:eastAsia="ar-SA"/>
        </w:rPr>
        <w:t>Джочка О.П. Загальнотеоретичний аспект правового регулювання репродуктивної функції. Медичне право України: проблеми становлення та розвитку. Матеріали І Всеукраїнської науково-практичної конференції. Львів (19-20 квітня 2004 року). С. 127-133.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iCs/>
          <w:sz w:val="28"/>
          <w:szCs w:val="28"/>
          <w:lang w:eastAsia="ar-SA"/>
        </w:rPr>
        <w:t>Допоміжні репродуктивні технології лікування безпліддя. Навчальний посібник. За заг. редак. проф. Ф.В. Дахна та проф. О.М. Юзька. Київ. 2011. 339 с.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lastRenderedPageBreak/>
        <w:t>Головащук А.П. Цивільно-правове регулювання відносин, пов’язаних із застосуванням допоміжних репродуктивних технологій. Дис. … канд. юрид. наук. Київ. 2017. 258 с.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Мартинюк Л.П. Правове регулювання застосування допоміжних репродуктивних технологій в Україні: проблемні аспекти. Вісник Одеського національного університету. Правознавство. 2019. Т. 24. Вип. 1 (34). С. 93−106.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Рекомендація 1046 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(1986) щодо використання ембріонів та плодів людини для цілей діагностики, терапії, наукових досліджень, промислового використання та торгівлі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: прийнята 38-ю черговою сесією Парламентської асамблеї Ради Європи </w:t>
      </w:r>
      <w:r w:rsidRPr="009401A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ar-SA"/>
        </w:rPr>
        <w:t xml:space="preserve">24.09.1986 р. 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en-US" w:eastAsia="ar-SA"/>
        </w:rPr>
        <w:t>URL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: </w:t>
      </w:r>
      <w:hyperlink r:id="rId11" w:history="1">
        <w:r w:rsidRPr="009401AD">
          <w:rPr>
            <w:rFonts w:ascii="Times New Roman" w:eastAsia="Times New Roman" w:hAnsi="Times New Roman" w:cs="Times New Roman"/>
            <w:sz w:val="28"/>
            <w:szCs w:val="28"/>
            <w:shd w:val="clear" w:color="auto" w:fill="FFFFFF"/>
            <w:lang w:eastAsia="ar-SA"/>
          </w:rPr>
          <w:t>http://zakon3.rada.gov.ua/laws/card/994_070</w:t>
        </w:r>
      </w:hyperlink>
      <w:r w:rsidRPr="009401AD">
        <w:rPr>
          <w:rFonts w:ascii="Times New Roman" w:eastAsia="Times New Roman" w:hAnsi="Times New Roman" w:cs="Times New Roman"/>
          <w:sz w:val="28"/>
          <w:szCs w:val="24"/>
          <w:lang w:eastAsia="ar-SA"/>
        </w:rPr>
        <w:t xml:space="preserve"> (дата звернення: 02.08.2019)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Resolution 1399 (2004) and Recommendation 1675 (2004) on a «European strategy for the promotion of sexual and reproductive health and rights». 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en-US" w:eastAsia="ar-SA"/>
        </w:rPr>
        <w:t>URL</w:t>
      </w:r>
      <w:r w:rsidRPr="009401AD">
        <w:rPr>
          <w:rFonts w:ascii="Times New Roman" w:eastAsia="Times New Roman" w:hAnsi="Times New Roman" w:cs="Times New Roman"/>
          <w:iCs/>
          <w:sz w:val="28"/>
          <w:szCs w:val="28"/>
          <w:lang w:eastAsia="ar-SA"/>
        </w:rPr>
        <w:t xml:space="preserve">: </w:t>
      </w:r>
      <w:hyperlink r:id="rId12" w:history="1">
        <w:r w:rsidRPr="009401AD">
          <w:rPr>
            <w:rFonts w:ascii="Times New Roman" w:eastAsia="Times New Roman" w:hAnsi="Times New Roman" w:cs="Times New Roman"/>
            <w:sz w:val="28"/>
            <w:szCs w:val="28"/>
            <w:lang w:eastAsia="ar-SA"/>
          </w:rPr>
          <w:t>http://www.assembly.coe.int/nw/xml/XRef/Xref-DocDetails</w:t>
        </w:r>
      </w:hyperlink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en-US" w:eastAsia="ar-SA"/>
        </w:rPr>
        <w:t>(accessed:  02.08.2019)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Resolution 1394 (2004) on «The involvement of men, especially young men, in reproductive health». 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en-US" w:eastAsia="ar-SA"/>
        </w:rPr>
        <w:t>URL</w:t>
      </w:r>
      <w:r w:rsidRPr="009401AD">
        <w:rPr>
          <w:rFonts w:ascii="Times New Roman" w:eastAsia="Times New Roman" w:hAnsi="Times New Roman" w:cs="Times New Roman"/>
          <w:iCs/>
          <w:sz w:val="28"/>
          <w:szCs w:val="28"/>
          <w:lang w:eastAsia="ar-SA"/>
        </w:rPr>
        <w:t>: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en-US" w:eastAsia="ar-SA"/>
        </w:rPr>
        <w:t xml:space="preserve"> </w:t>
      </w:r>
      <w:hyperlink r:id="rId13" w:history="1">
        <w:r w:rsidRPr="009401AD">
          <w:rPr>
            <w:rFonts w:ascii="Times New Roman" w:eastAsia="Times New Roman" w:hAnsi="Times New Roman" w:cs="Times New Roman"/>
            <w:sz w:val="28"/>
            <w:szCs w:val="28"/>
            <w:lang w:eastAsia="ar-SA"/>
          </w:rPr>
          <w:t>http://assembly.coe.int/nw/xml/XRef/Xref-DocDetails</w:t>
        </w:r>
      </w:hyperlink>
      <w:r w:rsidRPr="009401AD">
        <w:rPr>
          <w:rFonts w:ascii="Times New Roman" w:eastAsia="Times New Roman" w:hAnsi="Times New Roman" w:cs="Times New Roman"/>
          <w:sz w:val="28"/>
          <w:szCs w:val="24"/>
          <w:lang w:val="en-US" w:eastAsia="ar-SA"/>
        </w:rPr>
        <w:t xml:space="preserve"> 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en-US" w:eastAsia="ar-SA"/>
        </w:rPr>
        <w:t>(accessed:  02.08.2019)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Recommendation 675 (1972) on «Birth control and family planning in Council of Europe member States». 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en-US" w:eastAsia="ar-SA"/>
        </w:rPr>
        <w:t>URL</w:t>
      </w:r>
      <w:r w:rsidRPr="009401AD">
        <w:rPr>
          <w:rFonts w:ascii="Times New Roman" w:eastAsia="Times New Roman" w:hAnsi="Times New Roman" w:cs="Times New Roman"/>
          <w:iCs/>
          <w:sz w:val="28"/>
          <w:szCs w:val="28"/>
          <w:lang w:eastAsia="ar-SA"/>
        </w:rPr>
        <w:t>: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en-US" w:eastAsia="ar-SA"/>
        </w:rPr>
        <w:t xml:space="preserve"> </w:t>
      </w:r>
      <w:hyperlink r:id="rId14" w:history="1">
        <w:r w:rsidRPr="009401AD">
          <w:rPr>
            <w:rFonts w:ascii="Times New Roman" w:eastAsia="Times New Roman" w:hAnsi="Times New Roman" w:cs="Times New Roman"/>
            <w:sz w:val="28"/>
            <w:szCs w:val="28"/>
            <w:lang w:eastAsia="ar-SA"/>
          </w:rPr>
          <w:t>http://assembly.coe.int/nw/xml/XRef/Xref</w:t>
        </w:r>
      </w:hyperlink>
      <w:r w:rsidRPr="009401AD">
        <w:rPr>
          <w:rFonts w:ascii="Times New Roman" w:eastAsia="Times New Roman" w:hAnsi="Times New Roman" w:cs="Times New Roman"/>
          <w:sz w:val="28"/>
          <w:szCs w:val="24"/>
          <w:lang w:val="en-US" w:eastAsia="ar-SA"/>
        </w:rPr>
        <w:t xml:space="preserve"> 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en-US" w:eastAsia="ar-SA"/>
        </w:rPr>
        <w:t>(accessed:  02.08.2019)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bCs/>
          <w:sz w:val="28"/>
          <w:szCs w:val="28"/>
          <w:lang w:eastAsia="ar-SA"/>
        </w:rPr>
        <w:t>Жилка Н.</w:t>
      </w:r>
      <w:r w:rsidRPr="009401AD">
        <w:rPr>
          <w:rFonts w:ascii="Times New Roman" w:eastAsia="Times New Roman" w:hAnsi="Times New Roman" w:cs="Times New Roman"/>
          <w:bCs/>
          <w:sz w:val="28"/>
          <w:szCs w:val="28"/>
          <w:lang w:val="en-US" w:eastAsia="ar-SA"/>
        </w:rPr>
        <w:t> </w:t>
      </w:r>
      <w:r w:rsidRPr="009401AD">
        <w:rPr>
          <w:rFonts w:ascii="Times New Roman" w:eastAsia="Times New Roman" w:hAnsi="Times New Roman" w:cs="Times New Roman"/>
          <w:bCs/>
          <w:sz w:val="28"/>
          <w:szCs w:val="28"/>
          <w:lang w:eastAsia="ar-SA"/>
        </w:rPr>
        <w:t>Я.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Аналітичний огляд законодавчого забезпечення охорони репродуктивного здоров’я в Україні. Київ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: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Вид-во Раєвського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en-US" w:eastAsia="ar-SA"/>
        </w:rPr>
        <w:t>.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2005. 96 с. 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bCs/>
          <w:sz w:val="28"/>
          <w:szCs w:val="28"/>
          <w:lang w:eastAsia="ar-SA"/>
        </w:rPr>
        <w:t xml:space="preserve">Про внесення змін та доповнень до деяких законодавчих актів СРСР у питаннях, що стосуються жінок, сім'ї і дитинства. 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Закон </w:t>
      </w:r>
      <w:r w:rsidRPr="009401AD">
        <w:rPr>
          <w:rFonts w:ascii="Times New Roman" w:eastAsia="Times New Roman" w:hAnsi="Times New Roman" w:cs="Times New Roman"/>
          <w:bCs/>
          <w:sz w:val="28"/>
          <w:szCs w:val="28"/>
          <w:lang w:eastAsia="ar-SA"/>
        </w:rPr>
        <w:t xml:space="preserve">СРСР від 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22.05.1990 р. № 1501-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I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. </w:t>
      </w:r>
      <w:r w:rsidRPr="009401AD">
        <w:rPr>
          <w:rFonts w:ascii="Times New Roman" w:eastAsia="Times New Roman" w:hAnsi="Times New Roman" w:cs="Times New Roman"/>
          <w:iCs/>
          <w:sz w:val="28"/>
          <w:szCs w:val="28"/>
          <w:bdr w:val="none" w:sz="0" w:space="0" w:color="auto" w:frame="1"/>
          <w:lang w:eastAsia="ar-SA"/>
        </w:rPr>
        <w:t>Відомості Верховної Ради СРСР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. </w:t>
      </w:r>
      <w:r w:rsidRPr="009401AD">
        <w:rPr>
          <w:rFonts w:ascii="Times New Roman" w:eastAsia="Times New Roman" w:hAnsi="Times New Roman" w:cs="Times New Roman"/>
          <w:iCs/>
          <w:sz w:val="28"/>
          <w:szCs w:val="28"/>
          <w:bdr w:val="none" w:sz="0" w:space="0" w:color="auto" w:frame="1"/>
          <w:lang w:eastAsia="ar-SA"/>
        </w:rPr>
        <w:t>1990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. </w:t>
      </w:r>
      <w:r w:rsidRPr="009401AD">
        <w:rPr>
          <w:rFonts w:ascii="Times New Roman" w:eastAsia="Times New Roman" w:hAnsi="Times New Roman" w:cs="Times New Roman"/>
          <w:iCs/>
          <w:sz w:val="28"/>
          <w:szCs w:val="28"/>
          <w:bdr w:val="none" w:sz="0" w:space="0" w:color="auto" w:frame="1"/>
          <w:lang w:eastAsia="ar-SA"/>
        </w:rPr>
        <w:t>№ 23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.</w:t>
      </w:r>
      <w:r w:rsidRPr="009401AD">
        <w:rPr>
          <w:rFonts w:ascii="Times New Roman" w:eastAsia="Times New Roman" w:hAnsi="Times New Roman" w:cs="Times New Roman"/>
          <w:iCs/>
          <w:sz w:val="28"/>
          <w:szCs w:val="28"/>
          <w:bdr w:val="none" w:sz="0" w:space="0" w:color="auto" w:frame="1"/>
          <w:lang w:eastAsia="ar-SA"/>
        </w:rPr>
        <w:t xml:space="preserve"> Ст. 422.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Про шлюб та сім’ю: Кодекс України від 20 червня 1969 р. № 2006-VIІ. </w:t>
      </w:r>
      <w:r w:rsidRPr="009401AD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  <w:lang w:eastAsia="ar-SA"/>
        </w:rPr>
        <w:t xml:space="preserve">Відомості Верховної Ради УРСР. 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1969. № 26. Ст. 204.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bCs/>
          <w:sz w:val="28"/>
          <w:szCs w:val="28"/>
          <w:lang w:eastAsia="ar-SA"/>
        </w:rPr>
        <w:t>Мироненко В. П., Пилипенко С. А.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Сімейне право України: підручник для студ. вищ. навч. Закладів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.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За заг. ред. В. П. Мироненко. Київ: Правова єдність. 2008. 477 с.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lastRenderedPageBreak/>
        <w:t xml:space="preserve">Про Національну програму «Репродуктивне здоров’я 2001–2005». Указ Президента України № 203/2001 від 26.03.2001 р. 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en-US" w:eastAsia="ar-SA"/>
        </w:rPr>
        <w:t>URL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: </w:t>
      </w:r>
      <w:hyperlink r:id="rId15" w:history="1">
        <w:r w:rsidRPr="009401AD">
          <w:rPr>
            <w:rFonts w:ascii="Times New Roman" w:eastAsia="Times New Roman" w:hAnsi="Times New Roman" w:cs="Times New Roman"/>
            <w:sz w:val="28"/>
            <w:szCs w:val="28"/>
            <w:lang w:eastAsia="ar-SA"/>
          </w:rPr>
          <w:t>http://zakon0.rada.gov.ua/laws/show/203/2001</w:t>
        </w:r>
      </w:hyperlink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(дата звернення: 10.08.2019)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Про затвердження Державної програми «Репродуктивне здоров’я нації» на період до 2015 року»: Постанова Кабінету Міністрів України від 27.12.2006 р. № 1849. 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en-US" w:eastAsia="ar-SA"/>
        </w:rPr>
        <w:t>URL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: </w:t>
      </w:r>
      <w:hyperlink r:id="rId16" w:history="1">
        <w:r w:rsidRPr="009401AD">
          <w:rPr>
            <w:rFonts w:ascii="Times New Roman" w:eastAsia="Times New Roman" w:hAnsi="Times New Roman" w:cs="Times New Roman"/>
            <w:sz w:val="28"/>
            <w:szCs w:val="28"/>
            <w:lang w:eastAsia="ar-SA"/>
          </w:rPr>
          <w:t>http://zakon3.rada.gov.ua/laws/show/1849-2006-%D0%BF</w:t>
        </w:r>
      </w:hyperlink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(дата звернення: 10.08.2019)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Матузов Н.И. Актуальные проблемы теории права. Саратов: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Саратовская государственная академия права. 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2003. 512 с.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Пугач Д.О. Адміністративно-правове регулювання відносин у сфері допоміжних репродуктивних технологій. Дис. … канд. юрид. наук. Київ. 2018. 211 с.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Ерошенко А. Судебная защита охраняемого законом интереса. Сов. юстиция. 1977. № 13. С.19-23.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Гукасян Р.Е. Избранные труды по гражданскому праву. М.: Проспект. 2009. 480 с.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Рішення Конституційного Суду України у справі за конституційним поданням 50 народних депутатів України щодо офіційного тлумачення окремих положень частини першої статті 4 Цивільного процесуального кодексу України (справа про охоронюваний законом інтерес). </w:t>
      </w:r>
      <w:hyperlink r:id="rId17" w:history="1">
        <w:r w:rsidRPr="009401AD">
          <w:rPr>
            <w:rFonts w:ascii="Times New Roman" w:eastAsia="Times New Roman" w:hAnsi="Times New Roman" w:cs="Times New Roman"/>
            <w:sz w:val="28"/>
            <w:szCs w:val="28"/>
            <w:lang w:eastAsia="ar-SA"/>
          </w:rPr>
          <w:t>http://zakon5.rada.gov.ua/laws/show/</w:t>
        </w:r>
        <w:r w:rsidRPr="009401AD">
          <w:rPr>
            <w:rFonts w:ascii="Times New Roman" w:eastAsia="Times New Roman" w:hAnsi="Times New Roman" w:cs="Times New Roman"/>
            <w:sz w:val="28"/>
            <w:szCs w:val="28"/>
            <w:lang w:val="en-US" w:eastAsia="ar-SA"/>
          </w:rPr>
          <w:t>v</w:t>
        </w:r>
        <w:r w:rsidRPr="009401AD">
          <w:rPr>
            <w:rFonts w:ascii="Times New Roman" w:eastAsia="Times New Roman" w:hAnsi="Times New Roman" w:cs="Times New Roman"/>
            <w:sz w:val="28"/>
            <w:szCs w:val="28"/>
            <w:lang w:eastAsia="ar-SA"/>
          </w:rPr>
          <w:t>018</w:t>
        </w:r>
        <w:r w:rsidRPr="009401AD">
          <w:rPr>
            <w:rFonts w:ascii="Times New Roman" w:eastAsia="Times New Roman" w:hAnsi="Times New Roman" w:cs="Times New Roman"/>
            <w:sz w:val="28"/>
            <w:szCs w:val="28"/>
            <w:lang w:val="en-US" w:eastAsia="ar-SA"/>
          </w:rPr>
          <w:t>p</w:t>
        </w:r>
        <w:r w:rsidRPr="009401AD">
          <w:rPr>
            <w:rFonts w:ascii="Times New Roman" w:eastAsia="Times New Roman" w:hAnsi="Times New Roman" w:cs="Times New Roman"/>
            <w:sz w:val="28"/>
            <w:szCs w:val="28"/>
            <w:lang w:eastAsia="ar-SA"/>
          </w:rPr>
          <w:t>710-04</w:t>
        </w:r>
      </w:hyperlink>
      <w:r w:rsidRPr="009401AD">
        <w:rPr>
          <w:rFonts w:ascii="Times New Roman" w:eastAsia="Times New Roman" w:hAnsi="Times New Roman" w:cs="Times New Roman"/>
          <w:sz w:val="28"/>
          <w:szCs w:val="24"/>
          <w:lang w:eastAsia="ar-SA"/>
        </w:rPr>
        <w:t xml:space="preserve"> (дата звернення: 12.08.2019)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Малько А.В.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, Субочев В.В.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 Законные интересы как правовая категория СПБ: 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Юрид. центр Пресс. 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2004.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359 с.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Тихомиров Ю.А. Публичное право: учебник. М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.: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 БЕК. 1995. 496 с.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Хрестоматия по Всеобщей истории государства и права. М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.: 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Юристъ. 2004. 391 с.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Хазова О.А. Репродуктивные права в России: пределы законодательного регулирования. Конституционное прав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о.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 Восточно-европейское обозрение. 2000-2001. № 4. С. 15-24.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4"/>
          <w:lang w:val="ru-RU" w:eastAsia="ar-SA"/>
        </w:rPr>
        <w:t>Брагинский М.И., Витрянский В.В. Договорное право. Книга первая: Общие положения. М.: Статут</w:t>
      </w:r>
      <w:r w:rsidRPr="009401AD">
        <w:rPr>
          <w:rFonts w:ascii="Times New Roman" w:eastAsia="Times New Roman" w:hAnsi="Times New Roman" w:cs="Times New Roman"/>
          <w:sz w:val="28"/>
          <w:szCs w:val="24"/>
          <w:lang w:eastAsia="ar-SA"/>
        </w:rPr>
        <w:t>.</w:t>
      </w:r>
      <w:r w:rsidRPr="009401AD">
        <w:rPr>
          <w:rFonts w:ascii="Times New Roman" w:eastAsia="Times New Roman" w:hAnsi="Times New Roman" w:cs="Times New Roman"/>
          <w:sz w:val="28"/>
          <w:szCs w:val="24"/>
          <w:lang w:val="ru-RU" w:eastAsia="ar-SA"/>
        </w:rPr>
        <w:t xml:space="preserve"> 200</w:t>
      </w:r>
      <w:r w:rsidRPr="009401AD">
        <w:rPr>
          <w:rFonts w:ascii="Times New Roman" w:eastAsia="Times New Roman" w:hAnsi="Times New Roman" w:cs="Times New Roman"/>
          <w:sz w:val="28"/>
          <w:szCs w:val="24"/>
          <w:lang w:eastAsia="ar-SA"/>
        </w:rPr>
        <w:t>9</w:t>
      </w:r>
      <w:r w:rsidRPr="009401AD">
        <w:rPr>
          <w:rFonts w:ascii="Times New Roman" w:eastAsia="Times New Roman" w:hAnsi="Times New Roman" w:cs="Times New Roman"/>
          <w:sz w:val="28"/>
          <w:szCs w:val="24"/>
          <w:lang w:val="ru-RU" w:eastAsia="ar-SA"/>
        </w:rPr>
        <w:t xml:space="preserve">. </w:t>
      </w:r>
      <w:r w:rsidRPr="009401AD">
        <w:rPr>
          <w:rFonts w:ascii="Times New Roman" w:eastAsia="Times New Roman" w:hAnsi="Times New Roman" w:cs="Times New Roman"/>
          <w:sz w:val="28"/>
          <w:szCs w:val="24"/>
          <w:lang w:eastAsia="ar-SA"/>
        </w:rPr>
        <w:t>848 с.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bCs/>
          <w:sz w:val="28"/>
          <w:szCs w:val="28"/>
          <w:lang w:eastAsia="ar-SA"/>
        </w:rPr>
        <w:t>Харитонов Є. О., Старцев О. В. Цивільне право України: підручник.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2-е вид, перероб. і доп. К.: Істина. 2007. 816 с.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lastRenderedPageBreak/>
        <w:t>Сімейний Кодекс штату Каліфорнія = С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en-US" w:eastAsia="ar-SA"/>
        </w:rPr>
        <w:t>alifornia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en-US" w:eastAsia="ar-SA"/>
        </w:rPr>
        <w:t>family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en-US" w:eastAsia="ar-SA"/>
        </w:rPr>
        <w:t>code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(</w:t>
      </w:r>
      <w:r w:rsidRPr="009401A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ar-SA"/>
        </w:rPr>
        <w:t>July</w:t>
      </w:r>
      <w:r w:rsidRPr="009401A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ar-SA"/>
        </w:rPr>
        <w:t xml:space="preserve"> 13, 1992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). 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en-US" w:eastAsia="ar-SA"/>
        </w:rPr>
        <w:t>URL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: </w:t>
      </w:r>
      <w:hyperlink r:id="rId18" w:history="1">
        <w:r w:rsidRPr="009401AD">
          <w:rPr>
            <w:rFonts w:ascii="Times New Roman" w:eastAsia="Times New Roman" w:hAnsi="Times New Roman" w:cs="Times New Roman"/>
            <w:sz w:val="28"/>
            <w:szCs w:val="28"/>
            <w:lang w:eastAsia="ar-SA"/>
          </w:rPr>
          <w:t>http://law.justia.com/codes/california/2015/code-fam/</w:t>
        </w:r>
      </w:hyperlink>
      <w:r w:rsidRPr="009401AD">
        <w:rPr>
          <w:rFonts w:ascii="Times New Roman" w:eastAsia="Times New Roman" w:hAnsi="Times New Roman" w:cs="Times New Roman"/>
          <w:sz w:val="28"/>
          <w:szCs w:val="24"/>
          <w:lang w:eastAsia="ar-SA"/>
        </w:rPr>
        <w:t xml:space="preserve"> (дата звернення:  15.08.2019 р)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shd w:val="clear" w:color="auto" w:fill="F9F9F9"/>
          <w:lang w:eastAsia="ar-SA"/>
        </w:rPr>
        <w:t>Советское гражданское право: учебник для студ. вузов, обучающихся по спец. «Правоведение»: в 2 т. Отв. ред.: В. П. Грибанов, С. М. Корнеев. М.: Юрид.  лит. 1979. Т. 1. 552 с.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Иоффе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 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О.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en-US" w:eastAsia="ar-SA"/>
        </w:rPr>
        <w:t> 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С. Избранные труды по гражданскому праву: Из истории цивилистической мысли. Гражданское правоотношение. Критика теории 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«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хозяйственного права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». 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 Московский гос. ун-т им.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 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М.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 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В.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 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Ломоносова. Кафедра гражданского права юридического факультета. М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.: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 Статут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.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 2000. 777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 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с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.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pacing w:val="-15"/>
          <w:sz w:val="28"/>
          <w:szCs w:val="28"/>
          <w:lang w:eastAsia="ar-SA"/>
        </w:rPr>
        <w:t>Очерки по гражданскому праву: сб. статей Ленинградского ун-та им. А. А. Жданова. Отв. ред. О. С. Иоффе. Ленинград:  Изд-во Ленинград. ун-та. 1957.  292 с.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Иоффе</w:t>
      </w:r>
      <w:r w:rsidRPr="009401AD">
        <w:rPr>
          <w:rFonts w:ascii="Times New Roman" w:eastAsia="Times New Roman" w:hAnsi="Times New Roman" w:cs="Times New Roman"/>
          <w:spacing w:val="-15"/>
          <w:sz w:val="28"/>
          <w:szCs w:val="28"/>
          <w:lang w:val="en-US" w:eastAsia="ar-SA"/>
        </w:rPr>
        <w:t> </w:t>
      </w:r>
      <w:r w:rsidRPr="009401AD">
        <w:rPr>
          <w:rFonts w:ascii="Times New Roman" w:eastAsia="Times New Roman" w:hAnsi="Times New Roman" w:cs="Times New Roman"/>
          <w:spacing w:val="-15"/>
          <w:sz w:val="28"/>
          <w:szCs w:val="28"/>
          <w:lang w:eastAsia="ar-SA"/>
        </w:rPr>
        <w:t>О.</w:t>
      </w:r>
      <w:r w:rsidRPr="009401AD">
        <w:rPr>
          <w:rFonts w:ascii="Times New Roman" w:eastAsia="Times New Roman" w:hAnsi="Times New Roman" w:cs="Times New Roman"/>
          <w:spacing w:val="-15"/>
          <w:sz w:val="28"/>
          <w:szCs w:val="28"/>
          <w:lang w:val="en-US" w:eastAsia="ar-SA"/>
        </w:rPr>
        <w:t> </w:t>
      </w:r>
      <w:r w:rsidRPr="009401AD">
        <w:rPr>
          <w:rFonts w:ascii="Times New Roman" w:eastAsia="Times New Roman" w:hAnsi="Times New Roman" w:cs="Times New Roman"/>
          <w:spacing w:val="-15"/>
          <w:sz w:val="28"/>
          <w:szCs w:val="28"/>
          <w:lang w:eastAsia="ar-SA"/>
        </w:rPr>
        <w:t>С</w:t>
      </w:r>
      <w:r w:rsidRPr="009401AD">
        <w:rPr>
          <w:rFonts w:ascii="Times New Roman" w:eastAsia="Times New Roman" w:hAnsi="Times New Roman" w:cs="Times New Roman"/>
          <w:iCs/>
          <w:sz w:val="28"/>
          <w:szCs w:val="28"/>
          <w:lang w:eastAsia="ar-SA"/>
        </w:rPr>
        <w:t xml:space="preserve">. Правоотношение по советскому гражданскому праву. </w:t>
      </w:r>
      <w:r w:rsidRPr="009401AD">
        <w:rPr>
          <w:rFonts w:ascii="Times New Roman" w:eastAsia="Times New Roman" w:hAnsi="Times New Roman" w:cs="Times New Roman"/>
          <w:sz w:val="28"/>
          <w:szCs w:val="28"/>
          <w:shd w:val="clear" w:color="auto" w:fill="F9F9F9"/>
          <w:lang w:eastAsia="ar-SA"/>
        </w:rPr>
        <w:t xml:space="preserve">Ленинград: Изд-во </w:t>
      </w:r>
      <w:r w:rsidRPr="009401AD">
        <w:rPr>
          <w:rFonts w:ascii="Times New Roman" w:eastAsia="Times New Roman" w:hAnsi="Times New Roman" w:cs="Times New Roman"/>
          <w:spacing w:val="-15"/>
          <w:sz w:val="28"/>
          <w:szCs w:val="28"/>
          <w:lang w:eastAsia="ar-SA"/>
        </w:rPr>
        <w:t>Ленинград. гос. ун-та им. А. А. Жданова, тип. им. Евг. Соколовой. 1949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. 144 с.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Загальна теорія держави і права: 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п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ідручник для студ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.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 юрид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.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 вищ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.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 навч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.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 закладів. М.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 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В.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 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Цвік, О.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 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В.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 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Петришин, Л.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 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В.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 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Авраменко та ін. 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З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а ред. М.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 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В.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 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Цвіка, О.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 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В.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 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Петришина. Харків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: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 Право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.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 2011. 584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 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с.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Кельман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 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М.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 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С., Мурашин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 О. Г.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 Загальна теорія держави та права: 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п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ідручник. К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иїв: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 Кондор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.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 2005.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609 с. 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Загальна теорія держави і права: 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п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ідручник для студ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.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 юрид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.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 вищ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.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 навч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.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 закладів. М.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 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В.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 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Цвік, О.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 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В.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 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Петришин, Л.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 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В.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 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Авраменко та ін. За ред. М.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 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В.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 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Цвіка, О.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 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В.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 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Петришина. Харків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: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 Право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.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 2011. 584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 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с.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shd w:val="clear" w:color="auto" w:fill="F9F9F9"/>
          <w:lang w:eastAsia="ar-SA"/>
        </w:rPr>
        <w:t>Советское гражданское право: учебник для юрид. ин-тов и ф-тов: в 2 т. Отв. ред. О. С. Иоффе и др. Ленинград: Изд-во Ленинград. ун-та. 1971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. </w:t>
      </w:r>
      <w:r w:rsidRPr="009401AD">
        <w:rPr>
          <w:rFonts w:ascii="Times New Roman" w:eastAsia="Times New Roman" w:hAnsi="Times New Roman" w:cs="Times New Roman"/>
          <w:sz w:val="28"/>
          <w:szCs w:val="28"/>
          <w:shd w:val="clear" w:color="auto" w:fill="F9F9F9"/>
          <w:lang w:eastAsia="ar-SA"/>
        </w:rPr>
        <w:t xml:space="preserve">Т. 1. 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472 с.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hyperlink r:id="rId19" w:history="1">
        <w:r w:rsidRPr="009401AD">
          <w:rPr>
            <w:rFonts w:ascii="Times New Roman" w:eastAsia="Times New Roman" w:hAnsi="Times New Roman" w:cs="Times New Roman"/>
            <w:sz w:val="28"/>
            <w:szCs w:val="28"/>
            <w:lang w:eastAsia="ar-SA"/>
          </w:rPr>
          <w:t>Закони вавілонського царя Хаммурапі (повний текст) // Електронна бібліотека Історичного факультету МГУ імені М. Г. Ломоносова.</w:t>
        </w:r>
      </w:hyperlink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en-US" w:eastAsia="ar-SA"/>
        </w:rPr>
        <w:t>URL</w:t>
      </w:r>
      <w:r w:rsidRPr="009401AD">
        <w:rPr>
          <w:rFonts w:ascii="Times New Roman" w:eastAsia="Times New Roman" w:hAnsi="Times New Roman" w:cs="Times New Roman"/>
          <w:iCs/>
          <w:sz w:val="28"/>
          <w:szCs w:val="28"/>
          <w:lang w:eastAsia="ar-SA"/>
        </w:rPr>
        <w:t>: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 </w:t>
      </w:r>
      <w:hyperlink r:id="rId20" w:history="1">
        <w:r w:rsidRPr="009401AD">
          <w:rPr>
            <w:rFonts w:ascii="Times New Roman" w:eastAsia="Times New Roman" w:hAnsi="Times New Roman" w:cs="Times New Roman"/>
            <w:sz w:val="28"/>
            <w:szCs w:val="28"/>
            <w:lang w:eastAsia="ar-SA"/>
          </w:rPr>
          <w:t>http://www.hist.msu.ru/ER/Etext/hammurap.htm</w:t>
        </w:r>
      </w:hyperlink>
      <w:r w:rsidRPr="009401AD">
        <w:rPr>
          <w:rFonts w:ascii="Times New Roman" w:eastAsia="Times New Roman" w:hAnsi="Times New Roman" w:cs="Times New Roman"/>
          <w:sz w:val="28"/>
          <w:szCs w:val="24"/>
          <w:lang w:eastAsia="ar-SA"/>
        </w:rPr>
        <w:t xml:space="preserve"> (дата звернення: 16.08.2019)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bCs/>
          <w:sz w:val="28"/>
          <w:szCs w:val="28"/>
          <w:lang w:eastAsia="ar-SA"/>
        </w:rPr>
        <w:t>Хараджа Н. В</w:t>
      </w:r>
      <w:r w:rsidRPr="009401AD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eastAsia="ar-SA"/>
        </w:rPr>
        <w:t>.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Питання галузевої незалежності договору про сурогатне материнство. Науковий вісник Київського національного університету внутрішніх справ. 2010. № 2. С. 145–152. 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bCs/>
          <w:sz w:val="28"/>
          <w:szCs w:val="28"/>
          <w:lang w:eastAsia="ar-SA"/>
        </w:rPr>
        <w:lastRenderedPageBreak/>
        <w:t>Ватрас В. А.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Суб’єктний склад правовідносин щодо імплантації ембріона дитини жінці із генетичного матеріалу подружжя. Вісник Хмельницького інституту регіонального управління та права. 2002. № 4. С. 72–75.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bCs/>
          <w:sz w:val="28"/>
          <w:szCs w:val="28"/>
          <w:lang w:eastAsia="ar-SA"/>
        </w:rPr>
        <w:t>Венедіктова І. 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В. Правове регулювання послуг з сурогатного материнства за чинним законодавством України. Medix. Anti-Aging. Антиэйджинг. Антистаріння: журнал укр. лікарської еліти (ТОВ «Медікс»). Київ. 2010. № 3 (15). C. 62–63.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Пугач Д.О. Допоміжні репродуктивні технології: співвідношення приватноправових і публічно-правових засад. Науковий вісник Херсонського державного університету. Серія Юридичні науки. Вип. 2. Том 4. 2017. С. 161-165.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bCs/>
          <w:sz w:val="28"/>
          <w:szCs w:val="28"/>
          <w:lang w:val="ru-RU" w:eastAsia="ar-SA"/>
        </w:rPr>
        <w:t>Цивільне право</w:t>
      </w:r>
      <w:r w:rsidRPr="009401AD">
        <w:rPr>
          <w:rFonts w:ascii="Times New Roman" w:eastAsia="Times New Roman" w:hAnsi="Times New Roman" w:cs="Times New Roman"/>
          <w:bCs/>
          <w:sz w:val="28"/>
          <w:szCs w:val="28"/>
          <w:lang w:eastAsia="ar-SA"/>
        </w:rPr>
        <w:t xml:space="preserve"> </w:t>
      </w:r>
      <w:r w:rsidRPr="009401AD">
        <w:rPr>
          <w:rFonts w:ascii="Times New Roman" w:eastAsia="Times New Roman" w:hAnsi="Times New Roman" w:cs="Times New Roman"/>
          <w:bCs/>
          <w:sz w:val="28"/>
          <w:szCs w:val="28"/>
          <w:lang w:val="ru-RU" w:eastAsia="ar-SA"/>
        </w:rPr>
        <w:t>України.</w:t>
      </w:r>
      <w:r w:rsidRPr="009401AD">
        <w:rPr>
          <w:rFonts w:ascii="Times New Roman" w:eastAsia="Times New Roman" w:hAnsi="Times New Roman" w:cs="Times New Roman"/>
          <w:bCs/>
          <w:sz w:val="28"/>
          <w:szCs w:val="28"/>
          <w:lang w:eastAsia="ar-SA"/>
        </w:rPr>
        <w:t xml:space="preserve"> 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Загальна частина: підруч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ник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 для студ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.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 вищ. навч. закл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адів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. 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Ю. Л. 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Бошицький та ін. 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К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иїв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ський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 ун-т права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НАН України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. Київ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: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 Ліра-К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.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 2013. 759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 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с.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Мазур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 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О.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 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С. Цивільне право України: 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н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авч. пос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ібник.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 К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иїв: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 Центр навч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.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 літ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.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 2006. 384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 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с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.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Иоффе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en-US" w:eastAsia="ar-SA"/>
        </w:rPr>
        <w:t> 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О.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en-US" w:eastAsia="ar-SA"/>
        </w:rPr>
        <w:t> 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С. Обязательное право</w:t>
      </w:r>
      <w:r w:rsidRPr="009401AD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val="ru-RU" w:eastAsia="ar-SA"/>
        </w:rPr>
        <w:t>.</w:t>
      </w:r>
      <w:r w:rsidRPr="009401AD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eastAsia="ar-SA"/>
        </w:rPr>
        <w:t xml:space="preserve"> 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М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.: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 Юрид. лит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.</w:t>
      </w:r>
      <w:r w:rsidRPr="009401AD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eastAsia="ar-SA"/>
        </w:rPr>
        <w:t xml:space="preserve"> 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1975</w:t>
      </w:r>
      <w:r w:rsidRPr="009401AD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val="ru-RU" w:eastAsia="ar-SA"/>
        </w:rPr>
        <w:t xml:space="preserve">. 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880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 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с.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bCs/>
          <w:sz w:val="28"/>
          <w:szCs w:val="28"/>
          <w:lang w:val="ru-RU" w:eastAsia="ar-SA"/>
        </w:rPr>
        <w:t>Цивільне право</w:t>
      </w:r>
      <w:r w:rsidRPr="009401AD">
        <w:rPr>
          <w:rFonts w:ascii="Times New Roman" w:eastAsia="Times New Roman" w:hAnsi="Times New Roman" w:cs="Times New Roman"/>
          <w:bCs/>
          <w:sz w:val="28"/>
          <w:szCs w:val="28"/>
          <w:lang w:eastAsia="ar-SA"/>
        </w:rPr>
        <w:t xml:space="preserve"> </w:t>
      </w:r>
      <w:r w:rsidRPr="009401AD">
        <w:rPr>
          <w:rFonts w:ascii="Times New Roman" w:eastAsia="Times New Roman" w:hAnsi="Times New Roman" w:cs="Times New Roman"/>
          <w:bCs/>
          <w:sz w:val="28"/>
          <w:szCs w:val="28"/>
          <w:lang w:val="ru-RU" w:eastAsia="ar-SA"/>
        </w:rPr>
        <w:t>України.</w:t>
      </w:r>
      <w:r w:rsidRPr="009401AD">
        <w:rPr>
          <w:rFonts w:ascii="Times New Roman" w:eastAsia="Times New Roman" w:hAnsi="Times New Roman" w:cs="Times New Roman"/>
          <w:bCs/>
          <w:sz w:val="28"/>
          <w:szCs w:val="28"/>
          <w:lang w:eastAsia="ar-SA"/>
        </w:rPr>
        <w:t xml:space="preserve"> 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Загальна частина: підручник. За ред. О.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 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В.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 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Дзери та ін. Київ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ський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 нац. ун-т ім.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 Т. Шевченка. 3-є вид., перероб. і доп. Київ: Юрінком Інтер. 2010. 976 с.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bCs/>
          <w:sz w:val="28"/>
          <w:szCs w:val="28"/>
          <w:lang w:val="ru-RU" w:eastAsia="ar-SA"/>
        </w:rPr>
        <w:t>Митрякова</w:t>
      </w:r>
      <w:r w:rsidRPr="009401AD">
        <w:rPr>
          <w:rFonts w:ascii="Times New Roman" w:eastAsia="Times New Roman" w:hAnsi="Times New Roman" w:cs="Times New Roman"/>
          <w:bCs/>
          <w:sz w:val="28"/>
          <w:szCs w:val="28"/>
          <w:lang w:eastAsia="ar-SA"/>
        </w:rPr>
        <w:t> </w:t>
      </w:r>
      <w:r w:rsidRPr="009401AD">
        <w:rPr>
          <w:rFonts w:ascii="Times New Roman" w:eastAsia="Times New Roman" w:hAnsi="Times New Roman" w:cs="Times New Roman"/>
          <w:bCs/>
          <w:sz w:val="28"/>
          <w:szCs w:val="28"/>
          <w:lang w:val="ru-RU" w:eastAsia="ar-SA"/>
        </w:rPr>
        <w:t>Е</w:t>
      </w:r>
      <w:r w:rsidRPr="009401AD">
        <w:rPr>
          <w:rFonts w:ascii="Times New Roman" w:eastAsia="Times New Roman" w:hAnsi="Times New Roman" w:cs="Times New Roman"/>
          <w:bCs/>
          <w:sz w:val="28"/>
          <w:szCs w:val="28"/>
          <w:lang w:eastAsia="ar-SA"/>
        </w:rPr>
        <w:t>. </w:t>
      </w:r>
      <w:r w:rsidRPr="009401AD">
        <w:rPr>
          <w:rFonts w:ascii="Times New Roman" w:eastAsia="Times New Roman" w:hAnsi="Times New Roman" w:cs="Times New Roman"/>
          <w:bCs/>
          <w:sz w:val="28"/>
          <w:szCs w:val="28"/>
          <w:lang w:val="ru-RU" w:eastAsia="ar-SA"/>
        </w:rPr>
        <w:t>С</w:t>
      </w:r>
      <w:r w:rsidRPr="009401AD">
        <w:rPr>
          <w:rFonts w:ascii="Times New Roman" w:eastAsia="Times New Roman" w:hAnsi="Times New Roman" w:cs="Times New Roman"/>
          <w:bCs/>
          <w:sz w:val="28"/>
          <w:szCs w:val="28"/>
          <w:lang w:eastAsia="ar-SA"/>
        </w:rPr>
        <w:t>.</w:t>
      </w:r>
      <w:r w:rsidRPr="009401AD">
        <w:rPr>
          <w:rFonts w:ascii="Times New Roman" w:eastAsia="Times New Roman" w:hAnsi="Times New Roman" w:cs="Times New Roman"/>
          <w:bCs/>
          <w:sz w:val="28"/>
          <w:szCs w:val="28"/>
          <w:lang w:val="ru-RU" w:eastAsia="ar-SA"/>
        </w:rPr>
        <w:t xml:space="preserve"> Правовое регулирование суррогатного материнства в России: дис</w:t>
      </w:r>
      <w:r w:rsidRPr="009401AD">
        <w:rPr>
          <w:rFonts w:ascii="Times New Roman" w:eastAsia="Times New Roman" w:hAnsi="Times New Roman" w:cs="Times New Roman"/>
          <w:bCs/>
          <w:sz w:val="28"/>
          <w:szCs w:val="28"/>
          <w:lang w:eastAsia="ar-SA"/>
        </w:rPr>
        <w:t>. …</w:t>
      </w:r>
      <w:r w:rsidRPr="009401AD">
        <w:rPr>
          <w:rFonts w:ascii="Times New Roman" w:eastAsia="Times New Roman" w:hAnsi="Times New Roman" w:cs="Times New Roman"/>
          <w:bCs/>
          <w:sz w:val="28"/>
          <w:szCs w:val="28"/>
          <w:lang w:val="ru-RU" w:eastAsia="ar-SA"/>
        </w:rPr>
        <w:t xml:space="preserve"> канд</w:t>
      </w:r>
      <w:r w:rsidRPr="009401AD">
        <w:rPr>
          <w:rFonts w:ascii="Times New Roman" w:eastAsia="Times New Roman" w:hAnsi="Times New Roman" w:cs="Times New Roman"/>
          <w:bCs/>
          <w:sz w:val="28"/>
          <w:szCs w:val="28"/>
          <w:lang w:eastAsia="ar-SA"/>
        </w:rPr>
        <w:t>.</w:t>
      </w:r>
      <w:r w:rsidRPr="009401AD">
        <w:rPr>
          <w:rFonts w:ascii="Times New Roman" w:eastAsia="Times New Roman" w:hAnsi="Times New Roman" w:cs="Times New Roman"/>
          <w:bCs/>
          <w:sz w:val="28"/>
          <w:szCs w:val="28"/>
          <w:lang w:val="ru-RU" w:eastAsia="ar-SA"/>
        </w:rPr>
        <w:t xml:space="preserve"> юрид</w:t>
      </w:r>
      <w:r w:rsidRPr="009401AD">
        <w:rPr>
          <w:rFonts w:ascii="Times New Roman" w:eastAsia="Times New Roman" w:hAnsi="Times New Roman" w:cs="Times New Roman"/>
          <w:bCs/>
          <w:sz w:val="28"/>
          <w:szCs w:val="28"/>
          <w:lang w:eastAsia="ar-SA"/>
        </w:rPr>
        <w:t xml:space="preserve">. </w:t>
      </w:r>
      <w:r w:rsidRPr="009401AD">
        <w:rPr>
          <w:rFonts w:ascii="Times New Roman" w:eastAsia="Times New Roman" w:hAnsi="Times New Roman" w:cs="Times New Roman"/>
          <w:bCs/>
          <w:sz w:val="28"/>
          <w:szCs w:val="28"/>
          <w:lang w:val="ru-RU" w:eastAsia="ar-SA"/>
        </w:rPr>
        <w:t>наук</w:t>
      </w:r>
      <w:r w:rsidRPr="009401AD">
        <w:rPr>
          <w:rFonts w:ascii="Times New Roman" w:eastAsia="Times New Roman" w:hAnsi="Times New Roman" w:cs="Times New Roman"/>
          <w:bCs/>
          <w:sz w:val="28"/>
          <w:szCs w:val="28"/>
          <w:lang w:eastAsia="ar-SA"/>
        </w:rPr>
        <w:t xml:space="preserve">. </w:t>
      </w:r>
      <w:r w:rsidRPr="009401AD">
        <w:rPr>
          <w:rFonts w:ascii="Times New Roman" w:eastAsia="Times New Roman" w:hAnsi="Times New Roman" w:cs="Times New Roman"/>
          <w:bCs/>
          <w:sz w:val="28"/>
          <w:szCs w:val="28"/>
          <w:lang w:val="ru-RU" w:eastAsia="ar-SA"/>
        </w:rPr>
        <w:t>Тюмень</w:t>
      </w:r>
      <w:r w:rsidRPr="009401AD">
        <w:rPr>
          <w:rFonts w:ascii="Times New Roman" w:eastAsia="Times New Roman" w:hAnsi="Times New Roman" w:cs="Times New Roman"/>
          <w:bCs/>
          <w:sz w:val="28"/>
          <w:szCs w:val="28"/>
          <w:lang w:eastAsia="ar-SA"/>
        </w:rPr>
        <w:t>.</w:t>
      </w:r>
      <w:r w:rsidRPr="009401AD">
        <w:rPr>
          <w:rFonts w:ascii="Times New Roman" w:eastAsia="Times New Roman" w:hAnsi="Times New Roman" w:cs="Times New Roman"/>
          <w:bCs/>
          <w:sz w:val="28"/>
          <w:szCs w:val="28"/>
          <w:lang w:val="ru-RU" w:eastAsia="ar-SA"/>
        </w:rPr>
        <w:t xml:space="preserve"> 2006</w:t>
      </w:r>
      <w:r w:rsidRPr="009401AD">
        <w:rPr>
          <w:rFonts w:ascii="Times New Roman" w:eastAsia="Times New Roman" w:hAnsi="Times New Roman" w:cs="Times New Roman"/>
          <w:bCs/>
          <w:sz w:val="28"/>
          <w:szCs w:val="28"/>
          <w:lang w:eastAsia="ar-SA"/>
        </w:rPr>
        <w:t xml:space="preserve">. 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175 с.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bCs/>
          <w:sz w:val="28"/>
          <w:szCs w:val="28"/>
          <w:lang w:eastAsia="ar-SA"/>
        </w:rPr>
        <w:t>Майданик Р.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Договір про сурогатне материнство за українським правом: питання теорії та практики. Право України. 2012. № 9. С. 215–225.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bCs/>
          <w:sz w:val="28"/>
          <w:szCs w:val="28"/>
          <w:lang w:eastAsia="ar-SA"/>
        </w:rPr>
        <w:t xml:space="preserve">Таланов Ю. Ю. 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Актуальні проблеми сурогатного материнства в законодавстві України. Вісник Харківського національного університету внутрішніх справ. 2012. Вип. 1. С. 360–368. 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Про захист прав споживачів:</w:t>
      </w:r>
      <w:r w:rsidRPr="009401AD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shd w:val="clear" w:color="auto" w:fill="FFFFFF"/>
          <w:lang w:eastAsia="ar-SA"/>
        </w:rPr>
        <w:t xml:space="preserve"> 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Закон України від </w:t>
      </w:r>
      <w:r w:rsidRPr="009401AD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shd w:val="clear" w:color="auto" w:fill="FFFFFF"/>
          <w:lang w:eastAsia="ar-SA"/>
        </w:rPr>
        <w:t>12.05.1991 р. № 1023-</w:t>
      </w:r>
      <w:r w:rsidRPr="009401AD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shd w:val="clear" w:color="auto" w:fill="FFFFFF"/>
          <w:lang w:val="en-US" w:eastAsia="ar-SA"/>
        </w:rPr>
        <w:t>XII</w:t>
      </w:r>
      <w:r w:rsidRPr="009401AD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shd w:val="clear" w:color="auto" w:fill="FFFFFF"/>
          <w:lang w:eastAsia="ar-SA"/>
        </w:rPr>
        <w:t xml:space="preserve"> 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(із змінами та доповненнями). </w:t>
      </w:r>
      <w:r w:rsidRPr="009401AD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eastAsia="ar-SA"/>
        </w:rPr>
        <w:t>Відомості Верховної Ради УРСР. 1991. № 30. Ст. 379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.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bCs/>
          <w:sz w:val="28"/>
          <w:szCs w:val="28"/>
          <w:lang w:eastAsia="ar-SA"/>
        </w:rPr>
        <w:t>Пунда О. О.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Перспективи договірного регулювання у сфері застосування репродуктивних методів здійснення права на материнство та батьківство. Часопис Київського університету права. 2003. № 4. С. 54–58. 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hyperlink r:id="rId21" w:history="1">
        <w:r w:rsidRPr="009401AD">
          <w:rPr>
            <w:rFonts w:ascii="Times New Roman" w:eastAsia="Times New Roman" w:hAnsi="Times New Roman" w:cs="Times New Roman"/>
            <w:bCs/>
            <w:sz w:val="28"/>
            <w:szCs w:val="28"/>
            <w:lang w:eastAsia="ar-SA"/>
          </w:rPr>
          <w:t>Коренга Ю. В.</w:t>
        </w:r>
      </w:hyperlink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Договір сурогатного </w:t>
      </w:r>
      <w:r w:rsidRPr="009401AD">
        <w:rPr>
          <w:rFonts w:ascii="Times New Roman" w:eastAsia="Times New Roman" w:hAnsi="Times New Roman" w:cs="Times New Roman"/>
          <w:bCs/>
          <w:sz w:val="28"/>
          <w:szCs w:val="28"/>
          <w:lang w:eastAsia="ar-SA"/>
        </w:rPr>
        <w:t>материнств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а в сімейному праві України: автореф. дис. … канд. юрид. наук. Київ, 2014. 20 с.</w:t>
      </w:r>
      <w:r w:rsidRPr="009401AD">
        <w:rPr>
          <w:rFonts w:ascii="Times New Roman" w:eastAsia="Times New Roman" w:hAnsi="Times New Roman" w:cs="Times New Roman"/>
          <w:bCs/>
          <w:sz w:val="28"/>
          <w:szCs w:val="28"/>
          <w:lang w:eastAsia="ar-SA"/>
        </w:rPr>
        <w:t xml:space="preserve"> 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bCs/>
          <w:sz w:val="28"/>
          <w:szCs w:val="28"/>
          <w:lang w:eastAsia="ar-SA"/>
        </w:rPr>
        <w:t>Майданик Р. А.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Репродуктивні права. Сурогатне материнство. Київ: Алерта. 2013. 48 с. 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bCs/>
          <w:sz w:val="28"/>
          <w:szCs w:val="28"/>
          <w:lang w:eastAsia="ar-SA"/>
        </w:rPr>
        <w:t>Розгон О.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Сурогатне материнство: проблеми правового та договірного регулювання. Мала енциклопедія нотаріуса. 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2010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. 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№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 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3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 (51). 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en-US" w:eastAsia="ar-SA"/>
        </w:rPr>
        <w:t>URL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: http://yurradnik.com.ua/zhurnal-men/rubrikator/rubrika-zhurnalu-men/?term=54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 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(дата звернення: 17.08.2019)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4"/>
          <w:lang w:eastAsia="ar-SA"/>
        </w:rPr>
        <w:t xml:space="preserve">Словарь Терминов ВРТ. Пересмотренный ИКМАРТ и ВОЗ словарь терминов ВТР, 2009 г. (ИКМАРТ – ICMART – International Committee Monitoring Assisted Reproductive Technologies). статья в журнале. </w:t>
      </w:r>
      <w:r w:rsidRPr="009401AD">
        <w:rPr>
          <w:rFonts w:ascii="Times New Roman" w:eastAsia="Times New Roman" w:hAnsi="Times New Roman" w:cs="Times New Roman"/>
          <w:sz w:val="28"/>
          <w:szCs w:val="24"/>
          <w:lang w:val="en-US" w:eastAsia="ar-SA"/>
        </w:rPr>
        <w:t>Fertility</w:t>
      </w:r>
      <w:r w:rsidRPr="009401AD">
        <w:rPr>
          <w:rFonts w:ascii="Times New Roman" w:eastAsia="Times New Roman" w:hAnsi="Times New Roman" w:cs="Times New Roman"/>
          <w:sz w:val="28"/>
          <w:szCs w:val="24"/>
          <w:lang w:eastAsia="ar-SA"/>
        </w:rPr>
        <w:t xml:space="preserve"> </w:t>
      </w:r>
      <w:r w:rsidRPr="009401AD">
        <w:rPr>
          <w:rFonts w:ascii="Times New Roman" w:eastAsia="Times New Roman" w:hAnsi="Times New Roman" w:cs="Times New Roman"/>
          <w:sz w:val="28"/>
          <w:szCs w:val="24"/>
          <w:lang w:val="en-US" w:eastAsia="ar-SA"/>
        </w:rPr>
        <w:t>and</w:t>
      </w:r>
      <w:r w:rsidRPr="009401AD">
        <w:rPr>
          <w:rFonts w:ascii="Times New Roman" w:eastAsia="Times New Roman" w:hAnsi="Times New Roman" w:cs="Times New Roman"/>
          <w:sz w:val="28"/>
          <w:szCs w:val="24"/>
          <w:lang w:eastAsia="ar-SA"/>
        </w:rPr>
        <w:t xml:space="preserve"> </w:t>
      </w:r>
      <w:r w:rsidRPr="009401AD">
        <w:rPr>
          <w:rFonts w:ascii="Times New Roman" w:eastAsia="Times New Roman" w:hAnsi="Times New Roman" w:cs="Times New Roman"/>
          <w:sz w:val="28"/>
          <w:szCs w:val="24"/>
          <w:lang w:val="en-US" w:eastAsia="ar-SA"/>
        </w:rPr>
        <w:t>Sterility</w:t>
      </w:r>
      <w:r w:rsidRPr="009401AD">
        <w:rPr>
          <w:rFonts w:ascii="Times New Roman" w:eastAsia="Times New Roman" w:hAnsi="Times New Roman" w:cs="Times New Roman"/>
          <w:sz w:val="28"/>
          <w:szCs w:val="24"/>
          <w:lang w:eastAsia="ar-SA"/>
        </w:rPr>
        <w:t>. 2009. Вып. 92.№5.</w:t>
      </w:r>
      <w:r w:rsidRPr="009401AD">
        <w:rPr>
          <w:rFonts w:ascii="Times New Roman" w:eastAsia="Times New Roman" w:hAnsi="Times New Roman" w:cs="Times New Roman"/>
          <w:sz w:val="28"/>
          <w:szCs w:val="24"/>
          <w:lang w:val="en-US" w:eastAsia="ar-SA"/>
        </w:rPr>
        <w:t>URL</w:t>
      </w:r>
      <w:r w:rsidRPr="009401AD">
        <w:rPr>
          <w:rFonts w:ascii="Times New Roman" w:eastAsia="Times New Roman" w:hAnsi="Times New Roman" w:cs="Times New Roman"/>
          <w:sz w:val="28"/>
          <w:szCs w:val="24"/>
          <w:lang w:eastAsia="ar-SA"/>
        </w:rPr>
        <w:t>:</w:t>
      </w:r>
      <w:r w:rsidRPr="009401AD">
        <w:rPr>
          <w:rFonts w:ascii="Times New Roman" w:eastAsia="Times New Roman" w:hAnsi="Times New Roman" w:cs="Times New Roman"/>
          <w:sz w:val="28"/>
          <w:szCs w:val="24"/>
          <w:lang w:val="en-US" w:eastAsia="ar-SA"/>
        </w:rPr>
        <w:t>http</w:t>
      </w:r>
      <w:r w:rsidRPr="009401AD">
        <w:rPr>
          <w:rFonts w:ascii="Times New Roman" w:eastAsia="Times New Roman" w:hAnsi="Times New Roman" w:cs="Times New Roman"/>
          <w:sz w:val="28"/>
          <w:szCs w:val="24"/>
          <w:lang w:eastAsia="ar-SA"/>
        </w:rPr>
        <w:t>:</w:t>
      </w:r>
      <w:r w:rsidRPr="009401AD">
        <w:rPr>
          <w:rFonts w:ascii="Times New Roman" w:eastAsia="Times New Roman" w:hAnsi="Times New Roman" w:cs="Times New Roman"/>
          <w:sz w:val="28"/>
          <w:szCs w:val="24"/>
          <w:lang w:val="en-US" w:eastAsia="ar-SA"/>
        </w:rPr>
        <w:t>www.who.int/reproductivehealth/publications/snfertsisty/art_terminology2/ru/index.html</w:t>
      </w:r>
      <w:r w:rsidRPr="009401AD">
        <w:rPr>
          <w:rFonts w:ascii="Times New Roman" w:eastAsia="Times New Roman" w:hAnsi="Times New Roman" w:cs="Times New Roman"/>
          <w:sz w:val="28"/>
          <w:szCs w:val="24"/>
          <w:lang w:eastAsia="ar-SA"/>
        </w:rPr>
        <w:t xml:space="preserve"> 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(дата обращения: 17.08.2019)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bCs/>
          <w:sz w:val="28"/>
          <w:szCs w:val="28"/>
          <w:lang w:eastAsia="ar-SA"/>
        </w:rPr>
        <w:t>Айвар Л. К.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Правовая защита суррогатного материнства. Адвокат.  Москва. 2006. № 3. C. 13–18.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Об основах охраны здоровья граждан в Российской Федерации: Федеральный закон Российской Федерации от 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21.11.2011 г. № 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323-ФЗ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. 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en-US" w:eastAsia="ar-SA"/>
        </w:rPr>
        <w:t>URL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: </w:t>
      </w:r>
      <w:hyperlink r:id="rId22" w:history="1">
        <w:r w:rsidRPr="009401AD">
          <w:rPr>
            <w:rFonts w:ascii="Times New Roman" w:eastAsia="Times New Roman" w:hAnsi="Times New Roman" w:cs="Times New Roman"/>
            <w:sz w:val="28"/>
            <w:szCs w:val="28"/>
            <w:lang w:eastAsia="ar-SA"/>
          </w:rPr>
          <w:t>http://base.consultant.ru/cons/cgi/online.cgi?req=doc;base=LAW;n=131658</w:t>
        </w:r>
      </w:hyperlink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(дата обращения: 17.08.2019 г.)   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bCs/>
          <w:sz w:val="28"/>
          <w:szCs w:val="28"/>
          <w:lang w:eastAsia="ar-SA"/>
        </w:rPr>
        <w:t>Венедіктова І. 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В. Правове регулювання послуг з сурогатного материнства за чинним законодавством України. Medix. Anti-Aging. Антиэйджинг. Антистаріння: журнал укр. лікарської еліти (ТОВ «Медікс»). Київ. 2010. № 3 (15). C. 62–63.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Коренга Ю.В. Догов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і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р суррогатного материнства в с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і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мейному прав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і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 Укра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ї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ни: монограф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і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я. Луцьк: Вежа друк. 2015. 188 с.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Риженко І.М., Айвазян Л.С. Деякі аспекти правового регулювання договірних відносин сурогатного материнства. Науковий вісник Херсонського державного університету. Серія Юридичні науки. Вип. 1. 2013.С. 30-32.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Мотовилковер Е. Я. 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Теория регулятивного и охранительного права. Воронеж: Изд-во Воронежского университета. 1990. 136 с.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lastRenderedPageBreak/>
        <w:t>Боднар Т.В. Одностороння відмова від договору як спосіб захисту цивільних прав та інтересів. Міжнародна науково-практична конференція «Право та економіка : генезис, сучасний стан та перспективи розвитку». Одеса (30 травня 2008 року, ОНУ імені І.І. Мечникова). 2008. С. 38-42.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Канзафарова І.С. Теорія цивільно-правової відповідальності. Одеса: Астропринт. 2006. 262 с.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Григоренко О.В. Реалізація та захист прав фізичних осіб, що виникають при застосуванні допоміжних репродуктивних технологій. Дис. … канд. юрид. наук. Київ. 2016. 226 с.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Харитонов Є.О., Харитонова О.І., Старцев О.В. Цивільне право України : підручник. К.: Істина. 2013. 808 с.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Майцегорін О.І. Поняття та зміст захисту цивільних прав. Часопис Київського університету права. 2011. № 3. С. 143-147.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Советское гражданское право: учебник. Отв. ред. В.П. Грибанов, С.М. Корнеев. М.: Юрид. лит. 1979. Т.1. 552 с.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Николайчук Л.М. 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Способи захисту цивільних прав та інтересів. Проблеми здійснення та захисту суб’єктивних цивільних прав: зб. наук. пр. К.: Ред. журн. «Право України». 2013. 236 с.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Венедіктова І.В. Захист охоронюваних законом інтересів у цивільному праві. Дис. … докт. юрид. наук. Київ. 2013. 430 с.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Давиденко Д.Л. 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Медиация как примирительная процедура в коммерческих спорах: сущность, принципы, применимость. Хозяйство и право. М.: 2005. № 5. С. 105-111.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Науково-практичний коментар Цивільного кодексу України у 2 т. 5-те вид., перероб., і допов. За ред. О.В. Дзери. К.: Юрінком Інтер. 2013. Т. 1. 832 с.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Васильев С.В. Гражданский процесс: курс лекцій. Х.: Эспада. 2010. 688 с.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Клименко С.В., Ільченко Г.О. Захист цивільних прав та інтересів при здійсненні суб’єктивного права фізичними особами. Зовнішня торгівля: право та економіка. 2006. № 6. С. 119-124.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lastRenderedPageBreak/>
        <w:t xml:space="preserve">Рішення Тисменського районного суду Івано-Франківської області від 26.02.2015 р. Єдиний державний реєстр судових рішень. 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en-US" w:eastAsia="ar-SA"/>
        </w:rPr>
        <w:t>URL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: http://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 </w:t>
      </w:r>
      <w:hyperlink r:id="rId23" w:history="1">
        <w:r w:rsidRPr="009401AD">
          <w:rPr>
            <w:rFonts w:ascii="Times New Roman" w:eastAsia="Times New Roman" w:hAnsi="Times New Roman" w:cs="Times New Roman"/>
            <w:sz w:val="28"/>
            <w:szCs w:val="28"/>
            <w:lang w:val="en-US" w:eastAsia="ar-SA"/>
          </w:rPr>
          <w:t>www</w:t>
        </w:r>
        <w:r w:rsidRPr="009401AD">
          <w:rPr>
            <w:rFonts w:ascii="Times New Roman" w:eastAsia="Times New Roman" w:hAnsi="Times New Roman" w:cs="Times New Roman"/>
            <w:sz w:val="28"/>
            <w:szCs w:val="28"/>
            <w:lang w:val="ru-RU" w:eastAsia="ar-SA"/>
          </w:rPr>
          <w:t>.</w:t>
        </w:r>
        <w:r w:rsidRPr="009401AD">
          <w:rPr>
            <w:rFonts w:ascii="Times New Roman" w:eastAsia="Times New Roman" w:hAnsi="Times New Roman" w:cs="Times New Roman"/>
            <w:sz w:val="28"/>
            <w:szCs w:val="28"/>
            <w:lang w:val="en-US" w:eastAsia="ar-SA"/>
          </w:rPr>
          <w:t>reyestr</w:t>
        </w:r>
        <w:r w:rsidRPr="009401AD">
          <w:rPr>
            <w:rFonts w:ascii="Times New Roman" w:eastAsia="Times New Roman" w:hAnsi="Times New Roman" w:cs="Times New Roman"/>
            <w:sz w:val="28"/>
            <w:szCs w:val="28"/>
            <w:lang w:val="ru-RU" w:eastAsia="ar-SA"/>
          </w:rPr>
          <w:t>.</w:t>
        </w:r>
        <w:r w:rsidRPr="009401AD">
          <w:rPr>
            <w:rFonts w:ascii="Times New Roman" w:eastAsia="Times New Roman" w:hAnsi="Times New Roman" w:cs="Times New Roman"/>
            <w:sz w:val="28"/>
            <w:szCs w:val="28"/>
            <w:lang w:val="en-US" w:eastAsia="ar-SA"/>
          </w:rPr>
          <w:t>court</w:t>
        </w:r>
        <w:r w:rsidRPr="009401AD">
          <w:rPr>
            <w:rFonts w:ascii="Times New Roman" w:eastAsia="Times New Roman" w:hAnsi="Times New Roman" w:cs="Times New Roman"/>
            <w:sz w:val="28"/>
            <w:szCs w:val="28"/>
            <w:lang w:val="ru-RU" w:eastAsia="ar-SA"/>
          </w:rPr>
          <w:t>.</w:t>
        </w:r>
        <w:r w:rsidRPr="009401AD">
          <w:rPr>
            <w:rFonts w:ascii="Times New Roman" w:eastAsia="Times New Roman" w:hAnsi="Times New Roman" w:cs="Times New Roman"/>
            <w:sz w:val="28"/>
            <w:szCs w:val="28"/>
            <w:lang w:val="en-US" w:eastAsia="ar-SA"/>
          </w:rPr>
          <w:t>gov</w:t>
        </w:r>
        <w:r w:rsidRPr="009401AD">
          <w:rPr>
            <w:rFonts w:ascii="Times New Roman" w:eastAsia="Times New Roman" w:hAnsi="Times New Roman" w:cs="Times New Roman"/>
            <w:sz w:val="28"/>
            <w:szCs w:val="28"/>
            <w:lang w:val="ru-RU" w:eastAsia="ar-SA"/>
          </w:rPr>
          <w:t>.</w:t>
        </w:r>
        <w:r w:rsidRPr="009401AD">
          <w:rPr>
            <w:rFonts w:ascii="Times New Roman" w:eastAsia="Times New Roman" w:hAnsi="Times New Roman" w:cs="Times New Roman"/>
            <w:sz w:val="28"/>
            <w:szCs w:val="28"/>
            <w:lang w:val="en-US" w:eastAsia="ar-SA"/>
          </w:rPr>
          <w:t>ua</w:t>
        </w:r>
        <w:r w:rsidRPr="009401AD">
          <w:rPr>
            <w:rFonts w:ascii="Times New Roman" w:eastAsia="Times New Roman" w:hAnsi="Times New Roman" w:cs="Times New Roman"/>
            <w:sz w:val="28"/>
            <w:szCs w:val="28"/>
            <w:lang w:val="ru-RU" w:eastAsia="ar-SA"/>
          </w:rPr>
          <w:t>/</w:t>
        </w:r>
        <w:r w:rsidRPr="009401AD">
          <w:rPr>
            <w:rFonts w:ascii="Times New Roman" w:eastAsia="Times New Roman" w:hAnsi="Times New Roman" w:cs="Times New Roman"/>
            <w:sz w:val="28"/>
            <w:szCs w:val="28"/>
            <w:lang w:val="en-US" w:eastAsia="ar-SA"/>
          </w:rPr>
          <w:t>Review</w:t>
        </w:r>
        <w:r w:rsidRPr="009401AD">
          <w:rPr>
            <w:rFonts w:ascii="Times New Roman" w:eastAsia="Times New Roman" w:hAnsi="Times New Roman" w:cs="Times New Roman"/>
            <w:sz w:val="28"/>
            <w:szCs w:val="28"/>
            <w:lang w:val="ru-RU" w:eastAsia="ar-SA"/>
          </w:rPr>
          <w:t xml:space="preserve">/43213854 </w:t>
        </w:r>
        <w:r w:rsidRPr="009401AD">
          <w:rPr>
            <w:rFonts w:ascii="Times New Roman" w:eastAsia="Times New Roman" w:hAnsi="Times New Roman" w:cs="Times New Roman"/>
            <w:sz w:val="28"/>
            <w:szCs w:val="24"/>
            <w:lang w:val="ru-RU" w:eastAsia="ar-SA"/>
          </w:rPr>
          <w:t>(дата</w:t>
        </w:r>
      </w:hyperlink>
      <w:r w:rsidRPr="009401AD">
        <w:rPr>
          <w:rFonts w:ascii="Times New Roman" w:eastAsia="Times New Roman" w:hAnsi="Times New Roman" w:cs="Times New Roman"/>
          <w:sz w:val="28"/>
          <w:szCs w:val="24"/>
          <w:lang w:val="ru-RU" w:eastAsia="ar-SA"/>
        </w:rPr>
        <w:t xml:space="preserve"> звернення: 20.08.2019)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Ромащенко І.О. Зміна та припинення цивільного правовідношення як способи захисту цивільних прав. К.: Алерта. 2016. 242 с.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Цивільне право: підручник у 2 т. за ред..В.І. Борисової, І.В. Спасибо-Фатєєвої, В.Л. Яроцького. Х.: Право. 2011. Т.1. 656 с.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Онищенко О.С. Відшкодування моральної шкоди у деліктних зобов’язаннях. Дис. … канд. юрид. наук. Київ. 2017. 210 с.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Ківалова Т.С. Цивільно-правова недоговірна відповідальність як вид юридичної відповідальності. Про українське право. Правова відповідальність. Часопис кафедри теорії та історії держави і права  Київського національного університету імені Тараса Шевченка. К.: 2010. С. 207-216.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Черданцев А.Ф., Шутов А.И. Некоторые аспекты аксиологического подхода в уголовно-правовых исследованиях. Методология советского правоведения: межвуз. сб. науч. тр. Свердловск. 1978. № 7. С. 112-123.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Герасименко Н.Ф. Очерки становления современного российского законодательства в области охраны здоровья граждан. М.: Триумф. 2001. 71 с.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Рабинович П.М., Панкевич І.М. Здійснення прав людини: проблеми обмежування. Львів: Астрон. 2001. 108 с.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Цивільне право України : Загальна частина. За ред. проф. І.А. Бірюкова і Ю.О. Заіки. К.: Алерта. 2014. 510 с.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Про роботу органів досудового розслідування станом на 11.12.2014. Статистична інформація Генеральної прокуратури України. 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en-US" w:eastAsia="ar-SA"/>
        </w:rPr>
        <w:t>URL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: http://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 </w:t>
      </w:r>
      <w:hyperlink r:id="rId24" w:history="1">
        <w:r w:rsidRPr="009401AD">
          <w:rPr>
            <w:rFonts w:ascii="Times New Roman" w:eastAsia="Times New Roman" w:hAnsi="Times New Roman" w:cs="Times New Roman"/>
            <w:sz w:val="28"/>
            <w:szCs w:val="28"/>
            <w:lang w:val="en-US" w:eastAsia="ar-SA"/>
          </w:rPr>
          <w:t>www</w:t>
        </w:r>
        <w:r w:rsidRPr="009401AD">
          <w:rPr>
            <w:rFonts w:ascii="Times New Roman" w:eastAsia="Times New Roman" w:hAnsi="Times New Roman" w:cs="Times New Roman"/>
            <w:sz w:val="28"/>
            <w:szCs w:val="28"/>
            <w:lang w:val="ru-RU" w:eastAsia="ar-SA"/>
          </w:rPr>
          <w:t>.</w:t>
        </w:r>
        <w:r w:rsidRPr="009401AD">
          <w:rPr>
            <w:rFonts w:ascii="Times New Roman" w:eastAsia="Times New Roman" w:hAnsi="Times New Roman" w:cs="Times New Roman"/>
            <w:sz w:val="28"/>
            <w:szCs w:val="28"/>
            <w:lang w:val="en-US" w:eastAsia="ar-SA"/>
          </w:rPr>
          <w:t>gp</w:t>
        </w:r>
        <w:r w:rsidRPr="009401AD">
          <w:rPr>
            <w:rFonts w:ascii="Times New Roman" w:eastAsia="Times New Roman" w:hAnsi="Times New Roman" w:cs="Times New Roman"/>
            <w:sz w:val="28"/>
            <w:szCs w:val="28"/>
            <w:lang w:val="ru-RU" w:eastAsia="ar-SA"/>
          </w:rPr>
          <w:t>.</w:t>
        </w:r>
        <w:r w:rsidRPr="009401AD">
          <w:rPr>
            <w:rFonts w:ascii="Times New Roman" w:eastAsia="Times New Roman" w:hAnsi="Times New Roman" w:cs="Times New Roman"/>
            <w:sz w:val="28"/>
            <w:szCs w:val="28"/>
            <w:lang w:val="en-US" w:eastAsia="ar-SA"/>
          </w:rPr>
          <w:t>gov</w:t>
        </w:r>
        <w:r w:rsidRPr="009401AD">
          <w:rPr>
            <w:rFonts w:ascii="Times New Roman" w:eastAsia="Times New Roman" w:hAnsi="Times New Roman" w:cs="Times New Roman"/>
            <w:sz w:val="28"/>
            <w:szCs w:val="28"/>
            <w:lang w:val="ru-RU" w:eastAsia="ar-SA"/>
          </w:rPr>
          <w:t>.</w:t>
        </w:r>
        <w:r w:rsidRPr="009401AD">
          <w:rPr>
            <w:rFonts w:ascii="Times New Roman" w:eastAsia="Times New Roman" w:hAnsi="Times New Roman" w:cs="Times New Roman"/>
            <w:sz w:val="28"/>
            <w:szCs w:val="28"/>
            <w:lang w:val="en-US" w:eastAsia="ar-SA"/>
          </w:rPr>
          <w:t>ua</w:t>
        </w:r>
      </w:hyperlink>
      <w:r w:rsidRPr="009401AD">
        <w:rPr>
          <w:rFonts w:ascii="Times New Roman" w:eastAsia="Times New Roman" w:hAnsi="Times New Roman" w:cs="Times New Roman"/>
          <w:sz w:val="28"/>
          <w:szCs w:val="24"/>
          <w:lang w:val="ru-RU" w:eastAsia="ar-SA"/>
        </w:rPr>
        <w:t xml:space="preserve"> (дата звернення: 26.08.2019)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Оверко Г.Я. Відшкодування моральної шкоди, заподіяної при наданні медичних послуг в Україні: монографія. К.: 2012. 248 с.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Цивільний процесуальний кодекс України: Закон України від 18.03.2004 № 1618-І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en-US" w:eastAsia="ar-SA"/>
        </w:rPr>
        <w:t>V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. 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en-US" w:eastAsia="ar-SA"/>
        </w:rPr>
        <w:t>URL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: </w:t>
      </w:r>
      <w:hyperlink r:id="rId25" w:history="1">
        <w:r w:rsidRPr="009401AD">
          <w:rPr>
            <w:rFonts w:ascii="Times New Roman" w:eastAsia="Times New Roman" w:hAnsi="Times New Roman" w:cs="Times New Roman"/>
            <w:sz w:val="28"/>
            <w:szCs w:val="28"/>
            <w:lang w:eastAsia="ar-SA"/>
          </w:rPr>
          <w:t>http://zakon5.rada.gov.ua/laws/show/435-15</w:t>
        </w:r>
      </w:hyperlink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(дата звернення: 28.08.2019)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lastRenderedPageBreak/>
        <w:t xml:space="preserve">Мальцева Т.В. Проблема 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визначення розмірів компенсації моральної шкоди, завданої внаслідок порушення особистих немайнових прав фізичної особи. Вісник НУВС. 2004. № 27. С. 118-126.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Малеина М. Компенсация за неимущественный вред. Вестник Верховного Суда СССР. 1991. № 5. С. 27-29.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Лов’як О.О. Нормативно-правове забезпечення відшкодування шкоди, завданої органами внутрішніх справ: монографія. К.: 2011. 228 с.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Рішення 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Шевченківськ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ого 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районн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ого 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суд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у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 м.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 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Києва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від 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25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 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липня 2013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 р., судова справа 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№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 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2610/22368/2012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. 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en-US" w:eastAsia="ar-SA"/>
        </w:rPr>
        <w:t>URL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: </w:t>
      </w:r>
      <w:hyperlink w:history="1">
        <w:r w:rsidRPr="009401AD">
          <w:rPr>
            <w:rFonts w:ascii="Times New Roman" w:eastAsia="Times New Roman" w:hAnsi="Times New Roman" w:cs="Times New Roman"/>
            <w:sz w:val="28"/>
            <w:szCs w:val="28"/>
            <w:lang w:val="en-US" w:eastAsia="ar-SA"/>
          </w:rPr>
          <w:t>http</w:t>
        </w:r>
        <w:r w:rsidRPr="009401AD">
          <w:rPr>
            <w:rFonts w:ascii="Times New Roman" w:eastAsia="Times New Roman" w:hAnsi="Times New Roman" w:cs="Times New Roman"/>
            <w:sz w:val="28"/>
            <w:szCs w:val="28"/>
            <w:lang w:eastAsia="ar-SA"/>
          </w:rPr>
          <w:t>://</w:t>
        </w:r>
        <w:r w:rsidRPr="009401AD">
          <w:rPr>
            <w:rFonts w:ascii="Times New Roman" w:eastAsia="Times New Roman" w:hAnsi="Times New Roman" w:cs="Times New Roman"/>
            <w:sz w:val="28"/>
            <w:szCs w:val="28"/>
            <w:lang w:val="en-US" w:eastAsia="ar-SA"/>
          </w:rPr>
          <w:t>www</w:t>
        </w:r>
        <w:r w:rsidRPr="009401AD">
          <w:rPr>
            <w:rFonts w:ascii="Times New Roman" w:eastAsia="Times New Roman" w:hAnsi="Times New Roman" w:cs="Times New Roman"/>
            <w:sz w:val="28"/>
            <w:szCs w:val="28"/>
            <w:lang w:eastAsia="ar-SA"/>
          </w:rPr>
          <w:t>.</w:t>
        </w:r>
        <w:r w:rsidRPr="009401AD">
          <w:rPr>
            <w:rFonts w:ascii="Times New Roman" w:eastAsia="Times New Roman" w:hAnsi="Times New Roman" w:cs="Times New Roman"/>
            <w:sz w:val="28"/>
            <w:szCs w:val="28"/>
            <w:lang w:val="en-US" w:eastAsia="ar-SA"/>
          </w:rPr>
          <w:t>reyestr</w:t>
        </w:r>
        <w:r w:rsidRPr="009401AD">
          <w:rPr>
            <w:rFonts w:ascii="Times New Roman" w:eastAsia="Times New Roman" w:hAnsi="Times New Roman" w:cs="Times New Roman"/>
            <w:sz w:val="28"/>
            <w:szCs w:val="28"/>
            <w:lang w:eastAsia="ar-SA"/>
          </w:rPr>
          <w:t>.</w:t>
        </w:r>
        <w:r w:rsidRPr="009401AD">
          <w:rPr>
            <w:rFonts w:ascii="Times New Roman" w:eastAsia="Times New Roman" w:hAnsi="Times New Roman" w:cs="Times New Roman"/>
            <w:sz w:val="28"/>
            <w:szCs w:val="28"/>
            <w:lang w:val="en-US" w:eastAsia="ar-SA"/>
          </w:rPr>
          <w:t>court</w:t>
        </w:r>
        <w:r w:rsidRPr="009401AD">
          <w:rPr>
            <w:rFonts w:ascii="Times New Roman" w:eastAsia="Times New Roman" w:hAnsi="Times New Roman" w:cs="Times New Roman"/>
            <w:sz w:val="28"/>
            <w:szCs w:val="28"/>
            <w:lang w:eastAsia="ar-SA"/>
          </w:rPr>
          <w:t>.</w:t>
        </w:r>
        <w:r w:rsidRPr="009401AD">
          <w:rPr>
            <w:rFonts w:ascii="Times New Roman" w:eastAsia="Times New Roman" w:hAnsi="Times New Roman" w:cs="Times New Roman"/>
            <w:sz w:val="28"/>
            <w:szCs w:val="28"/>
            <w:lang w:val="en-US" w:eastAsia="ar-SA"/>
          </w:rPr>
          <w:t>gov</w:t>
        </w:r>
        <w:r w:rsidRPr="009401AD">
          <w:rPr>
            <w:rFonts w:ascii="Times New Roman" w:eastAsia="Times New Roman" w:hAnsi="Times New Roman" w:cs="Times New Roman"/>
            <w:sz w:val="28"/>
            <w:szCs w:val="28"/>
            <w:lang w:eastAsia="ar-SA"/>
          </w:rPr>
          <w:t>.</w:t>
        </w:r>
        <w:r w:rsidRPr="009401AD">
          <w:rPr>
            <w:rFonts w:ascii="Times New Roman" w:eastAsia="Times New Roman" w:hAnsi="Times New Roman" w:cs="Times New Roman"/>
            <w:sz w:val="28"/>
            <w:szCs w:val="28"/>
            <w:lang w:val="en-US" w:eastAsia="ar-SA"/>
          </w:rPr>
          <w:t>ua</w:t>
        </w:r>
        <w:r w:rsidRPr="009401AD">
          <w:rPr>
            <w:rFonts w:ascii="Times New Roman" w:eastAsia="Times New Roman" w:hAnsi="Times New Roman" w:cs="Times New Roman"/>
            <w:sz w:val="28"/>
            <w:szCs w:val="28"/>
            <w:lang w:eastAsia="ar-SA"/>
          </w:rPr>
          <w:t xml:space="preserve"> /</w:t>
        </w:r>
        <w:r w:rsidRPr="009401AD">
          <w:rPr>
            <w:rFonts w:ascii="Times New Roman" w:eastAsia="Times New Roman" w:hAnsi="Times New Roman" w:cs="Times New Roman"/>
            <w:sz w:val="28"/>
            <w:szCs w:val="28"/>
            <w:lang w:val="en-US" w:eastAsia="ar-SA"/>
          </w:rPr>
          <w:t>Review</w:t>
        </w:r>
        <w:r w:rsidRPr="009401AD">
          <w:rPr>
            <w:rFonts w:ascii="Times New Roman" w:eastAsia="Times New Roman" w:hAnsi="Times New Roman" w:cs="Times New Roman"/>
            <w:sz w:val="28"/>
            <w:szCs w:val="28"/>
            <w:lang w:eastAsia="ar-SA"/>
          </w:rPr>
          <w:t>/32701643</w:t>
        </w:r>
      </w:hyperlink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(дата звернення: 05.09.2019)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Ухвала Апеляційного суду міста Києва від 22 січня 2014 р., судова справа 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№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 22-ц/796/331/2014. 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en-US" w:eastAsia="ar-SA"/>
        </w:rPr>
        <w:t>URL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: </w:t>
      </w:r>
      <w:r w:rsidRPr="009401AD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http://www.reyestr.court.gov.ua/Review/37344992</w:t>
      </w: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(дата звернення: 05.09.2019)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Горбась Д.В. Сутність та способи здійснення суб’єктивних цивільних прав. Цивільне право України. Загальна частина. За ред. І.А. Бірюкова і Ю.О. Заіки. К.: Алерта.  2014. С. 201-209.</w:t>
      </w:r>
    </w:p>
    <w:p w:rsidR="009401AD" w:rsidRPr="009401AD" w:rsidRDefault="009401AD" w:rsidP="009401AD">
      <w:pPr>
        <w:numPr>
          <w:ilvl w:val="0"/>
          <w:numId w:val="1"/>
        </w:numPr>
        <w:suppressAutoHyphens/>
        <w:spacing w:after="200" w:line="360" w:lineRule="auto"/>
        <w:ind w:left="-284" w:hanging="78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9401AD">
        <w:rPr>
          <w:rFonts w:ascii="Times New Roman" w:eastAsia="Times New Roman" w:hAnsi="Times New Roman" w:cs="Times New Roman"/>
          <w:sz w:val="28"/>
          <w:szCs w:val="28"/>
          <w:lang w:eastAsia="ar-SA"/>
        </w:rPr>
        <w:t>Примак В.Д. Функції відшкодування моральної шкоди як заходу цивільно-правової відповідальності. Юридична Україна. 2010. № 9. С. 71-79.</w:t>
      </w:r>
    </w:p>
    <w:p w:rsidR="009401AD" w:rsidRDefault="009401AD"/>
    <w:sectPr w:rsidR="009401A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2916658"/>
      <w:docPartObj>
        <w:docPartGallery w:val="Page Numbers (Bottom of Page)"/>
        <w:docPartUnique/>
      </w:docPartObj>
    </w:sdtPr>
    <w:sdtEndPr/>
    <w:sdtContent>
      <w:p w:rsidR="00410819" w:rsidRPr="00F96FF1" w:rsidRDefault="009401AD">
        <w:pPr>
          <w:pStyle w:val="a3"/>
          <w:jc w:val="right"/>
        </w:pPr>
        <w:r w:rsidRPr="00F96FF1">
          <w:rPr>
            <w:sz w:val="24"/>
          </w:rPr>
          <w:fldChar w:fldCharType="begin"/>
        </w:r>
        <w:r w:rsidRPr="00F96FF1">
          <w:rPr>
            <w:sz w:val="24"/>
          </w:rPr>
          <w:instrText xml:space="preserve"> PAGE   \* MERGEFORMAT </w:instrText>
        </w:r>
        <w:r w:rsidRPr="00F96FF1">
          <w:rPr>
            <w:sz w:val="24"/>
          </w:rPr>
          <w:fldChar w:fldCharType="separate"/>
        </w:r>
        <w:r>
          <w:rPr>
            <w:noProof/>
            <w:sz w:val="24"/>
          </w:rPr>
          <w:t>13</w:t>
        </w:r>
        <w:r w:rsidRPr="00F96FF1">
          <w:rPr>
            <w:sz w:val="24"/>
          </w:rPr>
          <w:fldChar w:fldCharType="end"/>
        </w:r>
      </w:p>
    </w:sdtContent>
  </w:sdt>
  <w:p w:rsidR="00410819" w:rsidRDefault="009401AD">
    <w:pPr>
      <w:pStyle w:val="a3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E1D72DE"/>
    <w:multiLevelType w:val="hybridMultilevel"/>
    <w:tmpl w:val="FC6C68C2"/>
    <w:lvl w:ilvl="0" w:tplc="B33CA09C">
      <w:start w:val="1"/>
      <w:numFmt w:val="decimal"/>
      <w:lvlText w:val="%1."/>
      <w:lvlJc w:val="left"/>
      <w:pPr>
        <w:ind w:left="1080" w:hanging="360"/>
      </w:pPr>
      <w:rPr>
        <w:rFonts w:ascii="Times New Roman" w:hAnsi="Times New Roman" w:cs="Times New Roman"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30B8"/>
    <w:rsid w:val="002630B8"/>
    <w:rsid w:val="009401AD"/>
    <w:rsid w:val="00CB02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8DCD23E-1D00-4040-8BC3-12E902A424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semiHidden/>
    <w:unhideWhenUsed/>
    <w:rsid w:val="009401AD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4">
    <w:name w:val="Нижний колонтитул Знак"/>
    <w:basedOn w:val="a0"/>
    <w:link w:val="a3"/>
    <w:uiPriority w:val="99"/>
    <w:semiHidden/>
    <w:rsid w:val="009401A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express.co.uk" TargetMode="External"/><Relationship Id="rId13" Type="http://schemas.openxmlformats.org/officeDocument/2006/relationships/hyperlink" Target="http://assembly.coe.int/nw/xml/XRef/Xref-DocDetails" TargetMode="External"/><Relationship Id="rId18" Type="http://schemas.openxmlformats.org/officeDocument/2006/relationships/hyperlink" Target="http://law.justia.com/codes/california/2015/code-fam/" TargetMode="External"/><Relationship Id="rId26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hyperlink" Target="http://irbis-nbuv.gov.ua/cgi-bin/irbis64r_81/cgiirbis_64.exe?Z21ID=&amp;I21DBN=EC&amp;P21DBN=EC&amp;S21STN=1&amp;S21REF=10&amp;S21FMT=fullw&amp;C21COM=S&amp;S21CNR=20&amp;S21P01=3&amp;S21P02=0&amp;S21P03=A=&amp;S21COLORTERMS=0&amp;S21STR=%D0%9A%D0%BE%D1%80%D0%B5%D0%BD%D0%B3%D0%B0%2C%20%D0%AE%D0%BB%D1%96%D1%8F%20%D0%92%D0%BE%D0%BB%D0%BE%D0%B4%D0%B8%D0%BC%D0%B8%D1%80%D1%96%D0%B2%D0%BD%D0%B0" TargetMode="External"/><Relationship Id="rId7" Type="http://schemas.openxmlformats.org/officeDocument/2006/relationships/hyperlink" Target="file:///C:\Documents%20and%20Settings\Admin\Local%20Settings\Temp\WPDNSE\Download\DB" TargetMode="External"/><Relationship Id="rId12" Type="http://schemas.openxmlformats.org/officeDocument/2006/relationships/hyperlink" Target="http://www.assembly.coe.int/nw/xml/XRef/Xref-DocDetails" TargetMode="External"/><Relationship Id="rId17" Type="http://schemas.openxmlformats.org/officeDocument/2006/relationships/hyperlink" Target="http://zakon5.rada.gov.ua/laws/show/v018p710-04" TargetMode="External"/><Relationship Id="rId25" Type="http://schemas.openxmlformats.org/officeDocument/2006/relationships/hyperlink" Target="http://zakon5.rada.gov.ua/laws/show/435-15" TargetMode="External"/><Relationship Id="rId2" Type="http://schemas.openxmlformats.org/officeDocument/2006/relationships/styles" Target="styles.xml"/><Relationship Id="rId16" Type="http://schemas.openxmlformats.org/officeDocument/2006/relationships/hyperlink" Target="http://zakon3.rada.gov.ua/laws/show/1849-2006-%D0%BF" TargetMode="External"/><Relationship Id="rId20" Type="http://schemas.openxmlformats.org/officeDocument/2006/relationships/hyperlink" Target="http://www.hist.msu.ru/ER/Etext/hammurap.htm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www.demoscope.ru/weekly/knigi/zakon/zakon082.html" TargetMode="External"/><Relationship Id="rId11" Type="http://schemas.openxmlformats.org/officeDocument/2006/relationships/hyperlink" Target="http://zakon3.rada.gov.ua/laws/card/994_070" TargetMode="External"/><Relationship Id="rId24" Type="http://schemas.openxmlformats.org/officeDocument/2006/relationships/hyperlink" Target="http://www.gp.gov.ua" TargetMode="External"/><Relationship Id="rId5" Type="http://schemas.openxmlformats.org/officeDocument/2006/relationships/footer" Target="footer1.xml"/><Relationship Id="rId15" Type="http://schemas.openxmlformats.org/officeDocument/2006/relationships/hyperlink" Target="http://zakon0.rada.gov.ua/laws/show/203/2001" TargetMode="External"/><Relationship Id="rId23" Type="http://schemas.openxmlformats.org/officeDocument/2006/relationships/hyperlink" Target="http://www.reyestr.court.gov.ua/Review/43213854(&#1076;&#1072;&#1090;&#1072;" TargetMode="External"/><Relationship Id="rId10" Type="http://schemas.openxmlformats.org/officeDocument/2006/relationships/hyperlink" Target="http://zakon5.rada.gov.ua/laws/show/z1697-13" TargetMode="External"/><Relationship Id="rId19" Type="http://schemas.openxmlformats.org/officeDocument/2006/relationships/hyperlink" Target="http://www.hist.msu.ru/ER/Etext/hammurap.htm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zakon.rada.gov.ua/laws/card/2801-12" TargetMode="External"/><Relationship Id="rId14" Type="http://schemas.openxmlformats.org/officeDocument/2006/relationships/hyperlink" Target="http://assembly.coe.int/nw/xml/XRef/Xref" TargetMode="External"/><Relationship Id="rId22" Type="http://schemas.openxmlformats.org/officeDocument/2006/relationships/hyperlink" Target="http://base.consultant.ru/cons/cgi/online.cgi?req=doc;base=LAW;n=131658" TargetMode="Externa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23</Pages>
  <Words>25013</Words>
  <Characters>14258</Characters>
  <Application>Microsoft Office Word</Application>
  <DocSecurity>0</DocSecurity>
  <Lines>118</Lines>
  <Paragraphs>78</Paragraphs>
  <ScaleCrop>false</ScaleCrop>
  <Company/>
  <LinksUpToDate>false</LinksUpToDate>
  <CharactersWithSpaces>39193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2021-02-22T12:30:00Z</dcterms:created>
  <dcterms:modified xsi:type="dcterms:W3CDTF">2021-02-22T12:34:00Z</dcterms:modified>
</cp:coreProperties>
</file>