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Факультет міжнародних відносин, політології та соціології</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Кафедра політології</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Кваліфікаційна робота</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здобуття ступеня вищої освіти «бакалавр»</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ЄВРОПЕЙСЬКИЙ ЗАХИСТ УКРАЇНЦІВ У ПЕРІОД ВІЙНИ:</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ДОСВІД ПОЛЬЩІ ТА НІМЕЧЧИНИ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European protection of Ukrainians during the war: </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the experience of Poland and Germany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Виконав: здобувачка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денної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форми навчання</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80" w:right="0" w:firstLine="806.0000000000002"/>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спеціальності 052 «Політологія»</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Освітня програма </w:t>
      </w:r>
      <w:r w:rsidDel="00000000" w:rsidR="00000000" w:rsidRPr="00000000">
        <w:rPr>
          <w:rFonts w:ascii="Arial" w:cs="Arial" w:eastAsia="Arial" w:hAnsi="Arial"/>
          <w:color w:val="202122"/>
          <w:sz w:val="21"/>
          <w:szCs w:val="21"/>
          <w:highlight w:val="whit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Політологія</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Бойко Юлія Вадимівна</w:t>
      </w:r>
    </w:p>
    <w:p w:rsidR="00000000" w:rsidDel="00000000" w:rsidP="00000000" w:rsidRDefault="00000000" w:rsidRPr="00000000" w14:paraId="00000018">
      <w:pPr>
        <w:tabs>
          <w:tab w:val="left" w:leader="none" w:pos="5245"/>
        </w:tabs>
        <w:spacing w:before="120" w:lineRule="auto"/>
        <w:ind w:left="2552" w:firstLine="0"/>
        <w:rPr>
          <w:sz w:val="28"/>
          <w:szCs w:val="28"/>
        </w:rPr>
      </w:pPr>
      <w:r w:rsidDel="00000000" w:rsidR="00000000" w:rsidRPr="00000000">
        <w:rPr>
          <w:rtl w:val="0"/>
        </w:rPr>
      </w:r>
    </w:p>
    <w:p w:rsidR="00000000" w:rsidDel="00000000" w:rsidP="00000000" w:rsidRDefault="00000000" w:rsidRPr="00000000" w14:paraId="00000019">
      <w:pPr>
        <w:tabs>
          <w:tab w:val="left" w:leader="none" w:pos="5245"/>
        </w:tabs>
        <w:spacing w:before="120" w:lineRule="auto"/>
        <w:ind w:left="2552" w:firstLine="0"/>
        <w:rPr>
          <w:sz w:val="28"/>
          <w:szCs w:val="28"/>
          <w:u w:val="single"/>
        </w:rPr>
      </w:pPr>
      <w:r w:rsidDel="00000000" w:rsidR="00000000" w:rsidRPr="00000000">
        <w:rPr>
          <w:sz w:val="28"/>
          <w:szCs w:val="28"/>
          <w:rtl w:val="0"/>
        </w:rPr>
        <w:t xml:space="preserve">Керівник: к. політ. н., доцент Милосердна І. М.  _______</w:t>
      </w:r>
      <w:r w:rsidDel="00000000" w:rsidR="00000000" w:rsidRPr="00000000">
        <w:rPr>
          <w:rtl w:val="0"/>
        </w:rPr>
      </w:r>
    </w:p>
    <w:p w:rsidR="00000000" w:rsidDel="00000000" w:rsidP="00000000" w:rsidRDefault="00000000" w:rsidRPr="00000000" w14:paraId="0000001A">
      <w:pPr>
        <w:tabs>
          <w:tab w:val="left" w:leader="none" w:pos="5245"/>
        </w:tabs>
        <w:spacing w:before="120" w:lineRule="auto"/>
        <w:ind w:left="2552" w:firstLine="0"/>
        <w:rPr>
          <w:sz w:val="28"/>
          <w:szCs w:val="28"/>
          <w:u w:val="single"/>
        </w:rPr>
      </w:pPr>
      <w:r w:rsidDel="00000000" w:rsidR="00000000" w:rsidRPr="00000000">
        <w:rPr>
          <w:sz w:val="28"/>
          <w:szCs w:val="28"/>
          <w:rtl w:val="0"/>
        </w:rPr>
        <w:t xml:space="preserve">Рецензент: к. іст. н., доцент Шевчук М. А.</w:t>
        <w:tab/>
        <w:t xml:space="preserve">      _______</w:t>
      </w: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1"/>
          <w:tblHeader w:val="1"/>
        </w:trPr>
        <w:tc>
          <w:tcPr/>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Рекомендовано до захисту:</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засідання кафедри</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  від ____.____. 20___ р. </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Завідувачка кафедри</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68"/>
                <w:tab w:val="left" w:leader="none" w:pos="3861"/>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Світлана КОЧ</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 w:val="left" w:leader="none" w:pos="1767"/>
              </w:tabs>
              <w:spacing w:after="0" w:before="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Захищено на засіданні ЕК № _____</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 __від ____.____.20___ р.</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Оцінка______________/___</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(за національною шкалою/шкалою ЕСТS/ бали)</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ЕК</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Світлана КОЧ</w:t>
            </w: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54"/>
                <w:tab w:val="left" w:leader="none" w:pos="2155"/>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1"/>
          <w:tblHeader w:val="1"/>
        </w:trPr>
        <w:tc>
          <w:tcPr/>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Одеса 2025</w:t>
      </w:r>
    </w:p>
    <w:p w:rsidR="00000000" w:rsidDel="00000000" w:rsidP="00000000" w:rsidRDefault="00000000" w:rsidRPr="00000000" w14:paraId="00000030">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System Font" w:cs="System Font" w:eastAsia="System Font" w:hAnsi="System Font"/>
          <w:b w:val="1"/>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1"/>
          <w:i w:val="0"/>
          <w:smallCaps w:val="0"/>
          <w:strike w:val="0"/>
          <w:color w:val="000000"/>
          <w:sz w:val="28"/>
          <w:szCs w:val="28"/>
          <w:u w:val="none"/>
          <w:shd w:fill="auto" w:val="clear"/>
          <w:vertAlign w:val="baseline"/>
          <w:rtl w:val="0"/>
        </w:rPr>
        <w:t xml:space="preserve">ЗМІСТ</w:t>
      </w: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1"/>
          <w:i w:val="0"/>
          <w:smallCaps w:val="0"/>
          <w:strike w:val="0"/>
          <w:color w:val="000000"/>
          <w:sz w:val="28"/>
          <w:szCs w:val="28"/>
          <w:u w:val="none"/>
          <w:shd w:fill="auto" w:val="clear"/>
          <w:vertAlign w:val="baseline"/>
        </w:rPr>
      </w:pPr>
      <w:r w:rsidDel="00000000" w:rsidR="00000000" w:rsidRPr="00000000">
        <w:rPr>
          <w:rFonts w:ascii="System Font" w:cs="System Font" w:eastAsia="System Font" w:hAnsi="System Font"/>
          <w:b w:val="1"/>
          <w:i w:val="0"/>
          <w:smallCaps w:val="0"/>
          <w:strike w:val="0"/>
          <w:color w:val="000000"/>
          <w:sz w:val="28"/>
          <w:szCs w:val="28"/>
          <w:u w:val="none"/>
          <w:shd w:fill="auto" w:val="clear"/>
          <w:vertAlign w:val="baseline"/>
          <w:rtl w:val="0"/>
        </w:rPr>
        <w:t xml:space="preserve">ВСТУП…………………………………………………………………………….3</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1"/>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1"/>
          <w:i w:val="0"/>
          <w:smallCaps w:val="0"/>
          <w:strike w:val="0"/>
          <w:color w:val="000000"/>
          <w:sz w:val="28"/>
          <w:szCs w:val="28"/>
          <w:u w:val="none"/>
          <w:shd w:fill="auto" w:val="clear"/>
          <w:vertAlign w:val="baseline"/>
          <w:rtl w:val="0"/>
        </w:rPr>
        <w:t xml:space="preserve">РОЗДІЛ І ТЕОРЕТИЧНІ ЗАСАДИ ДОСЛІДЖЕННЯ ЗАХИСТУ ГРОМАДЯН У ПЕРІОД ВІЙНИ……………………………………………….6</w:t>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0"/>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0"/>
          <w:i w:val="0"/>
          <w:smallCaps w:val="0"/>
          <w:strike w:val="0"/>
          <w:color w:val="000000"/>
          <w:sz w:val="28"/>
          <w:szCs w:val="28"/>
          <w:u w:val="none"/>
          <w:shd w:fill="auto" w:val="clear"/>
          <w:vertAlign w:val="baseline"/>
          <w:rtl w:val="0"/>
        </w:rPr>
        <w:t xml:space="preserve">1.1. Захист прав громадян в умовах війни як об’єкт політолочного дослідження………………………………………………………………………..6</w:t>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0"/>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0"/>
          <w:i w:val="0"/>
          <w:smallCaps w:val="0"/>
          <w:strike w:val="0"/>
          <w:color w:val="000000"/>
          <w:sz w:val="28"/>
          <w:szCs w:val="28"/>
          <w:u w:val="none"/>
          <w:shd w:fill="auto" w:val="clear"/>
          <w:vertAlign w:val="baseline"/>
          <w:rtl w:val="0"/>
        </w:rPr>
        <w:t xml:space="preserve">1.2. Захист прав громадян в системі міжнародного гуманітарного права</w:t>
      </w:r>
      <w:r w:rsidDel="00000000" w:rsidR="00000000" w:rsidRPr="00000000">
        <w:rPr>
          <w:rFonts w:ascii="System Font" w:cs="System Font" w:eastAsia="System Font" w:hAnsi="System Font"/>
          <w:b w:val="0"/>
          <w:i w:val="0"/>
          <w:smallCaps w:val="0"/>
          <w:strike w:val="0"/>
          <w:color w:val="000000"/>
          <w:sz w:val="28"/>
          <w:szCs w:val="28"/>
          <w:u w:val="none"/>
          <w:shd w:fill="auto" w:val="clear"/>
          <w:vertAlign w:val="baseline"/>
          <w:rtl w:val="0"/>
        </w:rPr>
        <w:t xml:space="preserve"> ……14</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1"/>
          <w:i w:val="0"/>
          <w:smallCaps w:val="0"/>
          <w:strike w:val="0"/>
          <w:color w:val="000000"/>
          <w:sz w:val="28"/>
          <w:szCs w:val="28"/>
          <w:u w:val="none"/>
          <w:shd w:fill="auto" w:val="clear"/>
          <w:vertAlign w:val="baseline"/>
        </w:rPr>
      </w:pPr>
      <w:r w:rsidDel="00000000" w:rsidR="00000000" w:rsidRPr="00000000">
        <w:rPr>
          <w:rFonts w:ascii="System Font" w:cs="System Font" w:eastAsia="System Font" w:hAnsi="System Font"/>
          <w:b w:val="1"/>
          <w:i w:val="0"/>
          <w:smallCaps w:val="0"/>
          <w:strike w:val="0"/>
          <w:color w:val="000000"/>
          <w:sz w:val="28"/>
          <w:szCs w:val="28"/>
          <w:u w:val="none"/>
          <w:shd w:fill="auto" w:val="clear"/>
          <w:vertAlign w:val="baseline"/>
          <w:rtl w:val="0"/>
        </w:rPr>
        <w:t xml:space="preserve">Висновки до розділу 1…………………………………………………………..25</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1"/>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1"/>
          <w:i w:val="0"/>
          <w:smallCaps w:val="0"/>
          <w:strike w:val="0"/>
          <w:color w:val="000000"/>
          <w:sz w:val="28"/>
          <w:szCs w:val="28"/>
          <w:u w:val="none"/>
          <w:shd w:fill="auto" w:val="clear"/>
          <w:vertAlign w:val="baseline"/>
          <w:rtl w:val="0"/>
        </w:rPr>
        <w:t xml:space="preserve">РОЗДІЛ ІІ МЕХАНІЗМ ЗАХИСТУ УКРАЇНЦІВ В ЄС У ПЕРІОД ВІЙНИ……………………………………………………………………………27</w:t>
      </w: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0"/>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0"/>
          <w:i w:val="0"/>
          <w:smallCaps w:val="0"/>
          <w:strike w:val="0"/>
          <w:color w:val="000000"/>
          <w:sz w:val="28"/>
          <w:szCs w:val="28"/>
          <w:u w:val="none"/>
          <w:shd w:fill="auto" w:val="clear"/>
          <w:vertAlign w:val="baseline"/>
          <w:rtl w:val="0"/>
        </w:rPr>
        <w:t xml:space="preserve">2.1. Нормативні акти захисту українців в ЄС у період війни</w:t>
      </w:r>
      <w:r w:rsidDel="00000000" w:rsidR="00000000" w:rsidRPr="00000000">
        <w:rPr>
          <w:rFonts w:ascii="System Font" w:cs="System Font" w:eastAsia="System Font" w:hAnsi="System Font"/>
          <w:b w:val="0"/>
          <w:i w:val="0"/>
          <w:smallCaps w:val="0"/>
          <w:strike w:val="0"/>
          <w:color w:val="000000"/>
          <w:sz w:val="28"/>
          <w:szCs w:val="28"/>
          <w:u w:val="none"/>
          <w:shd w:fill="auto" w:val="clear"/>
          <w:vertAlign w:val="baseline"/>
          <w:rtl w:val="0"/>
        </w:rPr>
        <w:t xml:space="preserve">…………………27</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0"/>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0"/>
          <w:i w:val="0"/>
          <w:smallCaps w:val="0"/>
          <w:strike w:val="0"/>
          <w:color w:val="000000"/>
          <w:sz w:val="28"/>
          <w:szCs w:val="28"/>
          <w:u w:val="none"/>
          <w:shd w:fill="auto" w:val="clear"/>
          <w:vertAlign w:val="baseline"/>
          <w:rtl w:val="0"/>
        </w:rPr>
        <w:t xml:space="preserve">2.2. Програми захисту громадян України: німецький та польський досвіди</w:t>
      </w:r>
      <w:r w:rsidDel="00000000" w:rsidR="00000000" w:rsidRPr="00000000">
        <w:rPr>
          <w:rFonts w:ascii="System Font" w:cs="System Font" w:eastAsia="System Font" w:hAnsi="System Font"/>
          <w:b w:val="0"/>
          <w:i w:val="0"/>
          <w:smallCaps w:val="0"/>
          <w:strike w:val="0"/>
          <w:color w:val="000000"/>
          <w:sz w:val="28"/>
          <w:szCs w:val="28"/>
          <w:u w:val="none"/>
          <w:shd w:fill="auto" w:val="clear"/>
          <w:vertAlign w:val="baseline"/>
          <w:rtl w:val="0"/>
        </w:rPr>
        <w:t xml:space="preserve">……………………………………………………………………………36</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0"/>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0"/>
          <w:i w:val="0"/>
          <w:smallCaps w:val="0"/>
          <w:strike w:val="0"/>
          <w:color w:val="000000"/>
          <w:sz w:val="28"/>
          <w:szCs w:val="28"/>
          <w:u w:val="none"/>
          <w:shd w:fill="auto" w:val="clear"/>
          <w:vertAlign w:val="baseline"/>
          <w:rtl w:val="0"/>
        </w:rPr>
        <w:t xml:space="preserve">2.3. Сильні та слабкі сторони захисту прав українців у Німеччині та Польщі……………………………………………………………………………45</w:t>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FUI-Regular" w:cs=".SFUI-Regular" w:eastAsia=".SFUI-Regular" w:hAnsi=".SFUI-Regular"/>
          <w:b w:val="1"/>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1"/>
          <w:i w:val="0"/>
          <w:smallCaps w:val="0"/>
          <w:strike w:val="0"/>
          <w:color w:val="000000"/>
          <w:sz w:val="28"/>
          <w:szCs w:val="28"/>
          <w:u w:val="none"/>
          <w:shd w:fill="auto" w:val="clear"/>
          <w:vertAlign w:val="baseline"/>
          <w:rtl w:val="0"/>
        </w:rPr>
        <w:t xml:space="preserve">Висновки до розділу 2………………………………………………………….55</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1"/>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1"/>
          <w:i w:val="0"/>
          <w:smallCaps w:val="0"/>
          <w:strike w:val="0"/>
          <w:color w:val="000000"/>
          <w:sz w:val="28"/>
          <w:szCs w:val="28"/>
          <w:u w:val="none"/>
          <w:shd w:fill="auto" w:val="clear"/>
          <w:vertAlign w:val="baseline"/>
          <w:rtl w:val="0"/>
        </w:rPr>
        <w:t xml:space="preserve">ВИСНОВКИ……………………………………………………………………..57</w:t>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System Font" w:cs="System Font" w:eastAsia="System Font" w:hAnsi="System Font"/>
          <w:b w:val="1"/>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1"/>
          <w:i w:val="0"/>
          <w:smallCaps w:val="0"/>
          <w:strike w:val="0"/>
          <w:color w:val="000000"/>
          <w:sz w:val="28"/>
          <w:szCs w:val="28"/>
          <w:u w:val="none"/>
          <w:shd w:fill="auto" w:val="clear"/>
          <w:vertAlign w:val="baseline"/>
          <w:rtl w:val="0"/>
        </w:rPr>
        <w:t xml:space="preserve">СПИСОК ВИКОРИСТАНИХ ДЖЕРЕЛ…………………………………….60</w:t>
      </w:r>
      <w:r w:rsidDel="00000000" w:rsidR="00000000" w:rsidRPr="00000000">
        <w:rPr>
          <w:rtl w:val="0"/>
        </w:rPr>
      </w:r>
    </w:p>
    <w:p w:rsidR="00000000" w:rsidDel="00000000" w:rsidP="00000000" w:rsidRDefault="00000000" w:rsidRPr="00000000" w14:paraId="0000003E">
      <w:pPr>
        <w:spacing w:line="360" w:lineRule="auto"/>
        <w:ind w:firstLine="709"/>
        <w:rPr>
          <w:sz w:val="28"/>
          <w:szCs w:val="28"/>
        </w:rPr>
      </w:pPr>
      <w:r w:rsidDel="00000000" w:rsidR="00000000" w:rsidRPr="00000000">
        <w:rPr>
          <w:rtl w:val="0"/>
        </w:rPr>
      </w:r>
    </w:p>
    <w:p w:rsidR="00000000" w:rsidDel="00000000" w:rsidP="00000000" w:rsidRDefault="00000000" w:rsidRPr="00000000" w14:paraId="0000003F">
      <w:pPr>
        <w:spacing w:line="360" w:lineRule="auto"/>
        <w:ind w:firstLine="709"/>
        <w:rPr>
          <w:sz w:val="28"/>
          <w:szCs w:val="28"/>
        </w:rPr>
      </w:pPr>
      <w:r w:rsidDel="00000000" w:rsidR="00000000" w:rsidRPr="00000000">
        <w:rPr>
          <w:rtl w:val="0"/>
        </w:rPr>
      </w:r>
    </w:p>
    <w:p w:rsidR="00000000" w:rsidDel="00000000" w:rsidP="00000000" w:rsidRDefault="00000000" w:rsidRPr="00000000" w14:paraId="00000040">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1">
      <w:pPr>
        <w:spacing w:line="360" w:lineRule="auto"/>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42">
      <w:pPr>
        <w:spacing w:line="360" w:lineRule="auto"/>
        <w:ind w:firstLine="709"/>
        <w:rPr>
          <w:sz w:val="28"/>
          <w:szCs w:val="28"/>
        </w:rPr>
      </w:pPr>
      <w:r w:rsidDel="00000000" w:rsidR="00000000" w:rsidRPr="00000000">
        <w:rPr>
          <w:rtl w:val="0"/>
        </w:rPr>
      </w:r>
    </w:p>
    <w:p w:rsidR="00000000" w:rsidDel="00000000" w:rsidP="00000000" w:rsidRDefault="00000000" w:rsidRPr="00000000" w14:paraId="00000043">
      <w:pPr>
        <w:spacing w:line="360" w:lineRule="auto"/>
        <w:ind w:firstLine="709"/>
        <w:rPr>
          <w:sz w:val="28"/>
          <w:szCs w:val="28"/>
        </w:rPr>
      </w:pPr>
      <w:r w:rsidDel="00000000" w:rsidR="00000000" w:rsidRPr="00000000">
        <w:rPr>
          <w:b w:val="1"/>
          <w:sz w:val="28"/>
          <w:szCs w:val="28"/>
          <w:rtl w:val="0"/>
        </w:rPr>
        <w:t xml:space="preserve">Актуальність теми дослідження</w:t>
      </w:r>
      <w:r w:rsidDel="00000000" w:rsidR="00000000" w:rsidRPr="00000000">
        <w:rPr>
          <w:sz w:val="28"/>
          <w:szCs w:val="28"/>
          <w:rtl w:val="0"/>
        </w:rPr>
        <w:t xml:space="preserve"> зумовлена необхідністю системного аналізу міжнародного досвіду захисту українців, який може бути використаний для вдосконалення національної політики у сфері міграції, забезпечення прав біженців та розбудови ефективних механізмів співпраці з європейськими партнерами. Проблематика забезпечення прав та свобод громадян у період війни набула особливої актуальності у зв’язку з масштабним повномасштабним вторгненням Російської Федерації в Україну, що розпочалося 24 лютого 2022 року. Ця агресія призвела до безпрецедентного гуманітарного виклику для Європейського Союзу та зумовила зміну політики окремих країн щодо захисту біженців, зокрема громадян України. Мільйони українців були змушені покинути свої домівки, шукаючи безпеки на території європейських держав.</w:t>
      </w:r>
    </w:p>
    <w:p w:rsidR="00000000" w:rsidDel="00000000" w:rsidP="00000000" w:rsidRDefault="00000000" w:rsidRPr="00000000" w14:paraId="00000044">
      <w:pPr>
        <w:spacing w:line="360" w:lineRule="auto"/>
        <w:ind w:firstLine="709"/>
        <w:rPr>
          <w:sz w:val="28"/>
          <w:szCs w:val="28"/>
        </w:rPr>
      </w:pPr>
      <w:r w:rsidDel="00000000" w:rsidR="00000000" w:rsidRPr="00000000">
        <w:rPr>
          <w:sz w:val="28"/>
          <w:szCs w:val="28"/>
          <w:rtl w:val="0"/>
        </w:rPr>
        <w:t xml:space="preserve">Інтернет та його використання як інструменту є дуже розповсюдженим феноменом у багатьох сучасних політичних теоріях та технологіях. В політичній науці з кожним роком з’являється все більше нових думок стосовно використання Інтернету та комп’ютеру задля різних цілей у політиці, однією з яких є підвищення рівню політичної участі громадян за допомогою «електронної демократії». Особливо досягнення цієї мети важливе для України, адже у нас є низка проблем із політичною участю громадян.</w:t>
      </w:r>
    </w:p>
    <w:p w:rsidR="00000000" w:rsidDel="00000000" w:rsidP="00000000" w:rsidRDefault="00000000" w:rsidRPr="00000000" w14:paraId="00000045">
      <w:pPr>
        <w:spacing w:line="360" w:lineRule="auto"/>
        <w:ind w:firstLine="709"/>
        <w:rPr>
          <w:sz w:val="28"/>
          <w:szCs w:val="28"/>
        </w:rPr>
      </w:pPr>
      <w:r w:rsidDel="00000000" w:rsidR="00000000" w:rsidRPr="00000000">
        <w:rPr>
          <w:sz w:val="28"/>
          <w:szCs w:val="28"/>
          <w:rtl w:val="0"/>
        </w:rPr>
        <w:t xml:space="preserve">Політична наука, зокрема у своїх прикладних вимірах, сьогодні активно досліджує нові виклики, що постали перед державами в умовах збройних конфліктів, особливо в аспекті дотримання прав людини. Захист мігрантів, біженців та переміщених осіб у таких умовах стає не лише питанням гуманітарного реагування, але й індикатором демократичної стійкості держав, їх здатності забезпечити соціальну згуртованість, толерантність і верховенство права. Поглиблений аналіз відповідних політик Польщі та Німеччини дозволяє не лише оцінити ефективність європейських механізмів захисту, але й окреслити потенціал для удосконалення політики України щодо своїх громадян за кордоном.</w:t>
      </w:r>
    </w:p>
    <w:p w:rsidR="00000000" w:rsidDel="00000000" w:rsidP="00000000" w:rsidRDefault="00000000" w:rsidRPr="00000000" w14:paraId="00000046">
      <w:pPr>
        <w:spacing w:line="360" w:lineRule="auto"/>
        <w:ind w:firstLine="709"/>
        <w:rPr>
          <w:sz w:val="28"/>
          <w:szCs w:val="28"/>
        </w:rPr>
      </w:pPr>
      <w:r w:rsidDel="00000000" w:rsidR="00000000" w:rsidRPr="00000000">
        <w:rPr>
          <w:sz w:val="28"/>
          <w:szCs w:val="28"/>
          <w:rtl w:val="0"/>
        </w:rPr>
        <w:t xml:space="preserve">Водночас вивчення інституційних підходів, правових засад, адміністративних процедур та практичних програм, спрямованих на підтримку українських мігрантів у цих країнах, дозволяє розкрити як сильні, так і слабкі сторони їх системи захисту. Цей аналіз є важливим не лише для порівняльної політичної науки, але й для формування практичних рекомендацій щодо транснаціональної співпраці, інтеграційної політики, а також розробки нових міжурядових та регіональних стратегій в умовах криз.</w:t>
      </w:r>
    </w:p>
    <w:p w:rsidR="00000000" w:rsidDel="00000000" w:rsidP="00000000" w:rsidRDefault="00000000" w:rsidRPr="00000000" w14:paraId="00000047">
      <w:pPr>
        <w:spacing w:line="360" w:lineRule="auto"/>
        <w:ind w:firstLine="709"/>
        <w:rPr>
          <w:sz w:val="28"/>
          <w:szCs w:val="28"/>
        </w:rPr>
      </w:pPr>
      <w:r w:rsidDel="00000000" w:rsidR="00000000" w:rsidRPr="00000000">
        <w:rPr>
          <w:b w:val="1"/>
          <w:sz w:val="28"/>
          <w:szCs w:val="28"/>
          <w:rtl w:val="0"/>
        </w:rPr>
        <w:t xml:space="preserve">Ступінь наукової розробленості проблеми.</w:t>
      </w:r>
      <w:r w:rsidDel="00000000" w:rsidR="00000000" w:rsidRPr="00000000">
        <w:rPr>
          <w:sz w:val="28"/>
          <w:szCs w:val="28"/>
          <w:rtl w:val="0"/>
        </w:rPr>
        <w:t xml:space="preserve"> Проблематика захисту прав біженців, внутрішньо переміщених осіб та вимушених мігрантів знайшла відображення в працях як вітчизняних, так і зарубіжних дослідників. Серед українських авторів варто відзначити П. Г. Безуглого, який досліджує теоретичні засади міграційної політики, а також К. С. Дмитрієву, яка аналізує сучасні виклики у сфері міграційної політики Польщі. Значний внесок зробили також В. Д. Бронніков і О. В. Нефедова, які розглядали марго-міграційні аспекти внутрішньої політики Німеччини. Праці А. В. Дулі присвячені соціальному захисту українців у Польщі, а В. О. Васечко аналізує досвід тимчасового захисту в країнах ЄС.</w:t>
      </w:r>
    </w:p>
    <w:p w:rsidR="00000000" w:rsidDel="00000000" w:rsidP="00000000" w:rsidRDefault="00000000" w:rsidRPr="00000000" w14:paraId="00000048">
      <w:pPr>
        <w:spacing w:line="360" w:lineRule="auto"/>
        <w:ind w:firstLine="709"/>
        <w:rPr>
          <w:sz w:val="28"/>
          <w:szCs w:val="28"/>
        </w:rPr>
      </w:pPr>
      <w:r w:rsidDel="00000000" w:rsidR="00000000" w:rsidRPr="00000000">
        <w:rPr>
          <w:b w:val="1"/>
          <w:sz w:val="28"/>
          <w:szCs w:val="28"/>
          <w:rtl w:val="0"/>
        </w:rPr>
        <w:t xml:space="preserve">Метою дослідження</w:t>
      </w:r>
      <w:r w:rsidDel="00000000" w:rsidR="00000000" w:rsidRPr="00000000">
        <w:rPr>
          <w:sz w:val="28"/>
          <w:szCs w:val="28"/>
          <w:rtl w:val="0"/>
        </w:rPr>
        <w:t xml:space="preserve"> є комплексний аналіз політики захисту українських мігрантів в Європі, на прикладі Польщі та Німеччини. Для досягнення мети поставлено такі</w:t>
      </w:r>
      <w:r w:rsidDel="00000000" w:rsidR="00000000" w:rsidRPr="00000000">
        <w:rPr>
          <w:b w:val="1"/>
          <w:sz w:val="28"/>
          <w:szCs w:val="28"/>
          <w:rtl w:val="0"/>
        </w:rPr>
        <w:t xml:space="preserve"> завдання:</w:t>
      </w:r>
      <w:r w:rsidDel="00000000" w:rsidR="00000000" w:rsidRPr="00000000">
        <w:rPr>
          <w:rtl w:val="0"/>
        </w:rPr>
      </w:r>
    </w:p>
    <w:p w:rsidR="00000000" w:rsidDel="00000000" w:rsidP="00000000" w:rsidRDefault="00000000" w:rsidRPr="00000000" w14:paraId="0000004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розкрити сутність захисту прав громадян в умовах війни як об’єкта політологічного дослідження.</w:t>
      </w:r>
    </w:p>
    <w:p w:rsidR="00000000" w:rsidDel="00000000" w:rsidP="00000000" w:rsidRDefault="00000000" w:rsidRPr="00000000" w14:paraId="0000004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нормативно-правову основу захисту прав громадян у межах міжнародного гуманітарного права.</w:t>
      </w:r>
    </w:p>
    <w:p w:rsidR="00000000" w:rsidDel="00000000" w:rsidP="00000000" w:rsidRDefault="00000000" w:rsidRPr="00000000" w14:paraId="0000004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основні нормативні акти ЄС, спрямовані на захист українських громадян у період війни.</w:t>
      </w:r>
    </w:p>
    <w:p w:rsidR="00000000" w:rsidDel="00000000" w:rsidP="00000000" w:rsidRDefault="00000000" w:rsidRPr="00000000" w14:paraId="000000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охарактеризувати програми соціального захисту українців у Польщі та Німеччині.</w:t>
      </w:r>
    </w:p>
    <w:p w:rsidR="00000000" w:rsidDel="00000000" w:rsidP="00000000" w:rsidRDefault="00000000" w:rsidRPr="00000000" w14:paraId="0000004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urlz0l9rmfd"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сильні та слабкі сторони реалізації політик захисту українських громадян у зазначених країнах.</w:t>
      </w:r>
    </w:p>
    <w:p w:rsidR="00000000" w:rsidDel="00000000" w:rsidP="00000000" w:rsidRDefault="00000000" w:rsidRPr="00000000" w14:paraId="0000004E">
      <w:pPr>
        <w:spacing w:line="360" w:lineRule="auto"/>
        <w:ind w:firstLine="709"/>
        <w:rPr>
          <w:sz w:val="28"/>
          <w:szCs w:val="28"/>
        </w:rPr>
      </w:pPr>
      <w:r w:rsidDel="00000000" w:rsidR="00000000" w:rsidRPr="00000000">
        <w:rPr>
          <w:b w:val="1"/>
          <w:sz w:val="28"/>
          <w:szCs w:val="28"/>
          <w:rtl w:val="0"/>
        </w:rPr>
        <w:t xml:space="preserve">Об’єктом дослідження</w:t>
      </w:r>
      <w:r w:rsidDel="00000000" w:rsidR="00000000" w:rsidRPr="00000000">
        <w:rPr>
          <w:sz w:val="28"/>
          <w:szCs w:val="28"/>
          <w:rtl w:val="0"/>
        </w:rPr>
        <w:t xml:space="preserve"> є процес захисту українських громадян у період війни.</w:t>
      </w:r>
    </w:p>
    <w:p w:rsidR="00000000" w:rsidDel="00000000" w:rsidP="00000000" w:rsidRDefault="00000000" w:rsidRPr="00000000" w14:paraId="0000004F">
      <w:pPr>
        <w:spacing w:line="360" w:lineRule="auto"/>
        <w:ind w:firstLine="709"/>
        <w:rPr>
          <w:sz w:val="28"/>
          <w:szCs w:val="28"/>
        </w:rPr>
      </w:pPr>
      <w:r w:rsidDel="00000000" w:rsidR="00000000" w:rsidRPr="00000000">
        <w:rPr>
          <w:b w:val="1"/>
          <w:sz w:val="28"/>
          <w:szCs w:val="28"/>
          <w:rtl w:val="0"/>
        </w:rPr>
        <w:t xml:space="preserve">Предметом дослідження</w:t>
      </w:r>
      <w:r w:rsidDel="00000000" w:rsidR="00000000" w:rsidRPr="00000000">
        <w:rPr>
          <w:sz w:val="28"/>
          <w:szCs w:val="28"/>
          <w:rtl w:val="0"/>
        </w:rPr>
        <w:t xml:space="preserve"> є європейський дослів захисту українських громадян у період війни, на прикладі Польщі та Німеччини.</w:t>
      </w:r>
    </w:p>
    <w:p w:rsidR="00000000" w:rsidDel="00000000" w:rsidP="00000000" w:rsidRDefault="00000000" w:rsidRPr="00000000" w14:paraId="00000050">
      <w:pPr>
        <w:spacing w:line="360" w:lineRule="auto"/>
        <w:ind w:firstLine="709"/>
        <w:rPr>
          <w:sz w:val="28"/>
          <w:szCs w:val="28"/>
        </w:rPr>
      </w:pPr>
      <w:r w:rsidDel="00000000" w:rsidR="00000000" w:rsidRPr="00000000">
        <w:rPr>
          <w:b w:val="1"/>
          <w:sz w:val="28"/>
          <w:szCs w:val="28"/>
          <w:rtl w:val="0"/>
        </w:rPr>
        <w:t xml:space="preserve">Методологічною основою</w:t>
      </w:r>
      <w:r w:rsidDel="00000000" w:rsidR="00000000" w:rsidRPr="00000000">
        <w:rPr>
          <w:sz w:val="28"/>
          <w:szCs w:val="28"/>
          <w:rtl w:val="0"/>
        </w:rPr>
        <w:t xml:space="preserve"> проведеного дослідження стали наукові концепції та теоретичні розробки вітчизняних та зарубіжних вчених в області електронної демократії та політичної участі. У роботі використано сучасні політологічні підходи, зокрема елементи компаративного аналізу, інституціонального аналізу, а також методи вивчення політичної практики через інтерпретацію рішень урядів, міжнародних організацій та неурядових структур. Застосовано також якісні методи: аналіз правових документів, звітів міжнародних агенцій, експертних публікацій.</w:t>
      </w:r>
    </w:p>
    <w:p w:rsidR="00000000" w:rsidDel="00000000" w:rsidP="00000000" w:rsidRDefault="00000000" w:rsidRPr="00000000" w14:paraId="00000051">
      <w:pPr>
        <w:spacing w:line="360" w:lineRule="auto"/>
        <w:ind w:firstLine="709"/>
        <w:rPr>
          <w:sz w:val="28"/>
          <w:szCs w:val="28"/>
        </w:rPr>
      </w:pPr>
      <w:r w:rsidDel="00000000" w:rsidR="00000000" w:rsidRPr="00000000">
        <w:rPr>
          <w:b w:val="1"/>
          <w:sz w:val="28"/>
          <w:szCs w:val="28"/>
          <w:rtl w:val="0"/>
        </w:rPr>
        <w:t xml:space="preserve">Структура бакалаврської роботи.</w:t>
      </w:r>
      <w:r w:rsidDel="00000000" w:rsidR="00000000" w:rsidRPr="00000000">
        <w:rPr>
          <w:sz w:val="28"/>
          <w:szCs w:val="28"/>
          <w:rtl w:val="0"/>
        </w:rPr>
        <w:t xml:space="preserve"> Бакалаврська робота складається зі вступу, двох розділів, висновків та списку використаної літератури. </w:t>
      </w:r>
    </w:p>
    <w:p w:rsidR="00000000" w:rsidDel="00000000" w:rsidP="00000000" w:rsidRDefault="00000000" w:rsidRPr="00000000" w14:paraId="00000052">
      <w:pPr>
        <w:spacing w:line="360" w:lineRule="auto"/>
        <w:ind w:firstLine="709"/>
        <w:rPr>
          <w:sz w:val="28"/>
          <w:szCs w:val="28"/>
        </w:rPr>
      </w:pPr>
      <w:r w:rsidDel="00000000" w:rsidR="00000000" w:rsidRPr="00000000">
        <w:rPr>
          <w:sz w:val="28"/>
          <w:szCs w:val="28"/>
          <w:rtl w:val="0"/>
        </w:rPr>
        <w:t xml:space="preserve"> </w:t>
      </w:r>
    </w:p>
    <w:p w:rsidR="00000000" w:rsidDel="00000000" w:rsidP="00000000" w:rsidRDefault="00000000" w:rsidRPr="00000000" w14:paraId="00000053">
      <w:pPr>
        <w:spacing w:line="360" w:lineRule="auto"/>
        <w:ind w:firstLine="709"/>
        <w:rPr>
          <w:sz w:val="28"/>
          <w:szCs w:val="28"/>
        </w:rPr>
      </w:pPr>
      <w:r w:rsidDel="00000000" w:rsidR="00000000" w:rsidRPr="00000000">
        <w:rPr>
          <w:rtl w:val="0"/>
        </w:rPr>
      </w:r>
    </w:p>
    <w:p w:rsidR="00000000" w:rsidDel="00000000" w:rsidP="00000000" w:rsidRDefault="00000000" w:rsidRPr="00000000" w14:paraId="00000054">
      <w:pPr>
        <w:rPr>
          <w:rFonts w:ascii=".SFUI-Regular" w:cs=".SFUI-Regular" w:eastAsia=".SFUI-Regular" w:hAnsi=".SFUI-Regular"/>
          <w:b w:val="1"/>
          <w:i w:val="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SFUI-Regular" w:cs=".SFUI-Regular" w:eastAsia=".SFUI-Regular" w:hAnsi=".SFUI-Regular"/>
          <w:b w:val="1"/>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1"/>
          <w:i w:val="0"/>
          <w:smallCaps w:val="0"/>
          <w:strike w:val="0"/>
          <w:color w:val="000000"/>
          <w:sz w:val="28"/>
          <w:szCs w:val="28"/>
          <w:u w:val="none"/>
          <w:shd w:fill="auto" w:val="clear"/>
          <w:vertAlign w:val="baseline"/>
          <w:rtl w:val="0"/>
        </w:rPr>
        <w:t xml:space="preserve">РОЗДІЛ І</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SFUI-Regular" w:cs=".SFUI-Regular" w:eastAsia=".SFUI-Regular" w:hAnsi=".SFUI-Regular"/>
          <w:b w:val="1"/>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1"/>
          <w:i w:val="0"/>
          <w:smallCaps w:val="0"/>
          <w:strike w:val="0"/>
          <w:color w:val="000000"/>
          <w:sz w:val="28"/>
          <w:szCs w:val="28"/>
          <w:u w:val="none"/>
          <w:shd w:fill="auto" w:val="clear"/>
          <w:vertAlign w:val="baseline"/>
          <w:rtl w:val="0"/>
        </w:rPr>
        <w:t xml:space="preserve">ТЕОРЕТИЧНІ ЗАСАДИ ДОСЛІДЖЕННЯ ЗАХИСТУ ГРОМАДЯН У ПЕРІОД ВІЙНИ</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SFUI-Regular" w:cs=".SFUI-Regular" w:eastAsia=".SFUI-Regular" w:hAnsi=".SFUI-Regular"/>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SFUI-Regular" w:cs=".SFUI-Regular" w:eastAsia=".SFUI-Regular" w:hAnsi=".SFUI-Regular"/>
          <w:b w:val="1"/>
          <w:i w:val="0"/>
          <w:smallCaps w:val="0"/>
          <w:strike w:val="0"/>
          <w:color w:val="000000"/>
          <w:sz w:val="28"/>
          <w:szCs w:val="28"/>
          <w:u w:val="none"/>
          <w:shd w:fill="auto" w:val="clear"/>
          <w:vertAlign w:val="baseline"/>
        </w:rPr>
      </w:pPr>
      <w:r w:rsidDel="00000000" w:rsidR="00000000" w:rsidRPr="00000000">
        <w:rPr>
          <w:rFonts w:ascii=".SFUI-Regular" w:cs=".SFUI-Regular" w:eastAsia=".SFUI-Regular" w:hAnsi=".SFUI-Regular"/>
          <w:b w:val="1"/>
          <w:i w:val="0"/>
          <w:smallCaps w:val="0"/>
          <w:strike w:val="0"/>
          <w:color w:val="000000"/>
          <w:sz w:val="28"/>
          <w:szCs w:val="28"/>
          <w:u w:val="none"/>
          <w:shd w:fill="auto" w:val="clear"/>
          <w:vertAlign w:val="baseline"/>
          <w:rtl w:val="0"/>
        </w:rPr>
        <w:t xml:space="preserve">1.1. Захист прав громадян в умовах війни як об’єкт політолочного дослідження</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System Font" w:cs="System Font" w:eastAsia="System Font" w:hAnsi="System Font"/>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A">
      <w:pPr>
        <w:spacing w:line="360" w:lineRule="auto"/>
        <w:ind w:firstLine="709"/>
        <w:rPr>
          <w:sz w:val="28"/>
          <w:szCs w:val="28"/>
        </w:rPr>
      </w:pPr>
      <w:r w:rsidDel="00000000" w:rsidR="00000000" w:rsidRPr="00000000">
        <w:rPr>
          <w:sz w:val="28"/>
          <w:szCs w:val="28"/>
          <w:rtl w:val="0"/>
        </w:rPr>
        <w:t xml:space="preserve">Питання захисту прав людини завжди перебувало в центрі наукових та політичних дискусій, проте саме війна ставить ці права у найвразливіше положення. Політична наука вивчає цей феномен через призму основоположних категорій: влада, суверенітет, безпека, держава, міжнародне право, а також демократичні стандарти. Збройний конфлікт кардинально змінює баланс між правами індивіда та вимогами національної безпеки, що особливо загострюється в умовах масових порушень прав людини, переселення, гуманітарної катастрофи та кризи інституційної довіри.</w:t>
      </w:r>
    </w:p>
    <w:p w:rsidR="00000000" w:rsidDel="00000000" w:rsidP="00000000" w:rsidRDefault="00000000" w:rsidRPr="00000000" w14:paraId="0000005B">
      <w:pPr>
        <w:spacing w:line="360" w:lineRule="auto"/>
        <w:ind w:firstLine="709"/>
        <w:rPr>
          <w:sz w:val="28"/>
          <w:szCs w:val="28"/>
        </w:rPr>
      </w:pPr>
      <w:r w:rsidDel="00000000" w:rsidR="00000000" w:rsidRPr="00000000">
        <w:rPr>
          <w:sz w:val="28"/>
          <w:szCs w:val="28"/>
          <w:rtl w:val="0"/>
        </w:rPr>
        <w:t xml:space="preserve">У політології захист прав людини в умовах війни досліджується з кількох теоретичних підходів. У межах ліберальної парадигми акцент робиться на верховенстві права, універсальності прав людини та обов’язковості міжнародних зобов’язань держав, навіть в умовах надзвичайного стану [1, с. 96-98]. Цей підхід передбачає, що навіть у стані війни держава зобов’язана гарантувати базові права, передусім право на життя, гідність, свободу від тортур і дискримінації. Реалістичні теорії, натомість, вважають, що безпека та виживання держави є вищими за індивідуальні права, особливо якщо йдеться про екзистенційні загрози. Вони розглядають права людини як інструмент міжнародної політики, що може бути використаний у геополітичній грі [2, с. 5-13].</w:t>
      </w:r>
    </w:p>
    <w:p w:rsidR="00000000" w:rsidDel="00000000" w:rsidP="00000000" w:rsidRDefault="00000000" w:rsidRPr="00000000" w14:paraId="0000005C">
      <w:pPr>
        <w:spacing w:line="360" w:lineRule="auto"/>
        <w:ind w:firstLine="709"/>
        <w:rPr>
          <w:sz w:val="28"/>
          <w:szCs w:val="28"/>
        </w:rPr>
      </w:pPr>
      <w:r w:rsidDel="00000000" w:rsidR="00000000" w:rsidRPr="00000000">
        <w:rPr>
          <w:sz w:val="28"/>
          <w:szCs w:val="28"/>
          <w:rtl w:val="0"/>
        </w:rPr>
        <w:t xml:space="preserve">Конструктивістський підхід, який став популярним у пострадянському просторі в контексті новітніх воєнних конфліктів, зосереджується на соціальних практиках, ідентичностях і культурних наративах. У цьому контексті права людини трактуються не лише як юридичні норми, а як елементи політичного дискурсу, які можуть як посилювати солідарність, так і використовуватись для легітимації владних дій [3, с. 43-47].</w:t>
      </w:r>
    </w:p>
    <w:p w:rsidR="00000000" w:rsidDel="00000000" w:rsidP="00000000" w:rsidRDefault="00000000" w:rsidRPr="00000000" w14:paraId="0000005D">
      <w:pPr>
        <w:spacing w:line="360" w:lineRule="auto"/>
        <w:ind w:firstLine="709"/>
        <w:rPr>
          <w:sz w:val="28"/>
          <w:szCs w:val="28"/>
        </w:rPr>
      </w:pPr>
      <w:r w:rsidDel="00000000" w:rsidR="00000000" w:rsidRPr="00000000">
        <w:rPr>
          <w:sz w:val="28"/>
          <w:szCs w:val="28"/>
          <w:rtl w:val="0"/>
        </w:rPr>
        <w:t xml:space="preserve">З початком повномасштабної війни в Україні 24 лютого 2022 року проблема захисту прав громадян набула нового змісту та масштабу. Мільйони українців були вимушено переміщені, втратили доступ до соціальних послуг, освіти, охорони здоров’я, житла та засобів існування. Особливо вразливими виявилися жінки, діти, люди похилого віку, особи з інвалідністю. У таких умовах на перший план виходить питання інституційної спроможності держави та міжнародної спільноти забезпечити мінімальні стандарти гуманітарного захисту та недопущення грубих порушень міжнародного гуманітарного права [4].</w:t>
      </w:r>
    </w:p>
    <w:p w:rsidR="00000000" w:rsidDel="00000000" w:rsidP="00000000" w:rsidRDefault="00000000" w:rsidRPr="00000000" w14:paraId="0000005E">
      <w:pPr>
        <w:spacing w:line="360" w:lineRule="auto"/>
        <w:ind w:firstLine="709"/>
        <w:rPr>
          <w:sz w:val="28"/>
          <w:szCs w:val="28"/>
        </w:rPr>
      </w:pPr>
      <w:r w:rsidDel="00000000" w:rsidR="00000000" w:rsidRPr="00000000">
        <w:rPr>
          <w:sz w:val="28"/>
          <w:szCs w:val="28"/>
          <w:rtl w:val="0"/>
        </w:rPr>
        <w:t xml:space="preserve">Політична наука також аналізує, яким чином відбувається перерозподіл повноважень у межах держави в умовах війни, як змінюється функціонування демократичних інститутів, медіа, громадянського суспільства. Часто надзвичайний стан призводить до посилення виконавчої влади, обмеження свобод, скорочення простору політичного плюралізму. Ці зміни мають бути під постійним наглядом експертного середовища, щоб уникнути зловживань і довготривалого згортання демократичних прав [5, с. 190-194].</w:t>
      </w:r>
    </w:p>
    <w:p w:rsidR="00000000" w:rsidDel="00000000" w:rsidP="00000000" w:rsidRDefault="00000000" w:rsidRPr="00000000" w14:paraId="0000005F">
      <w:pPr>
        <w:spacing w:line="360" w:lineRule="auto"/>
        <w:ind w:firstLine="709"/>
        <w:rPr>
          <w:sz w:val="28"/>
          <w:szCs w:val="28"/>
        </w:rPr>
      </w:pPr>
      <w:r w:rsidDel="00000000" w:rsidR="00000000" w:rsidRPr="00000000">
        <w:rPr>
          <w:sz w:val="28"/>
          <w:szCs w:val="28"/>
          <w:rtl w:val="0"/>
        </w:rPr>
        <w:t xml:space="preserve">Сучасний досвід України показує, що навіть в умовах воєнного стану може бути забезпечено певний баланс між правами громадян і вимогами національної безпеки. Принциповим є залучення міжнародної допомоги, адаптація правових механізмів ЄС до українських реалій, а також використання потенціалу цифрових технологій у сфері соціального захисту та адміністрування гуманітарної допомоги.</w:t>
      </w:r>
    </w:p>
    <w:p w:rsidR="00000000" w:rsidDel="00000000" w:rsidP="00000000" w:rsidRDefault="00000000" w:rsidRPr="00000000" w14:paraId="00000060">
      <w:pPr>
        <w:spacing w:line="360" w:lineRule="auto"/>
        <w:ind w:firstLine="709"/>
        <w:rPr>
          <w:sz w:val="28"/>
          <w:szCs w:val="28"/>
        </w:rPr>
      </w:pPr>
      <w:r w:rsidDel="00000000" w:rsidR="00000000" w:rsidRPr="00000000">
        <w:rPr>
          <w:sz w:val="28"/>
          <w:szCs w:val="28"/>
          <w:rtl w:val="0"/>
        </w:rPr>
        <w:t xml:space="preserve">Зрештою, теоретичне обґрунтування захисту прав громадян у період війни не може бути відірване від практики. Воно повинно враховувати емпіричний досвід держав, особливо тих, які знаходяться у стані активного конфлікту або надають підтримку постраждалим країнам. Тому у подальшому дослідженні акцент робиться на конкретних прикладах реалізації політик захисту, таких як досвід Польщі та Німеччини, які стали ключовими партнерами України в умовах гуманітарної кризи.</w:t>
      </w:r>
    </w:p>
    <w:p w:rsidR="00000000" w:rsidDel="00000000" w:rsidP="00000000" w:rsidRDefault="00000000" w:rsidRPr="00000000" w14:paraId="00000061">
      <w:pPr>
        <w:spacing w:line="360" w:lineRule="auto"/>
        <w:ind w:firstLine="709"/>
        <w:rPr>
          <w:sz w:val="28"/>
          <w:szCs w:val="28"/>
        </w:rPr>
      </w:pPr>
      <w:r w:rsidDel="00000000" w:rsidR="00000000" w:rsidRPr="00000000">
        <w:rPr>
          <w:sz w:val="28"/>
          <w:szCs w:val="28"/>
          <w:rtl w:val="0"/>
        </w:rPr>
        <w:t xml:space="preserve">Права людини є не лише категорією правової науки, а й фундаментальним елементом політичної теорії. У контексті збройних конфліктів, правової невизначеності та гуманітарних катастроф, які супроводжують війну, права людини стають ключовою темою аналізу в політології. Кожна з класичних парадигм політичної науки — лібералізм, реалізм і конструктивізм — по-своєму трактує зміст і значення прав людини, особливо в умовах екстремальних ситуацій, таких як війна, геноцид, примусове переміщення.</w:t>
      </w:r>
    </w:p>
    <w:p w:rsidR="00000000" w:rsidDel="00000000" w:rsidP="00000000" w:rsidRDefault="00000000" w:rsidRPr="00000000" w14:paraId="00000062">
      <w:pPr>
        <w:spacing w:line="360" w:lineRule="auto"/>
        <w:ind w:firstLine="709"/>
        <w:rPr>
          <w:sz w:val="28"/>
          <w:szCs w:val="28"/>
        </w:rPr>
      </w:pPr>
      <w:r w:rsidDel="00000000" w:rsidR="00000000" w:rsidRPr="00000000">
        <w:rPr>
          <w:sz w:val="28"/>
          <w:szCs w:val="28"/>
          <w:rtl w:val="0"/>
        </w:rPr>
        <w:t xml:space="preserve">Лібералізм, як одна з найстаріших політичних теорій, виходить із припущення про природні, невідчужувані права людини, що є вищими за волю держави. Ліберальна традиція базується на філософських ідеях Джона Локка, Іммануїла Канта, а в сучасній політичній теорії — на працях таких мислителів, як Джон Ролз і Майкл Сендел. У межах цього підходу державна влада повинна бути обмеженою, а основною функцією уряду є захист громадянина — його життя, свободи, власності. У межах ліберальної моделі війна трактується як стан, у якому держава має ще більше зобов’язань щодо гарантування прав людини, а не як привід для їх обмеження. Саме тому ліберальна політична думка активно підтримує створення міжнародних правових інституцій, таких як Європейський суд з прав людини, Міжнародний кримінальний суд, що покликані забезпечувати дотримання прав у разі, коли держава неспроможна це зробити [6].</w:t>
      </w:r>
    </w:p>
    <w:p w:rsidR="00000000" w:rsidDel="00000000" w:rsidP="00000000" w:rsidRDefault="00000000" w:rsidRPr="00000000" w14:paraId="00000063">
      <w:pPr>
        <w:spacing w:line="360" w:lineRule="auto"/>
        <w:ind w:firstLine="709"/>
        <w:rPr>
          <w:sz w:val="28"/>
          <w:szCs w:val="28"/>
        </w:rPr>
      </w:pPr>
      <w:r w:rsidDel="00000000" w:rsidR="00000000" w:rsidRPr="00000000">
        <w:rPr>
          <w:sz w:val="28"/>
          <w:szCs w:val="28"/>
          <w:rtl w:val="0"/>
        </w:rPr>
        <w:t xml:space="preserve">На противагу ліберальному ідеалізму, реалізм ставить у центр своєї уваги інтереси держави та питання національної безпеки. Згідно з цією парадигмою, міжнародна політика є ареною боротьби за владу, де домінує анархія і право сильнішого. Права людини, в очах реалістів, є другорядними порівняно із збереженням територіальної цілісності, суверенітету та політичної стабільності. У періоди війни, держава, з точки зору реалізму, цілком правомірно обмежує певні права і свободи задля виживання політичної спільноти. У контексті сучасної війни в Україні, такий підхід набуває нового змісту — через мобілізаційні кампанії, воєнну цензуру, запровадження обмежень на свободу слова чи переміщення, які виправдовуються вимогами воєнного стану [7].</w:t>
      </w:r>
    </w:p>
    <w:p w:rsidR="00000000" w:rsidDel="00000000" w:rsidP="00000000" w:rsidRDefault="00000000" w:rsidRPr="00000000" w14:paraId="00000064">
      <w:pPr>
        <w:spacing w:line="360" w:lineRule="auto"/>
        <w:ind w:firstLine="709"/>
        <w:rPr>
          <w:sz w:val="28"/>
          <w:szCs w:val="28"/>
        </w:rPr>
      </w:pPr>
      <w:r w:rsidDel="00000000" w:rsidR="00000000" w:rsidRPr="00000000">
        <w:rPr>
          <w:sz w:val="28"/>
          <w:szCs w:val="28"/>
          <w:rtl w:val="0"/>
        </w:rPr>
        <w:t xml:space="preserve">Конструктивізм, який сформувався у другій половині ХХ століття, розглядає політику як простір, де значення, ідентичності та норми формуються у взаємодії акторів. Згідно з цим підходом, права людини — це не лише юридичні або моральні категорії, а соціальні конструкти, які набувають легітимності внаслідок суспільної згоди та міжкультурного діалогу. Конструктивісти наголошують, що права людини не є універсальними в абсолютному сенсі — їхнє розуміння формується історично, залежно від контексту. Наприклад, у Європі після Другої світової війни права людини стали визначальним критерієм легітимності держав, тоді як у деяких азійських країнах акцент робився радше на колективну відповідальність і стабільність. У сучасному контексті війни в Україні конструктивістська перспектива дозволяє пояснити, чому європейські країни демонструють таку високу готовність приймати українських біженців: це не лише політична позиція, а також наслідок сформованої ідентичності «Європи як захисника прав людини» [8, с. 33].</w:t>
      </w:r>
    </w:p>
    <w:p w:rsidR="00000000" w:rsidDel="00000000" w:rsidP="00000000" w:rsidRDefault="00000000" w:rsidRPr="00000000" w14:paraId="00000065">
      <w:pPr>
        <w:spacing w:line="360" w:lineRule="auto"/>
        <w:ind w:firstLine="709"/>
        <w:rPr>
          <w:sz w:val="28"/>
          <w:szCs w:val="28"/>
        </w:rPr>
      </w:pPr>
      <w:r w:rsidDel="00000000" w:rsidR="00000000" w:rsidRPr="00000000">
        <w:rPr>
          <w:sz w:val="28"/>
          <w:szCs w:val="28"/>
          <w:rtl w:val="0"/>
        </w:rPr>
        <w:t xml:space="preserve">Крім того, конструктивізм дає змогу аналізувати, яким чином війна в Україні змінює політичну ідентичність самих українців та держав, які їх приймають. Соціальні норми, як-от солідарність, взаємодопомога, взаємоповага — активізуються в період кризи і формують нові стандарти поведінки як всередині країни, так і на міжнародній арені. Таким чином, захист прав українців у Польщі та Німеччині розглядається не лише як правовий обов’язок, а й як частина соціального контракту, укладеного між державою і суспільством приймаючої країни [9].</w:t>
      </w:r>
    </w:p>
    <w:p w:rsidR="00000000" w:rsidDel="00000000" w:rsidP="00000000" w:rsidRDefault="00000000" w:rsidRPr="00000000" w14:paraId="00000066">
      <w:pPr>
        <w:spacing w:line="360" w:lineRule="auto"/>
        <w:ind w:firstLine="709"/>
        <w:rPr>
          <w:sz w:val="28"/>
          <w:szCs w:val="28"/>
        </w:rPr>
      </w:pPr>
      <w:r w:rsidDel="00000000" w:rsidR="00000000" w:rsidRPr="00000000">
        <w:rPr>
          <w:sz w:val="28"/>
          <w:szCs w:val="28"/>
          <w:rtl w:val="0"/>
        </w:rPr>
        <w:t xml:space="preserve">Ці три підходи — лібералізм, реалізм та конструктивізм — не суперечать один одному, а скоріше доповнюють. У період війни держава мусить поєднувати інструменти правового забезпечення з політичними пріоритетами та соціальними очікуваннями. Здатність узгоджувати безпекові інтереси з морально-правовими зобов’язаннями визначає не лише ефективність державної політики, але й її легітимність у сучасному міжнародному порядку. Права людини в умовах війни стають не просто нормою — вони є маркером того, чи здатна держава зберегти обличчя в очах як власних громадян, так і міжнародного співтовариства [10, с. 46].</w:t>
      </w:r>
    </w:p>
    <w:p w:rsidR="00000000" w:rsidDel="00000000" w:rsidP="00000000" w:rsidRDefault="00000000" w:rsidRPr="00000000" w14:paraId="00000067">
      <w:pPr>
        <w:spacing w:line="360" w:lineRule="auto"/>
        <w:ind w:firstLine="709"/>
        <w:rPr>
          <w:sz w:val="28"/>
          <w:szCs w:val="28"/>
        </w:rPr>
      </w:pPr>
      <w:r w:rsidDel="00000000" w:rsidR="00000000" w:rsidRPr="00000000">
        <w:rPr>
          <w:sz w:val="28"/>
          <w:szCs w:val="28"/>
          <w:rtl w:val="0"/>
        </w:rPr>
        <w:t xml:space="preserve">Війна як форма конфлікту завжди ставить державу перед необхідністю переосмислення власних функцій, особливо в сфері захисту прав і свобод громадян. Саме в періоди збройних протистоянь національні держави мають доводити свою легітимність не лише через здатність до оборони, а й через ефективне забезпечення базових прав людини. Збройні конфлікти загострюють питання гуманітарного захисту, рівня доступу до медичних, освітніх, житлових послуг, а також правового статусу внутрішньо переміщених осіб і біженців. Саме в цьому контексті політична наука аналізує роль держави як гаранта прав в умовах надзвичайної ситуації.</w:t>
      </w:r>
    </w:p>
    <w:p w:rsidR="00000000" w:rsidDel="00000000" w:rsidP="00000000" w:rsidRDefault="00000000" w:rsidRPr="00000000" w14:paraId="00000068">
      <w:pPr>
        <w:spacing w:line="360" w:lineRule="auto"/>
        <w:ind w:firstLine="709"/>
        <w:rPr>
          <w:sz w:val="28"/>
          <w:szCs w:val="28"/>
        </w:rPr>
      </w:pPr>
      <w:r w:rsidDel="00000000" w:rsidR="00000000" w:rsidRPr="00000000">
        <w:rPr>
          <w:sz w:val="28"/>
          <w:szCs w:val="28"/>
          <w:rtl w:val="0"/>
        </w:rPr>
        <w:t xml:space="preserve">Однією з ключових функцій держави в умовах війни є забезпечення безпеки громадян. Це стосується не лише фізичної безпеки, а й захисту прав, зокрема прав на життя, свободу, гідність, соціальну допомогу та освіту. Проте, на практиці, виконання цих функцій стикається з рядом обмежень: від нестачі ресурсів до правової неврегульованості та адміністративного перевантаження. У сучасній Україні воєнного часу держава взяла на себе відповідальність за організацію евакуації населення, функціонування центрів тимчасового розміщення, виплату грошової допомоги ВПО, а також за взаємодію з міжнародними гуманітарними партнерами [11, с. 46-54].</w:t>
      </w:r>
    </w:p>
    <w:p w:rsidR="00000000" w:rsidDel="00000000" w:rsidP="00000000" w:rsidRDefault="00000000" w:rsidRPr="00000000" w14:paraId="00000069">
      <w:pPr>
        <w:spacing w:line="360" w:lineRule="auto"/>
        <w:ind w:firstLine="709"/>
        <w:rPr>
          <w:sz w:val="28"/>
          <w:szCs w:val="28"/>
        </w:rPr>
      </w:pPr>
      <w:r w:rsidDel="00000000" w:rsidR="00000000" w:rsidRPr="00000000">
        <w:rPr>
          <w:sz w:val="28"/>
          <w:szCs w:val="28"/>
          <w:rtl w:val="0"/>
        </w:rPr>
        <w:t xml:space="preserve">Проте роль держави не може бути обмежена лише власними зусиллями — особливо в умовах затяжного збройного конфлікту. У таких ситуаціях до забезпечення прав долучається міжнародна спільнота, зокрема через діяльність організацій як-от ООН, УВКБ ООН, Міжнародний комітет Червоного Хреста, а також через допомогу з боку іноземних держав, які приймають біженців або підтримують постраждалі країни матеріально, технічно, інформаційно. На прикладі України можна прослідкувати, як міжнародна допомога компенсує ті сфери, де держава є тимчасово неспроможною діяти ефективно — наприклад, у постачанні медикаментів, наданні тимчасового житла або працевлаштуванні за кордоном [12].</w:t>
      </w:r>
    </w:p>
    <w:p w:rsidR="00000000" w:rsidDel="00000000" w:rsidP="00000000" w:rsidRDefault="00000000" w:rsidRPr="00000000" w14:paraId="0000006A">
      <w:pPr>
        <w:spacing w:line="360" w:lineRule="auto"/>
        <w:ind w:firstLine="709"/>
        <w:rPr>
          <w:sz w:val="28"/>
          <w:szCs w:val="28"/>
        </w:rPr>
      </w:pPr>
      <w:r w:rsidDel="00000000" w:rsidR="00000000" w:rsidRPr="00000000">
        <w:rPr>
          <w:sz w:val="28"/>
          <w:szCs w:val="28"/>
          <w:rtl w:val="0"/>
        </w:rPr>
        <w:t xml:space="preserve">Ключовим є механізм міжнародної солідарності, що виявляється через прийняття тимчасового захисту, інтеграційних програм, освітніх та медичних ініціатив у країнах ЄС, передусім Польщі, Німеччині, Чехії, Литві. Ці заходи стали можливою формою реалізації принципів гуманітарного права, яке уможливлює спільну відповідальність міжнародної спільноти за захист цивільного населення. Така співпраця також зміцнює довіру до міжнародних організацій та держав як відповідальних акторів глобальної політики [13].</w:t>
      </w:r>
    </w:p>
    <w:p w:rsidR="00000000" w:rsidDel="00000000" w:rsidP="00000000" w:rsidRDefault="00000000" w:rsidRPr="00000000" w14:paraId="0000006B">
      <w:pPr>
        <w:spacing w:line="360" w:lineRule="auto"/>
        <w:ind w:firstLine="709"/>
        <w:rPr>
          <w:sz w:val="28"/>
          <w:szCs w:val="28"/>
        </w:rPr>
      </w:pPr>
      <w:r w:rsidDel="00000000" w:rsidR="00000000" w:rsidRPr="00000000">
        <w:rPr>
          <w:sz w:val="28"/>
          <w:szCs w:val="28"/>
          <w:rtl w:val="0"/>
        </w:rPr>
        <w:t xml:space="preserve">Важливою складовою у гарантуванні прав людини під час війни є не лише правова база, а й інституційна спроможність держави реагувати на виклики. У цьому контексті Україна демонструє динамічну адаптацію: від створення електронних платформ для ВПО до партнерства з ООН у створенні польових місій у найгарячіших регіонах. Проте, як засвідчує практика, однієї лише державної волі недостатньо. Саме тому великого значення набуває координація зусиль між урядами, міжнародними організаціями, муніципалітетами та громадськими ініціативами, які здатні забезпечити повноцінне функціонування соціального захисту в умовах обмежених ресурсів [14, с. 82-88].</w:t>
      </w:r>
    </w:p>
    <w:p w:rsidR="00000000" w:rsidDel="00000000" w:rsidP="00000000" w:rsidRDefault="00000000" w:rsidRPr="00000000" w14:paraId="0000006C">
      <w:pPr>
        <w:spacing w:line="360" w:lineRule="auto"/>
        <w:ind w:firstLine="709"/>
        <w:rPr>
          <w:sz w:val="28"/>
          <w:szCs w:val="28"/>
        </w:rPr>
      </w:pPr>
      <w:r w:rsidDel="00000000" w:rsidR="00000000" w:rsidRPr="00000000">
        <w:rPr>
          <w:sz w:val="28"/>
          <w:szCs w:val="28"/>
          <w:rtl w:val="0"/>
        </w:rPr>
        <w:t xml:space="preserve">Разом з тим війна виступає каталізатором перегляду ролі держави: вона більше не сприймається виключно як суб’єкт сили, а насамперед як інституція відповідальності. Це стосується не лише власних громадян, а й обов’язків перед міжнародною спільнотою щодо дотримання стандартів прав людини. Війна, як екзистенційна загроза, оголює справжні межі легітимності держави — чи здатна вона не лише захищати себе, а й людей, які потребують допомоги. З цього погляду, саме механізм співпраці між державами та міжнародними структурами є тим критичним елементом, що визначає ефективність забезпечення прав під час воєнних дій. </w:t>
      </w:r>
    </w:p>
    <w:p w:rsidR="00000000" w:rsidDel="00000000" w:rsidP="00000000" w:rsidRDefault="00000000" w:rsidRPr="00000000" w14:paraId="0000006D">
      <w:pPr>
        <w:spacing w:line="360" w:lineRule="auto"/>
        <w:ind w:firstLine="709"/>
        <w:rPr>
          <w:sz w:val="28"/>
          <w:szCs w:val="28"/>
        </w:rPr>
      </w:pPr>
      <w:r w:rsidDel="00000000" w:rsidR="00000000" w:rsidRPr="00000000">
        <w:rPr>
          <w:sz w:val="28"/>
          <w:szCs w:val="28"/>
          <w:rtl w:val="0"/>
        </w:rPr>
        <w:t xml:space="preserve">Таким чином, забезпечення прав під час війни є процесом політичної взаємодії між національною державою, яка виконує функції організатора та координатора, і міжнародною спільнотою, що виступає ресурсною, правозахисною і моніторинговою опорою. Їх синергія дозволяє зберігати не лише стабільність у найскладніших обставинах, а й базові цінності демократичного світу — гідність, свободу, солідарність.</w:t>
      </w:r>
    </w:p>
    <w:p w:rsidR="00000000" w:rsidDel="00000000" w:rsidP="00000000" w:rsidRDefault="00000000" w:rsidRPr="00000000" w14:paraId="0000006E">
      <w:pPr>
        <w:spacing w:line="360" w:lineRule="auto"/>
        <w:ind w:firstLine="709"/>
        <w:rPr>
          <w:sz w:val="28"/>
          <w:szCs w:val="28"/>
        </w:rPr>
      </w:pPr>
      <w:r w:rsidDel="00000000" w:rsidR="00000000" w:rsidRPr="00000000">
        <w:rPr>
          <w:sz w:val="28"/>
          <w:szCs w:val="28"/>
          <w:rtl w:val="0"/>
        </w:rPr>
        <w:t xml:space="preserve">У сучасному глобалізованому світі збройні конфлікти дедалі більше висвітлюють обмеження класичного уявлення про державу як єдиного гаранта прав людини. Воєнний стан радикально трансформує простір, у якому взаємодіють громадянин і держава, і водночас висуває на передній план роль міжнародних акторів, неурядових структур та транскордонних механізмів захисту. У цьому контексті політологічне осмислення прав людини виходить за межі внутрішнього суверенітету держави та набуває рис транснаціонального політичного явища. Саме війна, як один із найекстремальніших станів суспільства, виявляє глибину криз правової, інституційної та моральної відповідальності держави перед своїми громадянами.</w:t>
      </w:r>
    </w:p>
    <w:p w:rsidR="00000000" w:rsidDel="00000000" w:rsidP="00000000" w:rsidRDefault="00000000" w:rsidRPr="00000000" w14:paraId="0000006F">
      <w:pPr>
        <w:spacing w:line="360" w:lineRule="auto"/>
        <w:ind w:firstLine="709"/>
        <w:rPr>
          <w:sz w:val="28"/>
          <w:szCs w:val="28"/>
        </w:rPr>
      </w:pPr>
      <w:r w:rsidDel="00000000" w:rsidR="00000000" w:rsidRPr="00000000">
        <w:rPr>
          <w:sz w:val="28"/>
          <w:szCs w:val="28"/>
          <w:rtl w:val="0"/>
        </w:rPr>
        <w:t xml:space="preserve">З позицій політичної теорії, захист прав людини в умовах війни перестає бути лише внутрішньополітичним питанням. Це вже не лише предмет морального вибору чи гуманітарної потреби, а й форма політичної комунікації та конкуренції між різними моделями державності, ідеологіями та цивілізаційними проектами. Конфлікт між державою-агресором і державою-жертвою — це не тільки протистояння військових машин, а й боротьба за правову легітимність, підтримку світової спільноти, за визнання справедливості на міжнародному рівні. Саме тому дискурс прав людини набуває стратегічного виміру, перетворюючись на ресурс політичної мобілізації, засіб дипломатичного впливу та символічний капітал держави.</w:t>
      </w:r>
    </w:p>
    <w:p w:rsidR="00000000" w:rsidDel="00000000" w:rsidP="00000000" w:rsidRDefault="00000000" w:rsidRPr="00000000" w14:paraId="00000070">
      <w:pPr>
        <w:spacing w:line="360" w:lineRule="auto"/>
        <w:ind w:firstLine="709"/>
        <w:rPr>
          <w:sz w:val="28"/>
          <w:szCs w:val="28"/>
        </w:rPr>
      </w:pPr>
      <w:r w:rsidDel="00000000" w:rsidR="00000000" w:rsidRPr="00000000">
        <w:rPr>
          <w:sz w:val="28"/>
          <w:szCs w:val="28"/>
          <w:rtl w:val="0"/>
        </w:rPr>
        <w:t xml:space="preserve">У рамках сучасних політичних досліджень активно обговорюється поняття "стійкості прав людини", яке позначає здатність державних інституцій, громадянського суспільства та міжнародних структур забезпечувати неперервність захисту навіть в умовах катастрофічних потрясінь. У випадку України війна стала лакмусовим папірцем для перевірки здатності політичної системи адаптуватися до нових викликів, зберігши при цьому базові правові зобов’язання. Особливої ваги набувають питання не лише де-юре захищеності, а й де-факто реалізованості прав, що залежить від спроможності держави гарантувати доступ до медицини, освіти, житла, соціальної підтримки та правосуддя для внутрішньо переміщених осіб і біженців.</w:t>
      </w:r>
    </w:p>
    <w:p w:rsidR="00000000" w:rsidDel="00000000" w:rsidP="00000000" w:rsidRDefault="00000000" w:rsidRPr="00000000" w14:paraId="00000071">
      <w:pPr>
        <w:spacing w:line="360" w:lineRule="auto"/>
        <w:ind w:firstLine="709"/>
        <w:rPr>
          <w:sz w:val="28"/>
          <w:szCs w:val="28"/>
        </w:rPr>
      </w:pPr>
      <w:r w:rsidDel="00000000" w:rsidR="00000000" w:rsidRPr="00000000">
        <w:rPr>
          <w:sz w:val="28"/>
          <w:szCs w:val="28"/>
          <w:rtl w:val="0"/>
        </w:rPr>
        <w:t xml:space="preserve">Крім того, війна вносить зміни у саму структуру політичного простору. Вона змушує державу переглядати систему управління, делегувати частину функцій місцевій владі, активізувати громадські ініціативи, розширювати можливості для співпраці з міжнародними організаціями. В умовах дестабілізації традиційних адміністративних вертикалей формується новий тип політичного порядку — мобілізаційний, в якому права людини стають не лише ціллю, а й інструментом відновлення державності. Наприклад, впровадження електронних державних сервісів для переселенців в Україні (зокрема через платформу "Дія") стало водночас і засобом підтримки населення, і механізмом збереження функцій держави [15, с. 103-107].</w:t>
      </w:r>
    </w:p>
    <w:p w:rsidR="00000000" w:rsidDel="00000000" w:rsidP="00000000" w:rsidRDefault="00000000" w:rsidRPr="00000000" w14:paraId="00000072">
      <w:pPr>
        <w:spacing w:line="360" w:lineRule="auto"/>
        <w:ind w:firstLine="709"/>
        <w:rPr>
          <w:sz w:val="28"/>
          <w:szCs w:val="28"/>
        </w:rPr>
      </w:pPr>
      <w:r w:rsidDel="00000000" w:rsidR="00000000" w:rsidRPr="00000000">
        <w:rPr>
          <w:sz w:val="28"/>
          <w:szCs w:val="28"/>
          <w:rtl w:val="0"/>
        </w:rPr>
        <w:t xml:space="preserve">Політична теорія також фіксує появу нового типу політичної суб'єктності — громадянина війни. Це не просто особа, що постраждала від збройного конфлікту, а активний учасник політичного процесу, який вимагає прозорості дій влади, доступу до міжнародних інструментів захисту, включення до процесів прийняття рішень. Такий громадянин постає в результаті взаємодії між індивідом, правозахисними інституціями та глобальними медіа, які підсилюють його голос на міжнародному рівні. Таким чином, війна спричиняє появу нових форм політичної активності та суб’єктності, що базуються на боротьбі за власні права як форму виживання.</w:t>
      </w:r>
    </w:p>
    <w:p w:rsidR="00000000" w:rsidDel="00000000" w:rsidP="00000000" w:rsidRDefault="00000000" w:rsidRPr="00000000" w14:paraId="00000073">
      <w:pPr>
        <w:spacing w:line="360" w:lineRule="auto"/>
        <w:ind w:firstLine="709"/>
        <w:rPr>
          <w:sz w:val="28"/>
          <w:szCs w:val="28"/>
        </w:rPr>
      </w:pPr>
      <w:r w:rsidDel="00000000" w:rsidR="00000000" w:rsidRPr="00000000">
        <w:rPr>
          <w:sz w:val="28"/>
          <w:szCs w:val="28"/>
          <w:rtl w:val="0"/>
        </w:rPr>
        <w:t xml:space="preserve">Важливо також зазначити, що захист прав у період війни передбачає постійне балансування між правом і доцільністю. Держава стикається з необхідністю обмежувати окремі права, посилаючись на безпекові ризики, але при цьому зобов’язана гарантувати, що такі обмеження будуть тимчасовими, обґрунтованими, пропорційними та не дискримінаційними. Це ставить політичні режими перед викликом легітимації: наскільки демократичною залишається держава, яка змушена вдаватися до надзвичайних заходів? Як зберегти демократичні інституції в умовах, коли пріоритет набувають армія, мобілізація, централізація та інформаційна безпека?</w:t>
      </w:r>
    </w:p>
    <w:p w:rsidR="00000000" w:rsidDel="00000000" w:rsidP="00000000" w:rsidRDefault="00000000" w:rsidRPr="00000000" w14:paraId="00000074">
      <w:pPr>
        <w:spacing w:line="360" w:lineRule="auto"/>
        <w:ind w:firstLine="709"/>
        <w:rPr>
          <w:sz w:val="28"/>
          <w:szCs w:val="28"/>
        </w:rPr>
      </w:pPr>
      <w:r w:rsidDel="00000000" w:rsidR="00000000" w:rsidRPr="00000000">
        <w:rPr>
          <w:sz w:val="28"/>
          <w:szCs w:val="28"/>
          <w:rtl w:val="0"/>
        </w:rPr>
        <w:t xml:space="preserve">У цьому контексті ключову роль відіграють міжнародні акти — як-от Конвенція про права людини, Женевські конвенції, Римський статут — які стають тим нормативним компасом, що визначає межі допустимого в умовах надзвичайного стану. Утім, самі по собі правові документи не здатні забезпечити захист. Вони набувають сили лише тоді, коли політична воля держави співпадає з дієздатністю її інституцій, а міжнародна спільнота — з готовністю до реальної допомоги. Отже, права людини в умовах війни — це не лише норми, але й віддзеркалення якості політичного управління, рівня довіри громадян до влади та ступеня інтегрованості держави в глобальний правовий простір [14, с. 82-88].</w:t>
      </w:r>
    </w:p>
    <w:p w:rsidR="00000000" w:rsidDel="00000000" w:rsidP="00000000" w:rsidRDefault="00000000" w:rsidRPr="00000000" w14:paraId="00000075">
      <w:pPr>
        <w:spacing w:line="360" w:lineRule="auto"/>
        <w:ind w:firstLine="709"/>
        <w:rPr>
          <w:sz w:val="28"/>
          <w:szCs w:val="28"/>
        </w:rPr>
      </w:pPr>
      <w:r w:rsidDel="00000000" w:rsidR="00000000" w:rsidRPr="00000000">
        <w:rPr>
          <w:sz w:val="28"/>
          <w:szCs w:val="28"/>
          <w:rtl w:val="0"/>
        </w:rPr>
        <w:t xml:space="preserve">Таким чином, політична наука сьогодні не просто реєструє порушення прав людини під час воєнних дій, а намагається розробити механізми перетворення права на дієвий інструмент збереження людської гідності у найгостріших обставинах. Захист громадян в умовах війни — це, передусім, тест на цивілізованість, відповідальність та ефективність політичної влади. Саме тому публічне обговорення, академічне осмислення та політична інституалізація цих процесів стають передумовами побудови не лише стійкої держави, а й життєздатного демократичного суспільства навіть у період найглибших криз.</w:t>
      </w:r>
    </w:p>
    <w:p w:rsidR="00000000" w:rsidDel="00000000" w:rsidP="00000000" w:rsidRDefault="00000000" w:rsidRPr="00000000" w14:paraId="00000076">
      <w:pPr>
        <w:spacing w:line="360" w:lineRule="auto"/>
        <w:ind w:firstLine="709"/>
        <w:rPr>
          <w:sz w:val="28"/>
          <w:szCs w:val="28"/>
        </w:rPr>
      </w:pPr>
      <w:r w:rsidDel="00000000" w:rsidR="00000000" w:rsidRPr="00000000">
        <w:rPr>
          <w:rtl w:val="0"/>
        </w:rPr>
      </w:r>
    </w:p>
    <w:p w:rsidR="00000000" w:rsidDel="00000000" w:rsidP="00000000" w:rsidRDefault="00000000" w:rsidRPr="00000000" w14:paraId="00000077">
      <w:pPr>
        <w:spacing w:line="360" w:lineRule="auto"/>
        <w:ind w:firstLine="709"/>
        <w:rPr>
          <w:b w:val="1"/>
          <w:sz w:val="28"/>
          <w:szCs w:val="28"/>
        </w:rPr>
      </w:pPr>
      <w:r w:rsidDel="00000000" w:rsidR="00000000" w:rsidRPr="00000000">
        <w:rPr>
          <w:b w:val="1"/>
          <w:sz w:val="28"/>
          <w:szCs w:val="28"/>
          <w:rtl w:val="0"/>
        </w:rPr>
        <w:t xml:space="preserve">1.2. Захист прав громадян у системі міжнародного гуманітарного права</w:t>
      </w:r>
    </w:p>
    <w:p w:rsidR="00000000" w:rsidDel="00000000" w:rsidP="00000000" w:rsidRDefault="00000000" w:rsidRPr="00000000" w14:paraId="00000078">
      <w:pPr>
        <w:spacing w:line="360" w:lineRule="auto"/>
        <w:ind w:firstLine="709"/>
        <w:rPr>
          <w:sz w:val="28"/>
          <w:szCs w:val="28"/>
        </w:rPr>
      </w:pPr>
      <w:r w:rsidDel="00000000" w:rsidR="00000000" w:rsidRPr="00000000">
        <w:rPr>
          <w:rtl w:val="0"/>
        </w:rPr>
      </w:r>
    </w:p>
    <w:p w:rsidR="00000000" w:rsidDel="00000000" w:rsidP="00000000" w:rsidRDefault="00000000" w:rsidRPr="00000000" w14:paraId="00000079">
      <w:pPr>
        <w:spacing w:line="360" w:lineRule="auto"/>
        <w:ind w:firstLine="720"/>
        <w:rPr>
          <w:sz w:val="28"/>
          <w:szCs w:val="28"/>
        </w:rPr>
      </w:pPr>
      <w:r w:rsidDel="00000000" w:rsidR="00000000" w:rsidRPr="00000000">
        <w:rPr>
          <w:sz w:val="28"/>
          <w:szCs w:val="28"/>
          <w:rtl w:val="0"/>
        </w:rPr>
        <w:t xml:space="preserve">У період збройних конфліктів саме міжнародне гуманітарне право (МГП) стає основним нормативним інструментом, покликаним гарантувати захист цивільного населення. Цей розділ міжнародного права визначає правила ведення війни та встановлює обов’язки воюючих сторін щодо осіб, які не беруть участі в бойових діях. У центрі уваги МГП перебувають питання забезпечення прав людини, гуманного поводження, обмеження засобів і методів ведення війни, захисту жінок, дітей, поранених, медичного персоналу й цивільних осіб.</w:t>
      </w:r>
    </w:p>
    <w:p w:rsidR="00000000" w:rsidDel="00000000" w:rsidP="00000000" w:rsidRDefault="00000000" w:rsidRPr="00000000" w14:paraId="0000007A">
      <w:pPr>
        <w:spacing w:line="360" w:lineRule="auto"/>
        <w:ind w:firstLine="720"/>
        <w:rPr>
          <w:sz w:val="28"/>
          <w:szCs w:val="28"/>
        </w:rPr>
      </w:pPr>
      <w:r w:rsidDel="00000000" w:rsidR="00000000" w:rsidRPr="00000000">
        <w:rPr>
          <w:sz w:val="28"/>
          <w:szCs w:val="28"/>
          <w:rtl w:val="0"/>
        </w:rPr>
        <w:t xml:space="preserve">Базовим документом у сфері міжнародного гуманітарного права є Женевські конвенції 1949 року, ратифіковані більшістю держав світу, у тому числі й Україною. Особливе значення для захисту цивільного населення має IV Женевська конвенція «Про захист цивільного населення під час війни». Вона забороняє насильство над особами, які не беруть участі в бойових діях, передбачає заборону на колективні покарання, репресії та примусове переміщення. Конвенція також зобов’язує сторони конфлікту забезпечити доступ гуманітарної допомоги до населення, яке постраждало від війни [16, с. 89].</w:t>
      </w:r>
    </w:p>
    <w:p w:rsidR="00000000" w:rsidDel="00000000" w:rsidP="00000000" w:rsidRDefault="00000000" w:rsidRPr="00000000" w14:paraId="0000007B">
      <w:pPr>
        <w:spacing w:line="360" w:lineRule="auto"/>
        <w:ind w:firstLine="720"/>
        <w:rPr>
          <w:sz w:val="28"/>
          <w:szCs w:val="28"/>
        </w:rPr>
      </w:pPr>
      <w:r w:rsidDel="00000000" w:rsidR="00000000" w:rsidRPr="00000000">
        <w:rPr>
          <w:sz w:val="28"/>
          <w:szCs w:val="28"/>
          <w:rtl w:val="0"/>
        </w:rPr>
        <w:t xml:space="preserve">Доповненням до цих документів виступають Додаткові протоколи 1977 року до Женевських конвенцій, які деталізують захист жертв міжнародних та неміжнародних збройних конфліктів. Зокрема, у них містяться положення про заборону нападів на цивільну інфраструктуру (лікарні, школи, об’єкти водопостачання), обов’язок проводити розслідування щодо порушень гуманітарного права, а також передбачають індивідуальну кримінальну відповідальність за воєнні злочини. Це стало особливо актуальним у зв’язку з масовими воєнними злочинами на території України, що зафіксовані низкою міжнародних організацій.</w:t>
      </w:r>
    </w:p>
    <w:p w:rsidR="00000000" w:rsidDel="00000000" w:rsidP="00000000" w:rsidRDefault="00000000" w:rsidRPr="00000000" w14:paraId="0000007C">
      <w:pPr>
        <w:spacing w:line="360" w:lineRule="auto"/>
        <w:ind w:firstLine="720"/>
        <w:rPr>
          <w:sz w:val="28"/>
          <w:szCs w:val="28"/>
        </w:rPr>
      </w:pPr>
      <w:r w:rsidDel="00000000" w:rsidR="00000000" w:rsidRPr="00000000">
        <w:rPr>
          <w:sz w:val="28"/>
          <w:szCs w:val="28"/>
          <w:rtl w:val="0"/>
        </w:rPr>
        <w:t xml:space="preserve">Вагому роль у захисті цивільного населення відіграє також Конвенція про статус біженців 1951 року та Протокол до неї 1967 року. Ці акти визначають юридичний статус осіб, змушених залишити свою країну внаслідок війни чи переслідувань, та встановлюють механізми їх правового захисту в державах, які надали притулок. Документи забороняють висилку біженців у країну, де їм загрожує небезпека, і передбачають право на доступ до освіти, охорони здоров’я, праці, судового захисту [17].</w:t>
      </w:r>
    </w:p>
    <w:p w:rsidR="00000000" w:rsidDel="00000000" w:rsidP="00000000" w:rsidRDefault="00000000" w:rsidRPr="00000000" w14:paraId="0000007D">
      <w:pPr>
        <w:spacing w:line="360" w:lineRule="auto"/>
        <w:ind w:firstLine="720"/>
        <w:rPr>
          <w:sz w:val="28"/>
          <w:szCs w:val="28"/>
        </w:rPr>
      </w:pPr>
      <w:r w:rsidDel="00000000" w:rsidR="00000000" w:rsidRPr="00000000">
        <w:rPr>
          <w:sz w:val="28"/>
          <w:szCs w:val="28"/>
          <w:rtl w:val="0"/>
        </w:rPr>
        <w:t xml:space="preserve">У сучасному контексті української кризи Європейський Союз також оперативно активував </w:t>
      </w:r>
      <w:r w:rsidDel="00000000" w:rsidR="00000000" w:rsidRPr="00000000">
        <w:rPr>
          <w:b w:val="1"/>
          <w:sz w:val="28"/>
          <w:szCs w:val="28"/>
          <w:rtl w:val="0"/>
        </w:rPr>
        <w:t xml:space="preserve">Директиву 2001/55/ЄС</w:t>
      </w:r>
      <w:r w:rsidDel="00000000" w:rsidR="00000000" w:rsidRPr="00000000">
        <w:rPr>
          <w:sz w:val="28"/>
          <w:szCs w:val="28"/>
          <w:rtl w:val="0"/>
        </w:rPr>
        <w:t xml:space="preserve">, що надає тимчасовий захист біженцям з України. Це стало першим випадком в історії ЄС, коли такий механізм був застосований до великомасштабного переміщення цивільного населення. Тимчасовий захист гарантує українським громадянам проживання, працевлаштування, доступ до соціальних послуг, освіти та медичної допомоги на території держав-членів. ЄС також координує дії через Агентство з надання притулку та FRONTEX, забезпечуючи належну реєстрацію, розселення і правовий супровід переселенців [18].</w:t>
      </w:r>
    </w:p>
    <w:p w:rsidR="00000000" w:rsidDel="00000000" w:rsidP="00000000" w:rsidRDefault="00000000" w:rsidRPr="00000000" w14:paraId="0000007E">
      <w:pPr>
        <w:spacing w:line="360" w:lineRule="auto"/>
        <w:ind w:firstLine="720"/>
        <w:rPr>
          <w:sz w:val="28"/>
          <w:szCs w:val="28"/>
        </w:rPr>
      </w:pPr>
      <w:r w:rsidDel="00000000" w:rsidR="00000000" w:rsidRPr="00000000">
        <w:rPr>
          <w:sz w:val="28"/>
          <w:szCs w:val="28"/>
          <w:rtl w:val="0"/>
        </w:rPr>
        <w:t xml:space="preserve">Міжнародний кримінальний суд (МКС), створений Римським статутом 1998 року, є ще одним важливим механізмом притягнення до відповідальності осіб, які вчиняють грубі порушення гуманітарного права. МКС має юрисдикцію над воєнними злочинами, злочинами проти людяності та геноцидом. Україна визнала юрисдикцію МКС щодо злочинів, вчинених на її території після 2014 року. Це створює юридичні передумови для розслідування злочинів, скоєних під час російсько-української війни, зокрема нападів на цивільне населення, тортур, масових убивств та депортацій [19].</w:t>
      </w:r>
    </w:p>
    <w:p w:rsidR="00000000" w:rsidDel="00000000" w:rsidP="00000000" w:rsidRDefault="00000000" w:rsidRPr="00000000" w14:paraId="0000007F">
      <w:pPr>
        <w:spacing w:line="360" w:lineRule="auto"/>
        <w:ind w:firstLine="720"/>
        <w:rPr>
          <w:sz w:val="28"/>
          <w:szCs w:val="28"/>
        </w:rPr>
      </w:pPr>
      <w:r w:rsidDel="00000000" w:rsidR="00000000" w:rsidRPr="00000000">
        <w:rPr>
          <w:sz w:val="28"/>
          <w:szCs w:val="28"/>
          <w:rtl w:val="0"/>
        </w:rPr>
        <w:t xml:space="preserve">На додаток до нормативно-правових актів, важливу роль у забезпеченні захисту відіграють міжнародні організації. Управління Верховного комісара ООН у справах біженців (УВКБ ООН) координує надання допомоги переміщеним особам, забезпечує логістику, інформування та правову підтримку. Червоний Хрест, як нейтральна гуманітарна структура, має мандат на моніторинг дотримання норм Женевських конвенцій на місцях і забезпечує доступ до допомоги в зонах бойових дій. Їхня присутність у регіонах бойових дій та на кордонах дозволяє оперативно реагувати на порушення прав цивільних, координувати евакуацію, надавати психологічну і медичну підтримку [20].</w:t>
      </w:r>
    </w:p>
    <w:p w:rsidR="00000000" w:rsidDel="00000000" w:rsidP="00000000" w:rsidRDefault="00000000" w:rsidRPr="00000000" w14:paraId="00000080">
      <w:pPr>
        <w:spacing w:line="360" w:lineRule="auto"/>
        <w:ind w:firstLine="720"/>
        <w:rPr>
          <w:sz w:val="28"/>
          <w:szCs w:val="28"/>
        </w:rPr>
      </w:pPr>
      <w:r w:rsidDel="00000000" w:rsidR="00000000" w:rsidRPr="00000000">
        <w:rPr>
          <w:sz w:val="28"/>
          <w:szCs w:val="28"/>
          <w:rtl w:val="0"/>
        </w:rPr>
        <w:t xml:space="preserve">Таким чином, міжнародне гуманітарне право — це багаторівнева система, яка поєднує універсальні правові норми з механізмами контролю та відповідальності. Його реалізація залежить від злагодженої взаємодії держав, міжнародних інституцій та громадянського суспільства. У випадку України ці механізми відіграють вирішальну роль у захисті мільйонів осіб, що стали жертвами агресії, та забезпечують юридичне підґрунтя для притягнення винних до відповідальності.</w:t>
      </w:r>
    </w:p>
    <w:p w:rsidR="00000000" w:rsidDel="00000000" w:rsidP="00000000" w:rsidRDefault="00000000" w:rsidRPr="00000000" w14:paraId="00000081">
      <w:pPr>
        <w:spacing w:line="360" w:lineRule="auto"/>
        <w:ind w:firstLine="720"/>
        <w:rPr>
          <w:sz w:val="28"/>
          <w:szCs w:val="28"/>
        </w:rPr>
      </w:pPr>
      <w:r w:rsidDel="00000000" w:rsidR="00000000" w:rsidRPr="00000000">
        <w:rPr>
          <w:sz w:val="28"/>
          <w:szCs w:val="28"/>
          <w:rtl w:val="0"/>
        </w:rPr>
        <w:t xml:space="preserve">У сучасних умовах війни міжнародні організації відіграють ключову роль у захисті цивільного населення, координуванні гуманітарного реагування, документуванні порушень прав людини та сприянні дотриманню норм міжнародного гуманітарного права. Їхня діяльність ґрунтується на принципах нейтральності, гуманності, неупередженості та незалежності, що дозволяє здійснювати допомогу навіть у найгарячіших точках планети, де інституції державної влади втрачають контроль або не можуть гарантувати базові права своїх громадян.</w:t>
      </w:r>
    </w:p>
    <w:p w:rsidR="00000000" w:rsidDel="00000000" w:rsidP="00000000" w:rsidRDefault="00000000" w:rsidRPr="00000000" w14:paraId="00000082">
      <w:pPr>
        <w:spacing w:line="360" w:lineRule="auto"/>
        <w:ind w:firstLine="720"/>
        <w:rPr>
          <w:sz w:val="28"/>
          <w:szCs w:val="28"/>
        </w:rPr>
      </w:pPr>
      <w:r w:rsidDel="00000000" w:rsidR="00000000" w:rsidRPr="00000000">
        <w:rPr>
          <w:sz w:val="28"/>
          <w:szCs w:val="28"/>
          <w:rtl w:val="0"/>
        </w:rPr>
        <w:t xml:space="preserve">Найбільш універсальною та комплексною у сфері захисту прав людини в умовах війни виступає Організація Об'єднаних Націй (ООН). Через свої численні спеціалізовані органи — Управління Верховного комісара ООН у справах біженців (УВКБ ООН), Управління з координації гуманітарних питань (OCHA), Дитячий фонд ООН (ЮНІСЕФ), Програму розвитку ООН (ПРООН) — ця інституція здійснює комплексну гуманітарну, технічну, медичну і правову підтримку постраждалим від конфліктів. Зокрема, УВКБ ООН займається моніторингом пересування біженців, організацією пунктів тимчасового розміщення, забезпеченням доступу до правової допомоги та медичних послуг. У 2022–2024 роках в Україні та сусідніх державах було відкрито сотні польових офісів УВКБ для реагування на гуманітарну кризу, спричинену повномасштабною війною [21].</w:t>
      </w:r>
    </w:p>
    <w:p w:rsidR="00000000" w:rsidDel="00000000" w:rsidP="00000000" w:rsidRDefault="00000000" w:rsidRPr="00000000" w14:paraId="00000083">
      <w:pPr>
        <w:spacing w:line="360" w:lineRule="auto"/>
        <w:ind w:firstLine="720"/>
        <w:rPr>
          <w:sz w:val="28"/>
          <w:szCs w:val="28"/>
        </w:rPr>
      </w:pPr>
      <w:r w:rsidDel="00000000" w:rsidR="00000000" w:rsidRPr="00000000">
        <w:rPr>
          <w:sz w:val="28"/>
          <w:szCs w:val="28"/>
          <w:rtl w:val="0"/>
        </w:rPr>
        <w:t xml:space="preserve">ООН також активно реалізує інформаційні кампанії, спрямовані на підвищення обізнаності населення щодо доступних прав і процедур. Через мобільні групи, гарячі лінії та онлайн-платформи громадяни України отримують консультації щодо тимчасового захисту, статусу біженця, програм фінансової підтримки. Особливий акцент робиться на захист вразливих категорій населення — жінок, дітей, осіб з інвалідністю. Додатково, ООН веде системний моніторинг порушень прав людини з боку учасників збройного конфлікту та документує факти, які можуть слугувати доказами у міжнародних кримінальних процесах [22].</w:t>
      </w:r>
    </w:p>
    <w:p w:rsidR="00000000" w:rsidDel="00000000" w:rsidP="00000000" w:rsidRDefault="00000000" w:rsidRPr="00000000" w14:paraId="00000084">
      <w:pPr>
        <w:spacing w:line="360" w:lineRule="auto"/>
        <w:ind w:firstLine="720"/>
        <w:rPr>
          <w:sz w:val="28"/>
          <w:szCs w:val="28"/>
        </w:rPr>
      </w:pPr>
      <w:r w:rsidDel="00000000" w:rsidR="00000000" w:rsidRPr="00000000">
        <w:rPr>
          <w:sz w:val="28"/>
          <w:szCs w:val="28"/>
          <w:rtl w:val="0"/>
        </w:rPr>
        <w:t xml:space="preserve">Нарівні з ООН вагому гуманітарну роль виконує Міжнародний Комітет Червоного Хреста (МКЧХ) — незалежна організація, яка має спеціальний мандат, закріплений у Женевських конвенціях. Основною метою Червоного Хреста є захист жертв збройних конфліктів та внутрішніх заворушень, надання їм першочергової допомоги, а також забезпечення дотримання норм гуманітарного права. З початком війни в Україні МКЧХ розгорнув масштабну гуманітарну операцію, що включає евакуацію цивільного населення, доставку медикаментів і продуктів, сприяння у возз’єднанні розлучених родин, ведення переговорів з воюючими сторонами щодо обміну полоненими [23, с. 86].</w:t>
      </w:r>
    </w:p>
    <w:p w:rsidR="00000000" w:rsidDel="00000000" w:rsidP="00000000" w:rsidRDefault="00000000" w:rsidRPr="00000000" w14:paraId="00000085">
      <w:pPr>
        <w:spacing w:line="360" w:lineRule="auto"/>
        <w:ind w:firstLine="720"/>
        <w:rPr>
          <w:sz w:val="28"/>
          <w:szCs w:val="28"/>
        </w:rPr>
      </w:pPr>
      <w:r w:rsidDel="00000000" w:rsidR="00000000" w:rsidRPr="00000000">
        <w:rPr>
          <w:sz w:val="28"/>
          <w:szCs w:val="28"/>
          <w:rtl w:val="0"/>
        </w:rPr>
        <w:t xml:space="preserve">Особливо важливою є роль Червоного Хреста в зонах активних бойових дій, де інші гуманітарні актори мають обмежений доступ. Завдяки нейтральному статусу та визнаному авторитету, МКЧХ може входити до закритих територій, у тому числі тимчасово окупованих, забезпечуючи базовий рівень захисту та інформування. Організація також веде переговори з військовими структурами щодо дотримання гуманітарних коридорів і недопущення нападів на цивільні об’єкти — лікарні, школи, об’єкти критичної інфраструктури.</w:t>
      </w:r>
    </w:p>
    <w:p w:rsidR="00000000" w:rsidDel="00000000" w:rsidP="00000000" w:rsidRDefault="00000000" w:rsidRPr="00000000" w14:paraId="00000086">
      <w:pPr>
        <w:spacing w:line="360" w:lineRule="auto"/>
        <w:ind w:firstLine="720"/>
        <w:rPr>
          <w:sz w:val="28"/>
          <w:szCs w:val="28"/>
        </w:rPr>
      </w:pPr>
      <w:r w:rsidDel="00000000" w:rsidR="00000000" w:rsidRPr="00000000">
        <w:rPr>
          <w:sz w:val="28"/>
          <w:szCs w:val="28"/>
          <w:rtl w:val="0"/>
        </w:rPr>
        <w:t xml:space="preserve">Доповнюючи діяльність УВКБ ООН і Червоного Хреста, інші міжнародні інституції — як-от Міжнародна організація з міграції (МОМ), Всесвітня продовольча програма (WFP), Міжнародна федерація товариств Червоного Хреста (IFRC) — забезпечують логістику, харчову допомогу, розселення та психосоціальну підтримку. На прикладі польсько-українського співробітництва можна простежити успішну модель скоординованої гуманітарної відповіді, де організації ООН, національні уряди та місцеві органи влади працюють у тісному партнерстві, забезпечуючи комплексний підхід до захисту громадян [25, с. 56-64].</w:t>
      </w:r>
    </w:p>
    <w:p w:rsidR="00000000" w:rsidDel="00000000" w:rsidP="00000000" w:rsidRDefault="00000000" w:rsidRPr="00000000" w14:paraId="00000087">
      <w:pPr>
        <w:spacing w:line="360" w:lineRule="auto"/>
        <w:ind w:firstLine="720"/>
        <w:rPr>
          <w:sz w:val="28"/>
          <w:szCs w:val="28"/>
        </w:rPr>
      </w:pPr>
      <w:r w:rsidDel="00000000" w:rsidR="00000000" w:rsidRPr="00000000">
        <w:rPr>
          <w:sz w:val="28"/>
          <w:szCs w:val="28"/>
          <w:rtl w:val="0"/>
        </w:rPr>
        <w:t xml:space="preserve">Узагальнюючи, слід зазначити, що міжнародні організації виступають не лише рятівниками у критичний момент, а й інституційними гарантами базових прав у ситуаціях, коли національні системи не справляються з викликами. Їхня діяльність демонструє ефективність транснаціонального управління у сфері гуманітарної безпеки, а також підтверджує здатність міжнародного права працювати навіть у найскладніших умовах. В умовах війни в Україні ця взаємодія набуває стратегічного значення — вона не тільки допомагає зменшити страждання мільйонів людей, а й формує основу для післявоєнної реінтеграції, правового переслідування злочинців і зміцнення глобального режиму захисту прав людини.</w:t>
      </w:r>
    </w:p>
    <w:p w:rsidR="00000000" w:rsidDel="00000000" w:rsidP="00000000" w:rsidRDefault="00000000" w:rsidRPr="00000000" w14:paraId="00000088">
      <w:pPr>
        <w:spacing w:line="360" w:lineRule="auto"/>
        <w:ind w:firstLine="720"/>
        <w:rPr>
          <w:sz w:val="28"/>
          <w:szCs w:val="28"/>
        </w:rPr>
      </w:pPr>
      <w:r w:rsidDel="00000000" w:rsidR="00000000" w:rsidRPr="00000000">
        <w:rPr>
          <w:sz w:val="28"/>
          <w:szCs w:val="28"/>
          <w:rtl w:val="0"/>
        </w:rPr>
        <w:t xml:space="preserve">Війна майже завжди супроводжується системними порушеннями прав людини, що охоплюють усі сфери життя: від права на життя та особисту недоторканність до права на житло, медичну допомогу, свободу пересування та захист від катувань. Особливо масштабними й кричущими є порушення в контексті сучасних збройних конфліктів, зокрема в Україні, де, за даними міжнародних організацій, зафіксовані численні випадки незаконних обстрілів, зґвалтувань, депортацій, катувань, порушень прав біженців і внутрішньо переміщених осіб [24].</w:t>
      </w:r>
    </w:p>
    <w:p w:rsidR="00000000" w:rsidDel="00000000" w:rsidP="00000000" w:rsidRDefault="00000000" w:rsidRPr="00000000" w14:paraId="00000089">
      <w:pPr>
        <w:spacing w:line="360" w:lineRule="auto"/>
        <w:ind w:firstLine="720"/>
        <w:rPr>
          <w:sz w:val="28"/>
          <w:szCs w:val="28"/>
        </w:rPr>
      </w:pPr>
      <w:r w:rsidDel="00000000" w:rsidR="00000000" w:rsidRPr="00000000">
        <w:rPr>
          <w:sz w:val="28"/>
          <w:szCs w:val="28"/>
          <w:rtl w:val="0"/>
        </w:rPr>
        <w:t xml:space="preserve">Права людини порушуються як з боку держави-агресора, так і, подекуди, внаслідок недосконалості системи захисту в самій постраждалій державі. Наприклад, неефективність судової системи, затримки в реєстрації переміщених осіб, недоступність медичних послуг — усе це теж може розглядатися як порушення міжнародних стандартів. Згідно з даними, наданими у звітах Українського омбудсмана, міжнародних правозахисних місій та гуманітарних організацій, з 2022 року на території України зафіксовано понад 90 тисяч порушень прав цивільного населення [26, с. 115-125].</w:t>
      </w:r>
    </w:p>
    <w:p w:rsidR="00000000" w:rsidDel="00000000" w:rsidP="00000000" w:rsidRDefault="00000000" w:rsidRPr="00000000" w14:paraId="0000008A">
      <w:pPr>
        <w:spacing w:line="360" w:lineRule="auto"/>
        <w:ind w:firstLine="720"/>
        <w:rPr>
          <w:sz w:val="28"/>
          <w:szCs w:val="28"/>
        </w:rPr>
      </w:pPr>
      <w:r w:rsidDel="00000000" w:rsidR="00000000" w:rsidRPr="00000000">
        <w:rPr>
          <w:sz w:val="28"/>
          <w:szCs w:val="28"/>
          <w:rtl w:val="0"/>
        </w:rPr>
        <w:t xml:space="preserve">Особливу увагу в міжнародному праві приділено захисту прав жінок, дітей, людей похилого віку, осіб з інвалідністю — груп, які є найбільш вразливими до насильства, сексуальної експлуатації, втрати джерел існування. Відомо, що під час конфліктів сексуальне насильство нерідко використовується як метод ведення війни, що визнається міжнародною спільнотою як воєнний злочин. З цієї причини на міжнародному рівні розроблено спеціальні механізми реагування, зокрема діяльність Женевських механізмів, мандати Спеціальних доповідачів ООН та рішення Міжнародного кримінального суду [27, с. 11-26].</w:t>
      </w:r>
    </w:p>
    <w:p w:rsidR="00000000" w:rsidDel="00000000" w:rsidP="00000000" w:rsidRDefault="00000000" w:rsidRPr="00000000" w14:paraId="0000008B">
      <w:pPr>
        <w:spacing w:line="360" w:lineRule="auto"/>
        <w:ind w:firstLine="720"/>
        <w:rPr>
          <w:sz w:val="28"/>
          <w:szCs w:val="28"/>
        </w:rPr>
      </w:pPr>
      <w:r w:rsidDel="00000000" w:rsidR="00000000" w:rsidRPr="00000000">
        <w:rPr>
          <w:sz w:val="28"/>
          <w:szCs w:val="28"/>
          <w:rtl w:val="0"/>
        </w:rPr>
        <w:t xml:space="preserve">У відповідь на масові порушення прав людини під час війни створюються правові механізми, спрямовані як на фіксацію порушень, так і на забезпечення відповідальності винних. Серед них — національні слідчі органи, міжнародні трибунали, спеціальні місії ООН, звіти Міжнародної амністії та Human Rights Watch. У межах воєнного конфлікту в Україні одним із найефективніших інструментів визнано взаємодію держави з Міжнародним кримінальним судом, який відкрив офіційне розслідування воєнних злочинів, у тому числі депортацій дітей, обстрілів цивільної інфраструктури, катувань і знищення культурної спадщини [28, с. 179-191].</w:t>
      </w:r>
    </w:p>
    <w:p w:rsidR="00000000" w:rsidDel="00000000" w:rsidP="00000000" w:rsidRDefault="00000000" w:rsidRPr="00000000" w14:paraId="0000008C">
      <w:pPr>
        <w:spacing w:line="360" w:lineRule="auto"/>
        <w:ind w:firstLine="720"/>
        <w:rPr>
          <w:sz w:val="28"/>
          <w:szCs w:val="28"/>
        </w:rPr>
      </w:pPr>
      <w:r w:rsidDel="00000000" w:rsidR="00000000" w:rsidRPr="00000000">
        <w:rPr>
          <w:sz w:val="28"/>
          <w:szCs w:val="28"/>
          <w:rtl w:val="0"/>
        </w:rPr>
        <w:t xml:space="preserve">Низка правозахисних ініціатив також базується на концепції перехідного правосуддя — механізмі, який передбачає не лише юридичну відповідальність злочинців, а й компенсацію жертвам, відновлення історичної правди, очищення державного апарату від співучасників воєнних злочинів. Цей підхід є особливо актуальним у поствоєнний період, коли суспільство прагне не лише покарання, а й відновлення довіри до інституцій, встановлення справедливості та визнання болісного досвіду мільйонів громадян [29, с. 48].</w:t>
      </w:r>
    </w:p>
    <w:p w:rsidR="00000000" w:rsidDel="00000000" w:rsidP="00000000" w:rsidRDefault="00000000" w:rsidRPr="00000000" w14:paraId="0000008D">
      <w:pPr>
        <w:spacing w:line="360" w:lineRule="auto"/>
        <w:ind w:firstLine="720"/>
        <w:rPr>
          <w:sz w:val="28"/>
          <w:szCs w:val="28"/>
        </w:rPr>
      </w:pPr>
      <w:r w:rsidDel="00000000" w:rsidR="00000000" w:rsidRPr="00000000">
        <w:rPr>
          <w:sz w:val="28"/>
          <w:szCs w:val="28"/>
          <w:rtl w:val="0"/>
        </w:rPr>
        <w:t xml:space="preserve">Окремим напрямом реагування є надання негайної правової, психологічної та соціальної допомоги жертвам порушень. Це здійснюється як державними структурами — органами соціального захисту, судовою системою, омбудсманом — так і міжнародними інституціями, наприклад, Міжнародною організацією з міграції, УВКБ ООН, Червоним Хрестом. Важливо, що сьогоднішні механізми реагування стають не лише інструментами репресивної відповідальності, але й інструментами відновлення гідності, підтримки та соціальної реабілітації постраждалих [30, с. 1-9].</w:t>
      </w:r>
    </w:p>
    <w:p w:rsidR="00000000" w:rsidDel="00000000" w:rsidP="00000000" w:rsidRDefault="00000000" w:rsidRPr="00000000" w14:paraId="0000008E">
      <w:pPr>
        <w:spacing w:line="360" w:lineRule="auto"/>
        <w:ind w:firstLine="720"/>
        <w:rPr>
          <w:sz w:val="28"/>
          <w:szCs w:val="28"/>
        </w:rPr>
      </w:pPr>
      <w:r w:rsidDel="00000000" w:rsidR="00000000" w:rsidRPr="00000000">
        <w:rPr>
          <w:sz w:val="28"/>
          <w:szCs w:val="28"/>
          <w:rtl w:val="0"/>
        </w:rPr>
        <w:t xml:space="preserve">Таким чином, порушення прав людини під час війни — це не лише наслідок бойових дій, а й виклик для міжнародної системи прав людини загалом. Механізми реагування повинні бути гнучкими, комплексними, міжсекторальними. Вони мають охоплювати як правовий вимір (розслідування, притягнення до відповідальності), так і гуманітарний (допомога жертвам, психологічна підтримка), соціальний (реінтеграція) та інституційний (зміцнення довіри до влади). У довгостроковій перспективі лише поєднання цих підходів дозволить досягти справедливості, стабільності та відновлення в умовах поствоєнної трансформації суспільства.</w:t>
      </w:r>
    </w:p>
    <w:p w:rsidR="00000000" w:rsidDel="00000000" w:rsidP="00000000" w:rsidRDefault="00000000" w:rsidRPr="00000000" w14:paraId="0000008F">
      <w:pPr>
        <w:spacing w:line="360" w:lineRule="auto"/>
        <w:ind w:firstLine="720"/>
        <w:rPr>
          <w:sz w:val="28"/>
          <w:szCs w:val="28"/>
        </w:rPr>
      </w:pPr>
      <w:r w:rsidDel="00000000" w:rsidR="00000000" w:rsidRPr="00000000">
        <w:rPr>
          <w:sz w:val="28"/>
          <w:szCs w:val="28"/>
          <w:rtl w:val="0"/>
        </w:rPr>
        <w:t xml:space="preserve">У період війни міжнародне гуманітарне право (МГП) постає не лише як технічна система норм, що регламентують поведінку у збройному конфлікті, а як політико-етичний орієнтир, який дозволяє зберегти людське обличчя навіть у найекстремальніших обставинах. Його значення значно виходить за межі юридичної регламентації — воно стає індикатором цивілізаційного вибору держави, її моральної відповідальності та рівня правосвідомості. Війна, яка точиться в Україні з 2014 року, а особливо з 2022 року, гостро актуалізувала питання практичної реалізації норм МГП, демонструючи як ефективні, так і критично проблемні сторони сучасної системи міжнародного захисту [29, с. 48].</w:t>
      </w:r>
    </w:p>
    <w:p w:rsidR="00000000" w:rsidDel="00000000" w:rsidP="00000000" w:rsidRDefault="00000000" w:rsidRPr="00000000" w14:paraId="00000090">
      <w:pPr>
        <w:spacing w:line="360" w:lineRule="auto"/>
        <w:ind w:firstLine="720"/>
        <w:rPr>
          <w:sz w:val="28"/>
          <w:szCs w:val="28"/>
        </w:rPr>
      </w:pPr>
      <w:r w:rsidDel="00000000" w:rsidR="00000000" w:rsidRPr="00000000">
        <w:rPr>
          <w:sz w:val="28"/>
          <w:szCs w:val="28"/>
          <w:rtl w:val="0"/>
        </w:rPr>
        <w:t xml:space="preserve">На відміну від звичайного права, МГП діє у виняткових обставинах, коли звичні форми правового порядку частково або повністю втрачають свою дієвість. Його завдання — захистити тих, хто не бере участі у бойових діях: цивільних, поранених, медичний персонал, гуманітарних працівників, дітей. Проте виклики XXI століття, особливо гібридний характер сучасних конфліктів, розмивають межу між військовим і цивільним, між фронтом і тилом, між солдатом і волонтером. У цьому контексті МГП має адаптуватися, зберігаючи при цьому свої фундаментальні принципи — гуманності, пропорційності, необхідності та недискримінації.</w:t>
      </w:r>
    </w:p>
    <w:p w:rsidR="00000000" w:rsidDel="00000000" w:rsidP="00000000" w:rsidRDefault="00000000" w:rsidRPr="00000000" w14:paraId="00000091">
      <w:pPr>
        <w:spacing w:line="360" w:lineRule="auto"/>
        <w:ind w:firstLine="720"/>
        <w:rPr>
          <w:sz w:val="28"/>
          <w:szCs w:val="28"/>
        </w:rPr>
      </w:pPr>
      <w:r w:rsidDel="00000000" w:rsidR="00000000" w:rsidRPr="00000000">
        <w:rPr>
          <w:sz w:val="28"/>
          <w:szCs w:val="28"/>
          <w:rtl w:val="0"/>
        </w:rPr>
        <w:t xml:space="preserve">Застосування норм МГП вимагає чіткої ідентифікації сторін конфлікту, визнання їхніх зобов’язань та функціонування ефективних механізмів контролю. В умовах російсько-української війни одним із головних викликів стало масове ігнорування норм МГП з боку держави-агресора: обстріли житлових кварталів, шкіл, лікарень, тортури, депортації, знищення культурної спадщини. Ці дії не лише порушують конкретні положення Женевських конвенцій, але й підривають саму логіку існування гуманітарного права як системи стримувань у війні. Відтак, на міжнародну спільноту покладено обов’язок не лише фіксувати порушення, а й забезпечити відповідальність за них — через слідчі органи, санкції, міжнародні трибунали.</w:t>
      </w:r>
    </w:p>
    <w:p w:rsidR="00000000" w:rsidDel="00000000" w:rsidP="00000000" w:rsidRDefault="00000000" w:rsidRPr="00000000" w14:paraId="00000092">
      <w:pPr>
        <w:spacing w:line="360" w:lineRule="auto"/>
        <w:ind w:firstLine="720"/>
        <w:rPr>
          <w:sz w:val="28"/>
          <w:szCs w:val="28"/>
        </w:rPr>
      </w:pPr>
      <w:r w:rsidDel="00000000" w:rsidR="00000000" w:rsidRPr="00000000">
        <w:rPr>
          <w:sz w:val="28"/>
          <w:szCs w:val="28"/>
          <w:rtl w:val="0"/>
        </w:rPr>
        <w:t xml:space="preserve">Особливу роль у цьому контексті відіграє Міжнародний кримінальний суд (МКС). Його юрисдикція над злочинами, скоєними на території України, дозволяє розглядати найтяжчі порушення як злочини проти людяності або воєнні злочини. Важливо, що саме міжнародне гуманітарне право забезпечує юридичне підґрунтя для кваліфікації таких діянь, створюючи правові підстави для міжнародного правосуддя. Але ефективність МКС залежить від політичної волі держав-учасниць, їх готовності сприяти розслідуванням, екстрадиції підозрюваних та виконанню рішень суду [25, с. 56-64].</w:t>
      </w:r>
    </w:p>
    <w:p w:rsidR="00000000" w:rsidDel="00000000" w:rsidP="00000000" w:rsidRDefault="00000000" w:rsidRPr="00000000" w14:paraId="00000093">
      <w:pPr>
        <w:spacing w:line="360" w:lineRule="auto"/>
        <w:ind w:firstLine="720"/>
        <w:rPr>
          <w:sz w:val="28"/>
          <w:szCs w:val="28"/>
        </w:rPr>
      </w:pPr>
      <w:r w:rsidDel="00000000" w:rsidR="00000000" w:rsidRPr="00000000">
        <w:rPr>
          <w:sz w:val="28"/>
          <w:szCs w:val="28"/>
          <w:rtl w:val="0"/>
        </w:rPr>
        <w:t xml:space="preserve">Поряд із кримінальним переслідуванням, МГП виконує і превентивну функцію. Через просвітницьку діяльність, підготовку військових кадрів, інформування цивільного населення — формується культура дотримання гуманітарних норм. В Україні цей напрям отримав новий імпульс після 2022 року: гуманітарне право інтегрується у військову підготовку, з’являються освітні програми для студентів, активно працюють національні комісії та правозахисні ініціативи. Це свідчить про те, що МГП стає частиною правової свідомості, інструментом збереження людяності в умовах масових потрясінь.</w:t>
      </w:r>
    </w:p>
    <w:p w:rsidR="00000000" w:rsidDel="00000000" w:rsidP="00000000" w:rsidRDefault="00000000" w:rsidRPr="00000000" w14:paraId="00000094">
      <w:pPr>
        <w:spacing w:line="360" w:lineRule="auto"/>
        <w:ind w:firstLine="720"/>
        <w:rPr>
          <w:sz w:val="28"/>
          <w:szCs w:val="28"/>
        </w:rPr>
      </w:pPr>
      <w:r w:rsidDel="00000000" w:rsidR="00000000" w:rsidRPr="00000000">
        <w:rPr>
          <w:sz w:val="28"/>
          <w:szCs w:val="28"/>
          <w:rtl w:val="0"/>
        </w:rPr>
        <w:t xml:space="preserve">Водночас, ефективність міжнародного гуманітарного права вимагає не лише нормативного забезпечення, а й інституційної підтримки. Організації, як-от Управління Верховного комісара ООН у справах біженців, Червоний Хрест, Міжнародна організація з міграції, не лише реалізують положення МГП, але й перетворюють їх на реальні соціальні послуги — притулок, харчування, евакуацію, медичну допомогу. У кризових умовах саме ці організації компенсують неспроможність національних урядів та створюють «острівці гуманності» у зонах бойових дій. Їх робота в Україні стала взірцем міжсекторальної координації — між міжнародними донорами, місцевими адміністраціями, громадянським суспільством.</w:t>
      </w:r>
    </w:p>
    <w:p w:rsidR="00000000" w:rsidDel="00000000" w:rsidP="00000000" w:rsidRDefault="00000000" w:rsidRPr="00000000" w14:paraId="00000095">
      <w:pPr>
        <w:spacing w:line="360" w:lineRule="auto"/>
        <w:ind w:firstLine="720"/>
        <w:rPr>
          <w:sz w:val="28"/>
          <w:szCs w:val="28"/>
        </w:rPr>
      </w:pPr>
      <w:r w:rsidDel="00000000" w:rsidR="00000000" w:rsidRPr="00000000">
        <w:rPr>
          <w:sz w:val="28"/>
          <w:szCs w:val="28"/>
          <w:rtl w:val="0"/>
        </w:rPr>
        <w:t xml:space="preserve">Однак в умовах війни виявляється і системна проблема гуманітарного права — відсутність універсального механізму примусу до дотримання норм. Жодна міжнародна організація не має ресурсу змусити державу негайно припинити порушення, якщо та нехтує своїми зобов’язаннями. Це означає, що роль санкцій, міжнародного тиску, медіа та громадського впливу стає критично важливою. Суспільства, що поважають права людини, мають формувати стійкий міжнародний запит на справедливість — лише тоді міжнародне право не буде формальністю, а інструментом змін.</w:t>
      </w:r>
    </w:p>
    <w:p w:rsidR="00000000" w:rsidDel="00000000" w:rsidP="00000000" w:rsidRDefault="00000000" w:rsidRPr="00000000" w14:paraId="00000096">
      <w:pPr>
        <w:spacing w:line="360" w:lineRule="auto"/>
        <w:ind w:firstLine="720"/>
        <w:rPr>
          <w:sz w:val="28"/>
          <w:szCs w:val="28"/>
        </w:rPr>
      </w:pPr>
      <w:r w:rsidDel="00000000" w:rsidR="00000000" w:rsidRPr="00000000">
        <w:rPr>
          <w:sz w:val="28"/>
          <w:szCs w:val="28"/>
          <w:rtl w:val="0"/>
        </w:rPr>
        <w:t xml:space="preserve">Міжнародне гуманітарне право також має гендерний та віковий вимір. Жінки, діти, люди з інвалідністю, похилого віку — всі вони мають специфічні потреби в умовах війни, і саме МГП встановлює особливі правила щодо їхнього захисту. Наприклад, заборона сексуального насильства як воєнного злочину, зобов’язання забезпечити доступ до освіти, медицини, гуманітарної допомоги. У війні проти України ці норми неодноразово порушувалися, що стало предметом розслідувань та резолюцій міжнародних інституцій [27, с. 11-26].</w:t>
      </w:r>
    </w:p>
    <w:p w:rsidR="00000000" w:rsidDel="00000000" w:rsidP="00000000" w:rsidRDefault="00000000" w:rsidRPr="00000000" w14:paraId="00000097">
      <w:pPr>
        <w:spacing w:line="360" w:lineRule="auto"/>
        <w:ind w:firstLine="720"/>
        <w:rPr>
          <w:sz w:val="28"/>
          <w:szCs w:val="28"/>
        </w:rPr>
      </w:pPr>
      <w:r w:rsidDel="00000000" w:rsidR="00000000" w:rsidRPr="00000000">
        <w:rPr>
          <w:sz w:val="28"/>
          <w:szCs w:val="28"/>
          <w:rtl w:val="0"/>
        </w:rPr>
        <w:t xml:space="preserve">Таким чином, міжнародне гуманітарне право — це не лише система юридичних норм, а фундаментальна складова глобальної політичної культури. Його ефективність залежить від поєднання правової точності, політичної волі, інституційної здатності та моральної чутливості. У контексті війни в Україні це право стало не лише захистом, а й формою міжнародної солідарності, каталізатором правових реформ, платформою для післявоєнної справедливості. Збереження та розвиток цієї системи — завдання не лише юристів і дипломатів, а всіх громадян демократичного світу.</w:t>
      </w:r>
    </w:p>
    <w:p w:rsidR="00000000" w:rsidDel="00000000" w:rsidP="00000000" w:rsidRDefault="00000000" w:rsidRPr="00000000" w14:paraId="00000098">
      <w:pPr>
        <w:spacing w:line="360" w:lineRule="auto"/>
        <w:ind w:firstLine="720"/>
        <w:rPr>
          <w:sz w:val="28"/>
          <w:szCs w:val="28"/>
        </w:rPr>
      </w:pPr>
      <w:r w:rsidDel="00000000" w:rsidR="00000000" w:rsidRPr="00000000">
        <w:rPr>
          <w:rtl w:val="0"/>
        </w:rPr>
      </w:r>
    </w:p>
    <w:p w:rsidR="00000000" w:rsidDel="00000000" w:rsidP="00000000" w:rsidRDefault="00000000" w:rsidRPr="00000000" w14:paraId="00000099">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A">
      <w:pPr>
        <w:spacing w:line="360" w:lineRule="auto"/>
        <w:ind w:firstLine="709"/>
        <w:jc w:val="center"/>
        <w:rPr>
          <w:b w:val="1"/>
          <w:smallCaps w:val="1"/>
          <w:sz w:val="28"/>
          <w:szCs w:val="28"/>
        </w:rPr>
      </w:pPr>
      <w:r w:rsidDel="00000000" w:rsidR="00000000" w:rsidRPr="00000000">
        <w:rPr>
          <w:b w:val="1"/>
          <w:smallCaps w:val="1"/>
          <w:sz w:val="28"/>
          <w:szCs w:val="28"/>
          <w:rtl w:val="0"/>
        </w:rPr>
        <w:t xml:space="preserve">ВИСНОВКИ ДО РОЗДІЛУ І</w:t>
      </w:r>
    </w:p>
    <w:p w:rsidR="00000000" w:rsidDel="00000000" w:rsidP="00000000" w:rsidRDefault="00000000" w:rsidRPr="00000000" w14:paraId="0000009B">
      <w:pPr>
        <w:spacing w:line="360" w:lineRule="auto"/>
        <w:ind w:firstLine="709"/>
        <w:rPr>
          <w:sz w:val="28"/>
          <w:szCs w:val="28"/>
        </w:rPr>
      </w:pPr>
      <w:r w:rsidDel="00000000" w:rsidR="00000000" w:rsidRPr="00000000">
        <w:rPr>
          <w:rtl w:val="0"/>
        </w:rPr>
      </w:r>
    </w:p>
    <w:p w:rsidR="00000000" w:rsidDel="00000000" w:rsidP="00000000" w:rsidRDefault="00000000" w:rsidRPr="00000000" w14:paraId="0000009C">
      <w:pPr>
        <w:spacing w:line="360" w:lineRule="auto"/>
        <w:ind w:firstLine="709"/>
        <w:rPr>
          <w:sz w:val="28"/>
          <w:szCs w:val="28"/>
        </w:rPr>
      </w:pPr>
      <w:r w:rsidDel="00000000" w:rsidR="00000000" w:rsidRPr="00000000">
        <w:rPr>
          <w:sz w:val="28"/>
          <w:szCs w:val="28"/>
          <w:rtl w:val="0"/>
        </w:rPr>
        <w:t xml:space="preserve">Розділ І дозволив здійснити комплексний аналіз теоретико-методологічних засад захисту прав громадян у період війни в контексті політичної науки та міжнародного права. Встановлено, що питання захисту прав людини в умовах збройних конфліктів є не лише етико-гуманітарним, а й суто політичним феноменом, оскільки охоплює сферу взаємодії між державою, міжнародними інституціями, громадянським суспільством і глобальними структурами безпеки. Війна створює умови, за яких основні права людини можуть бути обмежені або й повністю знехтувані, що обумовлює потребу в спеціальних механізмах політико-правового реагування.</w:t>
      </w:r>
    </w:p>
    <w:p w:rsidR="00000000" w:rsidDel="00000000" w:rsidP="00000000" w:rsidRDefault="00000000" w:rsidRPr="00000000" w14:paraId="0000009D">
      <w:pPr>
        <w:spacing w:line="360" w:lineRule="auto"/>
        <w:ind w:firstLine="709"/>
        <w:rPr>
          <w:sz w:val="28"/>
          <w:szCs w:val="28"/>
        </w:rPr>
      </w:pPr>
      <w:r w:rsidDel="00000000" w:rsidR="00000000" w:rsidRPr="00000000">
        <w:rPr>
          <w:sz w:val="28"/>
          <w:szCs w:val="28"/>
          <w:rtl w:val="0"/>
        </w:rPr>
        <w:t xml:space="preserve">Політологічні підходи — лібералізм, реалізм і конструктивізм — дозволяють по-різному осмислювати природу прав людини в конфліктних ситуаціях. Лібералізм наполягає на непорушності цих прав навіть у надзвичайних умовах, реалізм підкреслює пріоритет безпеки держави, а конструктивізм звертає увагу на соціокультурний контекст і гнучкість інтерпретацій правових норм. Зіставлення цих концепцій у контексті воєнного часу в Україні засвідчує, що жодна з них не є універсальною, проте саме їх синтез дозволяє сформувати більш цілісне розуміння ролі держави в охороні прав людини.</w:t>
      </w:r>
    </w:p>
    <w:p w:rsidR="00000000" w:rsidDel="00000000" w:rsidP="00000000" w:rsidRDefault="00000000" w:rsidRPr="00000000" w14:paraId="0000009E">
      <w:pPr>
        <w:spacing w:line="360" w:lineRule="auto"/>
        <w:ind w:firstLine="709"/>
        <w:rPr>
          <w:sz w:val="28"/>
          <w:szCs w:val="28"/>
        </w:rPr>
      </w:pPr>
      <w:r w:rsidDel="00000000" w:rsidR="00000000" w:rsidRPr="00000000">
        <w:rPr>
          <w:sz w:val="28"/>
          <w:szCs w:val="28"/>
          <w:rtl w:val="0"/>
        </w:rPr>
        <w:t xml:space="preserve">Особливе значення має міжнародне гуманітарне право, яке надає теоретичне і практичне підґрунтя для захисту цивільного населення в умовах збройного конфлікту. Такі документи, як Женевські конвенції, Додаткові протоколи до них, Конвенція про статус біженців, Директива ЄС про тимчасовий захист створюють нормативну основу, що зобов’язує держави, незалежно від їхнього статусу у конфлікті, дотримуватися базових стандартів захисту. Вони також встановлюють юрисдикційні механізми відповідальності — зокрема через діяльність Міжнародного кримінального суду — які дозволяють притягати до відповідальності за воєнні злочини та порушення прав людини.</w:t>
      </w:r>
    </w:p>
    <w:p w:rsidR="00000000" w:rsidDel="00000000" w:rsidP="00000000" w:rsidRDefault="00000000" w:rsidRPr="00000000" w14:paraId="0000009F">
      <w:pPr>
        <w:spacing w:line="360" w:lineRule="auto"/>
        <w:ind w:firstLine="709"/>
        <w:rPr>
          <w:sz w:val="28"/>
          <w:szCs w:val="28"/>
        </w:rPr>
      </w:pPr>
      <w:r w:rsidDel="00000000" w:rsidR="00000000" w:rsidRPr="00000000">
        <w:rPr>
          <w:sz w:val="28"/>
          <w:szCs w:val="28"/>
          <w:rtl w:val="0"/>
        </w:rPr>
        <w:t xml:space="preserve">Аналіз діяльності міжнародних організацій, зокрема ООН і Міжнародного комітету Червоного Хреста, засвідчує їхню ключову роль у впровадженні гуманітарних програм, моніторингу порушень прав людини, забезпеченні евакуації, медичної, юридичної та соціальної допомоги. Ці інституції діють незалежно від політичної волі держав, що дозволяє їм зберігати нейтралітет і доступ до постраждалих груп. У сучасному конфлікті в Україні саме їхня присутність дозволяє забезпечити мінімальні стандарти захисту в умовах, коли державна інфраструктура зазнає руйнувань.</w:t>
      </w:r>
    </w:p>
    <w:p w:rsidR="00000000" w:rsidDel="00000000" w:rsidP="00000000" w:rsidRDefault="00000000" w:rsidRPr="00000000" w14:paraId="000000A0">
      <w:pPr>
        <w:spacing w:line="360" w:lineRule="auto"/>
        <w:ind w:firstLine="709"/>
        <w:rPr>
          <w:sz w:val="28"/>
          <w:szCs w:val="28"/>
        </w:rPr>
      </w:pPr>
      <w:r w:rsidDel="00000000" w:rsidR="00000000" w:rsidRPr="00000000">
        <w:rPr>
          <w:sz w:val="28"/>
          <w:szCs w:val="28"/>
          <w:rtl w:val="0"/>
        </w:rPr>
        <w:t xml:space="preserve">Розглянуті випадки порушення прав людини на тлі війни в Україні підкреслюють необхідність існування ефективних і гнучких механізмів реагування. Вони повинні поєднувати правову відповідальність із гуманітарною підтримкою, а також включати механізми психологічної та соціальної реабілітації постраждалих. Практика засвідчує, що без міждержавної співпраці, а також тісної координації держави з міжнародними організаціями забезпечити належний рівень прав людини в умовах війни є практично неможливо.</w:t>
      </w:r>
    </w:p>
    <w:p w:rsidR="00000000" w:rsidDel="00000000" w:rsidP="00000000" w:rsidRDefault="00000000" w:rsidRPr="00000000" w14:paraId="000000A1">
      <w:pPr>
        <w:spacing w:line="360" w:lineRule="auto"/>
        <w:ind w:firstLine="709"/>
        <w:rPr>
          <w:b w:val="1"/>
          <w:sz w:val="28"/>
          <w:szCs w:val="28"/>
        </w:rPr>
      </w:pPr>
      <w:r w:rsidDel="00000000" w:rsidR="00000000" w:rsidRPr="00000000">
        <w:rPr>
          <w:sz w:val="28"/>
          <w:szCs w:val="28"/>
          <w:rtl w:val="0"/>
        </w:rPr>
        <w:t xml:space="preserve">Таким чином, захист прав громадян у період війни є багаторівневою політико-правовою конструкцією, в якій ключові функції виконують як національні, так і міжнародні інституції. Для ефективного реагування на гуманітарні виклики, спричинені війною, необхідне постійне вдосконалення законодавчих механізмів, адаптація політик до потреб вразливих груп, а також збереження гуманістичних основ публічного управління навіть в умовах надзвичайного стану.</w:t>
      </w:r>
      <w:r w:rsidDel="00000000" w:rsidR="00000000" w:rsidRPr="00000000">
        <w:br w:type="page"/>
      </w:r>
      <w:r w:rsidDel="00000000" w:rsidR="00000000" w:rsidRPr="00000000">
        <w:rPr>
          <w:rtl w:val="0"/>
        </w:rPr>
      </w:r>
    </w:p>
    <w:p w:rsidR="00000000" w:rsidDel="00000000" w:rsidP="00000000" w:rsidRDefault="00000000" w:rsidRPr="00000000" w14:paraId="000000A2">
      <w:pPr>
        <w:spacing w:line="360" w:lineRule="auto"/>
        <w:jc w:val="center"/>
        <w:rPr>
          <w:b w:val="1"/>
          <w:sz w:val="28"/>
          <w:szCs w:val="28"/>
        </w:rPr>
      </w:pPr>
      <w:r w:rsidDel="00000000" w:rsidR="00000000" w:rsidRPr="00000000">
        <w:rPr>
          <w:b w:val="1"/>
          <w:sz w:val="28"/>
          <w:szCs w:val="28"/>
          <w:rtl w:val="0"/>
        </w:rPr>
        <w:t xml:space="preserve">РОЗДІЛ ІІ</w:t>
      </w:r>
    </w:p>
    <w:p w:rsidR="00000000" w:rsidDel="00000000" w:rsidP="00000000" w:rsidRDefault="00000000" w:rsidRPr="00000000" w14:paraId="000000A3">
      <w:pPr>
        <w:spacing w:line="360" w:lineRule="auto"/>
        <w:jc w:val="center"/>
        <w:rPr>
          <w:b w:val="1"/>
          <w:sz w:val="28"/>
          <w:szCs w:val="28"/>
        </w:rPr>
      </w:pPr>
      <w:r w:rsidDel="00000000" w:rsidR="00000000" w:rsidRPr="00000000">
        <w:rPr>
          <w:b w:val="1"/>
          <w:sz w:val="28"/>
          <w:szCs w:val="28"/>
          <w:rtl w:val="0"/>
        </w:rPr>
        <w:t xml:space="preserve">МЕХАНІЗМИ ЗАХИСТУ УКРАЇНЦІВ В ЄС У ПЕРІОД ВІЙНИ</w:t>
      </w:r>
    </w:p>
    <w:p w:rsidR="00000000" w:rsidDel="00000000" w:rsidP="00000000" w:rsidRDefault="00000000" w:rsidRPr="00000000" w14:paraId="000000A4">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A5">
      <w:pPr>
        <w:spacing w:line="360" w:lineRule="auto"/>
        <w:ind w:firstLine="709"/>
        <w:rPr>
          <w:b w:val="1"/>
          <w:sz w:val="28"/>
          <w:szCs w:val="28"/>
        </w:rPr>
      </w:pPr>
      <w:r w:rsidDel="00000000" w:rsidR="00000000" w:rsidRPr="00000000">
        <w:rPr>
          <w:b w:val="1"/>
          <w:sz w:val="28"/>
          <w:szCs w:val="28"/>
          <w:rtl w:val="0"/>
        </w:rPr>
        <w:t xml:space="preserve">2.1. Нормативні акти захисту українців в ЄС у період війни</w:t>
      </w:r>
    </w:p>
    <w:p w:rsidR="00000000" w:rsidDel="00000000" w:rsidP="00000000" w:rsidRDefault="00000000" w:rsidRPr="00000000" w14:paraId="000000A6">
      <w:pPr>
        <w:spacing w:line="360" w:lineRule="auto"/>
        <w:ind w:firstLine="709"/>
        <w:rPr>
          <w:b w:val="1"/>
          <w:sz w:val="28"/>
          <w:szCs w:val="28"/>
        </w:rPr>
      </w:pPr>
      <w:r w:rsidDel="00000000" w:rsidR="00000000" w:rsidRPr="00000000">
        <w:rPr>
          <w:rtl w:val="0"/>
        </w:rPr>
      </w:r>
    </w:p>
    <w:p w:rsidR="00000000" w:rsidDel="00000000" w:rsidP="00000000" w:rsidRDefault="00000000" w:rsidRPr="00000000" w14:paraId="000000A7">
      <w:pPr>
        <w:spacing w:line="360" w:lineRule="auto"/>
        <w:ind w:firstLine="709"/>
        <w:rPr>
          <w:sz w:val="28"/>
          <w:szCs w:val="28"/>
        </w:rPr>
      </w:pPr>
      <w:r w:rsidDel="00000000" w:rsidR="00000000" w:rsidRPr="00000000">
        <w:rPr>
          <w:sz w:val="28"/>
          <w:szCs w:val="28"/>
          <w:rtl w:val="0"/>
        </w:rPr>
        <w:t xml:space="preserve">З початком повномасштабного вторгнення Росії в Україну у 2022 році Європейський Союз опинився перед безпрецедентною гуманітарною кризою, що потребувала термінової реакції на інституційному рівні. Вперше за понад два десятиліття ЄС активував механізм, який довгий час вважався «інструментом останньої надії» — Директиву 2001/55/ЄС про тимчасовий захист. Цей документ був ухвалений ще у 2001 році на тлі воєн на Балканах, проте до 2022 року жодного разу не застосовувався на практиці. Основною метою Директиви є швидке надання базових гарантій великій кількості людей, які вимушено залишають свої країни внаслідок масової агресії, конфліктів або переслідувань.</w:t>
      </w:r>
    </w:p>
    <w:p w:rsidR="00000000" w:rsidDel="00000000" w:rsidP="00000000" w:rsidRDefault="00000000" w:rsidRPr="00000000" w14:paraId="000000A8">
      <w:pPr>
        <w:spacing w:line="360" w:lineRule="auto"/>
        <w:ind w:firstLine="709"/>
        <w:rPr>
          <w:sz w:val="28"/>
          <w:szCs w:val="28"/>
        </w:rPr>
      </w:pPr>
      <w:r w:rsidDel="00000000" w:rsidR="00000000" w:rsidRPr="00000000">
        <w:rPr>
          <w:sz w:val="28"/>
          <w:szCs w:val="28"/>
          <w:rtl w:val="0"/>
        </w:rPr>
        <w:t xml:space="preserve">Рішення про активацію Директиви було прийняте Європейською Радою 4 березня 2022 року і поширювалося на всіх громадян України, а також на осіб, які легально перебували на її території на момент початку повномасштабної війни. Тимчасовий захист передбачає надання дозволу на проживання, доступ до ринку праці, медичних і соціальних послуг, освіти для дітей, а також правової допомоги. Важливо, що механізм діє в обхід звичних процедур надання притулку, що дозволяє уникнути бюрократичних зволікань і перевантаження національних систем притулку [31, с. 472].</w:t>
      </w:r>
    </w:p>
    <w:p w:rsidR="00000000" w:rsidDel="00000000" w:rsidP="00000000" w:rsidRDefault="00000000" w:rsidRPr="00000000" w14:paraId="000000A9">
      <w:pPr>
        <w:spacing w:line="360" w:lineRule="auto"/>
        <w:ind w:firstLine="709"/>
        <w:rPr>
          <w:sz w:val="28"/>
          <w:szCs w:val="28"/>
        </w:rPr>
      </w:pPr>
      <w:r w:rsidDel="00000000" w:rsidR="00000000" w:rsidRPr="00000000">
        <w:rPr>
          <w:sz w:val="28"/>
          <w:szCs w:val="28"/>
          <w:rtl w:val="0"/>
        </w:rPr>
        <w:t xml:space="preserve">Однією з ключових особливостей Директиви є принцип «розподіленої відповідальності», що дозволяє державам-членам приймати переселенців за власними можливостями, водночас надаючи їм єдиний правовий статус у всьому ЄС. Проте практика імплементації цієї Директиви в різних країнах виявила як переваги, так і суттєві виклики. Наприклад, Польща та Німеччина, які прийняли найбільшу кількість українських біженців, розробили власні механізми інтеграції, часто адаптовані до національних традицій соціального забезпечення [32, с. 129-138].</w:t>
      </w:r>
    </w:p>
    <w:p w:rsidR="00000000" w:rsidDel="00000000" w:rsidP="00000000" w:rsidRDefault="00000000" w:rsidRPr="00000000" w14:paraId="000000AA">
      <w:pPr>
        <w:spacing w:line="360" w:lineRule="auto"/>
        <w:ind w:firstLine="709"/>
        <w:rPr>
          <w:sz w:val="28"/>
          <w:szCs w:val="28"/>
        </w:rPr>
      </w:pPr>
      <w:r w:rsidDel="00000000" w:rsidR="00000000" w:rsidRPr="00000000">
        <w:rPr>
          <w:sz w:val="28"/>
          <w:szCs w:val="28"/>
          <w:rtl w:val="0"/>
        </w:rPr>
        <w:t xml:space="preserve">У Польщі статус тимчасового захисту забезпечував не лише право на проживання та доступ до медицини, а й гарантовану фінансову допомогу, безкоштовний громадський транспорт, спрощене працевлаштування та реєстрацію місця проживання. Польський уряд також створив спеціальні електронні платформи для реєстрації українців та забезпечення логістичної підтримки їх переміщення в межах країни. Закон від 12 березня 2022 року «Про допомогу громадянам України» став центральним елементом польської нормативної бази, надаючи преференції у доступі до освіти, медицини та ринку праці [33, с. 47].</w:t>
      </w:r>
    </w:p>
    <w:p w:rsidR="00000000" w:rsidDel="00000000" w:rsidP="00000000" w:rsidRDefault="00000000" w:rsidRPr="00000000" w14:paraId="000000AB">
      <w:pPr>
        <w:spacing w:line="360" w:lineRule="auto"/>
        <w:ind w:firstLine="709"/>
        <w:rPr>
          <w:sz w:val="28"/>
          <w:szCs w:val="28"/>
        </w:rPr>
      </w:pPr>
      <w:r w:rsidDel="00000000" w:rsidR="00000000" w:rsidRPr="00000000">
        <w:rPr>
          <w:sz w:val="28"/>
          <w:szCs w:val="28"/>
          <w:rtl w:val="0"/>
        </w:rPr>
        <w:t xml:space="preserve">Німеччина, зі свого боку, поєднала положення Директиви з уже чинними механізмами підтримки біженців. Українці отримали право на доступ до житла, освітніх послуг та допомоги у пошуку роботи через Федеральне агентство зайнятості. Варто зазначити, що на рівні земель (федеральних одиниць) відбувалися варіації у швидкості та ефективності реалізації політик, що обумовлено різницею в адміністративному ресурсі та обсягах міграційного потоку. Законодавчі зміни включали, зокрема, спрощення процедури надання посвідки на проживання на підставі §24 Закону про перебування в Німеччині (AufenthG) [34].</w:t>
      </w:r>
    </w:p>
    <w:p w:rsidR="00000000" w:rsidDel="00000000" w:rsidP="00000000" w:rsidRDefault="00000000" w:rsidRPr="00000000" w14:paraId="000000AC">
      <w:pPr>
        <w:spacing w:line="360" w:lineRule="auto"/>
        <w:ind w:firstLine="709"/>
        <w:rPr>
          <w:sz w:val="28"/>
          <w:szCs w:val="28"/>
        </w:rPr>
      </w:pPr>
      <w:r w:rsidDel="00000000" w:rsidR="00000000" w:rsidRPr="00000000">
        <w:rPr>
          <w:sz w:val="28"/>
          <w:szCs w:val="28"/>
          <w:rtl w:val="0"/>
        </w:rPr>
        <w:t xml:space="preserve">Окрему роль у реалізації Директиви відіграли європейські інституції — FRONTEX, Агентство ЄС з питань притулку (EUAA) та Європейська комісія, яка координувала зусилля з розподілу тягаря між країнами-членами. FRONTEX забезпечував контроль за потоками переміщених осіб на кордонах, тоді як EUAA сприяв забезпеченню належного інформування біженців, зокрема через багатомовні онлайн-платформи. Разом з тим, європейська система стикається з труднощами у стандартизації умов прийому — зокрема щодо тривалості дозволів на проживання та доступу до довгострокової інтеграції.</w:t>
      </w:r>
    </w:p>
    <w:p w:rsidR="00000000" w:rsidDel="00000000" w:rsidP="00000000" w:rsidRDefault="00000000" w:rsidRPr="00000000" w14:paraId="000000AD">
      <w:pPr>
        <w:spacing w:line="360" w:lineRule="auto"/>
        <w:ind w:firstLine="709"/>
        <w:rPr>
          <w:sz w:val="28"/>
          <w:szCs w:val="28"/>
        </w:rPr>
      </w:pPr>
      <w:r w:rsidDel="00000000" w:rsidR="00000000" w:rsidRPr="00000000">
        <w:rPr>
          <w:sz w:val="28"/>
          <w:szCs w:val="28"/>
          <w:rtl w:val="0"/>
        </w:rPr>
        <w:t xml:space="preserve">Таким чином, Директива 2001/55/ЄС стала важливим прикладом інституційної реакції ЄС на кризу, що дозволив оперативно надати мільйонам українців базові гарантії безпеки і захисту. Її реалізація засвідчила, з одного боку, потенціал європейської солідарності, а з іншого — нагальну потребу у гармонізації процедур імплементації між державами-членами. У перспективі це відкриває можливості для формування більш стійкої, гнучкої та інклюзивної системи міграційної політики ЄС, здатної реагувати на кризи нового типу.</w:t>
      </w:r>
    </w:p>
    <w:p w:rsidR="00000000" w:rsidDel="00000000" w:rsidP="00000000" w:rsidRDefault="00000000" w:rsidRPr="00000000" w14:paraId="000000AE">
      <w:pPr>
        <w:spacing w:line="360" w:lineRule="auto"/>
        <w:ind w:firstLine="709"/>
        <w:rPr>
          <w:sz w:val="28"/>
          <w:szCs w:val="28"/>
        </w:rPr>
      </w:pPr>
      <w:r w:rsidDel="00000000" w:rsidR="00000000" w:rsidRPr="00000000">
        <w:rPr>
          <w:sz w:val="28"/>
          <w:szCs w:val="28"/>
          <w:rtl w:val="0"/>
        </w:rPr>
        <w:t xml:space="preserve">Імплементація європейських актів щодо захисту українських біженців у період війни в державах-членах Європейського Союзу виявила широку варіативність практик, обумовлену відмінностями у національних законодавствах, адміністративних ресурсах і політичних пріоритетах. Хоча правова основа реалізації тимчасового захисту для українців була закладена на рівні ЄС шляхом активування Директиви 2001/55/ЄС, безпосереднє її втілення залежало від здатності окремих країн адаптувати цей інструмент до власної інституційної системи [35, с. 7-39].</w:t>
      </w:r>
    </w:p>
    <w:p w:rsidR="00000000" w:rsidDel="00000000" w:rsidP="00000000" w:rsidRDefault="00000000" w:rsidRPr="00000000" w14:paraId="000000AF">
      <w:pPr>
        <w:spacing w:line="360" w:lineRule="auto"/>
        <w:ind w:firstLine="709"/>
        <w:rPr>
          <w:sz w:val="28"/>
          <w:szCs w:val="28"/>
        </w:rPr>
      </w:pPr>
      <w:r w:rsidDel="00000000" w:rsidR="00000000" w:rsidRPr="00000000">
        <w:rPr>
          <w:sz w:val="28"/>
          <w:szCs w:val="28"/>
          <w:rtl w:val="0"/>
        </w:rPr>
        <w:t xml:space="preserve">Процес імплементації у Польщі вирізнявся високим ступенем мобілізації на всіх рівнях — від центрального уряду до муніципалітетів. Закон «Про допомогу громадянам України» від 12 березня 2022 року став правовим актом, що не лише формально транспонував положення Директиви, а й значно їх розширив. У ньому передбачено не лише право на тимчасове проживання, а й автоматичне надання ідентифікаційного номера (PESEL), що є необхідною умовою для доступу до медичних, освітніх і соціальних послуг. У короткі терміни було створено спеціальні реєстраційні пункти, цифрові платформи для отримання послуг та інфраструктуру тимчасового розміщення, що свідчить про ефективну координацію дій між державними і місцевими органами [36].</w:t>
      </w:r>
    </w:p>
    <w:p w:rsidR="00000000" w:rsidDel="00000000" w:rsidP="00000000" w:rsidRDefault="00000000" w:rsidRPr="00000000" w14:paraId="000000B0">
      <w:pPr>
        <w:spacing w:line="360" w:lineRule="auto"/>
        <w:ind w:firstLine="709"/>
        <w:rPr>
          <w:sz w:val="28"/>
          <w:szCs w:val="28"/>
        </w:rPr>
      </w:pPr>
      <w:r w:rsidDel="00000000" w:rsidR="00000000" w:rsidRPr="00000000">
        <w:rPr>
          <w:sz w:val="28"/>
          <w:szCs w:val="28"/>
          <w:rtl w:val="0"/>
        </w:rPr>
        <w:t xml:space="preserve">У Німеччині процес імплементації здійснювався в межах вже існуючих інституцій з притулку та міграції. Відповідно до §24 Закону про перебування, українці отримали дозвіл на проживання без проходження стандартної процедури надання притулку. При цьому акцент було зроблено на міжвідомчу взаємодію: Федеральне відомство у справах міграції та біженців (BAMF), муніципалітети, земельні уряди та центри зайнятості активно співпрацювали для забезпечення базових прав новоприбулих. Проте система виявила певну фрагментарність, що стало наслідком федеративного устрою країни. Наприклад, окремі землі надавали більше соціальних гарантій або швидше опрацьовували заявки на допомогу, ніж інші, що породжувало нерівномірність у рівні доступу до послуг [37].</w:t>
      </w:r>
    </w:p>
    <w:p w:rsidR="00000000" w:rsidDel="00000000" w:rsidP="00000000" w:rsidRDefault="00000000" w:rsidRPr="00000000" w14:paraId="000000B1">
      <w:pPr>
        <w:spacing w:line="360" w:lineRule="auto"/>
        <w:ind w:firstLine="709"/>
        <w:rPr>
          <w:sz w:val="28"/>
          <w:szCs w:val="28"/>
        </w:rPr>
      </w:pPr>
      <w:r w:rsidDel="00000000" w:rsidR="00000000" w:rsidRPr="00000000">
        <w:rPr>
          <w:sz w:val="28"/>
          <w:szCs w:val="28"/>
          <w:rtl w:val="0"/>
        </w:rPr>
        <w:t xml:space="preserve">Важливим аспектом імплементації стало забезпечення права на освіту для дітей-біженців. У Польщі це реалізовувалося шляхом інтеграції українських школярів у загальну систему освіти або створенням окремих класів з українською мовою викладання. Крім того, були впроваджені програми мовної підтримки, міжкультурного посередництва та психологічного супроводу, що сприяло швидкій адаптації дітей у новому соціальному середовищі. Варто підкреслити роль міжкультурних асистентів, які не лише полегшували освітню інтеграцію, а й виступали посередниками між батьками, адміністрацією шкіл та державними структурами [38].</w:t>
      </w:r>
    </w:p>
    <w:p w:rsidR="00000000" w:rsidDel="00000000" w:rsidP="00000000" w:rsidRDefault="00000000" w:rsidRPr="00000000" w14:paraId="000000B2">
      <w:pPr>
        <w:spacing w:line="360" w:lineRule="auto"/>
        <w:ind w:firstLine="709"/>
        <w:rPr>
          <w:sz w:val="28"/>
          <w:szCs w:val="28"/>
        </w:rPr>
      </w:pPr>
      <w:r w:rsidDel="00000000" w:rsidR="00000000" w:rsidRPr="00000000">
        <w:rPr>
          <w:sz w:val="28"/>
          <w:szCs w:val="28"/>
          <w:rtl w:val="0"/>
        </w:rPr>
        <w:t xml:space="preserve">Соціальні служби обох країн також відігравали ключову роль у впровадженні європейських положень. У Німеччині активно використовувалася система консультаційних центрів, де надавали правову допомогу, інформували про права, допомагали з працевлаштуванням та орієнтацією у місцевих правилах проживання. Особливу увагу приділяли жінкам з дітьми, людям з інвалідністю, а також тим, хто опинився в складних життєвих обставинах. Проте однією з найбільших проблем стала нестача персоналу в соціальних службах, а також складність адміністративних процедур для тих, хто мав нестандартні життєві ситуації, наприклад, відсутність документів або подвійне громадянство [39, с. 45].</w:t>
      </w:r>
    </w:p>
    <w:p w:rsidR="00000000" w:rsidDel="00000000" w:rsidP="00000000" w:rsidRDefault="00000000" w:rsidRPr="00000000" w14:paraId="000000B3">
      <w:pPr>
        <w:spacing w:line="360" w:lineRule="auto"/>
        <w:ind w:firstLine="709"/>
        <w:rPr>
          <w:sz w:val="28"/>
          <w:szCs w:val="28"/>
        </w:rPr>
      </w:pPr>
      <w:r w:rsidDel="00000000" w:rsidR="00000000" w:rsidRPr="00000000">
        <w:rPr>
          <w:sz w:val="28"/>
          <w:szCs w:val="28"/>
          <w:rtl w:val="0"/>
        </w:rPr>
        <w:t xml:space="preserve">Специфіка імплементації проявилася і в тому, наскільки гнучко країни адаптували європейські акти до внутрішньої міграційної політики. Наприклад, у Німеччині розглядалося питання включення українців до довгострокової інтеграційної стратегії: мова йшла про визнання українських дипломів, участь у мовних курсах та надання доступу до ринку праці на рівні з громадянами ЄС. Такі рішення засвідчують прагнення не лише забезпечити короткостроковий захист, а й закласти основи для тривалої інтеграції, якщо війна триватиме. У Польщі ж, попри швидкість початкових дій, згодом постали виклики ресурсного характеру: брак місць у школах, напруження в системі охорони здоров’я, а також зростання ксенофобських настроїв, що вимагало посилення програм комунікації та боротьби з дискримінацією [40].</w:t>
      </w:r>
    </w:p>
    <w:p w:rsidR="00000000" w:rsidDel="00000000" w:rsidP="00000000" w:rsidRDefault="00000000" w:rsidRPr="00000000" w14:paraId="000000B4">
      <w:pPr>
        <w:spacing w:line="360" w:lineRule="auto"/>
        <w:ind w:firstLine="709"/>
        <w:rPr>
          <w:sz w:val="28"/>
          <w:szCs w:val="28"/>
        </w:rPr>
      </w:pPr>
      <w:r w:rsidDel="00000000" w:rsidR="00000000" w:rsidRPr="00000000">
        <w:rPr>
          <w:sz w:val="28"/>
          <w:szCs w:val="28"/>
          <w:rtl w:val="0"/>
        </w:rPr>
        <w:t xml:space="preserve">Отже, імплементація європейських актів щодо захисту українців в умовах війни стала тестом на ефективність системного реагування країн-членів ЄС на кризу великого масштабу. Попри єдину нормативну основу, практичне втілення залежало від спроможності державних інституцій, політичної волі та рівня солідарності суспільства. Приклад Польщі та Німеччини демонструє, що інституційна адаптація європейських рішень можлива лише за умов тісної міжвідомчої співпраці, прозорої комунікації з громадськістю та активного залучення громадянського суспільства. Такий досвід є надзвичайно цінним для формування майбутньої політики ЄС у сфері захисту біженців та реагування на гуманітарні кризи.</w:t>
      </w:r>
    </w:p>
    <w:p w:rsidR="00000000" w:rsidDel="00000000" w:rsidP="00000000" w:rsidRDefault="00000000" w:rsidRPr="00000000" w14:paraId="000000B5">
      <w:pPr>
        <w:spacing w:line="360" w:lineRule="auto"/>
        <w:ind w:firstLine="709"/>
        <w:rPr>
          <w:sz w:val="28"/>
          <w:szCs w:val="28"/>
        </w:rPr>
      </w:pPr>
      <w:r w:rsidDel="00000000" w:rsidR="00000000" w:rsidRPr="00000000">
        <w:rPr>
          <w:sz w:val="28"/>
          <w:szCs w:val="28"/>
          <w:rtl w:val="0"/>
        </w:rPr>
        <w:t xml:space="preserve">Після початку повномасштабної війни в Україні 2022 року Європейський Союз постав перед необхідністю оперативного реагування на нову хвилю масового переміщення населення. Реалізація єдиної політики щодо прийому, розміщення та захисту українців стала можливою завдяки вже наявним інструментам координації та моніторингу, які функціонують у межах європейської інтеграційної архітектури. Центральним викликом для ЄС стала не лише потреба забезпечити гуманітарну підтримку на національному рівні в окремих країнах, а й необхідність утворити консолідований механізм розподілу відповідальності та забезпечення однакового стандарту допомоги в усіх державах-членах.</w:t>
      </w:r>
    </w:p>
    <w:p w:rsidR="00000000" w:rsidDel="00000000" w:rsidP="00000000" w:rsidRDefault="00000000" w:rsidRPr="00000000" w14:paraId="000000B6">
      <w:pPr>
        <w:spacing w:line="360" w:lineRule="auto"/>
        <w:ind w:firstLine="709"/>
        <w:rPr>
          <w:sz w:val="28"/>
          <w:szCs w:val="28"/>
        </w:rPr>
      </w:pPr>
      <w:r w:rsidDel="00000000" w:rsidR="00000000" w:rsidRPr="00000000">
        <w:rPr>
          <w:sz w:val="28"/>
          <w:szCs w:val="28"/>
          <w:rtl w:val="0"/>
        </w:rPr>
        <w:t xml:space="preserve">Ключову роль у цьому процесі відіграла Європейська комісія, яка з перших днів вторгнення взяла на себе функцію координаційного центру. Вона не лише ініціювала активацію Директиви про тимчасовий захист, а й здійснювала постійний моніторинг її реалізації через спеціалізовані платформи обміну даними між країнами-членами. Одним із таких інструментів стала система інформаційного звітування, де щотижня оновлювалися дані щодо кількості зареєстрованих біженців, потреб у переміщенні, кількості запитів на соціальні послуги. Ця прозора система дозволила своєчасно реагувати на нерівномірний розподіл навантаження, коригувати логістику та забезпечувати адресну допомогу в реальному часі [41].</w:t>
      </w:r>
    </w:p>
    <w:p w:rsidR="00000000" w:rsidDel="00000000" w:rsidP="00000000" w:rsidRDefault="00000000" w:rsidRPr="00000000" w14:paraId="000000B7">
      <w:pPr>
        <w:spacing w:line="360" w:lineRule="auto"/>
        <w:ind w:firstLine="709"/>
        <w:rPr>
          <w:sz w:val="28"/>
          <w:szCs w:val="28"/>
        </w:rPr>
      </w:pPr>
      <w:r w:rsidDel="00000000" w:rsidR="00000000" w:rsidRPr="00000000">
        <w:rPr>
          <w:sz w:val="28"/>
          <w:szCs w:val="28"/>
          <w:rtl w:val="0"/>
        </w:rPr>
        <w:t xml:space="preserve">Особливу увагу було приділено діяльності Агентства ЄС з питань притулку (EUAA), яке з 2022 року посилило свою присутність у прикордонних регіонах та країнах першого прийому, зокрема у Польщі, Угорщині, Румунії. EUAA не лише забезпечувало експертну підтримку на національному рівні, а й брало участь у розробці стандартів прийому та організовувало навчання для місцевих служб. Завдяки цим заходам держави-члени змогли узгодити правила реєстрації, надати персоналу необхідні знання щодо прав біженців, а також зменшити адміністративне навантаження за рахунок уніфікації процедур [42].</w:t>
      </w:r>
    </w:p>
    <w:p w:rsidR="00000000" w:rsidDel="00000000" w:rsidP="00000000" w:rsidRDefault="00000000" w:rsidRPr="00000000" w14:paraId="000000B8">
      <w:pPr>
        <w:spacing w:line="360" w:lineRule="auto"/>
        <w:ind w:firstLine="709"/>
        <w:rPr>
          <w:sz w:val="28"/>
          <w:szCs w:val="28"/>
        </w:rPr>
      </w:pPr>
      <w:r w:rsidDel="00000000" w:rsidR="00000000" w:rsidRPr="00000000">
        <w:rPr>
          <w:sz w:val="28"/>
          <w:szCs w:val="28"/>
          <w:rtl w:val="0"/>
        </w:rPr>
        <w:t xml:space="preserve">Незамінним механізмом моніторингу та контролю за переміщенням українців стала діяльність агентства FRONTEX. Його функція полягала не лише у забезпеченні прикордонного контролю, а й у зборі й передачі актуальної статистичної інформації щодо пересування біженців, маршрутів евакуації та зон найбільшого навантаження на прикордонну інфраструктуру. FRONTEX також координував співпрацю між прикордонними службами держав-членів, що дозволило запобігти дублюванню зусиль і створенню адміністративних бар’єрів для осіб, які рятувалися від війни. Дані, які надходили від FRONTEX, активно використовувалися для ухвалення рішень на рівні Європейської Ради та Ради ЄС [43].</w:t>
      </w:r>
    </w:p>
    <w:p w:rsidR="00000000" w:rsidDel="00000000" w:rsidP="00000000" w:rsidRDefault="00000000" w:rsidRPr="00000000" w14:paraId="000000B9">
      <w:pPr>
        <w:spacing w:line="360" w:lineRule="auto"/>
        <w:ind w:firstLine="709"/>
        <w:rPr>
          <w:sz w:val="28"/>
          <w:szCs w:val="28"/>
        </w:rPr>
      </w:pPr>
      <w:r w:rsidDel="00000000" w:rsidR="00000000" w:rsidRPr="00000000">
        <w:rPr>
          <w:sz w:val="28"/>
          <w:szCs w:val="28"/>
          <w:rtl w:val="0"/>
        </w:rPr>
        <w:t xml:space="preserve">У сфері гуманітарної допомоги ключову роль у координації дій з українськими біженцями відігравала Мережа з питань гуманітарного реагування ЄС (EU Civil Protection and Humanitarian Aid – ECHO), яка забезпечувала фінансування тимчасових центрів розміщення, освітніх програм, охорони здоров’я, а також психосоціальної підтримки. ECHO виступала також як платформа для обміну найкращими практиками між державами-членами, муніципалітетами та громадськими організаціями. Її ініціативи, як-от створення мультифункціональних центрів для українців у Чехії, Польщі, Латвії, стали прикладом ефективного транснаціонального реагування, що базується на принципах субсидіарності та багаторівневого управління [44, с. 72].</w:t>
      </w:r>
    </w:p>
    <w:p w:rsidR="00000000" w:rsidDel="00000000" w:rsidP="00000000" w:rsidRDefault="00000000" w:rsidRPr="00000000" w14:paraId="000000BA">
      <w:pPr>
        <w:spacing w:line="360" w:lineRule="auto"/>
        <w:ind w:firstLine="709"/>
        <w:rPr>
          <w:sz w:val="28"/>
          <w:szCs w:val="28"/>
        </w:rPr>
      </w:pPr>
      <w:r w:rsidDel="00000000" w:rsidR="00000000" w:rsidRPr="00000000">
        <w:rPr>
          <w:sz w:val="28"/>
          <w:szCs w:val="28"/>
          <w:rtl w:val="0"/>
        </w:rPr>
        <w:t xml:space="preserve">Європейський Союз також активізував інструменти цифрового моніторингу, які дозволяють здійснювати облік переселенців, виявляти вразливі групи та прогнозувати потреби на основі зібраної аналітики. Одним із таких інструментів стала система EES (Entry/Exit System), яка використовується для контролю пересування громадян третіх країн на території Шенгенської зони. Хоча EES ще не повністю активована, її функціональні можливості були частково задіяні у співпраці з національними реєстраційними системами, що дозволило забезпечити кращу координацію дій у сфері безпеки, реєстрації та планування ресурсів [45].</w:t>
      </w:r>
    </w:p>
    <w:p w:rsidR="00000000" w:rsidDel="00000000" w:rsidP="00000000" w:rsidRDefault="00000000" w:rsidRPr="00000000" w14:paraId="000000BB">
      <w:pPr>
        <w:spacing w:line="360" w:lineRule="auto"/>
        <w:ind w:firstLine="709"/>
        <w:rPr>
          <w:sz w:val="28"/>
          <w:szCs w:val="28"/>
        </w:rPr>
      </w:pPr>
      <w:r w:rsidDel="00000000" w:rsidR="00000000" w:rsidRPr="00000000">
        <w:rPr>
          <w:sz w:val="28"/>
          <w:szCs w:val="28"/>
          <w:rtl w:val="0"/>
        </w:rPr>
        <w:t xml:space="preserve">Таким чином, європейські інструменти координації та моніторингу виявили високу адаптивність до кризових умов, продемонструвавши здатність до швидкої мобілізації та інтеграції зусиль на міжурядовому, міжінституційному й громадському рівнях. Їх ефективність значною мірою залежала від наявності чітких регламентів, цифрових платформ і системи комунікації між різними рівнями влади. Уроки цієї імплементації можуть бути використані у майбутньому для формування нових механізмів колективного реагування на гуманітарні виклики, які виходять за межі національних держав і вимагають справді європейського підходу до управління кризами.</w:t>
      </w:r>
    </w:p>
    <w:p w:rsidR="00000000" w:rsidDel="00000000" w:rsidP="00000000" w:rsidRDefault="00000000" w:rsidRPr="00000000" w14:paraId="000000BC">
      <w:pPr>
        <w:spacing w:line="360" w:lineRule="auto"/>
        <w:ind w:firstLine="709"/>
        <w:rPr>
          <w:sz w:val="28"/>
          <w:szCs w:val="28"/>
        </w:rPr>
      </w:pPr>
      <w:r w:rsidDel="00000000" w:rsidR="00000000" w:rsidRPr="00000000">
        <w:rPr>
          <w:sz w:val="28"/>
          <w:szCs w:val="28"/>
          <w:rtl w:val="0"/>
        </w:rPr>
        <w:t xml:space="preserve">Директива ЄС 2001/55/ЄС про тимчасовий захист, яка до цього моменту жодного разу не застосовувалася на практиці, стала ключовим інструментом правового реагування. Однак її значення не вичерпується лише технічною процедурою оформлення статусу — вона трансформувала саму концепцію гуманітарної політики ЄС, зробивши її більш гнучкою, солідарною та реалістичною.</w:t>
      </w:r>
    </w:p>
    <w:p w:rsidR="00000000" w:rsidDel="00000000" w:rsidP="00000000" w:rsidRDefault="00000000" w:rsidRPr="00000000" w14:paraId="000000BD">
      <w:pPr>
        <w:spacing w:line="360" w:lineRule="auto"/>
        <w:ind w:firstLine="709"/>
        <w:rPr>
          <w:sz w:val="28"/>
          <w:szCs w:val="28"/>
        </w:rPr>
      </w:pPr>
      <w:r w:rsidDel="00000000" w:rsidR="00000000" w:rsidRPr="00000000">
        <w:rPr>
          <w:sz w:val="28"/>
          <w:szCs w:val="28"/>
          <w:rtl w:val="0"/>
        </w:rPr>
        <w:t xml:space="preserve">Прийняття Директиви про тимчасовий захист відбулося у межах багаторічної еволюції спільної міграційної політики ЄС, яка тривалий час залишалася розбалансованою, суперечливою та неоднозначною у практичній реалізації. Міграційна криза 2015–2016 років, пов’язана з напливом біженців з Близького Сходу, продемонструвала неспроможність ЄС швидко та координовано реагувати на загрози масового переміщення населення. У цьому сенсі досвід української кризи 2022 року став своєрідним реваншем для європейських інституцій, які продемонстрували здатність діяти консолідовано, не вдаючись до надмірної бюрократизації чи політичних суперечок між державами-членами [40].</w:t>
      </w:r>
    </w:p>
    <w:p w:rsidR="00000000" w:rsidDel="00000000" w:rsidP="00000000" w:rsidRDefault="00000000" w:rsidRPr="00000000" w14:paraId="000000BE">
      <w:pPr>
        <w:spacing w:line="360" w:lineRule="auto"/>
        <w:ind w:firstLine="709"/>
        <w:rPr>
          <w:sz w:val="28"/>
          <w:szCs w:val="28"/>
        </w:rPr>
      </w:pPr>
      <w:r w:rsidDel="00000000" w:rsidR="00000000" w:rsidRPr="00000000">
        <w:rPr>
          <w:sz w:val="28"/>
          <w:szCs w:val="28"/>
          <w:rtl w:val="0"/>
        </w:rPr>
        <w:t xml:space="preserve">Директива 2001/55/ЄС стала символом нової фази європейського правового реагування — не лише тому, що забезпечувала базовий захист мільйонам українців, а тому, що закладала модель розподіленої відповідальності. Цей принцип означає, що кожна держава-член має право самостійно визначити обсяг підтримки, однак усі вони діють у межах спільних стандартів. Така конструкція дозволила уникнути хаосу та дискримінаційних практик, які часто траплялися у попередніх міграційних хвилях. Водночас це не скасовує факту, що успішність реалізації директиви прямо залежить від ресурсної спроможності конкретної держави, її адміністративного потенціалу та політичної волі.</w:t>
      </w:r>
    </w:p>
    <w:p w:rsidR="00000000" w:rsidDel="00000000" w:rsidP="00000000" w:rsidRDefault="00000000" w:rsidRPr="00000000" w14:paraId="000000BF">
      <w:pPr>
        <w:spacing w:line="360" w:lineRule="auto"/>
        <w:ind w:firstLine="709"/>
        <w:rPr>
          <w:sz w:val="28"/>
          <w:szCs w:val="28"/>
        </w:rPr>
      </w:pPr>
      <w:r w:rsidDel="00000000" w:rsidR="00000000" w:rsidRPr="00000000">
        <w:rPr>
          <w:sz w:val="28"/>
          <w:szCs w:val="28"/>
          <w:rtl w:val="0"/>
        </w:rPr>
        <w:t xml:space="preserve">У випадку з українськими біженцями ЄС також зробив унікальний крок — надав захист не лише громадянам України, а й особам з іншими національностями, які мали законне проживання на території України. Це засвідчило відхід від жорсткої етноцентричної логіки захисту та перехід до принципу фактичної вразливості. Окрім того, директива містить положення, що унеможливлюють повернення осіб у небезпечні умови, а отже, відповідає базовим принципам міжнародного права щодо недопущення рефулменту (насильницького повернення).</w:t>
      </w:r>
    </w:p>
    <w:p w:rsidR="00000000" w:rsidDel="00000000" w:rsidP="00000000" w:rsidRDefault="00000000" w:rsidRPr="00000000" w14:paraId="000000C0">
      <w:pPr>
        <w:spacing w:line="360" w:lineRule="auto"/>
        <w:ind w:firstLine="709"/>
        <w:rPr>
          <w:sz w:val="28"/>
          <w:szCs w:val="28"/>
        </w:rPr>
      </w:pPr>
      <w:r w:rsidDel="00000000" w:rsidR="00000000" w:rsidRPr="00000000">
        <w:rPr>
          <w:sz w:val="28"/>
          <w:szCs w:val="28"/>
          <w:rtl w:val="0"/>
        </w:rPr>
        <w:t xml:space="preserve">Цікаво, що тимчасовий захист у межах ЄС надається поза традиційною процедурою надання притулку, що дозволяє зменшити навантаження на системи притулку в державах-членах. Проте це не лише технічна деталь, а й вияв нового підходу до кризи: замість того, щоб знову заглиблюватися у складні й тривалі юридичні процедури, ЄС обирає практичний, гуманітарно орієнтований шлях. Це дозволяє більшості біженців швидко адаптуватися, отримати доступ до ринку праці, охорони здоров’я, освіти, інтеграційних програм [35, с. 7-39].</w:t>
      </w:r>
    </w:p>
    <w:p w:rsidR="00000000" w:rsidDel="00000000" w:rsidP="00000000" w:rsidRDefault="00000000" w:rsidRPr="00000000" w14:paraId="000000C1">
      <w:pPr>
        <w:spacing w:line="360" w:lineRule="auto"/>
        <w:ind w:firstLine="709"/>
        <w:rPr>
          <w:sz w:val="28"/>
          <w:szCs w:val="28"/>
        </w:rPr>
      </w:pPr>
      <w:r w:rsidDel="00000000" w:rsidR="00000000" w:rsidRPr="00000000">
        <w:rPr>
          <w:sz w:val="28"/>
          <w:szCs w:val="28"/>
          <w:rtl w:val="0"/>
        </w:rPr>
        <w:t xml:space="preserve">Особливу увагу в контексті реалізації цієї директиви заслуговує діяльність ключових інституцій ЄС. Європейська Комісія координувала політичне рішення щодо активації захисту, Агентство ЄС з питань притулку (EUAA) забезпечувало технічний супровід, а FRONTEX збирав і аналізував статистичні дані, організовував переміщення та логістику. Це свідчить про посилення адміністративної інтеграції в рамках європейської міграційної політики — тенденції, яка раніше відзначалася лише в межах спільної економіки, але тепер набуває рис гуманітарної солідарності.</w:t>
      </w:r>
    </w:p>
    <w:p w:rsidR="00000000" w:rsidDel="00000000" w:rsidP="00000000" w:rsidRDefault="00000000" w:rsidRPr="00000000" w14:paraId="000000C2">
      <w:pPr>
        <w:spacing w:line="360" w:lineRule="auto"/>
        <w:ind w:firstLine="709"/>
        <w:rPr>
          <w:sz w:val="28"/>
          <w:szCs w:val="28"/>
        </w:rPr>
      </w:pPr>
      <w:r w:rsidDel="00000000" w:rsidR="00000000" w:rsidRPr="00000000">
        <w:rPr>
          <w:sz w:val="28"/>
          <w:szCs w:val="28"/>
          <w:rtl w:val="0"/>
        </w:rPr>
        <w:t xml:space="preserve">Правове поле, створене директивою, також передбачає тривалість захисту до трьох років із можливістю продовження, що стало важливим сигналом для українців: Європа не просто тимчасовий притулок, а потенційно стабільне середовище життя, поки ситуація в Україні не нормалізується. Водночас це ставить перед ЄС нові виклики: яким чином забезпечити довгострокову інтеграцію, уникнути геттоїзації, забезпечити доступ до освіти, перекваліфікації, участі в громадському житті? Питання інтеграції стає не менш важливим, ніж питання захисту.</w:t>
      </w:r>
    </w:p>
    <w:p w:rsidR="00000000" w:rsidDel="00000000" w:rsidP="00000000" w:rsidRDefault="00000000" w:rsidRPr="00000000" w14:paraId="000000C3">
      <w:pPr>
        <w:spacing w:line="360" w:lineRule="auto"/>
        <w:ind w:firstLine="709"/>
        <w:rPr>
          <w:sz w:val="28"/>
          <w:szCs w:val="28"/>
        </w:rPr>
      </w:pPr>
      <w:r w:rsidDel="00000000" w:rsidR="00000000" w:rsidRPr="00000000">
        <w:rPr>
          <w:sz w:val="28"/>
          <w:szCs w:val="28"/>
          <w:rtl w:val="0"/>
        </w:rPr>
        <w:t xml:space="preserve">Правовий механізм тимчасового захисту, попри свою ефективність у перші місяці після вторгнення, виявив і низку структурних обмежень. По-перше, відсутність автоматичної координації щодо розподілу навантаження між державами. По-друге, різні держави-члени мають відмінний рівень соціальних гарантій, що призводить до «міграції між країнами» в межах ЄС. По-третє, немає чітких механізмів для вирішення спорів, пов’язаних із тривалим перебуванням чи подвійним статусом [39, с.45].</w:t>
      </w:r>
    </w:p>
    <w:p w:rsidR="00000000" w:rsidDel="00000000" w:rsidP="00000000" w:rsidRDefault="00000000" w:rsidRPr="00000000" w14:paraId="000000C4">
      <w:pPr>
        <w:spacing w:line="360" w:lineRule="auto"/>
        <w:ind w:firstLine="709"/>
        <w:rPr>
          <w:sz w:val="28"/>
          <w:szCs w:val="28"/>
        </w:rPr>
      </w:pPr>
      <w:r w:rsidDel="00000000" w:rsidR="00000000" w:rsidRPr="00000000">
        <w:rPr>
          <w:sz w:val="28"/>
          <w:szCs w:val="28"/>
          <w:rtl w:val="0"/>
        </w:rPr>
        <w:t xml:space="preserve">Зрештою, імплементація цієї директиви — це не лише реакція на гуманітарну катастрофу, а тест на здатність Європи діяти як політична спільнота, об’єднана не лише спільною валютою чи ринком, а й спільними цінностями. Досвід захисту українців засвідчив, що ЄС може бути не лише геополітичною конструкцією, а й суб’єктом гуманітарної відповідальності. Це створює передумови для подальшого розвитку концепції «Європейського гуманітарного простору» — як системи, що здатна інтегрувати національні, регіональні та транснаціональні зусилля для захисту людини в умовах кризи.</w:t>
      </w:r>
    </w:p>
    <w:p w:rsidR="00000000" w:rsidDel="00000000" w:rsidP="00000000" w:rsidRDefault="00000000" w:rsidRPr="00000000" w14:paraId="000000C5">
      <w:pPr>
        <w:spacing w:line="360" w:lineRule="auto"/>
        <w:ind w:firstLine="709"/>
        <w:rPr>
          <w:sz w:val="28"/>
          <w:szCs w:val="28"/>
        </w:rPr>
      </w:pPr>
      <w:r w:rsidDel="00000000" w:rsidR="00000000" w:rsidRPr="00000000">
        <w:rPr>
          <w:rtl w:val="0"/>
        </w:rPr>
      </w:r>
    </w:p>
    <w:p w:rsidR="00000000" w:rsidDel="00000000" w:rsidP="00000000" w:rsidRDefault="00000000" w:rsidRPr="00000000" w14:paraId="000000C6">
      <w:pPr>
        <w:spacing w:line="360" w:lineRule="auto"/>
        <w:ind w:firstLine="709"/>
        <w:rPr>
          <w:b w:val="1"/>
          <w:sz w:val="28"/>
          <w:szCs w:val="28"/>
        </w:rPr>
      </w:pPr>
      <w:r w:rsidDel="00000000" w:rsidR="00000000" w:rsidRPr="00000000">
        <w:rPr>
          <w:b w:val="1"/>
          <w:sz w:val="28"/>
          <w:szCs w:val="28"/>
          <w:rtl w:val="0"/>
        </w:rPr>
        <w:t xml:space="preserve">2.2. Програми захисту громадян України: німецький та польський досвід</w:t>
      </w:r>
    </w:p>
    <w:p w:rsidR="00000000" w:rsidDel="00000000" w:rsidP="00000000" w:rsidRDefault="00000000" w:rsidRPr="00000000" w14:paraId="000000C7">
      <w:pPr>
        <w:spacing w:line="360" w:lineRule="auto"/>
        <w:ind w:firstLine="709"/>
        <w:rPr>
          <w:b w:val="1"/>
          <w:sz w:val="28"/>
          <w:szCs w:val="28"/>
        </w:rPr>
      </w:pPr>
      <w:r w:rsidDel="00000000" w:rsidR="00000000" w:rsidRPr="00000000">
        <w:rPr>
          <w:rtl w:val="0"/>
        </w:rPr>
      </w:r>
    </w:p>
    <w:p w:rsidR="00000000" w:rsidDel="00000000" w:rsidP="00000000" w:rsidRDefault="00000000" w:rsidRPr="00000000" w14:paraId="000000C8">
      <w:pPr>
        <w:spacing w:line="360" w:lineRule="auto"/>
        <w:ind w:firstLine="709"/>
        <w:rPr>
          <w:sz w:val="28"/>
          <w:szCs w:val="28"/>
        </w:rPr>
      </w:pPr>
      <w:r w:rsidDel="00000000" w:rsidR="00000000" w:rsidRPr="00000000">
        <w:rPr>
          <w:sz w:val="28"/>
          <w:szCs w:val="28"/>
          <w:rtl w:val="0"/>
        </w:rPr>
        <w:t xml:space="preserve">Після початку повномасштабної агресії Російської Федерації проти України у лютому 2022 року Німеччина оперативно активізувала комплекс заходів, спрямованих на надання правового захисту українським громадянам. Основним законодавчим підґрунтям для цього стало застосування параграфу 24 Закону про перебування (Aufenthaltsgesetz), який передбачає надання тимчасового захисту особам, що втекли від збройного конфлікту. Такий правовий механізм дозволяє уникнути процедури надання притулку, яка зазвичай вимагає тривалого часу на розгляд заяв та може бути обмежена в доступі до деяких соціальних прав. Українці, які прибули до Німеччини після 24 лютого 2022 року, отримали право на проживання, роботу, соціальні виплати, медичну допомогу та доступ до освіти вже після реєстрації у міграційній службі [46].</w:t>
      </w:r>
    </w:p>
    <w:p w:rsidR="00000000" w:rsidDel="00000000" w:rsidP="00000000" w:rsidRDefault="00000000" w:rsidRPr="00000000" w14:paraId="000000C9">
      <w:pPr>
        <w:spacing w:line="360" w:lineRule="auto"/>
        <w:ind w:firstLine="709"/>
        <w:rPr>
          <w:sz w:val="28"/>
          <w:szCs w:val="28"/>
        </w:rPr>
      </w:pPr>
      <w:r w:rsidDel="00000000" w:rsidR="00000000" w:rsidRPr="00000000">
        <w:rPr>
          <w:sz w:val="28"/>
          <w:szCs w:val="28"/>
          <w:rtl w:val="0"/>
        </w:rPr>
        <w:t xml:space="preserve">Рішення про застосування §24 було ухвалене на рівні Федерального міністерства внутрішніх справ у тісній координації з федеральними землями, які відповідають за реалізацію політики на місцях. Саме децентралізована структура управління стала як перевагою, так і викликом. З одного боку, це дозволило оперативно створити пункти прийому та реєстрації в усіх регіонах країни. З іншого — виявило суттєву нерівність у спроможностях земель забезпечити однаковий рівень допомоги. Наприклад, у Баварії та Північному Рейні-Вестфалії спостерігалося краще фінансування соціальної інфраструктури, ніж у нових федеральних землях, що позначалося на якості житлових умов та доступності послуг [47, с. 64].</w:t>
      </w:r>
    </w:p>
    <w:p w:rsidR="00000000" w:rsidDel="00000000" w:rsidP="00000000" w:rsidRDefault="00000000" w:rsidRPr="00000000" w14:paraId="000000CA">
      <w:pPr>
        <w:spacing w:line="360" w:lineRule="auto"/>
        <w:ind w:firstLine="709"/>
        <w:rPr>
          <w:sz w:val="28"/>
          <w:szCs w:val="28"/>
        </w:rPr>
      </w:pPr>
      <w:r w:rsidDel="00000000" w:rsidR="00000000" w:rsidRPr="00000000">
        <w:rPr>
          <w:sz w:val="28"/>
          <w:szCs w:val="28"/>
          <w:rtl w:val="0"/>
        </w:rPr>
        <w:t xml:space="preserve">Окрім §24, українці також отримали право на соціальні виплати згідно з Законом про пільги для шукачів притулку (Asylbewerberleistungsgesetz – AsylbLG). Хоча ці виплати є нижчими за звичайні соціальні стандарти, в окремих випадках — особливо для осіб з інвалідністю, вагітних жінок та сімей з дітьми — надавалися додаткові пакети допомоги. Важливим компонентом правового статусу стало також право на участь у програмах інтеграції, зокрема курсах німецької мови та орієнтаційних курсах з культурного життя країни. Ці заходи координувалися Федеральним агентством з питань міграції та біженців (BAMF), яке виконувало роль адміністративного центру для реалізації інтеграційної політики [48, с. 21].</w:t>
      </w:r>
    </w:p>
    <w:p w:rsidR="00000000" w:rsidDel="00000000" w:rsidP="00000000" w:rsidRDefault="00000000" w:rsidRPr="00000000" w14:paraId="000000CB">
      <w:pPr>
        <w:spacing w:line="360" w:lineRule="auto"/>
        <w:ind w:firstLine="709"/>
        <w:rPr>
          <w:sz w:val="28"/>
          <w:szCs w:val="28"/>
        </w:rPr>
      </w:pPr>
      <w:r w:rsidDel="00000000" w:rsidR="00000000" w:rsidRPr="00000000">
        <w:rPr>
          <w:sz w:val="28"/>
          <w:szCs w:val="28"/>
          <w:rtl w:val="0"/>
        </w:rPr>
        <w:t xml:space="preserve">Особливу роль у реалізації законодавства щодо українських біженців відіграла також співпраця між урядовими структурами та неурядовими організаціями. Наприклад, консультаційні центри, які працювали при церковних та громадських об’єднаннях, надавали безкоштовну юридичну підтримку, допомогу з пошуком житла, медичного обслуговування та працевлаштування. Уряд заохочував такі партнерства через спеціальні грантові програми та залучення до публічних консультацій. Такий підхід став характерним прикладом реалізації принципу субсидіарності у правовій системі Німеччини, де важливу роль відіграє місцевий рівень та громадянське суспільство [49].</w:t>
      </w:r>
    </w:p>
    <w:p w:rsidR="00000000" w:rsidDel="00000000" w:rsidP="00000000" w:rsidRDefault="00000000" w:rsidRPr="00000000" w14:paraId="000000CC">
      <w:pPr>
        <w:spacing w:line="360" w:lineRule="auto"/>
        <w:ind w:firstLine="709"/>
        <w:rPr>
          <w:sz w:val="28"/>
          <w:szCs w:val="28"/>
        </w:rPr>
      </w:pPr>
      <w:r w:rsidDel="00000000" w:rsidR="00000000" w:rsidRPr="00000000">
        <w:rPr>
          <w:sz w:val="28"/>
          <w:szCs w:val="28"/>
          <w:rtl w:val="0"/>
        </w:rPr>
        <w:t xml:space="preserve">Правові зміни в Німеччині також торкнулися питання довгострокової перспективи перебування українців. Хоча §24 формально передбачає тимчасовий характер перебування (до 3 років з можливістю продовження), у 2023–2024 роках у Бундестазі були запропоновані законодавчі ініціативи щодо спрощення процедур отримання постійного місця проживання для громадян України. Йдеться про ініціативи, які дозволяють зараховувати період перебування під тимчасовим захистом до терміну, необхідного для набуття права на постійне проживання, а також визнання освітніх кваліфікацій та трудового досвіду, отриманих в Україні. Такий підхід свідчить про політичну волю інтегрувати українців не лише як тимчасову групу захисту, а як повноправну частину суспільства у разі затягування конфлікту [50, с. 12-31].</w:t>
      </w:r>
    </w:p>
    <w:p w:rsidR="00000000" w:rsidDel="00000000" w:rsidP="00000000" w:rsidRDefault="00000000" w:rsidRPr="00000000" w14:paraId="000000CD">
      <w:pPr>
        <w:spacing w:line="360" w:lineRule="auto"/>
        <w:ind w:firstLine="709"/>
        <w:rPr>
          <w:sz w:val="28"/>
          <w:szCs w:val="28"/>
        </w:rPr>
      </w:pPr>
      <w:r w:rsidDel="00000000" w:rsidR="00000000" w:rsidRPr="00000000">
        <w:rPr>
          <w:sz w:val="28"/>
          <w:szCs w:val="28"/>
          <w:rtl w:val="0"/>
        </w:rPr>
        <w:t xml:space="preserve">Таким чином, законодавча база ФРН щодо захисту українців у період війни демонструє гнучкість та спроможність адаптуватися до нових викликів. Вона не обмежується лише юридичними нормами, а охоплює широку інфраструктуру підтримки, механізми інтеграції та партнерство з громадянським суспільством. Завдяки такому підходу, Німеччина забезпечила не лише мінімальні стандарти гуманітарного захисту, а й відкрила перспективи для довготривалої інтеграції українців, що підвищує стійкість соціальної системи загалом і зміцнює імідж держави як гаранта прав людини в Європі.</w:t>
      </w:r>
    </w:p>
    <w:p w:rsidR="00000000" w:rsidDel="00000000" w:rsidP="00000000" w:rsidRDefault="00000000" w:rsidRPr="00000000" w14:paraId="000000CE">
      <w:pPr>
        <w:spacing w:line="360" w:lineRule="auto"/>
        <w:ind w:firstLine="709"/>
        <w:rPr>
          <w:sz w:val="28"/>
          <w:szCs w:val="28"/>
        </w:rPr>
      </w:pPr>
      <w:r w:rsidDel="00000000" w:rsidR="00000000" w:rsidRPr="00000000">
        <w:rPr>
          <w:sz w:val="28"/>
          <w:szCs w:val="28"/>
          <w:rtl w:val="0"/>
        </w:rPr>
        <w:t xml:space="preserve">Соціальна політика Польщі щодо українців, які прибули на її територію після початку повномасштабного вторгнення Росії в Україну, стала прикладом надзвичайно швидкої мобілізації державного апарату, муніципалітетів і громадянського суспільства. На відміну від класичних процедур інтеграції іноземців, що традиційно передбачають обмежений доступ до послуг і тривалі адміністративні процедури, у випадку з українськими біженцями було ухвалено окремий спеціальний закон — «Про допомогу громадянам України у зв’язку з збройним конфліктом на території цієї держави» від 12 березня 2022 року. Цей закон дозволив українцям отримати статус, який прирівнюється до резидентського, надаючи їм право на проживання, працю, доступ до медицини, освіти, соціальної допомоги та інших сервісів без необхідності проходження процедури надання притулку [51, с. 303].</w:t>
      </w:r>
    </w:p>
    <w:p w:rsidR="00000000" w:rsidDel="00000000" w:rsidP="00000000" w:rsidRDefault="00000000" w:rsidRPr="00000000" w14:paraId="000000CF">
      <w:pPr>
        <w:spacing w:line="360" w:lineRule="auto"/>
        <w:ind w:firstLine="709"/>
        <w:rPr>
          <w:sz w:val="28"/>
          <w:szCs w:val="28"/>
        </w:rPr>
      </w:pPr>
      <w:r w:rsidDel="00000000" w:rsidR="00000000" w:rsidRPr="00000000">
        <w:rPr>
          <w:sz w:val="28"/>
          <w:szCs w:val="28"/>
          <w:rtl w:val="0"/>
        </w:rPr>
        <w:t xml:space="preserve">Ключовою адміністративною умовою реалізації соціальних програм стало отримання українцями персонального номера PESEL, який фактично відкривав їм доступ до системи польського соціального захисту. Після отримання цього номера громадяни України могли користуватись такими ж правами, як і громадяни Польщі, у сфері медичного страхування (через Національний фонд охорони здоров’я – NFZ), освітніх послуг, а також претендувати на грошові допомоги. Особливо важливим у перші місяці кризи було те, що держава покривала витрати на тимчасове розміщення українців у приватних домогосподарствах, готелях, гуртожитках та громадських установах. Власники помешкань, які приймали українських біженців, отримували від уряду фінансову компенсацію, що стало потужним стимулом для залучення населення до допомоги [52].</w:t>
      </w:r>
    </w:p>
    <w:p w:rsidR="00000000" w:rsidDel="00000000" w:rsidP="00000000" w:rsidRDefault="00000000" w:rsidRPr="00000000" w14:paraId="000000D0">
      <w:pPr>
        <w:spacing w:line="360" w:lineRule="auto"/>
        <w:ind w:firstLine="709"/>
        <w:rPr>
          <w:sz w:val="28"/>
          <w:szCs w:val="28"/>
        </w:rPr>
      </w:pPr>
      <w:r w:rsidDel="00000000" w:rsidR="00000000" w:rsidRPr="00000000">
        <w:rPr>
          <w:sz w:val="28"/>
          <w:szCs w:val="28"/>
          <w:rtl w:val="0"/>
        </w:rPr>
        <w:t xml:space="preserve">Значна увага приділялася сім’ям з дітьми. Українські школярі були інтегровані у польську систему освіти на підставі чинних нормативних актів, зокрема розпорядження Міністерства освіти Польщі, яке дозволяло приймати учнів у шкільні заклади без документації, що підтверджує рівень попередньої освіти. У більшості шкіл були створені підготовчі або адаптаційні класи, в яких акцент робився на вивченні польської мови. Крім того, на базі багатьох навчальних закладів почала працювати система мовної та психологічної підтримки, а також міжкультурного посередництва. Ці послуги часто реалізовувалися у партнерстві з місцевими неурядовими організаціями та іноземними фондами, що забезпечувало їхню гнучкість та інклюзивність [53].</w:t>
      </w:r>
    </w:p>
    <w:p w:rsidR="00000000" w:rsidDel="00000000" w:rsidP="00000000" w:rsidRDefault="00000000" w:rsidRPr="00000000" w14:paraId="000000D1">
      <w:pPr>
        <w:spacing w:line="360" w:lineRule="auto"/>
        <w:ind w:firstLine="709"/>
        <w:rPr>
          <w:sz w:val="28"/>
          <w:szCs w:val="28"/>
        </w:rPr>
      </w:pPr>
      <w:r w:rsidDel="00000000" w:rsidR="00000000" w:rsidRPr="00000000">
        <w:rPr>
          <w:sz w:val="28"/>
          <w:szCs w:val="28"/>
          <w:rtl w:val="0"/>
        </w:rPr>
        <w:t xml:space="preserve">Окремою соціальною ініціативою стала програма одноразової грошової допомоги в розмірі 300 злотих для кожного громадянина України, який прибув до Польщі у зв’язку з війною. Ця допомога мала покрити базові потреби в перші дні після прибуття – одяг, їжу, предмети першої необхідності. Важливо, що ця виплата не залежала від працевлаштування чи наявності житла. У довготривалішій перспективі українські громадяни могли претендувати на щомісячну допомогу для утримання дітей (500+), соціальні виплати на догляд за особами з інвалідністю, житлову допомогу тощо. Держава також фінансувала програми перекваліфікації, менторства та курси польської мови, що мали на меті полегшити інтеграцію українців на ринок праці [54].</w:t>
      </w:r>
    </w:p>
    <w:p w:rsidR="00000000" w:rsidDel="00000000" w:rsidP="00000000" w:rsidRDefault="00000000" w:rsidRPr="00000000" w14:paraId="000000D2">
      <w:pPr>
        <w:spacing w:line="360" w:lineRule="auto"/>
        <w:ind w:firstLine="709"/>
        <w:rPr>
          <w:sz w:val="28"/>
          <w:szCs w:val="28"/>
        </w:rPr>
      </w:pPr>
      <w:r w:rsidDel="00000000" w:rsidR="00000000" w:rsidRPr="00000000">
        <w:rPr>
          <w:sz w:val="28"/>
          <w:szCs w:val="28"/>
          <w:rtl w:val="0"/>
        </w:rPr>
        <w:t xml:space="preserve">Водночас важливим чинником реалізації соціальної політики стала співпраця між польським урядом, муніципалітетами та третім сектором. Громадські організації, релігійні спільноти, волонтерські мережі стали невід’ємною частиною системи допомоги: вони координували поселення, роздачу гуманітарної допомоги, організовували правову консультацію, допомогу в оформленні документів. У багатьох містах Польщі були створені Центри підтримки іноземців, які виступали контактною точкою між українцями та соціальними службами. Крім того, уряд підтримував інформаційні кампанії українською мовою, що забезпечувало ефективне інформування біженців про їхні права та можливості [55].</w:t>
      </w:r>
    </w:p>
    <w:p w:rsidR="00000000" w:rsidDel="00000000" w:rsidP="00000000" w:rsidRDefault="00000000" w:rsidRPr="00000000" w14:paraId="000000D3">
      <w:pPr>
        <w:spacing w:line="360" w:lineRule="auto"/>
        <w:ind w:firstLine="709"/>
        <w:rPr>
          <w:sz w:val="28"/>
          <w:szCs w:val="28"/>
        </w:rPr>
      </w:pPr>
      <w:r w:rsidDel="00000000" w:rsidR="00000000" w:rsidRPr="00000000">
        <w:rPr>
          <w:sz w:val="28"/>
          <w:szCs w:val="28"/>
          <w:rtl w:val="0"/>
        </w:rPr>
        <w:t xml:space="preserve">Таким чином, соціальні ініціативи та підтримка українців у Польщі стали прикладом швидкої і масштабної мобілізації ресурсів та інституцій. Польська модель базувалася на принципі рівного доступу до базових прав і послуг, поєднуючи інституційний підхід з активним залученням громадянського суспільства. Така політика не лише дозволила впоратися з масовим напливом населення, але й створила основу для більш довготривалої інтеграції українців у польське суспільство. Попри певні виклики, пов’язані з перевантаженням системи охорони здоров’я, освіти та житлового забезпечення, загальний досвід Польщі вважається одним із найбільш комплексних і ефективних у межах Європейського Союзу.</w:t>
      </w:r>
    </w:p>
    <w:p w:rsidR="00000000" w:rsidDel="00000000" w:rsidP="00000000" w:rsidRDefault="00000000" w:rsidRPr="00000000" w14:paraId="000000D4">
      <w:pPr>
        <w:spacing w:line="360" w:lineRule="auto"/>
        <w:ind w:firstLine="709"/>
        <w:rPr>
          <w:sz w:val="28"/>
          <w:szCs w:val="28"/>
        </w:rPr>
      </w:pPr>
      <w:r w:rsidDel="00000000" w:rsidR="00000000" w:rsidRPr="00000000">
        <w:rPr>
          <w:sz w:val="28"/>
          <w:szCs w:val="28"/>
          <w:rtl w:val="0"/>
        </w:rPr>
        <w:t xml:space="preserve">У відповідь на масштабний приплив українців, спричинений війною, інституційна система допомоги в країнах Європейського Союзу, зокрема у Польщі та Німеччині, зазнала глибоких змін. Реакція на гуманітарну кризу виявила потребу не лише в законодавчих рішеннях, але й у скоординованій роботі державних служб, неурядових організацій та місцевих самоврядувань. В умовах, коли національні адміністративні ресурси швидко досягли межі навантаження, саме взаємодія інституцій різних рівнів стала критично важливою для реалізації ефективної політики підтримки українських громадян.</w:t>
      </w:r>
    </w:p>
    <w:p w:rsidR="00000000" w:rsidDel="00000000" w:rsidP="00000000" w:rsidRDefault="00000000" w:rsidRPr="00000000" w14:paraId="000000D5">
      <w:pPr>
        <w:spacing w:line="360" w:lineRule="auto"/>
        <w:ind w:firstLine="709"/>
        <w:rPr>
          <w:sz w:val="28"/>
          <w:szCs w:val="28"/>
        </w:rPr>
      </w:pPr>
      <w:r w:rsidDel="00000000" w:rsidR="00000000" w:rsidRPr="00000000">
        <w:rPr>
          <w:sz w:val="28"/>
          <w:szCs w:val="28"/>
          <w:rtl w:val="0"/>
        </w:rPr>
        <w:t xml:space="preserve">У Польщі державні служби виконували першочергову функцію прийому, реєстрації та базового розміщення біженців. З перших днів війни були відкриті спеціальні пункти перетину кордону, де представники прикордонної служби, медики, поліція та соціальні працівники здійснювали прийом та початкову обробку інформації про прибулих. Створено також єдині центри обслуговування українців, у яких вони могли отримати номер PESEL, медичну страховку, допомогу в пошуку житла та направлення до освітніх установ. Міністерство внутрішніх справ Польщі координувало процес створення таких пунктів разом із муніципалітетами та службами воєводських адміністрацій, що дозволило швидко покрити критичні регіони, де спостерігалася найбільша концентрація біженців [56, с. 1214-1230].</w:t>
      </w:r>
    </w:p>
    <w:p w:rsidR="00000000" w:rsidDel="00000000" w:rsidP="00000000" w:rsidRDefault="00000000" w:rsidRPr="00000000" w14:paraId="000000D6">
      <w:pPr>
        <w:spacing w:line="360" w:lineRule="auto"/>
        <w:ind w:firstLine="709"/>
        <w:rPr>
          <w:sz w:val="28"/>
          <w:szCs w:val="28"/>
        </w:rPr>
      </w:pPr>
      <w:r w:rsidDel="00000000" w:rsidR="00000000" w:rsidRPr="00000000">
        <w:rPr>
          <w:sz w:val="28"/>
          <w:szCs w:val="28"/>
          <w:rtl w:val="0"/>
        </w:rPr>
        <w:t xml:space="preserve">Окреме місце в системі інституційної підтримки посіли муніципалітети — органи місцевого самоврядування, які на практиці забезпечували виконання рішень центральної влади. Багато міст Польщі, таких як Варшава, Краків, Вроцлав, розгорнули програми тимчасового поселення, відкривали пункти видачі гуманітарної допомоги, залучали перекладачів, психологів, консультантів з правових питань. Муніципальні установи співпрацювали з місцевими школами та лікарнями, забезпечуючи інтеграцію українців у систему соціальних послуг. При цьому активна участь місцевої влади дозволила адаптувати моделі підтримки до реальних потреб громад, включаючи створення мобільних груп допомоги для вразливих осіб — людей з інвалідністю, одиноких матерів, осіб похилого віку [57].</w:t>
      </w:r>
    </w:p>
    <w:p w:rsidR="00000000" w:rsidDel="00000000" w:rsidP="00000000" w:rsidRDefault="00000000" w:rsidRPr="00000000" w14:paraId="000000D7">
      <w:pPr>
        <w:spacing w:line="360" w:lineRule="auto"/>
        <w:ind w:firstLine="709"/>
        <w:rPr>
          <w:sz w:val="28"/>
          <w:szCs w:val="28"/>
        </w:rPr>
      </w:pPr>
      <w:r w:rsidDel="00000000" w:rsidR="00000000" w:rsidRPr="00000000">
        <w:rPr>
          <w:sz w:val="28"/>
          <w:szCs w:val="28"/>
          <w:rtl w:val="0"/>
        </w:rPr>
        <w:t xml:space="preserve">Поряд із державними структурами ключову роль у підтримці відіграли неурядові організації (НУО), які стали посередниками між потребами біженців і можливостями інституцій. Організації як-от Польський Червоний Хрест, Карітас, Фундація «Наш Вибір», а також численні місцеві ініціативи здійснювали гуманітарну допомогу, психологічну підтримку, юридичні консультації, допомогу з документами та працевлаштуванням. Вони діяли у сфері, яка часто не покривалася державними програмами, особливо на початковому етапі прибуття. Зокрема, НУО створили гарячі лінії українською мовою, інтеграційні центри у великих містах, організовували курси польської мови та культурної адаптації [58].</w:t>
      </w:r>
    </w:p>
    <w:p w:rsidR="00000000" w:rsidDel="00000000" w:rsidP="00000000" w:rsidRDefault="00000000" w:rsidRPr="00000000" w14:paraId="000000D8">
      <w:pPr>
        <w:spacing w:line="360" w:lineRule="auto"/>
        <w:ind w:firstLine="709"/>
        <w:rPr>
          <w:sz w:val="28"/>
          <w:szCs w:val="28"/>
        </w:rPr>
      </w:pPr>
      <w:r w:rsidDel="00000000" w:rsidR="00000000" w:rsidRPr="00000000">
        <w:rPr>
          <w:sz w:val="28"/>
          <w:szCs w:val="28"/>
          <w:rtl w:val="0"/>
        </w:rPr>
        <w:t xml:space="preserve">У Німеччині аналогічну функцію виконували як державні, так і незалежні структури. Федеральне агентство у справах міграції та біженців (BAMF) працювало у тісному зв’язку з міськими департаментами соціального захисту, центрами зайнятості, а також громадськими організаціями. На рівні муніципалітетів створювались центри консультацій, де українці могли отримати інформацію щодо легального перебування, медичних послуг, дитячих садків, шкільної освіти та інтеграційних курсів. Важливо, що в Німеччині були також запущені спеціалізовані програми для підтримки жінок і дітей — зокрема проєкти із залученням Уповноваженої з прав жінок, які опікувалися запобіганням насильству та сприянням соціальній реінтеграції [59].</w:t>
      </w:r>
    </w:p>
    <w:p w:rsidR="00000000" w:rsidDel="00000000" w:rsidP="00000000" w:rsidRDefault="00000000" w:rsidRPr="00000000" w14:paraId="000000D9">
      <w:pPr>
        <w:spacing w:line="360" w:lineRule="auto"/>
        <w:ind w:firstLine="709"/>
        <w:rPr>
          <w:sz w:val="28"/>
          <w:szCs w:val="28"/>
        </w:rPr>
      </w:pPr>
      <w:r w:rsidDel="00000000" w:rsidR="00000000" w:rsidRPr="00000000">
        <w:rPr>
          <w:sz w:val="28"/>
          <w:szCs w:val="28"/>
          <w:rtl w:val="0"/>
        </w:rPr>
        <w:t xml:space="preserve">Координаційна функція між цими різними рівнями інституційної взаємодії належала, передусім, кризовим штабам та міжсекторальним комісіям, що включали представників органів влади, міжнародних організацій, місцевих органів управління та громадського сектору. У Польщі була розгорнута електронна система моніторингу потреб, яка базувалася на зворотному зв’язку з польовими службами та запитами самих біженців. Така модель дозволила гнучко перерозподіляти ресурси, визначати пріоритетні категорії отримувачів допомоги, своєчасно коригувати програми підтримки з урахуванням змін у динаміці переміщень. У Німеччині, натомість, було зроблено акцент на міжвідомчій співпраці, що охоплювала як державні установи, так і такі гігантські гуманітарні організації, як Diakonie, Arbeiterwohlfahrt, Johanniter [60].</w:t>
      </w:r>
    </w:p>
    <w:p w:rsidR="00000000" w:rsidDel="00000000" w:rsidP="00000000" w:rsidRDefault="00000000" w:rsidRPr="00000000" w14:paraId="000000DA">
      <w:pPr>
        <w:spacing w:line="360" w:lineRule="auto"/>
        <w:ind w:firstLine="709"/>
        <w:rPr>
          <w:sz w:val="28"/>
          <w:szCs w:val="28"/>
        </w:rPr>
      </w:pPr>
      <w:r w:rsidDel="00000000" w:rsidR="00000000" w:rsidRPr="00000000">
        <w:rPr>
          <w:sz w:val="28"/>
          <w:szCs w:val="28"/>
          <w:rtl w:val="0"/>
        </w:rPr>
        <w:t xml:space="preserve">Таким чином, інституційна допомога українцям у Польщі та Німеччині виявилася багатоаспектним процесом, що охоплює всі рівні – від міністерств до муніципальних служб і неурядового сектору. Її ефективність полягала в інтеграції вертикальних (державних) і горизонтальних (громадських) ресурсів, у гнучкій реакції на потреби та у здатності вийти за межі бюрократичних процедур заради гуманітарного ефекту. Уроки цієї співпраці мають стратегічне значення для майбутньої європейської політики у сфері кризового реагування та міжінституційного партнерства.</w:t>
      </w:r>
    </w:p>
    <w:p w:rsidR="00000000" w:rsidDel="00000000" w:rsidP="00000000" w:rsidRDefault="00000000" w:rsidRPr="00000000" w14:paraId="000000DB">
      <w:pPr>
        <w:spacing w:line="360" w:lineRule="auto"/>
        <w:ind w:firstLine="709"/>
        <w:rPr>
          <w:sz w:val="28"/>
          <w:szCs w:val="28"/>
        </w:rPr>
      </w:pPr>
      <w:r w:rsidDel="00000000" w:rsidR="00000000" w:rsidRPr="00000000">
        <w:rPr>
          <w:sz w:val="28"/>
          <w:szCs w:val="28"/>
          <w:rtl w:val="0"/>
        </w:rPr>
        <w:t xml:space="preserve">досвід Німеччини та Польщі як ключових країн, що прийняли найбільшу кількість українських біженців після початку повномасштабної війни у 2022 році. Їхня політика стала не лише реакцією на гуманітарну кризу, а й проявом політичної відповідальності, солідарності, а подекуди й стратегічного прагматизму. Саме конкретні практики реалізації програм захисту в цих країнах демонструють, як правові норми та декларативні європейські цінності трансформуються в реальні механізми підтримки, інтеграції та адаптації переміщених осіб у нове середовище.</w:t>
      </w:r>
    </w:p>
    <w:p w:rsidR="00000000" w:rsidDel="00000000" w:rsidP="00000000" w:rsidRDefault="00000000" w:rsidRPr="00000000" w14:paraId="000000DC">
      <w:pPr>
        <w:spacing w:line="360" w:lineRule="auto"/>
        <w:ind w:firstLine="709"/>
        <w:rPr>
          <w:sz w:val="28"/>
          <w:szCs w:val="28"/>
        </w:rPr>
      </w:pPr>
      <w:r w:rsidDel="00000000" w:rsidR="00000000" w:rsidRPr="00000000">
        <w:rPr>
          <w:sz w:val="28"/>
          <w:szCs w:val="28"/>
          <w:rtl w:val="0"/>
        </w:rPr>
        <w:t xml:space="preserve">Німеччина, як одна з найбільш ресурсно забезпечених країн Європи, реалізувала складну, багаторівневу систему захисту українців, яка поєднувала федеральні, земельні й муніципальні ініціативи. В основі правового механізму перебування українських громадян був §24 Закону про перебування (AufenthG), що надавав дозвіл на тимчасове перебування без необхідності проходити стандартну процедуру надання притулку. Важливим аспектом німецької політики стала її децентралізованість: кожна земля відповідала за власну логістику, розміщення, розподіл ресурсів і навіть обсяг соціальних виплат, що створювало як позитивні умови для гнучкості, так і виклики для узгодженості.</w:t>
      </w:r>
    </w:p>
    <w:p w:rsidR="00000000" w:rsidDel="00000000" w:rsidP="00000000" w:rsidRDefault="00000000" w:rsidRPr="00000000" w14:paraId="000000DD">
      <w:pPr>
        <w:spacing w:line="360" w:lineRule="auto"/>
        <w:ind w:firstLine="709"/>
        <w:rPr>
          <w:sz w:val="28"/>
          <w:szCs w:val="28"/>
        </w:rPr>
      </w:pPr>
      <w:r w:rsidDel="00000000" w:rsidR="00000000" w:rsidRPr="00000000">
        <w:rPr>
          <w:sz w:val="28"/>
          <w:szCs w:val="28"/>
          <w:rtl w:val="0"/>
        </w:rPr>
        <w:t xml:space="preserve">Однією з сильних сторін німецької моделі стала швидка інтеграція українців у систему соціального забезпечення. Вони отримали доступ до базової медицини, шкільної освіти, правової допомоги та соціального страхування. Значну увагу приділяли також мовній адаптації — курсам німецької мови, культурної орієнтації, програмам перекваліфікації. Принцип «інтеграція через участь» став орієнтиром для багатьох муніципалітетів, які активно залучали новоприбулих до життя місцевих громад через школи, волонтерство, роботу громадських центрів. У партнерстві з церковними структурами, неурядовими організаціями, місцевими активістами формувалась модель співпраці, яка виходила за межі стандартного бюрократичного патерналізму [44, с. 72].</w:t>
      </w:r>
    </w:p>
    <w:p w:rsidR="00000000" w:rsidDel="00000000" w:rsidP="00000000" w:rsidRDefault="00000000" w:rsidRPr="00000000" w14:paraId="000000DE">
      <w:pPr>
        <w:spacing w:line="360" w:lineRule="auto"/>
        <w:ind w:firstLine="709"/>
        <w:rPr>
          <w:sz w:val="28"/>
          <w:szCs w:val="28"/>
        </w:rPr>
      </w:pPr>
      <w:r w:rsidDel="00000000" w:rsidR="00000000" w:rsidRPr="00000000">
        <w:rPr>
          <w:sz w:val="28"/>
          <w:szCs w:val="28"/>
          <w:rtl w:val="0"/>
        </w:rPr>
        <w:t xml:space="preserve">Польща, з іншого боку, опинилась у більш складному становищі — вона прийняла мільйони українців у стислі терміни, без достатньої попередньої підготовки. Однак польська реакція виявилась надзвичайно мобілізованою та масштабною. Прийнятий 12 березня 2022 року спеціальний закон «Про допомогу громадянам України» не лише закріпив право на легальне перебування, але й відкрив доступ до системи охорони здоров’я, ринку праці, державної освіти, житлової допомоги. Польща забезпечила спрощений доступ до посвідки на проживання, запровадила систему присвоєння ідентифікаційного номера PESEL, що фактично включив українців у національну цифрову адміністративну систему.</w:t>
      </w:r>
    </w:p>
    <w:p w:rsidR="00000000" w:rsidDel="00000000" w:rsidP="00000000" w:rsidRDefault="00000000" w:rsidRPr="00000000" w14:paraId="000000DF">
      <w:pPr>
        <w:spacing w:line="360" w:lineRule="auto"/>
        <w:ind w:firstLine="709"/>
        <w:rPr>
          <w:sz w:val="28"/>
          <w:szCs w:val="28"/>
        </w:rPr>
      </w:pPr>
      <w:r w:rsidDel="00000000" w:rsidR="00000000" w:rsidRPr="00000000">
        <w:rPr>
          <w:sz w:val="28"/>
          <w:szCs w:val="28"/>
          <w:rtl w:val="0"/>
        </w:rPr>
        <w:t xml:space="preserve">Найбільш унікальним аспектом польського досвіду стала роль суспільства. У перші місяці війни саме громадяни Польщі — через волонтерство, приватне житло, гуманітарну допомогу — забезпечили основну підтримку українцям. Цей громадський порив згодом був інституціоналізований: держава ввела компенсаційні механізми для громадян, які приймали біженців, розширила можливості муніципального фінансування, створила електронні платформи для координації допомоги. Польща також інтегрувала українських дітей у шкільну систему, часто через створення класів з українською мовою викладання або через роботу міжкультурних асистентів.</w:t>
      </w:r>
    </w:p>
    <w:p w:rsidR="00000000" w:rsidDel="00000000" w:rsidP="00000000" w:rsidRDefault="00000000" w:rsidRPr="00000000" w14:paraId="000000E0">
      <w:pPr>
        <w:spacing w:line="360" w:lineRule="auto"/>
        <w:ind w:firstLine="709"/>
        <w:rPr>
          <w:sz w:val="28"/>
          <w:szCs w:val="28"/>
        </w:rPr>
      </w:pPr>
      <w:r w:rsidDel="00000000" w:rsidR="00000000" w:rsidRPr="00000000">
        <w:rPr>
          <w:sz w:val="28"/>
          <w:szCs w:val="28"/>
          <w:rtl w:val="0"/>
        </w:rPr>
        <w:t xml:space="preserve">Разом із тим, обидві країни стикалися з викликами. У Німеччині проблемою стала перевантаженість соціальних установ, бюрократичні труднощі в оформленні документів, а також нерівномірність послуг між землями. У Польщі — брак ресурсів у великих містах, нестача місць у школах і лікарнях, напруга в системі охорони здоров’я, а згодом — зростання ксенофобських настроїв на тлі економічної нестабільності. У відповідь на це обидві держави почали реалізовувати стратегії середньострокової адаптації — у Німеччині це були проєкти з інтеграції в ринок праці, у Польщі — розширення шкільної та соціальної інфраструктури.</w:t>
      </w:r>
    </w:p>
    <w:p w:rsidR="00000000" w:rsidDel="00000000" w:rsidP="00000000" w:rsidRDefault="00000000" w:rsidRPr="00000000" w14:paraId="000000E1">
      <w:pPr>
        <w:spacing w:line="360" w:lineRule="auto"/>
        <w:ind w:firstLine="709"/>
        <w:rPr>
          <w:sz w:val="28"/>
          <w:szCs w:val="28"/>
        </w:rPr>
      </w:pPr>
      <w:r w:rsidDel="00000000" w:rsidR="00000000" w:rsidRPr="00000000">
        <w:rPr>
          <w:sz w:val="28"/>
          <w:szCs w:val="28"/>
          <w:rtl w:val="0"/>
        </w:rPr>
        <w:t xml:space="preserve">У ширшому контексті досвід Польщі та Німеччини свідчить про поступовий перехід від екстреного реагування до формування стійких інституційних рішень. Обидві країни почали розробляти плани довгострокової інтеграції — визнання дипломів, кредитів навчання, сприяння працевлаштуванню, участь у місцевому самоврядуванні. Таким чином, питання захисту поступово перетворюється на політику інклюзії, де українці розглядаються не лише як об’єкти допомоги, а як потенційні учасники політичного, економічного й соціального життя приймаючих держав [58].</w:t>
      </w:r>
    </w:p>
    <w:p w:rsidR="00000000" w:rsidDel="00000000" w:rsidP="00000000" w:rsidRDefault="00000000" w:rsidRPr="00000000" w14:paraId="000000E2">
      <w:pPr>
        <w:spacing w:line="360" w:lineRule="auto"/>
        <w:ind w:firstLine="709"/>
        <w:rPr>
          <w:sz w:val="28"/>
          <w:szCs w:val="28"/>
        </w:rPr>
      </w:pPr>
      <w:r w:rsidDel="00000000" w:rsidR="00000000" w:rsidRPr="00000000">
        <w:rPr>
          <w:sz w:val="28"/>
          <w:szCs w:val="28"/>
          <w:rtl w:val="0"/>
        </w:rPr>
        <w:t xml:space="preserve">Нарешті, варто зазначити: порівняльний аналіз польського та німецького досвіду дозволяє побачити два різні, але взаємодоповнюючі підходи — емоційно-гуманітарний (польський) та інституційно-системний (німецький). Їх поєднання створює цінний європейський прецедент, що може слугувати моделлю для інших держав у випадках майбутніх гуманітарних криз. Це приклад того, як права людини, навіть у період надзвичайної ситуації, можуть реалізовуватись ефективно, гідно та з повагою до людської автономії.</w:t>
      </w:r>
    </w:p>
    <w:p w:rsidR="00000000" w:rsidDel="00000000" w:rsidP="00000000" w:rsidRDefault="00000000" w:rsidRPr="00000000" w14:paraId="000000E3">
      <w:pPr>
        <w:spacing w:line="360" w:lineRule="auto"/>
        <w:ind w:firstLine="709"/>
        <w:rPr>
          <w:sz w:val="28"/>
          <w:szCs w:val="28"/>
        </w:rPr>
      </w:pPr>
      <w:r w:rsidDel="00000000" w:rsidR="00000000" w:rsidRPr="00000000">
        <w:rPr>
          <w:rtl w:val="0"/>
        </w:rPr>
      </w:r>
    </w:p>
    <w:p w:rsidR="00000000" w:rsidDel="00000000" w:rsidP="00000000" w:rsidRDefault="00000000" w:rsidRPr="00000000" w14:paraId="000000E4">
      <w:pPr>
        <w:spacing w:line="360" w:lineRule="auto"/>
        <w:ind w:firstLine="709"/>
        <w:rPr>
          <w:b w:val="1"/>
          <w:sz w:val="28"/>
          <w:szCs w:val="28"/>
        </w:rPr>
      </w:pPr>
      <w:r w:rsidDel="00000000" w:rsidR="00000000" w:rsidRPr="00000000">
        <w:rPr>
          <w:b w:val="1"/>
          <w:sz w:val="28"/>
          <w:szCs w:val="28"/>
          <w:rtl w:val="0"/>
        </w:rPr>
        <w:t xml:space="preserve">2.3. Сильні та слабкі сторони захисту прав українців у Німеччині та Польщі</w:t>
      </w:r>
    </w:p>
    <w:p w:rsidR="00000000" w:rsidDel="00000000" w:rsidP="00000000" w:rsidRDefault="00000000" w:rsidRPr="00000000" w14:paraId="000000E5">
      <w:pPr>
        <w:spacing w:line="360" w:lineRule="auto"/>
        <w:ind w:firstLine="709"/>
        <w:rPr>
          <w:b w:val="1"/>
          <w:sz w:val="28"/>
          <w:szCs w:val="28"/>
        </w:rPr>
      </w:pPr>
      <w:r w:rsidDel="00000000" w:rsidR="00000000" w:rsidRPr="00000000">
        <w:rPr>
          <w:rtl w:val="0"/>
        </w:rPr>
      </w:r>
    </w:p>
    <w:p w:rsidR="00000000" w:rsidDel="00000000" w:rsidP="00000000" w:rsidRDefault="00000000" w:rsidRPr="00000000" w14:paraId="000000E6">
      <w:pPr>
        <w:spacing w:line="360" w:lineRule="auto"/>
        <w:ind w:firstLine="709"/>
        <w:rPr>
          <w:sz w:val="28"/>
          <w:szCs w:val="28"/>
        </w:rPr>
      </w:pPr>
      <w:r w:rsidDel="00000000" w:rsidR="00000000" w:rsidRPr="00000000">
        <w:rPr>
          <w:sz w:val="28"/>
          <w:szCs w:val="28"/>
          <w:rtl w:val="0"/>
        </w:rPr>
        <w:t xml:space="preserve">Порівняльний аналіз реалізації прав українських біженців у Польщі та Німеччині дає змогу оцінити ефективність систем захисту в умовах кризового навантаження. Обидві країни стали ключовими напрямками переміщення українців після початку війни, проте їх підходи до забезпечення базових прав — таких як доступ до житла, ринку праці, охорони здоров’я та освіти — виявилися як подібними, так і суттєво різними, з огляду на національні правові традиції, інституційну спроможність і політичний контекст.</w:t>
      </w:r>
    </w:p>
    <w:p w:rsidR="00000000" w:rsidDel="00000000" w:rsidP="00000000" w:rsidRDefault="00000000" w:rsidRPr="00000000" w14:paraId="000000E7">
      <w:pPr>
        <w:spacing w:line="360" w:lineRule="auto"/>
        <w:ind w:firstLine="709"/>
        <w:rPr>
          <w:sz w:val="28"/>
          <w:szCs w:val="28"/>
        </w:rPr>
      </w:pPr>
      <w:r w:rsidDel="00000000" w:rsidR="00000000" w:rsidRPr="00000000">
        <w:rPr>
          <w:sz w:val="28"/>
          <w:szCs w:val="28"/>
          <w:rtl w:val="0"/>
        </w:rPr>
        <w:t xml:space="preserve">У сфері житлового забезпечення Німеччина спиралася на існуючу інфраструктуру притулків та тимчасового розміщення, зосереджену на муніципальному рівні. Українці мали можливість отримати місця у гуртожитках або притулках, які вже функціонували для інших категорій біженців. Водночас через значний наплив і перевантаження системи частина прибулих змушена була тривалий час залишатися в умовах колективного проживання з обмеженою приватністю. Польща, натомість, пішла шляхом залучення населення — держава запровадила механізм компенсації витрат для громадян, які приймали українців у своїх домівках, що дозволило швидко розселити велику кількість людей і уникнути перевантаження гуртожитків [51, с. 303].</w:t>
      </w:r>
    </w:p>
    <w:p w:rsidR="00000000" w:rsidDel="00000000" w:rsidP="00000000" w:rsidRDefault="00000000" w:rsidRPr="00000000" w14:paraId="000000E8">
      <w:pPr>
        <w:spacing w:line="360" w:lineRule="auto"/>
        <w:ind w:firstLine="709"/>
        <w:rPr>
          <w:sz w:val="28"/>
          <w:szCs w:val="28"/>
        </w:rPr>
      </w:pPr>
      <w:r w:rsidDel="00000000" w:rsidR="00000000" w:rsidRPr="00000000">
        <w:rPr>
          <w:sz w:val="28"/>
          <w:szCs w:val="28"/>
          <w:rtl w:val="0"/>
        </w:rPr>
        <w:t xml:space="preserve">У доступі до ринку праці Німеччина забезпечила юридичну базу для вільного працевлаштування громадян України вже на підставі дозволу на тимчасове проживання згідно з §24 Закону про перебування. Проте процес інтеграції на ринок праці виявився складним через мовний бар’єр, необхідність визнання кваліфікацій та потребу в професійній адаптації. Уряд фінансував мовні курси та програми працевлаштування, однак бюрократичні процедури залишались суттєвою перешкодою. Польща, навпаки, спростила доступ до роботи максимально: українці мали змогу легально працевлаштовуватись без отримання додаткових дозволів, що дало поштовх швидкому залученню до низькокваліфікованого сектору. Разом із тим, брак системної підтримки професійного зростання обмежував можливості довготривалої інтеграції [52].</w:t>
      </w:r>
    </w:p>
    <w:p w:rsidR="00000000" w:rsidDel="00000000" w:rsidP="00000000" w:rsidRDefault="00000000" w:rsidRPr="00000000" w14:paraId="000000E9">
      <w:pPr>
        <w:spacing w:line="360" w:lineRule="auto"/>
        <w:ind w:firstLine="709"/>
        <w:rPr>
          <w:sz w:val="28"/>
          <w:szCs w:val="28"/>
        </w:rPr>
      </w:pPr>
      <w:r w:rsidDel="00000000" w:rsidR="00000000" w:rsidRPr="00000000">
        <w:rPr>
          <w:sz w:val="28"/>
          <w:szCs w:val="28"/>
          <w:rtl w:val="0"/>
        </w:rPr>
        <w:t xml:space="preserve">У галузі охорони здоров’я обидві країни гарантували безкоштовний базовий медичний захист. У Німеччині українці, які зареєструвалися відповідно до §24, автоматично отримували доступ до медичних послуг за рахунок державної системи страхування. Це включало первинну допомогу, лікування хронічних захворювань, доступ до лікарів-фахівців, а також психотерапію. Польща забезпечувала аналогічний доступ через Національний фонд охорони здоров’я (NFZ), однак у практиці біженці зіштовхувалися з нестачею персоналу, чергами та мовними бар’єрами. У великих містах спостерігалася більша спроможність системи, тоді як у сільських регіонах доступ до спеціалізованої допомоги був обмежений [43].</w:t>
      </w:r>
    </w:p>
    <w:p w:rsidR="00000000" w:rsidDel="00000000" w:rsidP="00000000" w:rsidRDefault="00000000" w:rsidRPr="00000000" w14:paraId="000000EA">
      <w:pPr>
        <w:spacing w:line="360" w:lineRule="auto"/>
        <w:ind w:firstLine="709"/>
        <w:rPr>
          <w:sz w:val="28"/>
          <w:szCs w:val="28"/>
        </w:rPr>
      </w:pPr>
      <w:r w:rsidDel="00000000" w:rsidR="00000000" w:rsidRPr="00000000">
        <w:rPr>
          <w:sz w:val="28"/>
          <w:szCs w:val="28"/>
          <w:rtl w:val="0"/>
        </w:rPr>
        <w:t xml:space="preserve">Щодо освіти дітей, у Німеччині українські школярі мали право на безкоштовну загальну освіту, однак включення до системи відбувалося не одномоментно: тривала підготовка, тестування мовного рівня, розподіл до адаптаційних класів. Це дозволяло краще інтегрувати учнів у німецьке освітнє середовище, але водночас уповільнювало початок навчального процесу. Польська система діяла оперативніше — діти одразу потрапляли у звичайні або підготовчі класи. У багатьох школах запроваджено посади міжкультурних асистентів, які підтримували адаптацію. Водночас швидкість інтеграції не завжди супроводжувалася достатнім педагогічним і психологічним супроводом, що створювало ризик поверхової інклюзії [54].</w:t>
      </w:r>
    </w:p>
    <w:p w:rsidR="00000000" w:rsidDel="00000000" w:rsidP="00000000" w:rsidRDefault="00000000" w:rsidRPr="00000000" w14:paraId="000000EB">
      <w:pPr>
        <w:spacing w:line="360" w:lineRule="auto"/>
        <w:ind w:firstLine="709"/>
        <w:rPr>
          <w:sz w:val="28"/>
          <w:szCs w:val="28"/>
        </w:rPr>
      </w:pPr>
      <w:r w:rsidDel="00000000" w:rsidR="00000000" w:rsidRPr="00000000">
        <w:rPr>
          <w:sz w:val="28"/>
          <w:szCs w:val="28"/>
          <w:rtl w:val="0"/>
        </w:rPr>
        <w:t xml:space="preserve">Загалом, сильними сторонами польської моделі захисту стали її оперативність, гнучкість процедур і широке залучення громадянського суспільства. Слабкою — нестача ресурсів для довготривалої підтримки та системного підходу до інтеграції. У Німеччині перевагою була інституційна сталість, доступ до високоякісних послуг і орієнтація на довготривалу інтеграцію. Проте складність адміністративних процедур і повільна реакція в окремих регіонах знижували ефективність реалізації прав на перших етапах. Обидві країни продемонстрували високий рівень солідарності та адаптивності, але лише комплексне поєднання спрощених адміністративних механізмів і довгострокових стратегій здатне забезпечити ефективний захист прав переселенців у сучасних умовах.</w:t>
      </w:r>
    </w:p>
    <w:p w:rsidR="00000000" w:rsidDel="00000000" w:rsidP="00000000" w:rsidRDefault="00000000" w:rsidRPr="00000000" w14:paraId="000000EC">
      <w:pPr>
        <w:spacing w:line="360" w:lineRule="auto"/>
        <w:ind w:firstLine="709"/>
        <w:rPr>
          <w:sz w:val="28"/>
          <w:szCs w:val="28"/>
        </w:rPr>
      </w:pPr>
      <w:r w:rsidDel="00000000" w:rsidR="00000000" w:rsidRPr="00000000">
        <w:rPr>
          <w:sz w:val="28"/>
          <w:szCs w:val="28"/>
          <w:rtl w:val="0"/>
        </w:rPr>
        <w:t xml:space="preserve">Питання інтеграції українських біженців у країнах Європейського Союзу, зокрема в Німеччині та Польщі, з перших днів повномасштабної війни в Україні стало не лише гуманітарним, а й стратегічним викликом. Інтеграційна політика передбачає не лише забезпечення базових потреб, а й довгострокове включення мігрантів у економічне, культурне та соціальне життя приймаючих суспільств. Проте масштаб і швидкість переміщення мільйонів людей із зони бойових дій поставили під сумнів ефективність класичних інтеграційних механізмів, що застосовувалися раніше.</w:t>
      </w:r>
    </w:p>
    <w:p w:rsidR="00000000" w:rsidDel="00000000" w:rsidP="00000000" w:rsidRDefault="00000000" w:rsidRPr="00000000" w14:paraId="000000ED">
      <w:pPr>
        <w:spacing w:line="360" w:lineRule="auto"/>
        <w:ind w:firstLine="709"/>
        <w:rPr>
          <w:sz w:val="28"/>
          <w:szCs w:val="28"/>
        </w:rPr>
      </w:pPr>
      <w:r w:rsidDel="00000000" w:rsidR="00000000" w:rsidRPr="00000000">
        <w:rPr>
          <w:sz w:val="28"/>
          <w:szCs w:val="28"/>
          <w:rtl w:val="0"/>
        </w:rPr>
        <w:t xml:space="preserve">Німеччина, маючи розвинену систему інтеграційної політики, адаптувала наявні інструменти для роботи з українцями. Федеральне агентство у справах міграції та біженців (BAMF) запропонувало спеціальні інтеграційні курси для новоприбулих, які включають мовне навчання, ознайомлення з культурними нормами та правовими системами. Проте адаптація цих програм до специфіки українських біженців, які здебільшого є жінками з дітьми, виявилася складним завданням. Багато з них не мали можливості брати участь у навчанні через брак дитячих садків, догляду або інформаційної підтримки [56, с. 1214-1230]. Наявна структура курсів орієнтована здебільшого на довгострокових мігрантів, тоді як українці часто не визначаються із намірами щодо постійного проживання.</w:t>
      </w:r>
    </w:p>
    <w:p w:rsidR="00000000" w:rsidDel="00000000" w:rsidP="00000000" w:rsidRDefault="00000000" w:rsidRPr="00000000" w14:paraId="000000EE">
      <w:pPr>
        <w:spacing w:line="360" w:lineRule="auto"/>
        <w:ind w:firstLine="709"/>
        <w:rPr>
          <w:sz w:val="28"/>
          <w:szCs w:val="28"/>
        </w:rPr>
      </w:pPr>
      <w:r w:rsidDel="00000000" w:rsidR="00000000" w:rsidRPr="00000000">
        <w:rPr>
          <w:sz w:val="28"/>
          <w:szCs w:val="28"/>
          <w:rtl w:val="0"/>
        </w:rPr>
        <w:t xml:space="preserve">У Польщі інтеграційна політика не була настільки інституціоналізованою, як у Німеччині, однак у кризових умовах держава й громадські організації мобілізували ресурси для забезпечення мовної адаптації, професійної орієнтації та освітньої інтеграції. Проблемою залишалося те, що більшість інтеграційних заходів реалізовувалися локально, без централізованого нагляду й систематизації. Через це ефективність залежала від активності конкретного міста чи воєводства. Наприклад, у Варшаві й Кракові діяли потужні міжкультурні центри, тоді як у менших містах українці нерідко залишалися без підтримки.</w:t>
      </w:r>
    </w:p>
    <w:p w:rsidR="00000000" w:rsidDel="00000000" w:rsidP="00000000" w:rsidRDefault="00000000" w:rsidRPr="00000000" w14:paraId="000000EF">
      <w:pPr>
        <w:spacing w:line="360" w:lineRule="auto"/>
        <w:ind w:firstLine="709"/>
        <w:rPr>
          <w:sz w:val="28"/>
          <w:szCs w:val="28"/>
        </w:rPr>
      </w:pPr>
      <w:r w:rsidDel="00000000" w:rsidR="00000000" w:rsidRPr="00000000">
        <w:rPr>
          <w:sz w:val="28"/>
          <w:szCs w:val="28"/>
          <w:rtl w:val="0"/>
        </w:rPr>
        <w:t xml:space="preserve">Одним із головних викликів інтеграційної політики стала різниця між формальним і фактичним доступом до послуг. Хоча законодавчо українці отримали право на освіту, працю й медицину, на практиці бар’єрами виступали мовна непоінформованість, відсутність професійних перекладачів, а також культурні відмінності. У Німеччині процес визнання українських дипломів та професійних кваліфікацій залишався тривалим і складним, що гальмувало інтеграцію у високооплачувані сфери. Багато спеціалістів — лікарі, інженери, викладачі — були змушені працювати на некваліфікованих посадах через формальні вимоги до підтвердження освіти [57].</w:t>
      </w:r>
    </w:p>
    <w:p w:rsidR="00000000" w:rsidDel="00000000" w:rsidP="00000000" w:rsidRDefault="00000000" w:rsidRPr="00000000" w14:paraId="000000F0">
      <w:pPr>
        <w:spacing w:line="360" w:lineRule="auto"/>
        <w:ind w:firstLine="709"/>
        <w:rPr>
          <w:sz w:val="28"/>
          <w:szCs w:val="28"/>
        </w:rPr>
      </w:pPr>
      <w:r w:rsidDel="00000000" w:rsidR="00000000" w:rsidRPr="00000000">
        <w:rPr>
          <w:sz w:val="28"/>
          <w:szCs w:val="28"/>
          <w:rtl w:val="0"/>
        </w:rPr>
        <w:t xml:space="preserve">Асиміляційні ризики зростали через відсутність чіткого бачення майбутнього у самих українців. Більшість із них продовжували розглядати своє перебування у ЄС як тимчасове, що стримувало їхню мотивацію до глибшої інтеграції. Водночас з боку приймаючих суспільств зростало очікування «пристосування» — мовного, поведінкового, культурного. У Польщі спостерігалися випадки зростання ксенофобських настроїв після початкової хвилі солідарності, особливо у регіонах із високим рівнем безробіття або перевантаженою інфраструктурою. Це свідчило про потребу не лише в соціальній інтеграції українців, а й у системній роботі з громадською думкою приймаючих країн.</w:t>
      </w:r>
    </w:p>
    <w:p w:rsidR="00000000" w:rsidDel="00000000" w:rsidP="00000000" w:rsidRDefault="00000000" w:rsidRPr="00000000" w14:paraId="000000F1">
      <w:pPr>
        <w:spacing w:line="360" w:lineRule="auto"/>
        <w:ind w:firstLine="709"/>
        <w:rPr>
          <w:sz w:val="28"/>
          <w:szCs w:val="28"/>
        </w:rPr>
      </w:pPr>
      <w:r w:rsidDel="00000000" w:rsidR="00000000" w:rsidRPr="00000000">
        <w:rPr>
          <w:sz w:val="28"/>
          <w:szCs w:val="28"/>
          <w:rtl w:val="0"/>
        </w:rPr>
        <w:t xml:space="preserve">Ще одним аспектом викликів інтеграції є інтеракція поколінь. Діти українських біженців швидше адаптуються до мовного та культурного середовища через шкільну систему, однак це іноді супроводжується конфліктами з батьками, які повільніше засвоюють мову й правила. У Німеччині й Польщі вже зараз спостерігаються ознаки утворення нового покоління «культурних посередників» — дітей, які стають перекладачами, навігаторами й інтерпретаторами між своєю родиною й місцевим середовищем. Такий феномен є типовим для діаспорних спільнот, однак він також вказує на потребу у комплексній підтримці родин у процесі інтеграції, а не лише індивідуальних програм [60].</w:t>
      </w:r>
    </w:p>
    <w:p w:rsidR="00000000" w:rsidDel="00000000" w:rsidP="00000000" w:rsidRDefault="00000000" w:rsidRPr="00000000" w14:paraId="000000F2">
      <w:pPr>
        <w:spacing w:line="360" w:lineRule="auto"/>
        <w:ind w:firstLine="709"/>
        <w:rPr>
          <w:sz w:val="28"/>
          <w:szCs w:val="28"/>
        </w:rPr>
      </w:pPr>
      <w:r w:rsidDel="00000000" w:rsidR="00000000" w:rsidRPr="00000000">
        <w:rPr>
          <w:sz w:val="28"/>
          <w:szCs w:val="28"/>
          <w:rtl w:val="0"/>
        </w:rPr>
        <w:t xml:space="preserve">Отже, інтеграційна політика щодо українців у ЄС стикається з подвійним викликом — поєднати швидку соціальну адаптацію з довготривалою стратегією культурного включення. Польща й Німеччина ідуть різними шляхами: перша — через гнучкі й ситуативні моделі, друга — через інституціоналізовану й програмну інтеграцію. Однак обом країнам доводиться зважати на ризики асиміляції, втрати культурної ідентичності, соціальної напруги. Відтак, лише поєднання нормативної політики, практичної допомоги й діалогу з місцевими громадами може забезпечити ефективну інтеграцію українців у нове середовище без шкоди для їхньої суб’єктності й гідності.</w:t>
      </w:r>
    </w:p>
    <w:p w:rsidR="00000000" w:rsidDel="00000000" w:rsidP="00000000" w:rsidRDefault="00000000" w:rsidRPr="00000000" w14:paraId="000000F3">
      <w:pPr>
        <w:spacing w:line="360" w:lineRule="auto"/>
        <w:ind w:firstLine="709"/>
        <w:rPr>
          <w:sz w:val="28"/>
          <w:szCs w:val="28"/>
        </w:rPr>
      </w:pPr>
      <w:r w:rsidDel="00000000" w:rsidR="00000000" w:rsidRPr="00000000">
        <w:rPr>
          <w:sz w:val="28"/>
          <w:szCs w:val="28"/>
          <w:rtl w:val="0"/>
        </w:rPr>
        <w:t xml:space="preserve">Попри значний рівень підтримки, яку надали Польща й Німеччина громадянам України після початку повномасштабної війни, реалізація механізмів захисту не була позбавлена проблем. Зокрема, питання дискримінації, невизначеності правового статусу та затримок у процедурній реалізації прав виявили суттєві прогалини як у правозастосуванні, так і в адміністративному менеджменті кризової міграції. Ці проблеми не лише ускладнюють повсякденне життя біженців, а й можуть поставити під загрозу ефективність інтеграційної політики у довготривалій перспективі.</w:t>
      </w:r>
    </w:p>
    <w:p w:rsidR="00000000" w:rsidDel="00000000" w:rsidP="00000000" w:rsidRDefault="00000000" w:rsidRPr="00000000" w14:paraId="000000F4">
      <w:pPr>
        <w:spacing w:line="360" w:lineRule="auto"/>
        <w:ind w:firstLine="709"/>
        <w:rPr>
          <w:sz w:val="28"/>
          <w:szCs w:val="28"/>
        </w:rPr>
      </w:pPr>
      <w:r w:rsidDel="00000000" w:rsidR="00000000" w:rsidRPr="00000000">
        <w:rPr>
          <w:sz w:val="28"/>
          <w:szCs w:val="28"/>
          <w:rtl w:val="0"/>
        </w:rPr>
        <w:t xml:space="preserve">Однією з ключових проблем стала неоднорідність у правовому статусі українців, зумовлена специфікою європейської Директиви про тимчасовий захист. Хоча сама директива гарантувала основні права — проживання, медичну допомогу, доступ до праці й освіти, — її імплементація виявила значні відмінності між державами-членами ЄС. У Німеччині, наприклад, застосування §24 Закону про перебування дозволяло надання дозволу на проживання на один рік із можливістю продовження до трьох років, однак у реальності процедура реєстрації була надмірно забюрократизованою. У багатьох регіонах українці стикалися з багатомісячними чергами на подачу документів, затримками у видачі посвідок та нестачею персоналу в імміграційних відомствах [41].</w:t>
      </w:r>
    </w:p>
    <w:p w:rsidR="00000000" w:rsidDel="00000000" w:rsidP="00000000" w:rsidRDefault="00000000" w:rsidRPr="00000000" w14:paraId="000000F5">
      <w:pPr>
        <w:spacing w:line="360" w:lineRule="auto"/>
        <w:ind w:firstLine="709"/>
        <w:rPr>
          <w:sz w:val="28"/>
          <w:szCs w:val="28"/>
        </w:rPr>
      </w:pPr>
      <w:r w:rsidDel="00000000" w:rsidR="00000000" w:rsidRPr="00000000">
        <w:rPr>
          <w:sz w:val="28"/>
          <w:szCs w:val="28"/>
          <w:rtl w:val="0"/>
        </w:rPr>
        <w:t xml:space="preserve">У Польщі ситуація з правовим статусом виглядала спрощеною, зокрема через можливість отримання номера PESEL, що відкривав доступ до багатьох соціальних послуг. Проте реальна практика показала, що сама наявність номера не завжди гарантувала рівний доступ до прав. У регіонах із високим навантаженням на адміністрацію, особливо у прикордонних воєводствах, спостерігалися затримки в обробці заявок на грошову допомогу, труднощі з доступом до медицини й нестача консультативної підтримки. Часто українці не мали повної інформації щодо своїх прав, що сприяло зростанню уразливості окремих категорій — зокрема людей з інвалідністю, літніх осіб і самотніх матерів [52].</w:t>
      </w:r>
    </w:p>
    <w:p w:rsidR="00000000" w:rsidDel="00000000" w:rsidP="00000000" w:rsidRDefault="00000000" w:rsidRPr="00000000" w14:paraId="000000F6">
      <w:pPr>
        <w:spacing w:line="360" w:lineRule="auto"/>
        <w:ind w:firstLine="709"/>
        <w:rPr>
          <w:sz w:val="28"/>
          <w:szCs w:val="28"/>
        </w:rPr>
      </w:pPr>
      <w:r w:rsidDel="00000000" w:rsidR="00000000" w:rsidRPr="00000000">
        <w:rPr>
          <w:sz w:val="28"/>
          <w:szCs w:val="28"/>
          <w:rtl w:val="0"/>
        </w:rPr>
        <w:t xml:space="preserve">Проблема дискримінації також виявилася гострою. Попри загальну позитивну реакцію суспільств Польщі та Німеччини на прибуття українців, з часом фіксувалося зростання випадків мовної, побутової й адміністративної дискримінації. У Польщі було зафіксовано випадки, коли орендодавці відмовляли українцям у житлі на підставі національного походження, а на ринку праці зростала конкуренція за низькооплачувані вакансії, що створювало соціальну напругу. У Німеччині ж особливе занепокоєння викликали тенденції до ускладнення процедур визнання кваліфікацій та повільність у розгляді справ українців у порівнянні з біженцями з інших країн, які вже були в системі.</w:t>
      </w:r>
    </w:p>
    <w:p w:rsidR="00000000" w:rsidDel="00000000" w:rsidP="00000000" w:rsidRDefault="00000000" w:rsidRPr="00000000" w14:paraId="000000F7">
      <w:pPr>
        <w:spacing w:line="360" w:lineRule="auto"/>
        <w:ind w:firstLine="709"/>
        <w:rPr>
          <w:sz w:val="28"/>
          <w:szCs w:val="28"/>
        </w:rPr>
      </w:pPr>
      <w:r w:rsidDel="00000000" w:rsidR="00000000" w:rsidRPr="00000000">
        <w:rPr>
          <w:sz w:val="28"/>
          <w:szCs w:val="28"/>
          <w:rtl w:val="0"/>
        </w:rPr>
        <w:t xml:space="preserve">Правозахисні організації неодноразово звертали увагу на системні проблеми в доступі до правової допомоги. Українці, які не володіють мовою або не мають досвіду взаємодії з іноземною бюрократією, залишаються вразливими до зловживань або помилок у процедурі. Наприклад, непоодинокими були випадки, коли через неповноту даних або непрофесійність працівників люди втрачали можливість отримати належний статус або соціальні пільги. У Польщі частину цих функцій на себе перебрали неурядові організації, однак вони не могли повністю замістити державні гарантії, що залишались критично важливими у правовому забезпеченні [14, с. 82-88].</w:t>
      </w:r>
    </w:p>
    <w:p w:rsidR="00000000" w:rsidDel="00000000" w:rsidP="00000000" w:rsidRDefault="00000000" w:rsidRPr="00000000" w14:paraId="000000F8">
      <w:pPr>
        <w:spacing w:line="360" w:lineRule="auto"/>
        <w:ind w:firstLine="709"/>
        <w:rPr>
          <w:sz w:val="28"/>
          <w:szCs w:val="28"/>
        </w:rPr>
      </w:pPr>
      <w:r w:rsidDel="00000000" w:rsidR="00000000" w:rsidRPr="00000000">
        <w:rPr>
          <w:sz w:val="28"/>
          <w:szCs w:val="28"/>
          <w:rtl w:val="0"/>
        </w:rPr>
        <w:t xml:space="preserve">Окрім того, сама природа тимчасового захисту створює ситуацію «правової невизначеності». Люди, які живуть у країні понад два роки, інтегруються у школи, ринок праці, соціум, однак формально залишаються тимчасовими мешканцями без чіткої перспективи отримання постійного статусу. У Німеччині були запропоновані законодавчі ініціативи щодо врахування періоду тимчасового захисту у подальшій процедурі надання ПМП, однак на момент дослідження вони залишалися на рівні політичних дискусій. У Польщі також відсутня системна стратегія довготривалого інтегрування українців у статусі постійних мешканців, що створює ризики «соціального вакууму» — коли люди не мають доступу до довгострокових прав, але й не готові повертатися додому [15, с. 103-107].</w:t>
      </w:r>
    </w:p>
    <w:p w:rsidR="00000000" w:rsidDel="00000000" w:rsidP="00000000" w:rsidRDefault="00000000" w:rsidRPr="00000000" w14:paraId="000000F9">
      <w:pPr>
        <w:spacing w:line="360" w:lineRule="auto"/>
        <w:ind w:firstLine="709"/>
        <w:rPr>
          <w:sz w:val="28"/>
          <w:szCs w:val="28"/>
        </w:rPr>
      </w:pPr>
      <w:r w:rsidDel="00000000" w:rsidR="00000000" w:rsidRPr="00000000">
        <w:rPr>
          <w:sz w:val="28"/>
          <w:szCs w:val="28"/>
          <w:rtl w:val="0"/>
        </w:rPr>
        <w:t xml:space="preserve">Таким чином, проблеми дискримінації, невизначеного правового статусу й затримок процедур залишаються системними бар’єрами для ефективного захисту українських громадян у країнах ЄС. Вони не лише ускладнюють побутове життя біженців, але й знижують довіру до державних інституцій, гальмують інтеграцію та створюють передумови для соціальної маргіналізації. Подолання цих викликів вимагає як законодавчого вдосконалення, так і практичної координації зусиль держави, місцевого самоврядування та громадянського суспільства.</w:t>
      </w:r>
    </w:p>
    <w:p w:rsidR="00000000" w:rsidDel="00000000" w:rsidP="00000000" w:rsidRDefault="00000000" w:rsidRPr="00000000" w14:paraId="000000FA">
      <w:pPr>
        <w:spacing w:line="360" w:lineRule="auto"/>
        <w:ind w:firstLine="709"/>
        <w:rPr>
          <w:sz w:val="28"/>
          <w:szCs w:val="28"/>
        </w:rPr>
      </w:pPr>
      <w:r w:rsidDel="00000000" w:rsidR="00000000" w:rsidRPr="00000000">
        <w:rPr>
          <w:sz w:val="28"/>
          <w:szCs w:val="28"/>
          <w:rtl w:val="0"/>
        </w:rPr>
        <w:t xml:space="preserve">Порівняльний аналіз систем захисту українських громадян у Німеччині та Польщі в умовах повномасштабної війни дозволяє виявити не лише загальні риси гуманітарної політики, а й глибинні відмінності у підходах, політичних мотиваціях, адміністративних культурах та суспільних очікуваннях. Ці країни стали найважливішими європейськими центрами прийому українців, проте їхній досвід демонструє два різні типи реагування: інституційно-правовий (Німеччина) та громадянсько-мобілізаційний (Польща). Обидва виявили ефективність, але водночас — і структурні вразливості, що вимагають осмислення для подальшого вдосконалення політик захисту.</w:t>
      </w:r>
    </w:p>
    <w:p w:rsidR="00000000" w:rsidDel="00000000" w:rsidP="00000000" w:rsidRDefault="00000000" w:rsidRPr="00000000" w14:paraId="000000FB">
      <w:pPr>
        <w:spacing w:line="360" w:lineRule="auto"/>
        <w:ind w:firstLine="709"/>
        <w:rPr>
          <w:sz w:val="28"/>
          <w:szCs w:val="28"/>
        </w:rPr>
      </w:pPr>
      <w:r w:rsidDel="00000000" w:rsidR="00000000" w:rsidRPr="00000000">
        <w:rPr>
          <w:sz w:val="28"/>
          <w:szCs w:val="28"/>
          <w:rtl w:val="0"/>
        </w:rPr>
        <w:t xml:space="preserve">Однією з сильних сторін німецької моделі є її системність. На базі §24 Закону про перебування була побудована чітка структура взаємодії між федеральними, земельними та муніципальними рівнями влади. Такий підхід забезпечив юридичну визначеність і правову захищеність українців уже на етапі реєстрації. Доступ до соціального захисту, охорони здоров’я, освіти та ринку праці став можливим фактично з перших тижнів після прибуття. Інтеграційна інфраструктура — курси мови, консультаційні центри, програми професійної адаптації — була мобілізована надзвичайно оперативно. Принцип соціальної інклюзії тут реалізовувався як політика участі, а не ізоляції, що забезпечило вищий рівень адаптації та самозарадності українців у німецькому суспільстві.</w:t>
      </w:r>
    </w:p>
    <w:p w:rsidR="00000000" w:rsidDel="00000000" w:rsidP="00000000" w:rsidRDefault="00000000" w:rsidRPr="00000000" w14:paraId="000000FC">
      <w:pPr>
        <w:spacing w:line="360" w:lineRule="auto"/>
        <w:ind w:firstLine="709"/>
        <w:rPr>
          <w:sz w:val="28"/>
          <w:szCs w:val="28"/>
        </w:rPr>
      </w:pPr>
      <w:r w:rsidDel="00000000" w:rsidR="00000000" w:rsidRPr="00000000">
        <w:rPr>
          <w:sz w:val="28"/>
          <w:szCs w:val="28"/>
          <w:rtl w:val="0"/>
        </w:rPr>
        <w:t xml:space="preserve">Водночас слабкою стороною цієї системи стала її бюрократична громіздкість і фрагментарність. Через федеративний устрій країни умови захисту могли суттєво різнитися між землями. Наприклад, розміри фінансової допомоги, швидкість оформлення документів, доступ до житла чи садочків залежали від місцевих бюджетів і адміністративної волі. Така нерівномірність породжувала нерозуміння серед біженців, міграцію між регіонами, а іноді — відчуття дискримінації. Крім того, обсяг паперової роботи, складність процедур реєстрації, брак персоналу в окремих відомствах знижували ефективність навіть найкращих намірів уряду.</w:t>
      </w:r>
    </w:p>
    <w:p w:rsidR="00000000" w:rsidDel="00000000" w:rsidP="00000000" w:rsidRDefault="00000000" w:rsidRPr="00000000" w14:paraId="000000FD">
      <w:pPr>
        <w:spacing w:line="360" w:lineRule="auto"/>
        <w:ind w:firstLine="709"/>
        <w:rPr>
          <w:sz w:val="28"/>
          <w:szCs w:val="28"/>
        </w:rPr>
      </w:pPr>
      <w:r w:rsidDel="00000000" w:rsidR="00000000" w:rsidRPr="00000000">
        <w:rPr>
          <w:sz w:val="28"/>
          <w:szCs w:val="28"/>
          <w:rtl w:val="0"/>
        </w:rPr>
        <w:t xml:space="preserve">Польська модель, навпаки, вирізнялась надзвичайною швидкістю реагування та високою мобілізацією суспільства. Закон «Про допомогу громадянам України» закріпив статус, доступ до послуг і права на працевлаштування у рекордно короткі терміни. Польща спиралася не так на формалізовані інститути, як на горизонтальні мережі солідарності: мільйони поляків добровільно відкрили свої домівки, тисячі волонтерів стали основою польової допомоги. Саме завдяки цій самоорганізації були створені пункти реєстрації, логістичні центри, школи з українською мовою викладання, інфраструктура тимчасового проживання. Польща проявила себе як держава, де громадянське суспільство не лише підтримує державу, а й доповнює її функції у кризовий момент [35, с. 7-39].</w:t>
      </w:r>
    </w:p>
    <w:p w:rsidR="00000000" w:rsidDel="00000000" w:rsidP="00000000" w:rsidRDefault="00000000" w:rsidRPr="00000000" w14:paraId="000000FE">
      <w:pPr>
        <w:spacing w:line="360" w:lineRule="auto"/>
        <w:ind w:firstLine="709"/>
        <w:rPr>
          <w:sz w:val="28"/>
          <w:szCs w:val="28"/>
        </w:rPr>
      </w:pPr>
      <w:r w:rsidDel="00000000" w:rsidR="00000000" w:rsidRPr="00000000">
        <w:rPr>
          <w:sz w:val="28"/>
          <w:szCs w:val="28"/>
          <w:rtl w:val="0"/>
        </w:rPr>
        <w:t xml:space="preserve">Однак такий підхід мав і свої обмеження. Систему, що базується на ентузіазмі, важко підтримувати тривалий час без інституційного підкріплення. Уже в другій половині 2023 року Польща почала стикатися з виснаженням ресурсів — як матеріальних, так і емоційних. Держава була змушена вводити обмеження, переглядати розміри допомоги, шукати нові способи фінансування. Крім того, відсутність чіткої довгострокової стратегії інтеграції (визнання дипломів, мовні курси, стабільні житлові програми) створювала ризик маргіналізації частини українських громадян, особливо в сільських регіонах або серед вразливих груп.</w:t>
      </w:r>
    </w:p>
    <w:p w:rsidR="00000000" w:rsidDel="00000000" w:rsidP="00000000" w:rsidRDefault="00000000" w:rsidRPr="00000000" w14:paraId="000000FF">
      <w:pPr>
        <w:spacing w:line="360" w:lineRule="auto"/>
        <w:ind w:firstLine="709"/>
        <w:rPr>
          <w:sz w:val="28"/>
          <w:szCs w:val="28"/>
        </w:rPr>
      </w:pPr>
      <w:r w:rsidDel="00000000" w:rsidR="00000000" w:rsidRPr="00000000">
        <w:rPr>
          <w:sz w:val="28"/>
          <w:szCs w:val="28"/>
          <w:rtl w:val="0"/>
        </w:rPr>
        <w:t xml:space="preserve">У ширшому вимірі сильними сторонами обох моделей є принцип відкритості, політична рішучість, реальна готовність прийняти людей у біді. Німеччина забезпечила гідні умови для довготривалого перебування, Польща — моментальну підтримку в критичний час. Проте обом країнам властиві спільні слабкі сторони: перевантаження соціальних систем, зростання ксенофобських настроїв, дефіцит житла, нестача кваліфікованих кадрів у сфері соціального захисту, освітніх і медичних послуг. Ці проблеми не лише логістичні чи економічні — вони виявляють глибші виклики: межі державної спроможності, рівень соціальної згуртованості, наявність або відсутність національного консенсусу щодо ролі мігрантів у суспільстві.</w:t>
      </w:r>
    </w:p>
    <w:p w:rsidR="00000000" w:rsidDel="00000000" w:rsidP="00000000" w:rsidRDefault="00000000" w:rsidRPr="00000000" w14:paraId="00000100">
      <w:pPr>
        <w:spacing w:line="360" w:lineRule="auto"/>
        <w:ind w:firstLine="709"/>
        <w:rPr>
          <w:sz w:val="28"/>
          <w:szCs w:val="28"/>
        </w:rPr>
      </w:pPr>
      <w:r w:rsidDel="00000000" w:rsidR="00000000" w:rsidRPr="00000000">
        <w:rPr>
          <w:sz w:val="28"/>
          <w:szCs w:val="28"/>
          <w:rtl w:val="0"/>
        </w:rPr>
        <w:t xml:space="preserve">Зрештою, оцінка сильних і слабких сторін системи захисту українців у Польщі та Німеччині не може зводитися до простого порівняння показників. Йдеться про розуміння того, якою має бути гуманітарна держава в умовах кризи: гнучкою, включною, прозорою, адаптивною. Досвід цих країн показує, що навіть у межах загальноєвропейського правового поля кожна держава має власний шлях до солідарності — через інститути або через громадянську ініціативу. І саме там, де ці два елементи поєднуються — як у деяких регіонах Німеччини чи польських воєводствах — виникає найефективніша форма захисту: гуманна, стійка й така, що здатна трансформувати кризу в нову якість співжиття.</w:t>
      </w:r>
    </w:p>
    <w:p w:rsidR="00000000" w:rsidDel="00000000" w:rsidP="00000000" w:rsidRDefault="00000000" w:rsidRPr="00000000" w14:paraId="00000101">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2">
      <w:pPr>
        <w:spacing w:line="360" w:lineRule="auto"/>
        <w:ind w:firstLine="709"/>
        <w:jc w:val="center"/>
        <w:rPr>
          <w:b w:val="1"/>
          <w:smallCaps w:val="1"/>
          <w:sz w:val="28"/>
          <w:szCs w:val="28"/>
        </w:rPr>
      </w:pPr>
      <w:r w:rsidDel="00000000" w:rsidR="00000000" w:rsidRPr="00000000">
        <w:rPr>
          <w:b w:val="1"/>
          <w:smallCaps w:val="1"/>
          <w:sz w:val="28"/>
          <w:szCs w:val="28"/>
          <w:rtl w:val="0"/>
        </w:rPr>
        <w:t xml:space="preserve">ВИСНОВКИ ДО РОЗДІЛУ ІІ</w:t>
      </w:r>
    </w:p>
    <w:p w:rsidR="00000000" w:rsidDel="00000000" w:rsidP="00000000" w:rsidRDefault="00000000" w:rsidRPr="00000000" w14:paraId="00000103">
      <w:pPr>
        <w:spacing w:line="360" w:lineRule="auto"/>
        <w:ind w:firstLine="709"/>
        <w:rPr>
          <w:b w:val="1"/>
          <w:sz w:val="28"/>
          <w:szCs w:val="28"/>
        </w:rPr>
      </w:pPr>
      <w:r w:rsidDel="00000000" w:rsidR="00000000" w:rsidRPr="00000000">
        <w:rPr>
          <w:rtl w:val="0"/>
        </w:rPr>
      </w:r>
    </w:p>
    <w:p w:rsidR="00000000" w:rsidDel="00000000" w:rsidP="00000000" w:rsidRDefault="00000000" w:rsidRPr="00000000" w14:paraId="00000104">
      <w:pPr>
        <w:spacing w:line="360" w:lineRule="auto"/>
        <w:ind w:firstLine="709"/>
        <w:rPr>
          <w:sz w:val="28"/>
          <w:szCs w:val="28"/>
        </w:rPr>
      </w:pPr>
      <w:r w:rsidDel="00000000" w:rsidR="00000000" w:rsidRPr="00000000">
        <w:rPr>
          <w:sz w:val="28"/>
          <w:szCs w:val="28"/>
          <w:rtl w:val="0"/>
        </w:rPr>
        <w:t xml:space="preserve">У другому розділі дослідження було здійснено комплексний аналіз механізмів захисту громадян України в умовах воєнного стану на території Європейського Союзу, зокрема у Польщі та Німеччині. Проведене дослідження дозволяє дійти висновку, що попри різні історичні, правові та інституційні традиції, обидві країни продемонстрували здатність до швидкої адаптації правових систем і механізмів соціального захисту у відповідь на безпрецедентну гуманітарну кризу. Правове регулювання тимчасового захисту, ініційоване Європейським Союзом, стало ефективною основою для розгортання національних програм, однак реалізація цих норм на місцях відзначалася нерівномірністю, що вказує на залежність ефективності допомоги від внутрішньої адміністративної спроможності окремих держав.</w:t>
      </w:r>
    </w:p>
    <w:p w:rsidR="00000000" w:rsidDel="00000000" w:rsidP="00000000" w:rsidRDefault="00000000" w:rsidRPr="00000000" w14:paraId="00000105">
      <w:pPr>
        <w:spacing w:line="360" w:lineRule="auto"/>
        <w:ind w:firstLine="709"/>
        <w:rPr>
          <w:sz w:val="28"/>
          <w:szCs w:val="28"/>
        </w:rPr>
      </w:pPr>
      <w:r w:rsidDel="00000000" w:rsidR="00000000" w:rsidRPr="00000000">
        <w:rPr>
          <w:sz w:val="28"/>
          <w:szCs w:val="28"/>
          <w:rtl w:val="0"/>
        </w:rPr>
        <w:t xml:space="preserve">Законодавча база обох країн надала українцям широкий спектр прав — від доступу до проживання і працевлаштування до охорони здоров’я та освіти. Разом із тим виявлено, що рівень реалізації цих прав значною мірою визначався не лише нормативною рамкою, а й здатністю інституцій — державних, муніципальних і громадських — адаптуватися до викликів. У Польщі ключовим ресурсом стала мобілізація суспільства, гнучкість адміністративних процедур та співпраця з місцевим самоврядуванням, у той час як Німеччина продемонструвала стабільність інституцій, але виявилася менш динамічною у подоланні бюрократичних бар’єрів.</w:t>
      </w:r>
    </w:p>
    <w:p w:rsidR="00000000" w:rsidDel="00000000" w:rsidP="00000000" w:rsidRDefault="00000000" w:rsidRPr="00000000" w14:paraId="00000106">
      <w:pPr>
        <w:spacing w:line="360" w:lineRule="auto"/>
        <w:ind w:firstLine="709"/>
        <w:rPr>
          <w:sz w:val="28"/>
          <w:szCs w:val="28"/>
        </w:rPr>
      </w:pPr>
      <w:r w:rsidDel="00000000" w:rsidR="00000000" w:rsidRPr="00000000">
        <w:rPr>
          <w:sz w:val="28"/>
          <w:szCs w:val="28"/>
          <w:rtl w:val="0"/>
        </w:rPr>
        <w:t xml:space="preserve">У процесі аналізу були виявлені як сильні сторони реалізованих механізмів — зокрема широкий доступ до соціальних послуг, можливості професійної інтеграції, ефективна комунікація з міжнародними партнерами — так і суттєві слабкості. Зокрема, йдеться про затримки у процедурі надання статусу, перевантаження адміністративної системи, відсутність уніфікованих стандартів між регіонами, а також поодинокі прояви дискримінації та правової невизначеності.</w:t>
      </w:r>
    </w:p>
    <w:p w:rsidR="00000000" w:rsidDel="00000000" w:rsidP="00000000" w:rsidRDefault="00000000" w:rsidRPr="00000000" w14:paraId="00000107">
      <w:pPr>
        <w:spacing w:line="360" w:lineRule="auto"/>
        <w:ind w:firstLine="709"/>
        <w:rPr>
          <w:sz w:val="28"/>
          <w:szCs w:val="28"/>
        </w:rPr>
      </w:pPr>
      <w:r w:rsidDel="00000000" w:rsidR="00000000" w:rsidRPr="00000000">
        <w:rPr>
          <w:sz w:val="28"/>
          <w:szCs w:val="28"/>
          <w:rtl w:val="0"/>
        </w:rPr>
        <w:t xml:space="preserve">Особливої уваги потребує інтеграційний аспект, що набуває дедалі більшої ваги у зв’язку з тривалістю збройного конфлікту. Інтеграційна політика в обох країнах перебуває на етапі трансформації: з початкової фази гуманітарного реагування вона переходить у фазу довготривалої адаптації, що потребує не лише збереження існуючих програм, а й їх модернізації з урахуванням реального становища українських громадян у новому соціальному середовищі. Крім того, значну роль у майбутній політиці відіграватимуть питання міжкультурного діалогу, боротьби з дискримінацією та забезпечення рівного доступу до послуг незалежно від регіону чи статусу проживання.</w:t>
      </w:r>
    </w:p>
    <w:p w:rsidR="00000000" w:rsidDel="00000000" w:rsidP="00000000" w:rsidRDefault="00000000" w:rsidRPr="00000000" w14:paraId="00000108">
      <w:pPr>
        <w:spacing w:line="360" w:lineRule="auto"/>
        <w:ind w:firstLine="709"/>
        <w:rPr>
          <w:sz w:val="28"/>
          <w:szCs w:val="28"/>
        </w:rPr>
      </w:pPr>
      <w:r w:rsidDel="00000000" w:rsidR="00000000" w:rsidRPr="00000000">
        <w:rPr>
          <w:sz w:val="28"/>
          <w:szCs w:val="28"/>
          <w:rtl w:val="0"/>
        </w:rPr>
        <w:t xml:space="preserve">Таким чином, досвід Польщі та Німеччини у сфері захисту українських громадян в умовах війни демонструє як високий потенціал системи європейської солідарності, так і нагальні потреби у вдосконаленні правозастосовчої практики, більшої координації між рівнями влади та запровадженні інклюзивних довгострокових рішень. Питання захисту біженців у цьому контексті виходить за межі гуманітарного реагування і трансформується у цілісну стратегію соціального співжиття, в основі якої мають лежати принципи прав людини, рівності, справедливості та взаємної відповідальності.</w:t>
      </w:r>
      <w:r w:rsidDel="00000000" w:rsidR="00000000" w:rsidRPr="00000000">
        <w:br w:type="page"/>
      </w:r>
      <w:r w:rsidDel="00000000" w:rsidR="00000000" w:rsidRPr="00000000">
        <w:rPr>
          <w:rtl w:val="0"/>
        </w:rPr>
      </w:r>
    </w:p>
    <w:p w:rsidR="00000000" w:rsidDel="00000000" w:rsidP="00000000" w:rsidRDefault="00000000" w:rsidRPr="00000000" w14:paraId="00000109">
      <w:pPr>
        <w:spacing w:line="360" w:lineRule="auto"/>
        <w:ind w:firstLine="709"/>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10A">
      <w:pPr>
        <w:spacing w:line="360" w:lineRule="auto"/>
        <w:ind w:firstLine="709"/>
        <w:rPr>
          <w:sz w:val="28"/>
          <w:szCs w:val="28"/>
        </w:rPr>
      </w:pPr>
      <w:r w:rsidDel="00000000" w:rsidR="00000000" w:rsidRPr="00000000">
        <w:rPr>
          <w:sz w:val="28"/>
          <w:szCs w:val="28"/>
          <w:rtl w:val="0"/>
        </w:rPr>
        <w:t xml:space="preserve">У процесі дослідження європейського захисту українців у період війни на прикладі Польщі та Німеччини було встановлено, що проблема захисту громадян в умовах збройного конфлікту має надзвичайно комплексний характер. Вона охоплює водночас політичні, правові, соціальні та гуманітарні аспекти, які не можуть розглядатися ізольовано одне від одного. Війна суттєво змінює співвідношення між правами особистості та вимогами національної безпеки, актуалізуючи необхідність створення нових механізмів захисту переміщених осіб та біженців. У цих умовах забезпечення прав людини перестає бути виключно завданням держави — воно стає результатом взаємодії національних урядів, міжнародних інституцій, громадянського суспільства та міжнародного права.</w:t>
      </w:r>
    </w:p>
    <w:p w:rsidR="00000000" w:rsidDel="00000000" w:rsidP="00000000" w:rsidRDefault="00000000" w:rsidRPr="00000000" w14:paraId="0000010B">
      <w:pPr>
        <w:spacing w:line="360" w:lineRule="auto"/>
        <w:ind w:firstLine="709"/>
        <w:rPr>
          <w:sz w:val="28"/>
          <w:szCs w:val="28"/>
        </w:rPr>
      </w:pPr>
      <w:r w:rsidDel="00000000" w:rsidR="00000000" w:rsidRPr="00000000">
        <w:rPr>
          <w:sz w:val="28"/>
          <w:szCs w:val="28"/>
          <w:rtl w:val="0"/>
        </w:rPr>
        <w:t xml:space="preserve">Політична наука пропонує різноманітні теоретичні підходи до розуміння цієї проблематики. Зокрема, ліберальна традиція акцентує на непорушності прав людини навіть за надзвичайних обставин, тоді як реалістичний підхід надає пріоритет державній безпеці. Конструктивізм, своєю чергою, дозволяє врахувати соціокультурний контекст, у якому здійснюється політика захисту, та ролі, які беруть на себе держави у формуванні нових моделей гуманітарної поведінки. У контексті повномасштабної війни в Україні та масштабного переміщення населення ці підходи набувають практичного значення, дозволяючи пояснити та інтерпретувати дії держав і наднаціональних організацій.</w:t>
      </w:r>
    </w:p>
    <w:p w:rsidR="00000000" w:rsidDel="00000000" w:rsidP="00000000" w:rsidRDefault="00000000" w:rsidRPr="00000000" w14:paraId="0000010C">
      <w:pPr>
        <w:spacing w:line="360" w:lineRule="auto"/>
        <w:ind w:firstLine="709"/>
        <w:rPr>
          <w:sz w:val="28"/>
          <w:szCs w:val="28"/>
        </w:rPr>
      </w:pPr>
      <w:r w:rsidDel="00000000" w:rsidR="00000000" w:rsidRPr="00000000">
        <w:rPr>
          <w:sz w:val="28"/>
          <w:szCs w:val="28"/>
          <w:rtl w:val="0"/>
        </w:rPr>
        <w:t xml:space="preserve">Особливу увагу було приділено міжнародному гуманітарному праву, яке формує нормативну базу захисту цивільного населення під час воєн. Норми Женевських конвенцій, Додаткових протоколів, Конвенції про статус біженців, а також директив Європейського Союзу, зокрема Директиви 2001/55/ЄС, стали основою для реагування на виклики, спричинені агресією Російської Федерації проти України. Важливу роль у цьому процесі відіграли міжнародні організації, зокрема ООН, УВКБ ООН, Міжнародний комітет Червоного Хреста, які забезпечили оперативну гуманітарну підтримку, захист вразливих категорій населення та моніторинг порушень прав людини.</w:t>
      </w:r>
    </w:p>
    <w:p w:rsidR="00000000" w:rsidDel="00000000" w:rsidP="00000000" w:rsidRDefault="00000000" w:rsidRPr="00000000" w14:paraId="0000010D">
      <w:pPr>
        <w:spacing w:line="360" w:lineRule="auto"/>
        <w:ind w:firstLine="709"/>
        <w:rPr>
          <w:sz w:val="28"/>
          <w:szCs w:val="28"/>
        </w:rPr>
      </w:pPr>
      <w:r w:rsidDel="00000000" w:rsidR="00000000" w:rsidRPr="00000000">
        <w:rPr>
          <w:sz w:val="28"/>
          <w:szCs w:val="28"/>
          <w:rtl w:val="0"/>
        </w:rPr>
        <w:t xml:space="preserve">Аналіз державної політики Польщі та Німеччини виявив, що обидві країни не лише взяли на себе значний гуманітарний тягар, а й реалізували конкретні інституційні та правові механізми захисту українських громадян. Польща продемонструвала надзвичайну мобілізацію ресурсів — як на державному, так і на муніципальному рівні. Вона запровадила спрощені процедури реєстрації та працевлаштування, забезпечила доступ до медицини, освіти, житла. Німеччина, зберігаючи високу якість соціального захисту, адаптувала свою політику відповідно до §24 Закону про перебування та положень європейського законодавства. Водночас у реалізації захисту в Німеччині виявилася фрагментарність, пов’язана з федеративним устроєм держави та відмінностями в управлінських практиках на рівні земель.</w:t>
      </w:r>
    </w:p>
    <w:p w:rsidR="00000000" w:rsidDel="00000000" w:rsidP="00000000" w:rsidRDefault="00000000" w:rsidRPr="00000000" w14:paraId="0000010E">
      <w:pPr>
        <w:spacing w:line="360" w:lineRule="auto"/>
        <w:ind w:firstLine="709"/>
        <w:rPr>
          <w:sz w:val="28"/>
          <w:szCs w:val="28"/>
        </w:rPr>
      </w:pPr>
      <w:r w:rsidDel="00000000" w:rsidR="00000000" w:rsidRPr="00000000">
        <w:rPr>
          <w:sz w:val="28"/>
          <w:szCs w:val="28"/>
          <w:rtl w:val="0"/>
        </w:rPr>
        <w:t xml:space="preserve">У процесі аналізу було виявлено як сильні сторони цих політик — ефективну правову реакцію, активне залучення громадських організацій, швидке реагування на гуманітарні потреби, — так і низку недоліків. Зокрема, відзначено нерівномірність доступу до соціальних благ, перевантаження інфраструктури, адміністративні бар’єри та проблеми з адаптацією освітньої системи до нових реалій. Це свідчить про потребу в довгострокових інтеграційних програмах, а також у гармонізації стандартів між різними адміністративними рівнями влади.</w:t>
      </w:r>
    </w:p>
    <w:p w:rsidR="00000000" w:rsidDel="00000000" w:rsidP="00000000" w:rsidRDefault="00000000" w:rsidRPr="00000000" w14:paraId="0000010F">
      <w:pPr>
        <w:spacing w:line="360" w:lineRule="auto"/>
        <w:ind w:firstLine="709"/>
        <w:rPr>
          <w:sz w:val="28"/>
          <w:szCs w:val="28"/>
        </w:rPr>
      </w:pPr>
      <w:r w:rsidDel="00000000" w:rsidR="00000000" w:rsidRPr="00000000">
        <w:rPr>
          <w:sz w:val="28"/>
          <w:szCs w:val="28"/>
          <w:rtl w:val="0"/>
        </w:rPr>
        <w:t xml:space="preserve">Загальний досвід європейського захисту українців у період війни демонструє значний потенціал інституційної адаптивності, солідарності та міждержавної координації. Разом з тим він вказує на необхідність подальшого вдосконалення механізмів прийому, розселення, підтримки та інтеграції переміщених осіб. Для України вивчення цього досвіду є не лише корисним, а й стратегічно важливим у контексті формування власної політики захисту громадян за кордоном, удосконалення систем державного управління в умовах кризи та посилення партнерства з європейськими структурами.</w:t>
      </w:r>
    </w:p>
    <w:p w:rsidR="00000000" w:rsidDel="00000000" w:rsidP="00000000" w:rsidRDefault="00000000" w:rsidRPr="00000000" w14:paraId="00000110">
      <w:pPr>
        <w:spacing w:line="360" w:lineRule="auto"/>
        <w:ind w:firstLine="709"/>
        <w:rPr>
          <w:sz w:val="28"/>
          <w:szCs w:val="28"/>
        </w:rPr>
      </w:pPr>
      <w:r w:rsidDel="00000000" w:rsidR="00000000" w:rsidRPr="00000000">
        <w:rPr>
          <w:sz w:val="28"/>
          <w:szCs w:val="28"/>
          <w:rtl w:val="0"/>
        </w:rPr>
        <w:t xml:space="preserve">У сучасних умовах війни та тривалої міграційної кризи формування ефективних механізмів транснаціонального захисту українців повинно розглядатися як один із пріоритетів державної політики. Це включає не лише правову складову, а й розвиток міжвідомчої взаємодії, інституційну спроможність органів влади, розширення каналів комунікації з українською діаспорою та створення стабільної системи підтримки за кордоном. Такі заходи сприятимуть не лише збереженню прав громадян, а й зміцненню міжнародної суб’єктності України в умовах глобальної нестабільності.</w:t>
      </w:r>
    </w:p>
    <w:p w:rsidR="00000000" w:rsidDel="00000000" w:rsidP="00000000" w:rsidRDefault="00000000" w:rsidRPr="00000000" w14:paraId="00000111">
      <w:pPr>
        <w:spacing w:line="360" w:lineRule="auto"/>
        <w:ind w:firstLine="709"/>
        <w:rPr>
          <w:sz w:val="28"/>
          <w:szCs w:val="28"/>
        </w:rPr>
      </w:pPr>
      <w:r w:rsidDel="00000000" w:rsidR="00000000" w:rsidRPr="00000000">
        <w:rPr>
          <w:rtl w:val="0"/>
        </w:rPr>
      </w:r>
    </w:p>
    <w:p w:rsidR="00000000" w:rsidDel="00000000" w:rsidP="00000000" w:rsidRDefault="00000000" w:rsidRPr="00000000" w14:paraId="00000112">
      <w:pPr>
        <w:spacing w:line="360" w:lineRule="auto"/>
        <w:ind w:firstLine="709"/>
        <w:rPr>
          <w:sz w:val="28"/>
          <w:szCs w:val="28"/>
        </w:rPr>
      </w:pPr>
      <w:r w:rsidDel="00000000" w:rsidR="00000000" w:rsidRPr="00000000">
        <w:rPr>
          <w:rtl w:val="0"/>
        </w:rPr>
      </w:r>
    </w:p>
    <w:p w:rsidR="00000000" w:rsidDel="00000000" w:rsidP="00000000" w:rsidRDefault="00000000" w:rsidRPr="00000000" w14:paraId="00000113">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4">
      <w:pPr>
        <w:spacing w:line="360" w:lineRule="auto"/>
        <w:ind w:firstLine="709"/>
        <w:jc w:val="center"/>
        <w:rPr>
          <w:b w:val="1"/>
          <w:sz w:val="28"/>
          <w:szCs w:val="28"/>
        </w:rPr>
      </w:pPr>
      <w:r w:rsidDel="00000000" w:rsidR="00000000" w:rsidRPr="00000000">
        <w:rPr>
          <w:b w:val="1"/>
          <w:sz w:val="28"/>
          <w:szCs w:val="28"/>
          <w:rtl w:val="0"/>
        </w:rPr>
        <w:t xml:space="preserve">СПИСОК ВИКОРИСТАНИХ ДЖЕРЕЛ</w:t>
      </w:r>
    </w:p>
    <w:p w:rsidR="00000000" w:rsidDel="00000000" w:rsidP="00000000" w:rsidRDefault="00000000" w:rsidRPr="00000000" w14:paraId="0000011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Блавіцький М., Лазарюк В. Потенціал громадської дипломатії в умовах гібридного протистояння та військового конфлікту в Україні. Воєнні конфлікти та техногенні катастрофи: історичні та психологічні наслідки: збірник тез ІІІ Міжнародної наукової конференції, 20–21 квітня 2023 р. Тернопіль: ФОП Паляниця В. А., 2023. С. 96–98.</w:t>
      </w:r>
    </w:p>
    <w:p w:rsidR="00000000" w:rsidDel="00000000" w:rsidP="00000000" w:rsidRDefault="00000000" w:rsidRPr="00000000" w14:paraId="0000011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Безуглий П. Г. Теоретичні засади дослідження міграційних процесів.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Політичне життя.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 1. С. 5–13. URL: </w:t>
      </w:r>
      <w:hyperlink r:id="rId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http://nbuv.gov.ua/UJRN/pollife_2018_1_3</w:t>
        </w:r>
      </w:hyperlink>
      <w:r w:rsidDel="00000000" w:rsidR="00000000" w:rsidRPr="00000000">
        <w:rPr>
          <w:rtl w:val="0"/>
        </w:rPr>
      </w:r>
    </w:p>
    <w:p w:rsidR="00000000" w:rsidDel="00000000" w:rsidP="00000000" w:rsidRDefault="00000000" w:rsidRPr="00000000" w14:paraId="0000011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Бронніков В. Д., Нефедова О. В. Місце марго-міграційної складової у внутрішній політиці Німеччини на початку ХХІ століття.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праці Чорноморського державного університету імені Петра Могили. Серія: Політологія.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Т. 212, Вип. 200. С. 43–47. URL: </w:t>
      </w:r>
      <w:hyperlink r:id="rId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http://nbuv.gov.ua/UJRN/Npchdupol_2013_212_200_10</w:t>
        </w:r>
      </w:hyperlink>
      <w:r w:rsidDel="00000000" w:rsidR="00000000" w:rsidRPr="00000000">
        <w:rPr>
          <w:rtl w:val="0"/>
        </w:rPr>
      </w:r>
    </w:p>
    <w:p w:rsidR="00000000" w:rsidDel="00000000" w:rsidP="00000000" w:rsidRDefault="00000000" w:rsidRPr="00000000" w14:paraId="0000011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Німеччині провели масштабне дослідження питання працевлаштування українців. URL: </w:t>
      </w:r>
      <w:hyperlink r:id="rId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https://moct.eu/language/ua/v-nimechchini-proveli-masshtabnedoslidzhennya-pitannya-pracevlashtuvannya-ukra%d1%97nciv/?cn-reloaded=1#/</w:t>
        </w:r>
      </w:hyperlink>
      <w:r w:rsidDel="00000000" w:rsidR="00000000" w:rsidRPr="00000000">
        <w:rPr>
          <w:rtl w:val="0"/>
        </w:rPr>
      </w:r>
    </w:p>
    <w:p w:rsidR="00000000" w:rsidDel="00000000" w:rsidP="00000000" w:rsidRDefault="00000000" w:rsidRPr="00000000" w14:paraId="0000011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Васечко В. О. Категорії осіб і термін дії тимчасового захисту в країнах Європейського Союзу: досвід Республіки Польща, Чеської Республіки та Федеративної Республіки Німеччина.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Часопис Київського університету права.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2022. № 2–4. С. 190–194.</w:t>
      </w:r>
    </w:p>
    <w:p w:rsidR="00000000" w:rsidDel="00000000" w:rsidP="00000000" w:rsidRDefault="00000000" w:rsidRPr="00000000" w14:paraId="0000011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Відтермінування депортації для людей із невстановленою особою (Duldung Light). URL: </w:t>
      </w:r>
      <w:hyperlink r:id="rId1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https://handbookgermany.de/uk/duldung-light</w:t>
        </w:r>
      </w:hyperlink>
      <w:r w:rsidDel="00000000" w:rsidR="00000000" w:rsidRPr="00000000">
        <w:rPr>
          <w:rtl w:val="0"/>
        </w:rPr>
      </w:r>
    </w:p>
    <w:p w:rsidR="00000000" w:rsidDel="00000000" w:rsidP="00000000" w:rsidRDefault="00000000" w:rsidRPr="00000000" w14:paraId="0000011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Вплив вимушеної міграції з України на економіки європейських країн буде позитивним – дослідження НБУ. URL: </w:t>
      </w:r>
      <w:hyperlink r:id="rId1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https://biz.censor.net/n3387290</w:t>
        </w:r>
      </w:hyperlink>
      <w:r w:rsidDel="00000000" w:rsidR="00000000" w:rsidRPr="00000000">
        <w:rPr>
          <w:rtl w:val="0"/>
        </w:rPr>
      </w:r>
    </w:p>
    <w:p w:rsidR="00000000" w:rsidDel="00000000" w:rsidP="00000000" w:rsidRDefault="00000000" w:rsidRPr="00000000" w14:paraId="0000011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Вплив міграції на соціально-економічну ситуацію в Україні: аналітична доповідь / за ред. В. Потапенка. Київ: НІСД, 2023. 33 с. URL: </w:t>
      </w:r>
      <w:hyperlink r:id="rId1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https://doi.org/10.53679/NISSanalytrep.2023.0</w:t>
        </w:r>
      </w:hyperlink>
      <w:r w:rsidDel="00000000" w:rsidR="00000000" w:rsidRPr="00000000">
        <w:rPr>
          <w:rtl w:val="0"/>
        </w:rPr>
      </w:r>
    </w:p>
    <w:p w:rsidR="00000000" w:rsidDel="00000000" w:rsidP="00000000" w:rsidRDefault="00000000" w:rsidRPr="00000000" w14:paraId="0000011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Вплив міграційних процесів на перебіг повоєнного відновлення України, міграційну політику ЄС та країн Східного партнерства. URL: </w:t>
      </w:r>
      <w:hyperlink r:id="rId1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https://razumkov.org.ua/images/2023/10/25/2023-Pyshchulina-MIGRACIA.pdf</w:t>
        </w:r>
      </w:hyperlink>
      <w:r w:rsidDel="00000000" w:rsidR="00000000" w:rsidRPr="00000000">
        <w:rPr>
          <w:rtl w:val="0"/>
        </w:rPr>
      </w:r>
    </w:p>
    <w:p w:rsidR="00000000" w:rsidDel="00000000" w:rsidP="00000000" w:rsidRDefault="00000000" w:rsidRPr="00000000" w14:paraId="0000011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Гайдук Я. Працевлаштування за процедурою тимчасового захисту у Німеччині: досвід матерів з дітьми шкільного віку: кваліфікаційна робота. 2024. 46 с.</w:t>
      </w:r>
    </w:p>
    <w:p w:rsidR="00000000" w:rsidDel="00000000" w:rsidP="00000000" w:rsidRDefault="00000000" w:rsidRPr="00000000" w14:paraId="0000011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Гончарук Н., Чередниченко А. Модернізація публічного управління в Україні в умовах війни та в поствоєнний період у контексті європейських цінностей.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Аспекти публічного управління.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Т. 10. № 6. С. 46–54.</w:t>
      </w:r>
    </w:p>
    <w:p w:rsidR="00000000" w:rsidDel="00000000" w:rsidP="00000000" w:rsidRDefault="00000000" w:rsidRPr="00000000" w14:paraId="0000012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Директива Ради 2001/55/ЄС про мінімальні стандарти для надання тимчасового захисту у разі масового напливу переміщених осіб. URL: </w:t>
      </w:r>
      <w:hyperlink r:id="rId1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https://ips.ligazakon.net/document/MU01293?an=2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Дублінська конвенція. URL: </w:t>
      </w:r>
      <w:hyperlink r:id="rId1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https://ips.ligazakon.net/document/view/MU90308?an=2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Дуля А. В. Особливості соціальної допомоги особам, які потребують тимчасового захисту в Польській Республіці. Ввічливість.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Humanitas.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 2. С. 82–88. DOI: </w:t>
      </w:r>
      <w:hyperlink r:id="rId1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https://doi.org/10.32782/humanitas/2022.2.11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Дуля А. В. Зарубіжний досвід соціальної роботи з українськими біженцями.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Соціальна підтримка сім'ї та дитини у соціокультурному просторі громади: матеріали V Всеукраїнської науково-практичної конференції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С. 103–107.</w:t>
      </w:r>
    </w:p>
    <w:p w:rsidR="00000000" w:rsidDel="00000000" w:rsidP="00000000" w:rsidRDefault="00000000" w:rsidRPr="00000000" w14:paraId="0000012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Дмитрієва К. С. Український напрям міграційної політики Польщі: досвід та сучасні виклики. Дисертація. 2024. 89 с.</w:t>
      </w:r>
    </w:p>
    <w:p w:rsidR="00000000" w:rsidDel="00000000" w:rsidP="00000000" w:rsidRDefault="00000000" w:rsidRPr="00000000" w14:paraId="0000012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Європейська Рада схвалила Пакт імміграції та надання притулку. URL: </w:t>
      </w:r>
      <w:hyperlink r:id="rId1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https://www.radiosvoboda.org/a/1330444.html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 "Про зміну і поліпшення процедури надання притулку та політики щодо біженців". URL: </w:t>
      </w:r>
      <w:hyperlink r:id="rId1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https://dip.bundestag.de/vorgang/.../69467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 «Про міграцію» (Einwanderungsgesetz). URL: </w:t>
      </w:r>
      <w:hyperlink r:id="rId1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https://www.bmi.bund.de/SharedDocs/gesetzestexte/DE/Zuwanderungsgesetz.pdf?__blob=publicationFile&amp;v=1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Інформація для біженців з України. URL: </w:t>
      </w:r>
      <w:hyperlink r:id="rId2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https://www.goethe.de/prj/mwd/uk/hilfefinden.html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Кількість українських біженців у Німеччині майже не зросла протягом 2023 року. URL: </w:t>
      </w:r>
      <w:hyperlink r:id="rId2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https://www.ukrinform.ua/rubric-society/3807683-kilkist-ukrainskihbizenciv-u-nimeccini-majze-ne-zrosla-protagom-2023-roku.html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Конвенція про статус біженців. URL: </w:t>
      </w:r>
      <w:hyperlink r:id="rId2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https://zakon.rada.gov.ua/laws/show/995_011#Textь</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Кондрахін Р. А. Міграційна політика Німеччини під час російсько-української війни: дисертація ... доктора філософії. 2024. 86 с.</w:t>
      </w:r>
    </w:p>
    <w:p w:rsidR="00000000" w:rsidDel="00000000" w:rsidP="00000000" w:rsidRDefault="00000000" w:rsidRPr="00000000" w14:paraId="0000012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Консультаційні служби у Німеччині. URL: </w:t>
      </w:r>
      <w:hyperlink r:id="rId2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https://www.goethe.de/prj/mwd/uk/hilfefinden/beratungsdienste.html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Кримова М. О. Інтеграція мігрантів як інструмент функціонування ринку міграційних послуг країн ЄС.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Економіка і організація управління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Вип. 2. С. 56–64. URL: </w:t>
      </w:r>
      <w:hyperlink r:id="rId2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http://nbuv.gov.ua/UJRN/eiou_2019_2_8</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Литвин О. Європейська мовна політика: досвід для України. Новий порядок денний для Європи та Європейського Союзу: причини–напрями–пріоритетні цілі: монографія. Київ, 2022. С. 115–125.</w:t>
      </w:r>
    </w:p>
    <w:p w:rsidR="00000000" w:rsidDel="00000000" w:rsidP="00000000" w:rsidRDefault="00000000" w:rsidRPr="00000000" w14:paraId="0000012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Лібанова Е. М. Зовнішні трудові міграції українців: масштаби, причини, наслідки</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Демографія та соціальна економіка.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 2. С. 11–26. URL: </w:t>
      </w:r>
      <w:hyperlink r:id="rId2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http://nbuv.gov.ua/UJRN/dse_2018_2_3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Малик І. Міграційні виклики для країн ЄС у 2022 році крізь призму міграційних прогнозів. The security architecture of European and Euro-Atlantic spaces: колективна монографія. Riga: Baltija Publishing, 2022. С. 179–191.</w:t>
      </w:r>
    </w:p>
    <w:p w:rsidR="00000000" w:rsidDel="00000000" w:rsidP="00000000" w:rsidRDefault="00000000" w:rsidRPr="00000000" w14:paraId="0000013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Малиновська О. А. Міграційна політика Європейського союзу: виклики та уроки для України. Київ: НІСД, 2014. 48 с.</w:t>
      </w:r>
    </w:p>
    <w:p w:rsidR="00000000" w:rsidDel="00000000" w:rsidP="00000000" w:rsidRDefault="00000000" w:rsidRPr="00000000" w14:paraId="0000013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Малиновська О. Міграція та коронакриза: наслідки, перспективи, напрями реагування.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Стратегічна панорама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 1-2. С. 71-79. URL: </w:t>
      </w:r>
      <w:hyperlink r:id="rId2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https://niss-panorama.com/index.php/journal/article/view/115/115</w:t>
        </w:r>
      </w:hyperlink>
      <w:r w:rsidDel="00000000" w:rsidR="00000000" w:rsidRPr="00000000">
        <w:rPr>
          <w:rtl w:val="0"/>
        </w:rPr>
      </w:r>
    </w:p>
    <w:p w:rsidR="00000000" w:rsidDel="00000000" w:rsidP="00000000" w:rsidRDefault="00000000" w:rsidRPr="00000000" w14:paraId="0000013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Малиновська О. А. Міграційна політика: глобальний контекст та українські реалії: монографія. Київ: НІСД, 2018. 472 с. URL: </w:t>
      </w:r>
      <w:hyperlink r:id="rId2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https://niss.gov.ua/sites/default/files/2019-05/Migration_Politic_Print-fin-3178a.pdf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Маньгора В. В., Тельнюк С. Р. Особливості реалізації права на притулок громадянам України в умовах воєнного стану.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Інформація і право.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 4 (43). С. 129–138.</w:t>
      </w:r>
    </w:p>
    <w:p w:rsidR="00000000" w:rsidDel="00000000" w:rsidP="00000000" w:rsidRDefault="00000000" w:rsidRPr="00000000" w14:paraId="0000013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Марчук С. В. Проблеми міграції під час війни на прикладі біженців в Англії: медіакомпаративний аспект: кваліфікаційна робота на здобуття ступеня бакалавра. Миколаїв: ЧНУ ім. Петра Могили, 2023. 47 с.</w:t>
      </w:r>
    </w:p>
    <w:p w:rsidR="00000000" w:rsidDel="00000000" w:rsidP="00000000" w:rsidRDefault="00000000" w:rsidRPr="00000000" w14:paraId="0000013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Міграційна криза через війну: критична ситуація в Європі та ризики для України. URL: </w:t>
      </w:r>
      <w:hyperlink r:id="rId2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https://lb.ua/economics/2022/09/22/530166_povernuti_vtrachene_chim_ukraini.html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Ничкало Н. Г. та ін. Українська освіта в умовах російської війни: випробування, новий досвід, перспективи.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кафедри ЮНЕСКО «Неперервна професійна освіта ХХІ століття».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2022. № 1.5. С. 7–39.</w:t>
      </w:r>
    </w:p>
    <w:p w:rsidR="00000000" w:rsidDel="00000000" w:rsidP="00000000" w:rsidRDefault="00000000" w:rsidRPr="00000000" w14:paraId="0000013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Німеччина залишається лідером серед країн ЄС за кількістю прохань про надання притулку. URL: </w:t>
      </w:r>
      <w:hyperlink r:id="rId2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https://www.ukrinform.ua/rubric-world/3282743-nimeccina-zalisaetsa-najbils-privablivou-krainou-dla-bizenciv-zmi.html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Новий закон про громадянство ФРН: що зміниться для українців. URL: </w:t>
      </w:r>
      <w:hyperlink r:id="rId3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https://www.dw.com/uk/novij-zakon-pro-gromadanstvo-nimeccini-so-vin-oznacaedla-ukrainciv/a-68075934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Основний закон Федеративної Республіки Німеччини. URL: </w:t>
      </w:r>
      <w:hyperlink r:id="rId3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https://www.1000dokumente.de/?c=dokument_de&amp;dokument=0014_gru&amp;l=ru&amp;object=translation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Папета А. М. Польський шлях і членство в Європейському Союзі: досвід для України: бакалаврська робота. Суми: Сумський державний університет, 2024. 45 с.</w:t>
      </w:r>
    </w:p>
    <w:p w:rsidR="00000000" w:rsidDel="00000000" w:rsidP="00000000" w:rsidRDefault="00000000" w:rsidRPr="00000000" w14:paraId="0000013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Політичні відносини між Україною та Польщею. URL: </w:t>
      </w:r>
      <w:hyperlink r:id="rId3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https://poland.mfa.gov.ua/spivrobitnictvo/228-politichni-vidnosini-mizh-ukrajinoju-ta-polyshheju</w:t>
        </w:r>
      </w:hyperlink>
      <w:r w:rsidDel="00000000" w:rsidR="00000000" w:rsidRPr="00000000">
        <w:rPr>
          <w:rtl w:val="0"/>
        </w:rPr>
      </w:r>
    </w:p>
    <w:p w:rsidR="00000000" w:rsidDel="00000000" w:rsidP="00000000" w:rsidRDefault="00000000" w:rsidRPr="00000000" w14:paraId="0000013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Польська партія "Право і справедливість" розігнала проти України безпрецедентну кампанію – політик Чех. URL: </w:t>
      </w:r>
      <w:hyperlink r:id="rId3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https://espreso.tv/polska-partiya-pravo-i-spravedlivist-rozignala-proti-ukraini-bezpretsedentnu-kampaniyu-politik-chekh</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3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Польсько-українські економічні відносини. Вікіпедія. URL: https://uk.wikipedia.org/wiki/Польсько-українські_економічні_відносини</w:t>
      </w:r>
    </w:p>
    <w:p w:rsidR="00000000" w:rsidDel="00000000" w:rsidP="00000000" w:rsidRDefault="00000000" w:rsidRPr="00000000" w14:paraId="0000013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щодо статусу біженців. URL: </w:t>
      </w:r>
      <w:hyperlink r:id="rId3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https://zakon.rada.gov.ua/laws/show/995_363#Text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Психосоціальна допомога внутрішньо переміщеним дітям, їхнім батькам та сім'ям з дітьми зі Сходу України: посібник для практиків соціальної сфери / за ред. Волинець Л. С. Київ: Видавничий дім «Калита», 2015. 72 с.</w:t>
      </w:r>
    </w:p>
    <w:p w:rsidR="00000000" w:rsidDel="00000000" w:rsidP="00000000" w:rsidRDefault="00000000" w:rsidRPr="00000000" w14:paraId="0000014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Рада ЄС продовжила до 2025 року тимчасовий захист для українських біженців. URL: </w:t>
      </w:r>
      <w:hyperlink r:id="rId3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https://suspilne.media/582715-rada-es-prodovzila-do-2025-roku-timcasovij-zahist-dla-ukrainskih-bizenciv/</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Регламент Європейського Парламенту і Ради (ЄС) 2016/399 від 9 березня 2016 року про Кодекс Союзу щодо правил, які регулюють рух осіб через кордони. URL: </w:t>
      </w:r>
      <w:hyperlink r:id="rId3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https://zakon.rada.gov.ua/laws/show/984_026-16#Text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Ташкінова О. Психосоціальна підтримка дітей українських вимушених мігрантів, які перебувають під тимчасовим захистом у Польщі. Рекомендовано до друку науково-методичною радою Педагогічного факультету Прикарпатського національного університету імені Василя Стефаника. 2023. С. 64.</w:t>
      </w:r>
    </w:p>
    <w:p w:rsidR="00000000" w:rsidDel="00000000" w:rsidP="00000000" w:rsidRDefault="00000000" w:rsidRPr="00000000" w14:paraId="0000014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Ташкінова О. Роль міжкультурних асистентів у процесі адаптації українських дітей-вимушених мігрантів у Польщі.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Міжкультурна комунікація і глокалізаційні процеси у соціологічному вимірі: збірник матеріалів IV Всеукраїнської науково-практичної конференції (м. Київ, 15 листопада 2023 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Київ: МДУ, 2023. С. 21.</w:t>
      </w:r>
    </w:p>
    <w:p w:rsidR="00000000" w:rsidDel="00000000" w:rsidP="00000000" w:rsidRDefault="00000000" w:rsidRPr="00000000" w14:paraId="0000014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Україна – Польща в Україні. Gov.pl. URL: </w:t>
      </w:r>
      <w:hyperlink r:id="rId3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https://www.gov.pl/web/ukraina-uk/ukraine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Яблонська-Бонса Й. Польський закон від 12 березня 2022 року «Про допомогу громадянам України у зв'язку із збройним конфліктом на території цієї держави». Первинний аналіз. Експерт: парадигми юридичних наук і державного управління. 2022. № 2 (20). С. 12–31.</w:t>
      </w:r>
    </w:p>
    <w:p w:rsidR="00000000" w:rsidDel="00000000" w:rsidP="00000000" w:rsidRDefault="00000000" w:rsidRPr="00000000" w14:paraId="000001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Schoenholtz A., Fagen P., та ін. The Uprooted: Challenges in Managing Forced Migration. Lexington Books, 2005. 303 p.</w:t>
      </w:r>
    </w:p>
    <w:p w:rsidR="00000000" w:rsidDel="00000000" w:rsidP="00000000" w:rsidRDefault="00000000" w:rsidRPr="00000000" w14:paraId="000001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Ārlietu komisija lūdz iekļaut Saeimas sēdes darba kārtībā patstāvīgo priekšlikumu – Saeimas lēmuma projektu "Par Krievijas Federācijas agresiju un kara noziegumiem Ukrainā". URL: </w:t>
      </w:r>
      <w:hyperlink r:id="rId3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https://titania.saeima.lv/LIVS13/saeimalivs_lmp.nsf/0/6D3B896E469E534AC22588240030473C?OpenDocument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Asylum-Seekers' Benefits Act (AsylbLG). URL: </w:t>
      </w:r>
      <w:hyperlink r:id="rId3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https://sozialplattform.de/ru/content/leistungen-nach-asylblg</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Carta M. G., Orrù G., Barberini L. War and Pandemic: A Negative Synergism Could Amplify the Catastrophe. Journal of Public Health Research. 2022. Vol. 11. DOI: </w:t>
      </w:r>
      <w:hyperlink r:id="rId4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https://doi.org/10.4081/jphr.2022.3016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Deyermond R. Security, history and the boundaries of European identity after Russia's invasion of Ukraine. New Perspectives. 2022. Vol. 30, Issue 3. DOI: </w:t>
      </w:r>
      <w:hyperlink r:id="rId4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https://doi.org/10.1177/2336825X221117493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Dybdah R. Children and Mothers in War: An Outcome Study of a Psychosocial Intervention Program.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Child Development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2001. Vol. 72, Issue 4. P. 1214–1230. DOI: </w:t>
      </w:r>
      <w:hyperlink r:id="rId4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https://doi.org/10.1111/1467-8624.00343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Serwis Rzeczypospolitej Polskiej. URL: </w:t>
      </w:r>
      <w:hyperlink r:id="rId4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https://dane.gov.pl/en/dataset/2715,zarejestrowane-wnioski-o-nadanie-statusuukr/resource/47361/table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Ukraine: a year of indomitability. Effective practices of psychological assistance in war conditions. Polish-Ukrainian project. 4 March 2023. Lublin, Poland – Kyiv, Ukraine. URL: </w:t>
      </w:r>
      <w:hyperlink r:id="rId4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https://natanaelum.pl/images/aktualnosci/Conference%20proceedings%202023-Lublin-3.pdf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UNHCR. The UN Refugee Agency. 2023. URL: </w:t>
      </w:r>
      <w:hyperlink r:id="rId4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https://data.unhcr.org/en/situations/ukraine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36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Ustawa z 12 marca 2022 r. o pomocy obywatelom Ukrainy w związku z konfliktem zbrojnym na terytorium tego państwa (Dz.U. z 2022 r., poz. 583). URL: </w:t>
      </w:r>
      <w:hyperlink r:id="rId4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https://isap.sejm.gov.pl/isap.nsf/DocDetails.xsp?id=WDU20220000583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sectPr>
      <w:headerReference r:id="rId47" w:type="default"/>
      <w:pgSz w:h="16838" w:w="11906" w:orient="portrait"/>
      <w:pgMar w:bottom="1134" w:top="1134" w:left="1701"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Arial"/>
  <w:font w:name="Courier New"/>
  <w:font w:name=".SFUI-Regular"/>
  <w:font w:name="Noto Sans Symbols">
    <w:embedRegular w:fontKey="{00000000-0000-0000-0000-000000000000}" r:id="rId1" w:subsetted="0"/>
    <w:embedBold w:fontKey="{00000000-0000-0000-0000-000000000000}" r:id="rId2" w:subsetted="0"/>
  </w:font>
  <w:font w:name="System 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ru-RU"/>
      </w:rPr>
    </w:rPrDefault>
    <w:pPrDefault>
      <w:pPr>
        <w:jc w:val="both"/>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831452"/>
    <w:rPr>
      <w:lang w:eastAsia="en-US"/>
    </w:rPr>
  </w:style>
  <w:style w:type="paragraph" w:styleId="1">
    <w:name w:val="heading 1"/>
    <w:basedOn w:val="a"/>
    <w:next w:val="a"/>
    <w:pPr>
      <w:keepNext w:val="1"/>
      <w:keepLines w:val="1"/>
      <w:spacing w:after="120" w:before="480"/>
      <w:outlineLvl w:val="0"/>
    </w:pPr>
    <w:rPr>
      <w:b w:val="1"/>
      <w:sz w:val="48"/>
      <w:szCs w:val="48"/>
    </w:rPr>
  </w:style>
  <w:style w:type="paragraph" w:styleId="2">
    <w:name w:val="heading 2"/>
    <w:basedOn w:val="a"/>
    <w:next w:val="a"/>
    <w:pPr>
      <w:keepNext w:val="1"/>
      <w:keepLines w:val="1"/>
      <w:spacing w:after="80" w:before="360"/>
      <w:outlineLvl w:val="1"/>
    </w:pPr>
    <w:rPr>
      <w:b w:val="1"/>
      <w:sz w:val="36"/>
      <w:szCs w:val="36"/>
    </w:rPr>
  </w:style>
  <w:style w:type="paragraph" w:styleId="3">
    <w:name w:val="heading 3"/>
    <w:basedOn w:val="a"/>
    <w:next w:val="a"/>
    <w:pPr>
      <w:keepNext w:val="1"/>
      <w:keepLines w:val="1"/>
      <w:spacing w:after="80" w:before="280"/>
      <w:outlineLvl w:val="2"/>
    </w:pPr>
    <w:rPr>
      <w:b w:val="1"/>
      <w:sz w:val="28"/>
      <w:szCs w:val="28"/>
    </w:rPr>
  </w:style>
  <w:style w:type="paragraph" w:styleId="4">
    <w:name w:val="heading 4"/>
    <w:basedOn w:val="a"/>
    <w:next w:val="a"/>
    <w:pPr>
      <w:keepNext w:val="1"/>
      <w:keepLines w:val="1"/>
      <w:spacing w:after="40" w:before="240"/>
      <w:outlineLvl w:val="3"/>
    </w:pPr>
    <w:rPr>
      <w:b w:val="1"/>
    </w:rPr>
  </w:style>
  <w:style w:type="paragraph" w:styleId="5">
    <w:name w:val="heading 5"/>
    <w:basedOn w:val="a"/>
    <w:next w:val="a"/>
    <w:pPr>
      <w:keepNext w:val="1"/>
      <w:keepLines w:val="1"/>
      <w:spacing w:after="40" w:before="220"/>
      <w:outlineLvl w:val="4"/>
    </w:pPr>
    <w:rPr>
      <w:b w:val="1"/>
      <w:sz w:val="22"/>
      <w:szCs w:val="22"/>
    </w:rPr>
  </w:style>
  <w:style w:type="paragraph" w:styleId="6">
    <w:name w:val="heading 6"/>
    <w:basedOn w:val="a"/>
    <w:next w:val="a"/>
    <w:pPr>
      <w:keepNext w:val="1"/>
      <w:keepLines w:val="1"/>
      <w:spacing w:after="40" w:before="200"/>
      <w:outlineLvl w:val="5"/>
    </w:pPr>
    <w:rPr>
      <w:b w:val="1"/>
      <w:sz w:val="20"/>
      <w:szCs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1" w:customStyle="1">
    <w:name w:val="Table Normal1"/>
    <w:tblPr>
      <w:tblCellMar>
        <w:top w:w="0.0" w:type="dxa"/>
        <w:left w:w="0.0" w:type="dxa"/>
        <w:bottom w:w="0.0" w:type="dxa"/>
        <w:right w:w="0.0" w:type="dxa"/>
      </w:tblCellMar>
    </w:tblPr>
  </w:style>
  <w:style w:type="paragraph" w:styleId="a3">
    <w:name w:val="Title"/>
    <w:basedOn w:val="a"/>
    <w:next w:val="a"/>
    <w:pPr>
      <w:keepNext w:val="1"/>
      <w:keepLines w:val="1"/>
      <w:spacing w:after="120" w:before="480"/>
    </w:pPr>
    <w:rPr>
      <w:b w:val="1"/>
      <w:sz w:val="72"/>
      <w:szCs w:val="72"/>
    </w:rPr>
  </w:style>
  <w:style w:type="table" w:styleId="a4">
    <w:name w:val="Table Grid"/>
    <w:basedOn w:val="a1"/>
    <w:uiPriority w:val="99"/>
    <w:rsid w:val="004B6572"/>
    <w:rPr>
      <w:sz w:val="20"/>
      <w:szCs w:val="20"/>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5">
    <w:name w:val="annotation reference"/>
    <w:basedOn w:val="a0"/>
    <w:uiPriority w:val="99"/>
    <w:semiHidden w:val="1"/>
    <w:rsid w:val="004B6572"/>
    <w:rPr>
      <w:rFonts w:cs="Times New Roman"/>
      <w:sz w:val="16"/>
      <w:szCs w:val="16"/>
    </w:rPr>
  </w:style>
  <w:style w:type="paragraph" w:styleId="a6">
    <w:name w:val="annotation text"/>
    <w:basedOn w:val="a"/>
    <w:link w:val="a7"/>
    <w:uiPriority w:val="99"/>
    <w:semiHidden w:val="1"/>
    <w:rsid w:val="004B6572"/>
    <w:rPr>
      <w:sz w:val="20"/>
      <w:szCs w:val="20"/>
    </w:rPr>
  </w:style>
  <w:style w:type="character" w:styleId="a7" w:customStyle="1">
    <w:name w:val="Текст примечания Знак"/>
    <w:basedOn w:val="a0"/>
    <w:link w:val="a6"/>
    <w:uiPriority w:val="99"/>
    <w:semiHidden w:val="1"/>
    <w:locked w:val="1"/>
    <w:rsid w:val="004B6572"/>
    <w:rPr>
      <w:rFonts w:cs="Times New Roman"/>
      <w:sz w:val="20"/>
      <w:szCs w:val="20"/>
      <w:lang w:val="uk-UA"/>
    </w:rPr>
  </w:style>
  <w:style w:type="paragraph" w:styleId="a8">
    <w:name w:val="annotation subject"/>
    <w:basedOn w:val="a6"/>
    <w:next w:val="a6"/>
    <w:link w:val="a9"/>
    <w:uiPriority w:val="99"/>
    <w:semiHidden w:val="1"/>
    <w:rsid w:val="004B6572"/>
    <w:rPr>
      <w:b w:val="1"/>
      <w:bCs w:val="1"/>
    </w:rPr>
  </w:style>
  <w:style w:type="character" w:styleId="a9" w:customStyle="1">
    <w:name w:val="Тема примечания Знак"/>
    <w:basedOn w:val="a7"/>
    <w:link w:val="a8"/>
    <w:uiPriority w:val="99"/>
    <w:semiHidden w:val="1"/>
    <w:locked w:val="1"/>
    <w:rsid w:val="004B6572"/>
    <w:rPr>
      <w:rFonts w:cs="Times New Roman"/>
      <w:b w:val="1"/>
      <w:bCs w:val="1"/>
      <w:sz w:val="20"/>
      <w:szCs w:val="20"/>
      <w:lang w:val="uk-UA"/>
    </w:rPr>
  </w:style>
  <w:style w:type="paragraph" w:styleId="aa">
    <w:name w:val="Balloon Text"/>
    <w:basedOn w:val="a"/>
    <w:link w:val="ab"/>
    <w:uiPriority w:val="99"/>
    <w:semiHidden w:val="1"/>
    <w:rsid w:val="004B6572"/>
    <w:rPr>
      <w:rFonts w:ascii="Segoe UI" w:cs="Segoe UI" w:hAnsi="Segoe UI"/>
      <w:sz w:val="18"/>
      <w:szCs w:val="18"/>
    </w:rPr>
  </w:style>
  <w:style w:type="character" w:styleId="ab" w:customStyle="1">
    <w:name w:val="Текст выноски Знак"/>
    <w:basedOn w:val="a0"/>
    <w:link w:val="aa"/>
    <w:uiPriority w:val="99"/>
    <w:semiHidden w:val="1"/>
    <w:locked w:val="1"/>
    <w:rsid w:val="004B6572"/>
    <w:rPr>
      <w:rFonts w:ascii="Segoe UI" w:cs="Segoe UI" w:hAnsi="Segoe UI"/>
      <w:sz w:val="18"/>
      <w:szCs w:val="18"/>
      <w:lang w:val="uk-UA"/>
    </w:rPr>
  </w:style>
  <w:style w:type="paragraph" w:styleId="ac">
    <w:name w:val="Subtitle"/>
    <w:basedOn w:val="a"/>
    <w:next w:val="a"/>
    <w:pPr>
      <w:keepNext w:val="1"/>
      <w:keepLines w:val="1"/>
      <w:spacing w:after="80" w:before="360"/>
    </w:pPr>
    <w:rPr>
      <w:rFonts w:ascii="Georgia" w:cs="Georgia" w:eastAsia="Georgia" w:hAnsi="Georgia"/>
      <w:i w:val="1"/>
      <w:color w:val="666666"/>
      <w:sz w:val="48"/>
      <w:szCs w:val="48"/>
    </w:rPr>
  </w:style>
  <w:style w:type="table" w:styleId="ad" w:customStyle="1">
    <w:basedOn w:val="a1"/>
    <w:tblPr>
      <w:tblStyleRowBandSize w:val="1"/>
      <w:tblStyleColBandSize w:val="1"/>
      <w:tblCellMar>
        <w:left w:w="115.0" w:type="dxa"/>
        <w:right w:w="115.0" w:type="dxa"/>
      </w:tblCellMar>
    </w:tblPr>
  </w:style>
  <w:style w:type="paragraph" w:styleId="10" w:customStyle="1">
    <w:name w:val="Обычный1"/>
    <w:rsid w:val="00D1276D"/>
    <w:pPr>
      <w:spacing w:after="158" w:line="360" w:lineRule="auto"/>
      <w:ind w:firstLine="709"/>
    </w:pPr>
    <w:rPr>
      <w:rFonts w:ascii="Calibri" w:cs="Calibri" w:eastAsia="Calibri" w:hAnsi="Calibri"/>
      <w:sz w:val="22"/>
      <w:szCs w:val="22"/>
      <w:lang w:eastAsia="ru-RU"/>
    </w:rPr>
  </w:style>
  <w:style w:type="paragraph" w:styleId="p1" w:customStyle="1">
    <w:name w:val="p1"/>
    <w:basedOn w:val="a"/>
    <w:rsid w:val="00410D90"/>
    <w:pPr>
      <w:jc w:val="left"/>
    </w:pPr>
    <w:rPr>
      <w:rFonts w:ascii="System Font" w:hAnsi="System Font" w:eastAsiaTheme="minorEastAsia"/>
      <w:sz w:val="18"/>
      <w:szCs w:val="18"/>
      <w:lang w:eastAsia="en-GB"/>
    </w:rPr>
  </w:style>
  <w:style w:type="character" w:styleId="s1" w:customStyle="1">
    <w:name w:val="s1"/>
    <w:basedOn w:val="a0"/>
    <w:rsid w:val="00410D90"/>
    <w:rPr>
      <w:rFonts w:ascii=".SFUI-Regular" w:hAnsi=".SFUI-Regular" w:hint="default"/>
      <w:b w:val="0"/>
      <w:bCs w:val="0"/>
      <w:i w:val="0"/>
      <w:iCs w:val="0"/>
      <w:sz w:val="18"/>
      <w:szCs w:val="18"/>
    </w:rPr>
  </w:style>
  <w:style w:type="character" w:styleId="apple-converted-space" w:customStyle="1">
    <w:name w:val="apple-converted-space"/>
    <w:basedOn w:val="a0"/>
    <w:rsid w:val="00410D90"/>
  </w:style>
  <w:style w:type="paragraph" w:styleId="p2" w:customStyle="1">
    <w:name w:val="p2"/>
    <w:basedOn w:val="a"/>
    <w:rsid w:val="00753D83"/>
    <w:pPr>
      <w:jc w:val="left"/>
    </w:pPr>
    <w:rPr>
      <w:rFonts w:ascii="System Font" w:hAnsi="System Font" w:eastAsiaTheme="minorEastAsia"/>
      <w:sz w:val="18"/>
      <w:szCs w:val="18"/>
      <w:lang w:eastAsia="en-GB"/>
    </w:rPr>
  </w:style>
  <w:style w:type="character" w:styleId="s2" w:customStyle="1">
    <w:name w:val="s2"/>
    <w:basedOn w:val="a0"/>
    <w:rsid w:val="00753D83"/>
    <w:rPr>
      <w:rFonts w:ascii=".SFUI-Semibold" w:hAnsi=".SFUI-Semibold" w:hint="default"/>
      <w:b w:val="1"/>
      <w:bCs w:val="1"/>
      <w:i w:val="0"/>
      <w:iCs w:val="0"/>
      <w:sz w:val="18"/>
      <w:szCs w:val="18"/>
    </w:rPr>
  </w:style>
  <w:style w:type="paragraph" w:styleId="ae">
    <w:name w:val="header"/>
    <w:basedOn w:val="a"/>
    <w:link w:val="af"/>
    <w:uiPriority w:val="99"/>
    <w:unhideWhenUsed w:val="1"/>
    <w:rsid w:val="00675DC1"/>
    <w:pPr>
      <w:tabs>
        <w:tab w:val="center" w:pos="4844"/>
        <w:tab w:val="right" w:pos="9689"/>
      </w:tabs>
    </w:pPr>
  </w:style>
  <w:style w:type="character" w:styleId="af" w:customStyle="1">
    <w:name w:val="Верхний колонтитул Знак"/>
    <w:basedOn w:val="a0"/>
    <w:link w:val="ae"/>
    <w:uiPriority w:val="99"/>
    <w:rsid w:val="00675DC1"/>
    <w:rPr>
      <w:lang w:eastAsia="en-US"/>
    </w:rPr>
  </w:style>
  <w:style w:type="paragraph" w:styleId="af0">
    <w:name w:val="footer"/>
    <w:basedOn w:val="a"/>
    <w:link w:val="af1"/>
    <w:uiPriority w:val="99"/>
    <w:unhideWhenUsed w:val="1"/>
    <w:rsid w:val="00675DC1"/>
    <w:pPr>
      <w:tabs>
        <w:tab w:val="center" w:pos="4844"/>
        <w:tab w:val="right" w:pos="9689"/>
      </w:tabs>
    </w:pPr>
  </w:style>
  <w:style w:type="character" w:styleId="af1" w:customStyle="1">
    <w:name w:val="Нижний колонтитул Знак"/>
    <w:basedOn w:val="a0"/>
    <w:link w:val="af0"/>
    <w:uiPriority w:val="99"/>
    <w:rsid w:val="00675DC1"/>
    <w:rPr>
      <w:lang w:eastAsia="en-US"/>
    </w:rPr>
  </w:style>
  <w:style w:type="paragraph" w:styleId="af2">
    <w:name w:val="footnote text"/>
    <w:basedOn w:val="a"/>
    <w:link w:val="af3"/>
    <w:uiPriority w:val="99"/>
    <w:semiHidden w:val="1"/>
    <w:unhideWhenUsed w:val="1"/>
    <w:rsid w:val="00C94184"/>
    <w:rPr>
      <w:sz w:val="20"/>
      <w:szCs w:val="20"/>
    </w:rPr>
  </w:style>
  <w:style w:type="character" w:styleId="af3" w:customStyle="1">
    <w:name w:val="Текст сноски Знак"/>
    <w:basedOn w:val="a0"/>
    <w:link w:val="af2"/>
    <w:uiPriority w:val="99"/>
    <w:semiHidden w:val="1"/>
    <w:rsid w:val="00C94184"/>
    <w:rPr>
      <w:sz w:val="20"/>
      <w:szCs w:val="20"/>
      <w:lang w:eastAsia="en-US"/>
    </w:rPr>
  </w:style>
  <w:style w:type="character" w:styleId="af4">
    <w:name w:val="footnote reference"/>
    <w:basedOn w:val="a0"/>
    <w:uiPriority w:val="99"/>
    <w:semiHidden w:val="1"/>
    <w:unhideWhenUsed w:val="1"/>
    <w:rsid w:val="00C94184"/>
    <w:rPr>
      <w:vertAlign w:val="superscript"/>
    </w:rPr>
  </w:style>
  <w:style w:type="character" w:styleId="af5">
    <w:name w:val="Hyperlink"/>
    <w:basedOn w:val="a0"/>
    <w:uiPriority w:val="99"/>
    <w:unhideWhenUsed w:val="1"/>
    <w:rsid w:val="00283138"/>
    <w:rPr>
      <w:color w:val="0000ff" w:themeColor="hyperlink"/>
      <w:u w:val="single"/>
    </w:rPr>
  </w:style>
  <w:style w:type="paragraph" w:styleId="af6">
    <w:name w:val="List Paragraph"/>
    <w:basedOn w:val="a"/>
    <w:uiPriority w:val="34"/>
    <w:qFormat w:val="1"/>
    <w:rsid w:val="005D6291"/>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doi.org/10.4081/jphr.2022.3016" TargetMode="External"/><Relationship Id="rId20" Type="http://schemas.openxmlformats.org/officeDocument/2006/relationships/hyperlink" Target="https://www.goethe.de/prj/mwd/uk/hilfefinden.html" TargetMode="External"/><Relationship Id="rId42" Type="http://schemas.openxmlformats.org/officeDocument/2006/relationships/hyperlink" Target="https://doi.org/10.1111/1467-8624.00343" TargetMode="External"/><Relationship Id="rId41" Type="http://schemas.openxmlformats.org/officeDocument/2006/relationships/hyperlink" Target="https://doi.org/10.1177/2336825X221117493" TargetMode="External"/><Relationship Id="rId22" Type="http://schemas.openxmlformats.org/officeDocument/2006/relationships/hyperlink" Target="https://zakon.rada.gov.ua/laws/show/995_011#Text%D1%8C" TargetMode="External"/><Relationship Id="rId44" Type="http://schemas.openxmlformats.org/officeDocument/2006/relationships/hyperlink" Target="https://natanaelum.pl/images/aktualnosci/Conference%20proceedings%202023-Lublin-3.pdf" TargetMode="External"/><Relationship Id="rId21" Type="http://schemas.openxmlformats.org/officeDocument/2006/relationships/hyperlink" Target="https://www.ukrinform.ua/rubric-society/3807683-kilkist-ukrainskihbizenciv-u-nimeccini-majze-ne-zrosla-protagom-2023-roku.html" TargetMode="External"/><Relationship Id="rId43" Type="http://schemas.openxmlformats.org/officeDocument/2006/relationships/hyperlink" Target="https://dane.gov.pl/en/dataset/2715,zarejestrowane-wnioski-o-nadanie-statusuukr/resource/47361/table" TargetMode="External"/><Relationship Id="rId24" Type="http://schemas.openxmlformats.org/officeDocument/2006/relationships/hyperlink" Target="http://nbuv.gov.ua/UJRN/eiou_2019_2_8" TargetMode="External"/><Relationship Id="rId46" Type="http://schemas.openxmlformats.org/officeDocument/2006/relationships/hyperlink" Target="https://isap.sejm.gov.pl/isap.nsf/DocDetails.xsp?id=WDU20220000583" TargetMode="External"/><Relationship Id="rId23" Type="http://schemas.openxmlformats.org/officeDocument/2006/relationships/hyperlink" Target="https://www.goethe.de/prj/mwd/uk/hilfefinden/beratungsdienste.html" TargetMode="External"/><Relationship Id="rId45" Type="http://schemas.openxmlformats.org/officeDocument/2006/relationships/hyperlink" Target="https://data.unhcr.org/en/situations/ukrain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moct.eu/language/ua/v-nimechchini-proveli-masshtabnedoslidzhennya-pitannya-pracevlashtuvannya-ukra%d1%97nciv/?cn-reloaded=1#/" TargetMode="External"/><Relationship Id="rId26" Type="http://schemas.openxmlformats.org/officeDocument/2006/relationships/hyperlink" Target="https://niss-panorama.com/index.php/journal/article/view/115/115" TargetMode="External"/><Relationship Id="rId25" Type="http://schemas.openxmlformats.org/officeDocument/2006/relationships/hyperlink" Target="http://nbuv.gov.ua/UJRN/dse_2018_2_3" TargetMode="External"/><Relationship Id="rId47" Type="http://schemas.openxmlformats.org/officeDocument/2006/relationships/header" Target="header1.xml"/><Relationship Id="rId28" Type="http://schemas.openxmlformats.org/officeDocument/2006/relationships/hyperlink" Target="https://lb.ua/economics/2022/09/22/530166_povernuti_vtrachene_chim_ukraini.html" TargetMode="External"/><Relationship Id="rId27" Type="http://schemas.openxmlformats.org/officeDocument/2006/relationships/hyperlink" Target="https://niss.gov.ua/sites/default/files/2019-05/Migration_Politic_Print-fin-3178a.pdf"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www.ukrinform.ua/rubric-world/3282743-nimeccina-zalisaetsa-najbils-privablivou-krainou-dla-bizenciv-zmi.html" TargetMode="External"/><Relationship Id="rId7" Type="http://schemas.openxmlformats.org/officeDocument/2006/relationships/hyperlink" Target="http://nbuv.gov.ua/UJRN/pollife_2018_1_3" TargetMode="External"/><Relationship Id="rId8" Type="http://schemas.openxmlformats.org/officeDocument/2006/relationships/hyperlink" Target="http://nbuv.gov.ua/UJRN/Npchdupol_2013_212_200_10" TargetMode="External"/><Relationship Id="rId31" Type="http://schemas.openxmlformats.org/officeDocument/2006/relationships/hyperlink" Target="https://www.1000dokumente.de/?c=dokument_de&amp;dokument=0014_gru&amp;l=ru&amp;object=translation" TargetMode="External"/><Relationship Id="rId30" Type="http://schemas.openxmlformats.org/officeDocument/2006/relationships/hyperlink" Target="https://www.dw.com/uk/novij-zakon-pro-gromadanstvo-nimeccini-so-vin-oznacaedla-ukrainciv/a-68075934" TargetMode="External"/><Relationship Id="rId11" Type="http://schemas.openxmlformats.org/officeDocument/2006/relationships/hyperlink" Target="https://biz.censor.net/n3387290" TargetMode="External"/><Relationship Id="rId33" Type="http://schemas.openxmlformats.org/officeDocument/2006/relationships/hyperlink" Target="https://espreso.tv/polska-partiya-pravo-i-spravedlivist-rozignala-proti-ukraini-bezpretsedentnu-kampaniyu-politik-chekh" TargetMode="External"/><Relationship Id="rId10" Type="http://schemas.openxmlformats.org/officeDocument/2006/relationships/hyperlink" Target="https://handbookgermany.de/uk/duldung-light" TargetMode="External"/><Relationship Id="rId32" Type="http://schemas.openxmlformats.org/officeDocument/2006/relationships/hyperlink" Target="https://poland.mfa.gov.ua/spivrobitnictvo/228-politichni-vidnosini-mizh-ukrajinoju-ta-polyshheju" TargetMode="External"/><Relationship Id="rId13" Type="http://schemas.openxmlformats.org/officeDocument/2006/relationships/hyperlink" Target="https://razumkov.org.ua/images/2023/10/25/2023-Pyshchulina-MIGRACIA.pdf" TargetMode="External"/><Relationship Id="rId35" Type="http://schemas.openxmlformats.org/officeDocument/2006/relationships/hyperlink" Target="https://suspilne.media/582715-rada-es-prodovzila-do-2025-roku-timcasovij-zahist-dla-ukrainskih-bizenciv/" TargetMode="External"/><Relationship Id="rId12" Type="http://schemas.openxmlformats.org/officeDocument/2006/relationships/hyperlink" Target="https://doi.org/10.53679/NISSanalytrep.2023.0" TargetMode="External"/><Relationship Id="rId34" Type="http://schemas.openxmlformats.org/officeDocument/2006/relationships/hyperlink" Target="https://zakon.rada.gov.ua/laws/show/995_363#Text" TargetMode="External"/><Relationship Id="rId15" Type="http://schemas.openxmlformats.org/officeDocument/2006/relationships/hyperlink" Target="https://ips.ligazakon.net/document/view/MU90308?an=2" TargetMode="External"/><Relationship Id="rId37" Type="http://schemas.openxmlformats.org/officeDocument/2006/relationships/hyperlink" Target="https://www.gov.pl/web/ukraina-uk/ukraine" TargetMode="External"/><Relationship Id="rId14" Type="http://schemas.openxmlformats.org/officeDocument/2006/relationships/hyperlink" Target="https://ips.ligazakon.net/document/MU01293?an=2" TargetMode="External"/><Relationship Id="rId36" Type="http://schemas.openxmlformats.org/officeDocument/2006/relationships/hyperlink" Target="https://zakon.rada.gov.ua/laws/show/984_026-16#Text" TargetMode="External"/><Relationship Id="rId17" Type="http://schemas.openxmlformats.org/officeDocument/2006/relationships/hyperlink" Target="https://www.radiosvoboda.org/a/1330444.html" TargetMode="External"/><Relationship Id="rId39" Type="http://schemas.openxmlformats.org/officeDocument/2006/relationships/hyperlink" Target="https://sozialplattform.de/ru/content/leistungen-nach-asylblg" TargetMode="External"/><Relationship Id="rId16" Type="http://schemas.openxmlformats.org/officeDocument/2006/relationships/hyperlink" Target="https://doi.org/10.32782/humanitas/2022.2.11" TargetMode="External"/><Relationship Id="rId38" Type="http://schemas.openxmlformats.org/officeDocument/2006/relationships/hyperlink" Target="https://titania.saeima.lv/LIVS13/saeimalivs_lmp.nsf/0/6D3B896E469E534AC22588240030473C?OpenDocument" TargetMode="External"/><Relationship Id="rId19" Type="http://schemas.openxmlformats.org/officeDocument/2006/relationships/hyperlink" Target="https://www.bmi.bund.de/SharedDocs/gesetzestexte/DE/Zuwanderungsgesetz.pdf?__blob=publicationFile&amp;v=1" TargetMode="External"/><Relationship Id="rId18" Type="http://schemas.openxmlformats.org/officeDocument/2006/relationships/hyperlink" Target="https://dip.bundestag.de/vorgang/.../69467"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S8YakwQfCQ9/S/lBRXzQkSprug==">CgMxLjAyDWgudXJsejBsOXJtZmQ4AHIhMWo5a0lLWE1tNWppeDBFSkVZbnpmek5TalFWbWhXcTk4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2025-05-05T16:58:00Z</dcterms:created>
  <dc:creator>Пользователь Windows</dc:creator>
</cp:coreProperties>
</file>