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D40" w:rsidRPr="00A32D40" w:rsidRDefault="00A32D40" w:rsidP="00A32D40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800ED4" wp14:editId="45C5A292">
                <wp:simplePos x="0" y="0"/>
                <wp:positionH relativeFrom="column">
                  <wp:posOffset>5600700</wp:posOffset>
                </wp:positionH>
                <wp:positionV relativeFrom="paragraph">
                  <wp:posOffset>-495300</wp:posOffset>
                </wp:positionV>
                <wp:extent cx="571500" cy="4572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32D40" w:rsidRDefault="00A32D40" w:rsidP="00A32D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41pt;margin-top:-39pt;width:45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" stroked="f">
                <v:textbox>
                  <w:txbxContent>
                    <w:p w:rsidR="00A32D40" w:rsidRDefault="00A32D40" w:rsidP="00A32D40"/>
                  </w:txbxContent>
                </v:textbox>
              </v:shape>
            </w:pict>
          </mc:Fallback>
        </mc:AlternateConten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ОДЕСЬКИЙ НАЦІОНАЛЬНИЙ УНІВЕРСИТЕТ імені І. І. МЕЧНИКОВА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line="24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Біологічний факультет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line="24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Кафедра біохімії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  <w:w w:val="150"/>
          <w:kern w:val="28"/>
          <w:sz w:val="28"/>
          <w:szCs w:val="28"/>
        </w:rPr>
      </w:pP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  <w:w w:val="150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b/>
          <w:w w:val="150"/>
          <w:kern w:val="28"/>
          <w:sz w:val="28"/>
          <w:szCs w:val="28"/>
        </w:rPr>
        <w:t>Дипломна робота</w:t>
      </w:r>
    </w:p>
    <w:p w:rsidR="00A32D40" w:rsidRPr="00A32D40" w:rsidRDefault="00A32D40" w:rsidP="00A32D40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b/>
          <w:kern w:val="28"/>
          <w:sz w:val="28"/>
          <w:szCs w:val="28"/>
        </w:rPr>
        <w:t>магістра</w:t>
      </w:r>
    </w:p>
    <w:p w:rsidR="00A32D40" w:rsidRPr="00A32D40" w:rsidRDefault="00A32D40" w:rsidP="00A32D40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на тему</w:t>
      </w:r>
      <w:r w:rsidRPr="00A32D40">
        <w:rPr>
          <w:rFonts w:ascii="Times New Roman" w:eastAsia="Calibri" w:hAnsi="Times New Roman" w:cs="Times New Roman"/>
          <w:b/>
          <w:sz w:val="28"/>
          <w:szCs w:val="28"/>
        </w:rPr>
        <w:t xml:space="preserve">: «Вплив рибофлавіну та його метаболітів на активність </w:t>
      </w:r>
      <w:proofErr w:type="spellStart"/>
      <w:r w:rsidRPr="00A32D40">
        <w:rPr>
          <w:rFonts w:ascii="Times New Roman" w:eastAsia="Calibri" w:hAnsi="Times New Roman" w:cs="Times New Roman"/>
          <w:b/>
          <w:sz w:val="28"/>
          <w:szCs w:val="28"/>
        </w:rPr>
        <w:t>холінестерази</w:t>
      </w:r>
      <w:proofErr w:type="spellEnd"/>
      <w:r w:rsidRPr="00A32D40">
        <w:rPr>
          <w:rFonts w:ascii="Times New Roman" w:eastAsia="Calibri" w:hAnsi="Times New Roman" w:cs="Times New Roman"/>
          <w:b/>
          <w:sz w:val="28"/>
          <w:szCs w:val="28"/>
        </w:rPr>
        <w:t xml:space="preserve"> в тканинах шлунково-кишкового тракту щурів різного віку»</w:t>
      </w:r>
    </w:p>
    <w:p w:rsidR="00A32D40" w:rsidRPr="00A32D40" w:rsidRDefault="00A32D40" w:rsidP="00A32D40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«</w:t>
      </w:r>
      <w:r w:rsidRPr="00A32D40">
        <w:rPr>
          <w:rFonts w:ascii="Times New Roman" w:eastAsia="Calibri" w:hAnsi="Times New Roman" w:cs="Times New Roman"/>
          <w:b/>
          <w:sz w:val="28"/>
          <w:szCs w:val="28"/>
          <w:lang w:val="en-US"/>
        </w:rPr>
        <w:t>Effect of Riboflavin and its metabolites on the activity of cholinesterase in the tissues of the gastrointestinal tract of rats of different ages</w:t>
      </w:r>
      <w:r w:rsidRPr="00A32D40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after="0"/>
        <w:ind w:left="4139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Виконала: студентка ІІ курсу денної форми навчання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after="0"/>
        <w:ind w:left="4139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спеціальності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091 Біологія</w: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</w:p>
    <w:p w:rsidR="00A32D40" w:rsidRPr="00A32D40" w:rsidRDefault="00A32D40" w:rsidP="00A32D40">
      <w:pPr>
        <w:widowControl w:val="0"/>
        <w:suppressAutoHyphens/>
        <w:autoSpaceDE w:val="0"/>
        <w:autoSpaceDN w:val="0"/>
        <w:adjustRightInd w:val="0"/>
        <w:spacing w:after="0"/>
        <w:ind w:left="4139"/>
        <w:jc w:val="both"/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eastAsia="ar-SA"/>
        </w:rPr>
      </w:pPr>
      <w:proofErr w:type="spellStart"/>
      <w:r w:rsidRPr="00A32D40">
        <w:rPr>
          <w:rFonts w:ascii="Times New Roman" w:eastAsia="Calibri" w:hAnsi="Times New Roman" w:cs="Times New Roman"/>
          <w:b/>
          <w:kern w:val="28"/>
          <w:sz w:val="28"/>
          <w:szCs w:val="28"/>
        </w:rPr>
        <w:t>Залевська</w:t>
      </w:r>
      <w:proofErr w:type="spellEnd"/>
      <w:r w:rsidRPr="00A32D40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Олена Костянтинівна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after="0"/>
        <w:ind w:left="4139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after="0"/>
        <w:ind w:left="413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32D40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Науковий керівник 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after="0"/>
        <w:ind w:left="4139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after="0"/>
        <w:ind w:left="4139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b/>
          <w:kern w:val="28"/>
          <w:sz w:val="28"/>
          <w:szCs w:val="28"/>
        </w:rPr>
        <w:t>Федорко Наталя Леонідівна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after="0"/>
        <w:ind w:left="4139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b/>
          <w:kern w:val="28"/>
          <w:sz w:val="28"/>
          <w:szCs w:val="28"/>
        </w:rPr>
        <w:t>Рецензен</w: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т: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spacing w:after="0"/>
        <w:ind w:left="4139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proofErr w:type="spellStart"/>
      <w:r w:rsidRPr="00A32D40">
        <w:rPr>
          <w:rFonts w:ascii="Times New Roman" w:eastAsia="Calibri" w:hAnsi="Times New Roman" w:cs="Times New Roman"/>
          <w:b/>
          <w:kern w:val="28"/>
          <w:sz w:val="28"/>
          <w:szCs w:val="28"/>
        </w:rPr>
        <w:t>Мірось</w:t>
      </w:r>
      <w:proofErr w:type="spellEnd"/>
      <w:r w:rsidRPr="00A32D40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Світлана Леонідівна</w:t>
      </w:r>
    </w:p>
    <w:p w:rsidR="00A32D40" w:rsidRPr="00A32D40" w:rsidRDefault="00A32D40" w:rsidP="00A32D4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Рекомендовано до захисту:</w: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ab/>
        <w:t>Захищено на засіданні ЕК № 1</w:t>
      </w:r>
    </w:p>
    <w:p w:rsidR="00A32D40" w:rsidRPr="00A32D40" w:rsidRDefault="00A32D40" w:rsidP="00A32D4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Протокол засідання кафедри</w: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ab/>
        <w:t>Протокол №_____від «___» _______р.</w:t>
      </w:r>
    </w:p>
    <w:p w:rsidR="00A32D40" w:rsidRPr="00A32D40" w:rsidRDefault="00A32D40" w:rsidP="00A32D4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№_____від «___» _______р.</w: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ab/>
        <w:t>Оцінка _____/ ________/__________</w:t>
      </w:r>
    </w:p>
    <w:p w:rsidR="00A32D40" w:rsidRPr="00A32D40" w:rsidRDefault="00A32D40" w:rsidP="00A32D4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             </w: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(за національною шкалою, шкалою </w:t>
      </w:r>
      <w:proofErr w:type="spellStart"/>
      <w:r w:rsidRPr="00A32D40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ЕСТS,бал</w:t>
      </w:r>
      <w:proofErr w:type="spellEnd"/>
      <w:r w:rsidRPr="00A32D40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)</w:t>
      </w:r>
    </w:p>
    <w:p w:rsidR="00A32D40" w:rsidRPr="00A32D40" w:rsidRDefault="00A32D40" w:rsidP="00A32D40">
      <w:pPr>
        <w:widowControl w:val="0"/>
        <w:tabs>
          <w:tab w:val="left" w:pos="4678"/>
        </w:tabs>
        <w:autoSpaceDE w:val="0"/>
        <w:autoSpaceDN w:val="0"/>
        <w:adjustRightInd w:val="0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Завідувач  кафедри</w: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ab/>
        <w:t>Голова ЕК №1</w:t>
      </w:r>
    </w:p>
    <w:p w:rsidR="00A32D40" w:rsidRPr="00A32D40" w:rsidRDefault="00A32D40" w:rsidP="00A32D40">
      <w:pPr>
        <w:widowControl w:val="0"/>
        <w:tabs>
          <w:tab w:val="left" w:pos="4678"/>
        </w:tabs>
        <w:autoSpaceDE w:val="0"/>
        <w:autoSpaceDN w:val="0"/>
        <w:adjustRightInd w:val="0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_______            Петров С. А.</w: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_______              </w:t>
      </w:r>
      <w:proofErr w:type="spellStart"/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Філіпова</w:t>
      </w:r>
      <w:proofErr w:type="spellEnd"/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Т. О.</w:t>
      </w:r>
    </w:p>
    <w:p w:rsidR="00A32D40" w:rsidRPr="00A32D40" w:rsidRDefault="00A32D40" w:rsidP="00A32D40">
      <w:pPr>
        <w:widowControl w:val="0"/>
        <w:autoSpaceDE w:val="0"/>
        <w:autoSpaceDN w:val="0"/>
        <w:adjustRightInd w:val="0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     (підпис)                        </w:t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A32D40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  <w:t xml:space="preserve">                              (підпис)                        </w:t>
      </w:r>
    </w:p>
    <w:p w:rsidR="00A32D40" w:rsidRPr="00A32D40" w:rsidRDefault="00A32D40" w:rsidP="00A32D40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28"/>
          <w:sz w:val="28"/>
          <w:szCs w:val="28"/>
        </w:rPr>
        <w:t>Одеса – 2018</w:t>
      </w:r>
    </w:p>
    <w:p w:rsidR="00A32D40" w:rsidRPr="00A32D40" w:rsidRDefault="00A32D40" w:rsidP="00A32D40">
      <w:pPr>
        <w:suppressLineNumbers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32D40">
        <w:rPr>
          <w:rFonts w:ascii="Times New Roman" w:eastAsia="Calibri" w:hAnsi="Times New Roman" w:cs="Times New Roman"/>
          <w:b/>
          <w:sz w:val="28"/>
          <w:szCs w:val="28"/>
        </w:rPr>
        <w:br w:type="column"/>
        <w:t>АНОТАЦІЯ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Проведено дослідження на визначення активності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в печінці та дванадцятипалій кишці інтактних щурів різного віку та після додавання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vitro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рибофлавіну, ФАД, ФМН,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люміхрому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окремо, та в вигляді комплексу рибофлавіну, ФАД, ФМН,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люміхрома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(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вітаболону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).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ahoma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Виявлено, що а</w:t>
      </w: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ктивність АХЕ в печінці інтактних тварин була найвищою у молодих, а найнижчою у старих щурів. В тканинах дванадцятипалої кишки щурів активність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фермента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була найвищою в статевозрілих щурів, а найменша – в старих. Підвищення активності АХЕ в тканинах дванадцятипалої кишки та печінки при додаванні </w:t>
      </w:r>
      <w:r w:rsidRPr="00A32D40">
        <w:rPr>
          <w:rFonts w:ascii="Times New Roman" w:eastAsia="Calibri" w:hAnsi="Times New Roman" w:cs="Tahoma"/>
          <w:kern w:val="3"/>
          <w:sz w:val="28"/>
          <w:szCs w:val="28"/>
          <w:lang w:val="en-US"/>
        </w:rPr>
        <w:t>in</w:t>
      </w: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ahoma"/>
          <w:kern w:val="3"/>
          <w:sz w:val="28"/>
          <w:szCs w:val="28"/>
          <w:lang w:val="en-US"/>
        </w:rPr>
        <w:t>vitro</w:t>
      </w: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рибофлавіну та його метаболітів спостерігалось у всіх варіантах.</w:t>
      </w:r>
    </w:p>
    <w:p w:rsidR="00A32D40" w:rsidRPr="00A32D40" w:rsidRDefault="00A32D40" w:rsidP="00A32D40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Роботу викладено на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53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сторінках, вона містить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20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рисунків. Наведено посилання на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53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джерел літератури (2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7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кирилицею та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26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латиницею).</w:t>
      </w:r>
    </w:p>
    <w:p w:rsidR="00A32D40" w:rsidRPr="00A32D40" w:rsidRDefault="00A32D40" w:rsidP="00A32D40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32D40" w:rsidRPr="00A32D40" w:rsidRDefault="00A32D40" w:rsidP="00A32D40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Calibri" w:hAnsi="Times New Roman" w:cs="Tahoma"/>
          <w:i/>
          <w:kern w:val="3"/>
          <w:sz w:val="28"/>
          <w:szCs w:val="28"/>
        </w:rPr>
      </w:pP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Ключові слова:</w:t>
      </w:r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ацетилхолінестераза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, рибофлавін,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флавінмононуклеотид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флавінаденіндинуклетид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люміхром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вітаболон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.</w:t>
      </w:r>
    </w:p>
    <w:p w:rsidR="00A32D40" w:rsidRPr="00A32D40" w:rsidRDefault="00A32D40" w:rsidP="00A32D40">
      <w:pPr>
        <w:suppressAutoHyphens/>
        <w:autoSpaceDN w:val="0"/>
        <w:spacing w:after="0" w:line="360" w:lineRule="auto"/>
        <w:ind w:firstLine="709"/>
        <w:jc w:val="both"/>
        <w:rPr>
          <w:rFonts w:ascii="Times New Roman" w:eastAsia="Calibri" w:hAnsi="Times New Roman" w:cs="Tahoma"/>
          <w:kern w:val="3"/>
          <w:sz w:val="28"/>
          <w:szCs w:val="28"/>
          <w:lang w:val="ru-RU"/>
        </w:rPr>
      </w:pP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ahoma"/>
          <w:kern w:val="3"/>
          <w:sz w:val="28"/>
          <w:szCs w:val="28"/>
        </w:rPr>
      </w:pP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A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study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was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conducted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to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determine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activity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acetylcholinesterase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liver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and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duodenum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intact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rats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different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ages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after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addition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vitro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riboflavin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after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addition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vitro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FAD, FMN,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lumiichrome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alone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and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a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complex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riboflavin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, FAD, FMN,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lumiichrome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(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vitabolona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).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ahoma"/>
          <w:kern w:val="3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was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found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that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AChE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activity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liver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intact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animals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was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highest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young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and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lowest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old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rats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tissues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duodenum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was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highest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sexually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mature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rats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and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smallest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old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ones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.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Increased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activity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AChE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tissues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of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the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duodenum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and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liver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when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vitro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added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riboflavin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and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its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metabolites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were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observed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all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variants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.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ahoma"/>
          <w:kern w:val="3"/>
          <w:sz w:val="28"/>
          <w:szCs w:val="28"/>
        </w:rPr>
      </w:pPr>
      <w:r w:rsidRPr="00A32D40">
        <w:rPr>
          <w:rFonts w:ascii="Times New Roman" w:eastAsia="Calibri" w:hAnsi="Times New Roman" w:cs="Tahoma"/>
          <w:color w:val="000000"/>
          <w:kern w:val="3"/>
          <w:sz w:val="28"/>
          <w:szCs w:val="28"/>
          <w:lang w:val="en-US"/>
        </w:rPr>
        <w:t xml:space="preserve">Diploma thesis is expounded on 53 pages, it contains 20 figures. It provides links to 53 references (27 </w:t>
      </w:r>
      <w:proofErr w:type="spellStart"/>
      <w:proofErr w:type="gramStart"/>
      <w:r w:rsidRPr="00A32D40">
        <w:rPr>
          <w:rFonts w:ascii="Times New Roman" w:eastAsia="Calibri" w:hAnsi="Times New Roman" w:cs="Tahoma"/>
          <w:color w:val="000000"/>
          <w:kern w:val="3"/>
          <w:sz w:val="28"/>
          <w:szCs w:val="28"/>
          <w:lang w:val="en-US"/>
        </w:rPr>
        <w:t>cyrillic</w:t>
      </w:r>
      <w:proofErr w:type="spellEnd"/>
      <w:proofErr w:type="gramEnd"/>
      <w:r w:rsidRPr="00A32D40">
        <w:rPr>
          <w:rFonts w:ascii="Times New Roman" w:eastAsia="Calibri" w:hAnsi="Times New Roman" w:cs="Tahoma"/>
          <w:color w:val="000000"/>
          <w:kern w:val="3"/>
          <w:sz w:val="28"/>
          <w:szCs w:val="28"/>
          <w:lang w:val="en-US"/>
        </w:rPr>
        <w:t xml:space="preserve"> and 26 </w:t>
      </w:r>
      <w:proofErr w:type="spellStart"/>
      <w:r w:rsidRPr="00A32D40">
        <w:rPr>
          <w:rFonts w:ascii="Times New Roman" w:eastAsia="Calibri" w:hAnsi="Times New Roman" w:cs="Tahoma"/>
          <w:color w:val="000000"/>
          <w:kern w:val="3"/>
          <w:sz w:val="28"/>
          <w:szCs w:val="28"/>
          <w:lang w:val="en-US"/>
        </w:rPr>
        <w:t>latinic</w:t>
      </w:r>
      <w:proofErr w:type="spellEnd"/>
      <w:r w:rsidRPr="00A32D40">
        <w:rPr>
          <w:rFonts w:ascii="Times New Roman" w:eastAsia="Calibri" w:hAnsi="Times New Roman" w:cs="Tahoma"/>
          <w:color w:val="000000"/>
          <w:kern w:val="3"/>
          <w:sz w:val="28"/>
          <w:szCs w:val="28"/>
          <w:lang w:val="en-US"/>
        </w:rPr>
        <w:t>).</w:t>
      </w:r>
    </w:p>
    <w:p w:rsidR="00A32D40" w:rsidRPr="00A32D40" w:rsidRDefault="00A32D40" w:rsidP="00A32D40">
      <w:pPr>
        <w:suppressAutoHyphens/>
        <w:autoSpaceDN w:val="0"/>
        <w:spacing w:after="0" w:line="360" w:lineRule="auto"/>
        <w:jc w:val="both"/>
        <w:rPr>
          <w:rFonts w:ascii="Times New Roman" w:eastAsia="Calibri" w:hAnsi="Times New Roman" w:cs="Tahoma"/>
          <w:kern w:val="3"/>
          <w:sz w:val="28"/>
          <w:szCs w:val="28"/>
          <w:lang w:val="en-US"/>
        </w:rPr>
      </w:pPr>
    </w:p>
    <w:p w:rsidR="00A32D40" w:rsidRPr="00A32D40" w:rsidRDefault="00A32D40" w:rsidP="00A32D40">
      <w:pPr>
        <w:suppressAutoHyphens/>
        <w:autoSpaceDN w:val="0"/>
        <w:spacing w:after="0" w:line="360" w:lineRule="auto"/>
        <w:jc w:val="both"/>
        <w:rPr>
          <w:rFonts w:ascii="Times New Roman" w:eastAsia="Calibri" w:hAnsi="Times New Roman" w:cs="Tahoma"/>
          <w:i/>
          <w:kern w:val="3"/>
          <w:sz w:val="28"/>
          <w:szCs w:val="28"/>
        </w:rPr>
      </w:pP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Key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words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: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acetylcholinesterase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riboflavin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flavin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mononucleotide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flavinandin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dinucleotide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lumiichrome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, </w:t>
      </w:r>
      <w:proofErr w:type="spellStart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vitabolon</w:t>
      </w:r>
      <w:proofErr w:type="spellEnd"/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>.</w:t>
      </w:r>
    </w:p>
    <w:p w:rsidR="00A32D40" w:rsidRPr="00A32D40" w:rsidRDefault="00A32D40" w:rsidP="00A32D40">
      <w:pPr>
        <w:suppressLineNumbers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b/>
          <w:sz w:val="28"/>
          <w:szCs w:val="28"/>
        </w:rPr>
        <w:br w:type="column"/>
      </w:r>
      <w:r w:rsidRPr="00A32D40">
        <w:rPr>
          <w:rFonts w:ascii="Times New Roman" w:eastAsia="Calibri" w:hAnsi="Times New Roman" w:cs="Times New Roman"/>
          <w:b/>
          <w:sz w:val="28"/>
          <w:szCs w:val="28"/>
          <w:lang w:val="ru-RU"/>
        </w:rPr>
        <w:t>ЗМІ</w:t>
      </w:r>
      <w:proofErr w:type="gramStart"/>
      <w:r w:rsidRPr="00A32D40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СТ</w:t>
      </w:r>
      <w:proofErr w:type="gramEnd"/>
    </w:p>
    <w:p w:rsidR="00A32D40" w:rsidRPr="00A32D40" w:rsidRDefault="00A32D40" w:rsidP="00A32D40">
      <w:pPr>
        <w:tabs>
          <w:tab w:val="right" w:leader="dot" w:pos="878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ВСТУП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ab/>
        <w:t>4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1. ОГЛЯД ЛІТЕРАТУРИ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ab/>
        <w:t>6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1.1. 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Структура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холінестераз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ab/>
        <w:t>8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1.2. 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Біохімічні функції холін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естераз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>…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ab/>
        <w:t>………………………………11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1.3. 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Особливості активності холін естерази в різних відділах 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травного тракту</w:t>
      </w:r>
      <w:r w:rsidRPr="00A32D40">
        <w:rPr>
          <w:rFonts w:ascii="Times New Roman" w:eastAsia="Calibri" w:hAnsi="Times New Roman" w:cs="Times New Roman"/>
          <w:sz w:val="28"/>
          <w:szCs w:val="28"/>
        </w:rPr>
        <w:tab/>
        <w:t>………………………………………………………...16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 w:firstLine="33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1.3.1. Ацетилхолінові рецептори……………………………….17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1.4. Будова і біохімічна роль рибофлавіну та його метаболітів</w:t>
      </w:r>
      <w:r w:rsidRPr="00A32D40">
        <w:rPr>
          <w:rFonts w:ascii="Times New Roman" w:eastAsia="Calibri" w:hAnsi="Times New Roman" w:cs="Times New Roman"/>
          <w:sz w:val="28"/>
          <w:szCs w:val="28"/>
        </w:rPr>
        <w:tab/>
        <w:t>…….16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 w:firstLine="33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1.4.1. Особливості травлення і транспорту рибофлавіну в 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 w:firstLine="33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травному тракті ссавців……………………..........………...20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 w:firstLine="33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1.4.2. Катаболізм похідних рибофлавіну в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оганізмі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ссавців….22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2. МІСЦЕ, МАТЕРІАЛИ І МЕТОДИ ДОСЛІДЖЕНЬ </w:t>
      </w:r>
      <w:r w:rsidRPr="00A32D40">
        <w:rPr>
          <w:rFonts w:ascii="Times New Roman" w:eastAsia="Calibri" w:hAnsi="Times New Roman" w:cs="Times New Roman"/>
          <w:sz w:val="28"/>
          <w:szCs w:val="28"/>
        </w:rPr>
        <w:tab/>
        <w:t>…………………….22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2.1.  Місце і матеріали дослідження</w:t>
      </w:r>
      <w:r w:rsidRPr="00A32D40">
        <w:rPr>
          <w:rFonts w:ascii="Times New Roman" w:eastAsia="Calibri" w:hAnsi="Times New Roman" w:cs="Times New Roman"/>
          <w:sz w:val="28"/>
          <w:szCs w:val="28"/>
        </w:rPr>
        <w:tab/>
        <w:t>…………………………………...27</w:t>
      </w:r>
    </w:p>
    <w:p w:rsidR="00A32D40" w:rsidRPr="00A32D40" w:rsidRDefault="00A32D40" w:rsidP="00A32D40">
      <w:pPr>
        <w:tabs>
          <w:tab w:val="right" w:leader="dot" w:pos="8789"/>
        </w:tabs>
        <w:spacing w:after="0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2.2. Методи дослідження……………………………………………....29</w:t>
      </w:r>
    </w:p>
    <w:p w:rsidR="00A32D40" w:rsidRPr="00A32D40" w:rsidRDefault="00A32D40" w:rsidP="00A32D40">
      <w:pPr>
        <w:tabs>
          <w:tab w:val="left" w:pos="1560"/>
          <w:tab w:val="right" w:leader="dot" w:pos="8789"/>
        </w:tabs>
        <w:spacing w:after="0"/>
        <w:ind w:left="1134" w:hanging="23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2.2.1. Побудова калібрувального графіку……………………....43</w:t>
      </w:r>
    </w:p>
    <w:p w:rsidR="00A32D40" w:rsidRPr="00A32D40" w:rsidRDefault="00A32D40" w:rsidP="00A32D40">
      <w:pPr>
        <w:tabs>
          <w:tab w:val="left" w:pos="1560"/>
          <w:tab w:val="right" w:leader="dot" w:pos="8789"/>
        </w:tabs>
        <w:spacing w:after="0"/>
        <w:ind w:left="1134" w:hanging="23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2.2.2. Розрахунок активності АХЕ за зміною р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H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……………….43 </w:t>
      </w:r>
    </w:p>
    <w:p w:rsidR="00A32D40" w:rsidRPr="00A32D40" w:rsidRDefault="00A32D40" w:rsidP="00A32D40">
      <w:pPr>
        <w:tabs>
          <w:tab w:val="left" w:pos="1560"/>
          <w:tab w:val="right" w:leader="dot" w:pos="8789"/>
        </w:tabs>
        <w:spacing w:after="0"/>
        <w:ind w:left="1134" w:hanging="234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2.2.3.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Статистична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обробка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………………………....46</w:t>
      </w:r>
    </w:p>
    <w:p w:rsidR="00A32D40" w:rsidRPr="00A32D40" w:rsidRDefault="00A32D40" w:rsidP="00A32D40">
      <w:pPr>
        <w:tabs>
          <w:tab w:val="right" w:leader="dot" w:pos="8789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 РЕЗУЛЬТАТИ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ІДЖЕНЬ ТА ЇХ ОБГОВОРЕННЯ………………...54</w:t>
      </w:r>
    </w:p>
    <w:p w:rsidR="00A32D40" w:rsidRPr="00A32D40" w:rsidRDefault="00A32D40" w:rsidP="00A32D40">
      <w:pPr>
        <w:spacing w:after="0" w:line="240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3.1. Активність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в тканині печінки щурів </w:t>
      </w:r>
    </w:p>
    <w:p w:rsidR="00A32D40" w:rsidRPr="00A32D40" w:rsidRDefault="00A32D40" w:rsidP="00A32D40">
      <w:pPr>
        <w:spacing w:after="0" w:line="240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різного віку ………………………………………………………….......58</w:t>
      </w:r>
    </w:p>
    <w:p w:rsidR="00A32D40" w:rsidRPr="00A32D40" w:rsidRDefault="00A32D40" w:rsidP="00A32D40">
      <w:pPr>
        <w:tabs>
          <w:tab w:val="left" w:pos="1418"/>
        </w:tabs>
        <w:spacing w:after="0" w:line="240" w:lineRule="auto"/>
        <w:ind w:left="9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3.1.1.  Активність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в печінці молодих</w:t>
      </w:r>
    </w:p>
    <w:p w:rsidR="00A32D40" w:rsidRPr="00A32D40" w:rsidRDefault="00A32D40" w:rsidP="00A32D40">
      <w:pPr>
        <w:tabs>
          <w:tab w:val="left" w:pos="1418"/>
        </w:tabs>
        <w:spacing w:after="0" w:line="240" w:lineRule="auto"/>
        <w:ind w:left="9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щурів при додаванні рибофлавіну, його метаболітів та </w:t>
      </w:r>
    </w:p>
    <w:p w:rsidR="00A32D40" w:rsidRPr="00A32D40" w:rsidRDefault="00A32D40" w:rsidP="00A32D40">
      <w:pPr>
        <w:tabs>
          <w:tab w:val="left" w:pos="1418"/>
        </w:tabs>
        <w:spacing w:after="0" w:line="240" w:lineRule="auto"/>
        <w:ind w:left="90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вітболону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vitro</w:t>
      </w:r>
      <w:r w:rsidRPr="00A32D40">
        <w:rPr>
          <w:rFonts w:ascii="Times New Roman" w:eastAsia="Calibri" w:hAnsi="Times New Roman" w:cs="Times New Roman"/>
          <w:sz w:val="28"/>
          <w:szCs w:val="28"/>
        </w:rPr>
        <w:t>……………………………………….......</w:t>
      </w:r>
      <w:r w:rsidRPr="00A32D40">
        <w:rPr>
          <w:rFonts w:ascii="Times New Roman" w:eastAsia="Calibri" w:hAnsi="Times New Roman" w:cs="Times New Roman"/>
          <w:b/>
          <w:sz w:val="28"/>
          <w:szCs w:val="28"/>
        </w:rPr>
        <w:t>60</w:t>
      </w:r>
    </w:p>
    <w:p w:rsidR="00A32D40" w:rsidRPr="00A32D40" w:rsidRDefault="00A32D40" w:rsidP="00A32D40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3.1.2. Активність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в печінці статевозрілих </w:t>
      </w:r>
    </w:p>
    <w:p w:rsidR="00A32D40" w:rsidRPr="00A32D40" w:rsidRDefault="00A32D40" w:rsidP="00A32D40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 щурів при додаванні рибофлавіну, його метаболітів </w:t>
      </w:r>
    </w:p>
    <w:p w:rsidR="00A32D40" w:rsidRPr="00A32D40" w:rsidRDefault="00A32D40" w:rsidP="00A32D40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 та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вітаболону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vitro</w:t>
      </w:r>
      <w:r w:rsidRPr="00A32D40">
        <w:rPr>
          <w:rFonts w:ascii="Times New Roman" w:eastAsia="Calibri" w:hAnsi="Times New Roman" w:cs="Times New Roman"/>
          <w:sz w:val="28"/>
          <w:szCs w:val="28"/>
        </w:rPr>
        <w:t>……………………..…………………55</w:t>
      </w:r>
    </w:p>
    <w:p w:rsidR="00A32D40" w:rsidRPr="00A32D40" w:rsidRDefault="00A32D40" w:rsidP="00A32D40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3.1.3. Активність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в печінці старих щурів </w:t>
      </w:r>
    </w:p>
    <w:p w:rsidR="00A32D40" w:rsidRPr="00A32D40" w:rsidRDefault="00A32D40" w:rsidP="00A32D40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 при додаванні рибофлавіну, його метаболітів та </w:t>
      </w:r>
    </w:p>
    <w:p w:rsidR="00A32D40" w:rsidRPr="00A32D40" w:rsidRDefault="00A32D40" w:rsidP="00A32D40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вітаболону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vitro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………………………………………….58</w:t>
      </w:r>
    </w:p>
    <w:p w:rsidR="00A32D40" w:rsidRPr="00A32D40" w:rsidRDefault="00A32D40" w:rsidP="00A32D40">
      <w:pPr>
        <w:tabs>
          <w:tab w:val="left" w:pos="1418"/>
        </w:tabs>
        <w:spacing w:after="0" w:line="240" w:lineRule="auto"/>
        <w:ind w:left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3.2.  Активність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в тканині дванадцятипалої </w:t>
      </w:r>
    </w:p>
    <w:p w:rsidR="00A32D40" w:rsidRPr="00A32D40" w:rsidRDefault="00A32D40" w:rsidP="00A32D40">
      <w:pPr>
        <w:tabs>
          <w:tab w:val="left" w:pos="1418"/>
        </w:tabs>
        <w:spacing w:after="0" w:line="240" w:lineRule="auto"/>
        <w:ind w:left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кишки щурів різного віку……………...…………………………….56</w:t>
      </w:r>
    </w:p>
    <w:p w:rsidR="00A32D40" w:rsidRPr="00A32D40" w:rsidRDefault="00A32D40" w:rsidP="00A32D40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3.2.1 Активність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в дванадцятипалій </w:t>
      </w:r>
    </w:p>
    <w:p w:rsidR="00A32D40" w:rsidRPr="00A32D40" w:rsidRDefault="00A32D40" w:rsidP="00A32D40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кишці молодих щурів при додаванні рибофлавіну, </w:t>
      </w:r>
    </w:p>
    <w:p w:rsidR="00A32D40" w:rsidRPr="00A32D40" w:rsidRDefault="00A32D40" w:rsidP="00A32D40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його   метаболітів  та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вітаболону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vitro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……………….....57</w:t>
      </w:r>
    </w:p>
    <w:p w:rsidR="00A32D40" w:rsidRPr="00A32D40" w:rsidRDefault="00A32D40" w:rsidP="00A32D40">
      <w:pPr>
        <w:spacing w:after="0" w:line="240" w:lineRule="auto"/>
        <w:ind w:left="709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3.2.2 Активність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в дванадцятипалій </w:t>
      </w:r>
    </w:p>
    <w:p w:rsidR="00A32D40" w:rsidRPr="00A32D40" w:rsidRDefault="00A32D40" w:rsidP="00A32D40">
      <w:pPr>
        <w:spacing w:after="0" w:line="240" w:lineRule="auto"/>
        <w:ind w:left="709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кишці      статевозрілих щурів при додаванні</w:t>
      </w:r>
    </w:p>
    <w:p w:rsidR="00A32D40" w:rsidRPr="00A32D40" w:rsidRDefault="00A32D40" w:rsidP="00A32D40">
      <w:pPr>
        <w:spacing w:after="0" w:line="240" w:lineRule="auto"/>
        <w:ind w:left="709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рибофлавіну,    його метаболітів та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вітаболону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vitro</w:t>
      </w:r>
      <w:r w:rsidRPr="00A32D40">
        <w:rPr>
          <w:rFonts w:ascii="Times New Roman" w:eastAsia="Calibri" w:hAnsi="Times New Roman" w:cs="Times New Roman"/>
          <w:sz w:val="28"/>
          <w:szCs w:val="28"/>
        </w:rPr>
        <w:t>.…..58</w:t>
      </w:r>
    </w:p>
    <w:p w:rsidR="00A32D40" w:rsidRPr="00A32D40" w:rsidRDefault="00A32D40" w:rsidP="00A32D40">
      <w:pPr>
        <w:spacing w:after="0" w:line="240" w:lineRule="auto"/>
        <w:ind w:left="709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3.2.3 Активність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в дванадцятипалій </w:t>
      </w:r>
    </w:p>
    <w:p w:rsidR="00A32D40" w:rsidRPr="00A32D40" w:rsidRDefault="00A32D40" w:rsidP="00A32D40">
      <w:pPr>
        <w:spacing w:after="0" w:line="240" w:lineRule="auto"/>
        <w:ind w:left="709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 кишці старих щурів при додаванні рибофлавіну,</w:t>
      </w:r>
    </w:p>
    <w:p w:rsidR="00A32D40" w:rsidRPr="00A32D40" w:rsidRDefault="00A32D40" w:rsidP="00A32D40">
      <w:pPr>
        <w:spacing w:after="0" w:line="240" w:lineRule="auto"/>
        <w:ind w:left="709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                його метаболітів та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вітаболону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vitro</w:t>
      </w:r>
      <w:r w:rsidRPr="00A32D40">
        <w:rPr>
          <w:rFonts w:ascii="Times New Roman" w:eastAsia="Calibri" w:hAnsi="Times New Roman" w:cs="Times New Roman"/>
          <w:sz w:val="28"/>
          <w:szCs w:val="28"/>
        </w:rPr>
        <w:t>.………………..….58</w:t>
      </w:r>
    </w:p>
    <w:p w:rsidR="00A32D40" w:rsidRPr="00A32D40" w:rsidRDefault="00A32D40" w:rsidP="00A32D40">
      <w:pPr>
        <w:spacing w:after="0" w:line="240" w:lineRule="auto"/>
        <w:ind w:left="284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3.3. Активність АХЕ в печінці щурів при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додавані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рибофлавіну та</w:t>
      </w:r>
    </w:p>
    <w:p w:rsidR="00A32D40" w:rsidRPr="00A32D40" w:rsidRDefault="00A32D40" w:rsidP="00A32D40">
      <w:pPr>
        <w:spacing w:after="0" w:line="240" w:lineRule="auto"/>
        <w:ind w:left="284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його метаболітів в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геронтогенезі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>…………...………………………….…58</w:t>
      </w:r>
    </w:p>
    <w:p w:rsidR="00A32D40" w:rsidRPr="00A32D40" w:rsidRDefault="00A32D40" w:rsidP="00A32D40">
      <w:pPr>
        <w:spacing w:after="0" w:line="240" w:lineRule="auto"/>
        <w:ind w:left="284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3.4. Активність АХЕ в дванадцятипалій кишці щурів при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додавані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рибофлавіну та його метаболітів в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</w:rPr>
        <w:t>геронтогенезі</w:t>
      </w:r>
      <w:proofErr w:type="spellEnd"/>
    </w:p>
    <w:p w:rsidR="00A32D40" w:rsidRPr="00A32D40" w:rsidRDefault="00A32D40" w:rsidP="00A32D40">
      <w:pPr>
        <w:tabs>
          <w:tab w:val="right" w:leader="dot" w:pos="8789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УЗАГАЛЬНЕННЯ</w:t>
      </w:r>
      <w:r w:rsidRPr="00A32D40">
        <w:rPr>
          <w:rFonts w:ascii="Times New Roman" w:eastAsia="Calibri" w:hAnsi="Times New Roman" w:cs="Times New Roman"/>
          <w:sz w:val="28"/>
          <w:szCs w:val="28"/>
        </w:rPr>
        <w:tab/>
        <w:t>……………………………………………………………..30</w:t>
      </w:r>
    </w:p>
    <w:p w:rsidR="00A32D40" w:rsidRPr="00A32D40" w:rsidRDefault="00A32D40" w:rsidP="00A32D40">
      <w:pPr>
        <w:tabs>
          <w:tab w:val="right" w:leader="dot" w:pos="8789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ВИСНОВКИ</w:t>
      </w:r>
      <w:r w:rsidRPr="00A32D40">
        <w:rPr>
          <w:rFonts w:ascii="Times New Roman" w:eastAsia="Calibri" w:hAnsi="Times New Roman" w:cs="Times New Roman"/>
          <w:sz w:val="28"/>
          <w:szCs w:val="28"/>
        </w:rPr>
        <w:tab/>
        <w:t>………………………..…………………………………………..32</w:t>
      </w:r>
    </w:p>
    <w:p w:rsidR="00A32D40" w:rsidRPr="00A32D40" w:rsidRDefault="00A32D40" w:rsidP="00A32D40">
      <w:pPr>
        <w:tabs>
          <w:tab w:val="right" w:leader="dot" w:pos="8789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t>СПИСОК ЛІТЕРАТУРИ</w:t>
      </w:r>
      <w:r w:rsidRPr="00A32D40">
        <w:rPr>
          <w:rFonts w:ascii="Times New Roman" w:eastAsia="Calibri" w:hAnsi="Times New Roman" w:cs="Times New Roman"/>
          <w:sz w:val="28"/>
          <w:szCs w:val="28"/>
        </w:rPr>
        <w:tab/>
        <w:t>……………………………………………………....33</w:t>
      </w: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2D40" w:rsidRPr="00A32D40" w:rsidRDefault="00A32D40" w:rsidP="00A32D40">
      <w:pPr>
        <w:suppressAutoHyphens/>
        <w:autoSpaceDN w:val="0"/>
        <w:spacing w:line="360" w:lineRule="auto"/>
        <w:ind w:left="720"/>
        <w:jc w:val="center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b/>
          <w:kern w:val="3"/>
          <w:sz w:val="28"/>
          <w:szCs w:val="28"/>
        </w:rPr>
        <w:t>Вступ</w:t>
      </w:r>
    </w:p>
    <w:p w:rsidR="00A32D40" w:rsidRPr="00A32D40" w:rsidRDefault="00A32D40" w:rsidP="00A32D40">
      <w:pPr>
        <w:suppressAutoHyphens/>
        <w:autoSpaceDN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  <w:lang w:eastAsia="ru-RU"/>
        </w:rPr>
        <w:t>Фізіолого - біологічна система –  ацетилхолін-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  <w:lang w:eastAsia="ru-RU"/>
        </w:rPr>
        <w:t>ацетилхолінестераза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  <w:lang w:eastAsia="ru-RU"/>
        </w:rPr>
        <w:t xml:space="preserve">, регулює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  <w:lang w:eastAsia="ru-RU"/>
        </w:rPr>
        <w:t>багаточисл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  <w:lang w:val="ru-RU" w:eastAsia="ru-RU"/>
        </w:rPr>
        <w:t>e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  <w:lang w:eastAsia="ru-RU"/>
        </w:rPr>
        <w:t>нні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  <w:lang w:eastAsia="ru-RU"/>
        </w:rPr>
        <w:t xml:space="preserve"> функції організму і в першу чергу дихання, кровообіг, травлення, виділення, рух, пам'ять, імунологічний захист, передачу нервового імпульсу і в цілому внутрішньоклітинний метаболізм.</w:t>
      </w:r>
    </w:p>
    <w:p w:rsidR="00A32D40" w:rsidRPr="00A32D40" w:rsidRDefault="00A32D40" w:rsidP="00A32D40">
      <w:pPr>
        <w:suppressAutoHyphens/>
        <w:autoSpaceDN w:val="0"/>
        <w:spacing w:after="0" w:line="360" w:lineRule="auto"/>
        <w:ind w:right="170"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Вивчення особливостей формування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данної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системи в органах травної системи дає можливість визначити фізіологічні основи функціонування цієї системи , що в свою чергу дозволяє коректувати патологічні зміни при порушенні обміну речовин і при старінні організму [10].</w:t>
      </w:r>
    </w:p>
    <w:p w:rsidR="00A32D40" w:rsidRPr="00A32D40" w:rsidRDefault="00A32D40" w:rsidP="00A32D40">
      <w:pPr>
        <w:suppressAutoHyphens/>
        <w:autoSpaceDN w:val="0"/>
        <w:spacing w:after="0"/>
        <w:ind w:right="170"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Відомо, що вітаміни за участю своїх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коферментих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форм приймають участь в багатьох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життєвоздатних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шляхах метаболізму. В той же час в останні роки дослідники приділяють увагу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некоферментним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метаболітам вітамінів, які також приймають участь в метаболізм на певних строках онтогенезу, але таких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данних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практично не існує. </w:t>
      </w:r>
    </w:p>
    <w:p w:rsidR="00A32D40" w:rsidRPr="00A32D40" w:rsidRDefault="00A32D40" w:rsidP="00A32D40">
      <w:pPr>
        <w:suppressAutoHyphens/>
        <w:autoSpaceDN w:val="0"/>
        <w:spacing w:after="0"/>
        <w:ind w:right="170"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Професор Петров С. А. пропонував дослідити вплив вітамінів групи В сумісно з відповідними метаболітами в суміші на активність найважливіших ферментів метаболізму</w:t>
      </w:r>
      <w:r w:rsidRPr="00A32D40">
        <w:rPr>
          <w:rFonts w:ascii="Times New Roman" w:eastAsia="Calibri" w:hAnsi="Times New Roman" w:cs="Times New Roman"/>
          <w:kern w:val="3"/>
          <w:sz w:val="28"/>
          <w:szCs w:val="28"/>
          <w:lang w:val="ru-RU"/>
        </w:rPr>
        <w:t xml:space="preserve"> [19]</w:t>
      </w: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. </w:t>
      </w:r>
    </w:p>
    <w:p w:rsidR="00A32D40" w:rsidRPr="00A32D40" w:rsidRDefault="00A32D40" w:rsidP="00A32D40">
      <w:pPr>
        <w:suppressAutoHyphens/>
        <w:autoSpaceDN w:val="0"/>
        <w:spacing w:after="0"/>
        <w:ind w:right="170"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У зв'язку з вищевикладеним метою наших досліджень було визначення впливу рибофлавіну і його метаболітів на активність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в печінці та дванадцятипалій кишці щурів різного віку.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Для досягнення поставленої мети вирішували наступні завдання: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1. Визначити активність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в печінці та дванадцятипалій кишці інтактних щурів різного віку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2. Визначити активність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в печінці та дванадцятипалій кишці щурів різного віку після додавання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vitro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рибофлавіну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3. Визначити активність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в печінці та дванадцятипалій кишці щурів різного віку після додавання </w:t>
      </w:r>
      <w:proofErr w:type="spellStart"/>
      <w:r w:rsidRPr="00A32D40">
        <w:rPr>
          <w:rFonts w:ascii="Times New Roman" w:eastAsia="Calibri" w:hAnsi="Times New Roman" w:cs="Times New Roman"/>
          <w:i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imes New Roman"/>
          <w:i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/>
          <w:kern w:val="3"/>
          <w:sz w:val="28"/>
          <w:szCs w:val="28"/>
        </w:rPr>
        <w:t>vitro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ФАД, ФМН,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люміхрома</w:t>
      </w:r>
      <w:proofErr w:type="spellEnd"/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imes New Roman"/>
          <w:b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4. Визначити активність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в печінці та дванадцятипалій кишці щурів різного віку після додавання </w:t>
      </w:r>
      <w:proofErr w:type="spellStart"/>
      <w:r w:rsidRPr="00A32D40">
        <w:rPr>
          <w:rFonts w:ascii="Times New Roman" w:eastAsia="Calibri" w:hAnsi="Times New Roman" w:cs="Times New Roman"/>
          <w:i/>
          <w:kern w:val="3"/>
          <w:sz w:val="28"/>
          <w:szCs w:val="28"/>
        </w:rPr>
        <w:t>in</w:t>
      </w:r>
      <w:proofErr w:type="spellEnd"/>
      <w:r w:rsidRPr="00A32D40">
        <w:rPr>
          <w:rFonts w:ascii="Times New Roman" w:eastAsia="Calibri" w:hAnsi="Times New Roman" w:cs="Times New Roman"/>
          <w:i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/>
          <w:kern w:val="3"/>
          <w:sz w:val="28"/>
          <w:szCs w:val="28"/>
        </w:rPr>
        <w:t>vitro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рибофлавіну, ФАД, ФМН,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люміхрома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(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вітаболону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)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b/>
          <w:kern w:val="3"/>
          <w:sz w:val="28"/>
          <w:szCs w:val="28"/>
        </w:rPr>
        <w:t>Об'єкт дослідження</w:t>
      </w: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─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холінергічна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нейромедіаторна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ситема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щурів в травному тракті</w:t>
      </w:r>
    </w:p>
    <w:p w:rsidR="00A32D40" w:rsidRPr="00A32D40" w:rsidRDefault="00A32D40" w:rsidP="00A32D40">
      <w:pPr>
        <w:suppressAutoHyphens/>
        <w:autoSpaceDN w:val="0"/>
        <w:spacing w:after="0"/>
        <w:ind w:firstLine="709"/>
        <w:rPr>
          <w:rFonts w:ascii="Times New Roman" w:eastAsia="Calibri" w:hAnsi="Times New Roman" w:cs="Times New Roman"/>
          <w:kern w:val="3"/>
          <w:sz w:val="28"/>
          <w:szCs w:val="28"/>
        </w:rPr>
      </w:pPr>
      <w:r w:rsidRPr="00A32D40">
        <w:rPr>
          <w:rFonts w:ascii="Times New Roman" w:eastAsia="Calibri" w:hAnsi="Times New Roman" w:cs="Times New Roman"/>
          <w:b/>
          <w:kern w:val="3"/>
          <w:sz w:val="28"/>
          <w:szCs w:val="28"/>
        </w:rPr>
        <w:t>Предмет дослідження</w:t>
      </w: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─ активність </w:t>
      </w:r>
      <w:proofErr w:type="spellStart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ацетилхолінестерази</w:t>
      </w:r>
      <w:proofErr w:type="spellEnd"/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 xml:space="preserve"> печінки та дванадцятипалої кишки щурів</w:t>
      </w: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t>.</w:t>
      </w:r>
      <w:r w:rsidRPr="00A32D40">
        <w:rPr>
          <w:rFonts w:ascii="Times New Roman" w:eastAsia="Calibri" w:hAnsi="Times New Roman" w:cs="Times New Roman"/>
          <w:kern w:val="3"/>
          <w:sz w:val="28"/>
          <w:szCs w:val="28"/>
        </w:rPr>
        <w:br/>
      </w:r>
    </w:p>
    <w:p w:rsidR="00A32D40" w:rsidRPr="00A32D40" w:rsidRDefault="00A32D40" w:rsidP="00A32D40">
      <w:pPr>
        <w:suppressLineNumbers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32D40" w:rsidRPr="00A32D40" w:rsidRDefault="00A32D40" w:rsidP="00A32D40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br w:type="column"/>
      </w:r>
      <w:r w:rsidRPr="00A32D40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</w:p>
    <w:p w:rsidR="00A32D40" w:rsidRPr="00A32D40" w:rsidRDefault="00A32D40" w:rsidP="00A32D40">
      <w:pPr>
        <w:numPr>
          <w:ilvl w:val="0"/>
          <w:numId w:val="1"/>
        </w:numPr>
        <w:suppressAutoHyphens/>
        <w:autoSpaceDN w:val="0"/>
        <w:spacing w:line="360" w:lineRule="auto"/>
        <w:jc w:val="both"/>
        <w:rPr>
          <w:rFonts w:ascii="Times New Roman" w:eastAsia="Calibri" w:hAnsi="Times New Roman" w:cs="Tahoma"/>
          <w:kern w:val="3"/>
          <w:sz w:val="28"/>
          <w:szCs w:val="28"/>
        </w:rPr>
      </w:pP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Активність АХЕ в печінці інтактних тварин була найвищою у молодих, а найнижчою у старих щурів.</w:t>
      </w:r>
    </w:p>
    <w:p w:rsidR="00A32D40" w:rsidRPr="00A32D40" w:rsidRDefault="00A32D40" w:rsidP="00A32D40">
      <w:pPr>
        <w:numPr>
          <w:ilvl w:val="0"/>
          <w:numId w:val="1"/>
        </w:numPr>
        <w:suppressAutoHyphens/>
        <w:autoSpaceDN w:val="0"/>
        <w:spacing w:line="360" w:lineRule="auto"/>
        <w:jc w:val="both"/>
        <w:rPr>
          <w:rFonts w:ascii="Times New Roman" w:eastAsia="Calibri" w:hAnsi="Times New Roman" w:cs="Tahoma"/>
          <w:kern w:val="3"/>
          <w:sz w:val="28"/>
          <w:szCs w:val="28"/>
        </w:rPr>
      </w:pP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В інтактній групі щурів активність АХЕ в тканинах дванадцятипалої кишки була найвищою в статевозрілих щурів, а найменша – в старих. </w:t>
      </w:r>
    </w:p>
    <w:p w:rsidR="00A32D40" w:rsidRPr="00A32D40" w:rsidRDefault="00A32D40" w:rsidP="00A32D40">
      <w:pPr>
        <w:numPr>
          <w:ilvl w:val="0"/>
          <w:numId w:val="1"/>
        </w:numPr>
        <w:suppressAutoHyphens/>
        <w:autoSpaceDN w:val="0"/>
        <w:spacing w:line="360" w:lineRule="auto"/>
        <w:jc w:val="both"/>
        <w:rPr>
          <w:rFonts w:ascii="Times New Roman" w:eastAsia="Calibri" w:hAnsi="Times New Roman" w:cs="Tahoma"/>
          <w:kern w:val="3"/>
          <w:sz w:val="28"/>
          <w:szCs w:val="28"/>
        </w:rPr>
      </w:pP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В печінці щурів активність АХЕ збільшилась після додавання рибофлавіну та його метаболітів </w:t>
      </w:r>
      <w:r w:rsidRPr="00A32D40">
        <w:rPr>
          <w:rFonts w:ascii="Times New Roman" w:eastAsia="Calibri" w:hAnsi="Times New Roman" w:cs="Tahoma"/>
          <w:i/>
          <w:kern w:val="3"/>
          <w:sz w:val="28"/>
          <w:szCs w:val="28"/>
          <w:lang w:val="en-US"/>
        </w:rPr>
        <w:t>in</w:t>
      </w:r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ahoma"/>
          <w:i/>
          <w:kern w:val="3"/>
          <w:sz w:val="28"/>
          <w:szCs w:val="28"/>
          <w:lang w:val="en-US"/>
        </w:rPr>
        <w:t>vitro</w:t>
      </w: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, але найбільш виражено відзначається у молодих щурів.</w:t>
      </w:r>
    </w:p>
    <w:p w:rsidR="00A32D40" w:rsidRPr="00A32D40" w:rsidRDefault="00A32D40" w:rsidP="00A32D40">
      <w:pPr>
        <w:numPr>
          <w:ilvl w:val="0"/>
          <w:numId w:val="1"/>
        </w:numPr>
        <w:suppressAutoHyphens/>
        <w:autoSpaceDN w:val="0"/>
        <w:spacing w:line="360" w:lineRule="auto"/>
        <w:jc w:val="both"/>
        <w:rPr>
          <w:rFonts w:ascii="Times New Roman" w:eastAsia="Calibri" w:hAnsi="Times New Roman" w:cs="Tahoma"/>
          <w:kern w:val="3"/>
          <w:sz w:val="28"/>
          <w:szCs w:val="28"/>
        </w:rPr>
      </w:pP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При додаванні рибофлавіну та його метаболітів до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гомогенату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дванадцятипалої кишки щурів різного віку в найвищому ступені на активність АХЕ впливав ФАД і </w:t>
      </w:r>
      <w:proofErr w:type="spellStart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>вітаболон</w:t>
      </w:r>
      <w:proofErr w:type="spellEnd"/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у всіх вікових групах, але найбільш виражено у старих тварин.</w:t>
      </w:r>
    </w:p>
    <w:p w:rsidR="00A32D40" w:rsidRPr="00A32D40" w:rsidRDefault="00A32D40" w:rsidP="00A32D40">
      <w:pPr>
        <w:numPr>
          <w:ilvl w:val="0"/>
          <w:numId w:val="1"/>
        </w:numPr>
        <w:suppressAutoHyphens/>
        <w:autoSpaceDN w:val="0"/>
        <w:spacing w:line="360" w:lineRule="auto"/>
        <w:jc w:val="both"/>
        <w:rPr>
          <w:rFonts w:ascii="Times New Roman" w:eastAsia="Calibri" w:hAnsi="Times New Roman" w:cs="Tahoma"/>
          <w:kern w:val="3"/>
          <w:sz w:val="28"/>
          <w:szCs w:val="28"/>
        </w:rPr>
      </w:pP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Додавання </w:t>
      </w:r>
      <w:r w:rsidRPr="00A32D40">
        <w:rPr>
          <w:rFonts w:ascii="Times New Roman" w:eastAsia="Calibri" w:hAnsi="Times New Roman" w:cs="Tahoma"/>
          <w:i/>
          <w:kern w:val="3"/>
          <w:sz w:val="28"/>
          <w:szCs w:val="28"/>
          <w:lang w:val="en-US"/>
        </w:rPr>
        <w:t>in</w:t>
      </w:r>
      <w:r w:rsidRPr="00A32D40">
        <w:rPr>
          <w:rFonts w:ascii="Times New Roman" w:eastAsia="Calibri" w:hAnsi="Times New Roman" w:cs="Tahoma"/>
          <w:i/>
          <w:kern w:val="3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ahoma"/>
          <w:i/>
          <w:kern w:val="3"/>
          <w:sz w:val="28"/>
          <w:szCs w:val="28"/>
          <w:lang w:val="en-US"/>
        </w:rPr>
        <w:t>vitro</w:t>
      </w:r>
      <w:r w:rsidRPr="00A32D40">
        <w:rPr>
          <w:rFonts w:ascii="Times New Roman" w:eastAsia="Calibri" w:hAnsi="Times New Roman" w:cs="Tahoma"/>
          <w:kern w:val="3"/>
          <w:sz w:val="28"/>
          <w:szCs w:val="28"/>
        </w:rPr>
        <w:t xml:space="preserve"> ЛХ сприяло підвищенню активності АХЕ в печінці та дванадцятипалій кишці у всіх вікових групах тварин, але в більшій ступені у печінці.</w:t>
      </w:r>
    </w:p>
    <w:p w:rsidR="00A32D40" w:rsidRPr="00A32D40" w:rsidRDefault="00A32D40" w:rsidP="00A32D40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sz w:val="28"/>
          <w:szCs w:val="28"/>
        </w:rPr>
        <w:br w:type="column"/>
      </w:r>
      <w:r w:rsidRPr="00A32D40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СПИСОК ЛІТЕРАТУРИ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Алдашев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 А.,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Бозумова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К. А., Махмудова Ж. А. и др.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Биохимия человека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Учебное пособие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Бишкек, 2013. – 364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Березов Т. Т.,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Коровкин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Б. Ф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 Биологическая химия – М.: Медицина, 1998.–704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Березовский В. М.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Химия витаминов – М.: Пищевая промышленность, 1973. – 632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Бресткин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А.П.,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Кузнецова А.П.,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Моралев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С.Н. и др.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Холинэстеразы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наземных животных и гидробионтов.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</w:rPr>
        <w:t>–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ладивосток, 1997.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–115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Ефремов Г.Г.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Содержание ацетилхолина, активности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ацетилхолинэстеразы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тканях органов пищеварения в условиях дефицита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аксоплазматического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транспорта в блуждающих нервах. — Материалы научных сообщений республиканской научно-производственной конференции. — Казань, 1989. — С. 143—144.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Жуков А. Ф.,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Колосова И. Ф., Кузнецов В.В. и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др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>.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Аналитическая химия. Физические и физико-химические методы анализа: Учеб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ля вузов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2001. – 496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Зайцев, С.Ю</w:t>
      </w:r>
      <w:r w:rsidRPr="00A32D40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Конопатов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Ю.В.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Биохимия животных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Фундаментальные </w:t>
      </w:r>
      <w:proofErr w:type="spellStart"/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клини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ческие</w:t>
      </w:r>
      <w:proofErr w:type="spellEnd"/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аспекты: учебник – 2-е изд.,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испр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 – СПб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Лань, 2005. – 384 с. 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Игнатьев Н.Г.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 Особенности возрастных изменений содержания ацетилхолина и активности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ацетилхолинэстеразы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толстом кишечнике у телят</w:t>
      </w:r>
      <w:r w:rsidRPr="00A32D40">
        <w:rPr>
          <w:rFonts w:ascii="Times New Roman" w:eastAsia="Calibri" w:hAnsi="Times New Roman" w:cs="Times New Roman"/>
          <w:sz w:val="28"/>
          <w:szCs w:val="28"/>
        </w:rPr>
        <w:t>: т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езисы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докладов Всероссийского XVII съезда физиологов общества им. И.П. Павлова. — Ростов-на-Дону, 1998. — С. 206.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Каркищенко</w:t>
      </w:r>
      <w:proofErr w:type="spellEnd"/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 xml:space="preserve"> Н.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Руководство по лабораторным животным и альтернативным моделям / Н.Н.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Каркищенко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 – М.: Профиль 2010 – 358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Карпищенко</w:t>
      </w:r>
      <w:proofErr w:type="spellEnd"/>
      <w:r w:rsidRPr="00A32D40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 xml:space="preserve">А. И. </w:t>
      </w:r>
      <w:r w:rsidRPr="00A32D40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>Медицинские лабораторные технологии</w:t>
      </w:r>
      <w:proofErr w:type="gramStart"/>
      <w:r w:rsidRPr="00A32D40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32D40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руководство по клинической лабораторной диагностике : в 2 т. / [В. В. Алексеев и др.] ; под ред.. — 3-е изд., </w:t>
      </w:r>
      <w:proofErr w:type="spellStart"/>
      <w:r w:rsidRPr="00A32D40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>перераб</w:t>
      </w:r>
      <w:proofErr w:type="spellEnd"/>
      <w:r w:rsidRPr="00A32D40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>. и доп. — Т. 2. — М.</w:t>
      </w:r>
      <w:proofErr w:type="gramStart"/>
      <w:r w:rsidRPr="00A32D40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32D40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ГЭОТАР-Медиа, 2013. — 792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Кильчевская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 А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 Метаболический атлас</w:t>
      </w:r>
      <w:r w:rsidRPr="00A32D40">
        <w:rPr>
          <w:rFonts w:ascii="Times New Roman" w:eastAsia="Calibri" w:hAnsi="Times New Roman" w:cs="Times New Roman"/>
          <w:sz w:val="28"/>
          <w:szCs w:val="28"/>
        </w:rPr>
        <w:t>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Минск: Вы</w:t>
      </w:r>
      <w:r w:rsidRPr="00A32D40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шая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школа, 1976. – 200 с. 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Кольман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Я.,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Рём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К.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Наглядная биохимия – М.: Мир, 2004. – 469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Кривой И.И., Кулешов В.И., Матюшин Д.Л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 Нервно-мышечный синапс и антихолинэстеразные вещества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/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Л.: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ЛГУ им. А.А. Жданова</w:t>
      </w:r>
      <w:r w:rsidRPr="00A32D40">
        <w:rPr>
          <w:rFonts w:ascii="Times New Roman" w:eastAsia="Calibri" w:hAnsi="Times New Roman" w:cs="Times New Roman"/>
          <w:sz w:val="28"/>
          <w:szCs w:val="28"/>
        </w:rPr>
        <w:t>. –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1987.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– С. 18 – 30.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Ленинджер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 Основы биохимии</w:t>
      </w:r>
      <w:r w:rsidRPr="00A32D40">
        <w:rPr>
          <w:rFonts w:ascii="Times New Roman" w:eastAsia="Calibri" w:hAnsi="Times New Roman" w:cs="Times New Roman"/>
          <w:sz w:val="28"/>
          <w:szCs w:val="28"/>
        </w:rPr>
        <w:t>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М.: Мир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1985. – 320 с. 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Марри Р.,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Греннер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Д.,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Мейес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П.,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 Биохимия человека, том 1 – М.: Мир, 1993. – 384 с. 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Методическое пособие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Витамины и коферменты /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Казимирский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.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 – М.: 2006. – 43 с.  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Моралев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С.М.,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Розенгарт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Е.В.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Современные представления о структуре и каталитических свойствах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холинэстераз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позвоночных и беспозвоночных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Журнал эволюционной биохимии и физиологии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. – №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35(1)</w:t>
      </w:r>
      <w:r w:rsidRPr="00A32D40">
        <w:rPr>
          <w:rFonts w:ascii="Times New Roman" w:eastAsia="Calibri" w:hAnsi="Times New Roman" w:cs="Times New Roman"/>
          <w:sz w:val="28"/>
          <w:szCs w:val="28"/>
        </w:rPr>
        <w:t>. –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1999</w:t>
      </w:r>
      <w:r w:rsidRPr="00A32D40">
        <w:rPr>
          <w:rFonts w:ascii="Times New Roman" w:eastAsia="Calibri" w:hAnsi="Times New Roman" w:cs="Times New Roman"/>
          <w:sz w:val="28"/>
          <w:szCs w:val="28"/>
        </w:rPr>
        <w:t>.– С.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3-14.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Морфооцированное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эзеринизированное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легкое лягушки как тест-объект для количественного определения ацетилхолина / </w:t>
      </w:r>
      <w:r w:rsidRPr="00A32D40">
        <w:rPr>
          <w:rFonts w:ascii="Times New Roman" w:eastAsia="Calibri" w:hAnsi="Times New Roman" w:cs="Times New Roman"/>
          <w:sz w:val="28"/>
          <w:szCs w:val="28"/>
        </w:rPr>
        <w:t>Под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ед.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Х.С. Хамитов</w:t>
      </w:r>
      <w:r w:rsidRPr="00A32D40">
        <w:rPr>
          <w:rFonts w:ascii="Times New Roman" w:eastAsia="Calibri" w:hAnsi="Times New Roman" w:cs="Times New Roman"/>
          <w:sz w:val="28"/>
          <w:szCs w:val="28"/>
        </w:rPr>
        <w:t>а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Вопросы теоретической и клинической медицины.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Казань: Изд-во КГУ, 1969.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294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О применении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метода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Хестрина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измерения активности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холинэстераз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r w:rsidRPr="00A32D40">
        <w:rPr>
          <w:rFonts w:ascii="Times New Roman" w:eastAsia="Calibri" w:hAnsi="Times New Roman" w:cs="Times New Roman"/>
          <w:sz w:val="28"/>
          <w:szCs w:val="28"/>
        </w:rPr>
        <w:t>Под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ед.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А.Н. Панюков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а. –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М.: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Вопросы мед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химии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1966.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88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Петров С. А., Якименко В.Е.,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Чернадчук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С.С.,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Федорко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Н.Л.,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Будняк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А.К., Сорокин А.В., Андриевский А.Н., Захаров В.В., Николаенко К.В.,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Байдан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А.В.,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Заровная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И.Н.,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Черепнева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–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Хлюстова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С.О., Горбенко И.С.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Современные проблемы биохимии и молекулярной биологии. – Минск, 2018.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Справочник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по клинико-биохимической лабораторной диагностике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/ Под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ед.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Камышников</w:t>
      </w:r>
      <w:r w:rsidRPr="00A32D40">
        <w:rPr>
          <w:rFonts w:ascii="Times New Roman" w:eastAsia="Calibri" w:hAnsi="Times New Roman" w:cs="Times New Roman"/>
          <w:sz w:val="28"/>
          <w:szCs w:val="28"/>
        </w:rPr>
        <w:t>а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В.С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r w:rsidRPr="00A32D40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Минск,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2000. –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258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260.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Терёхина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 А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Петрович Ю. А.,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Киченко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 М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Коферменты    и  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кофакторы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</w:rPr>
        <w:t>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Пермь: ГОУ ВПО ПГМА, 2006. – 69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Филлипович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Ю. Б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Основы биохимии – М.: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Агар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, 1999. – 512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Цыганенко А. Я.,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Жуков В. И</w:t>
      </w:r>
      <w:proofErr w:type="gram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,, </w:t>
      </w:r>
      <w:proofErr w:type="gram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Мясоедов В. В. и др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 Клиническая биохимия – М.: Триада-Х, 2002. – 504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Шуцкий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И.В.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Лабораторное дело</w:t>
      </w:r>
      <w:r w:rsidRPr="00A32D40">
        <w:rPr>
          <w:rFonts w:ascii="Times New Roman" w:eastAsia="Calibri" w:hAnsi="Times New Roman" w:cs="Times New Roman"/>
          <w:sz w:val="28"/>
          <w:szCs w:val="28"/>
        </w:rPr>
        <w:t>: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Метод определения ацетилхолина в малых количествах крови.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— 1967.— С. 407—408.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Экспериментальная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витаминология: Справ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уководство / Островский Ю.М.,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Спиричев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В.Б.,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Матусис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И.И. и др. – Под ред. Ю.М. Островского. - Минск: Наука и техника, 1979. </w:t>
      </w:r>
      <w:r w:rsidRPr="00A32D40">
        <w:rPr>
          <w:rFonts w:ascii="Times New Roman" w:eastAsia="Calibri" w:hAnsi="Times New Roman" w:cs="Times New Roman"/>
          <w:sz w:val="28"/>
          <w:szCs w:val="28"/>
        </w:rPr>
        <w:t>–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551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ru-RU"/>
        </w:rPr>
        <w:t>Яковлев В. А.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Коферменты – М.: Медицина, 1973. – 377 с.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Adler M.,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Manley H.A., Purcell A.L. et al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Reduced acetylcholine receptor density, morphological remodeling, and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butyrylcholinesterase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activity can sustain muscle function in acetylcholinesterase knockout mice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Muscle Nerve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2004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. – С.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317-27.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Albuquerque EX,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Pereira EFR, Castro NG,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Alkondon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M, Reinhardt S,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Schröder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Maelicke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</w:t>
      </w:r>
      <w:r w:rsidRPr="00A32D40">
        <w:rPr>
          <w:rFonts w:ascii="Times New Roman" w:eastAsia="Calibri" w:hAnsi="Times New Roman" w:cs="Times New Roman"/>
          <w:sz w:val="28"/>
          <w:szCs w:val="28"/>
        </w:rPr>
        <w:t>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Nicotinic receptor function in the mammalian central nervous system. </w:t>
      </w:r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Ann NY </w:t>
      </w:r>
      <w:proofErr w:type="spellStart"/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Acad</w:t>
      </w:r>
      <w:proofErr w:type="spellEnd"/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Sci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 volume</w:t>
      </w:r>
      <w:r w:rsidRPr="00A32D40">
        <w:rPr>
          <w:rFonts w:ascii="Times New Roman" w:eastAsia="Calibri" w:hAnsi="Times New Roman" w:cs="Times New Roman"/>
          <w:sz w:val="28"/>
          <w:szCs w:val="28"/>
        </w:rPr>
        <w:t>. –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1995</w:t>
      </w:r>
      <w:r w:rsidRPr="00A32D40">
        <w:rPr>
          <w:rFonts w:ascii="Times New Roman" w:eastAsia="Calibri" w:hAnsi="Times New Roman" w:cs="Times New Roman"/>
          <w:sz w:val="28"/>
          <w:szCs w:val="28"/>
        </w:rPr>
        <w:t>. – Р.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47–72.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Alkondon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Albuquerque EX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: Diversity of nicotinic acetylcholine receptors in rat hippocampal neurons. I. Pharmacological and functional evidence for distinct structural subtypes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J </w:t>
      </w:r>
      <w:proofErr w:type="spellStart"/>
      <w:proofErr w:type="gramStart"/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Pharmacol</w:t>
      </w:r>
      <w:proofErr w:type="spellEnd"/>
      <w:r w:rsidRPr="00A32D40">
        <w:rPr>
          <w:rFonts w:ascii="Times New Roman" w:eastAsia="Calibri" w:hAnsi="Times New Roman" w:cs="Times New Roman"/>
          <w:iCs/>
          <w:sz w:val="28"/>
          <w:szCs w:val="28"/>
        </w:rPr>
        <w:t xml:space="preserve"> ,</w:t>
      </w:r>
      <w:proofErr w:type="gramEnd"/>
      <w:r w:rsidRPr="00A32D40">
        <w:rPr>
          <w:rFonts w:ascii="Times New Roman" w:eastAsia="Calibri" w:hAnsi="Times New Roman" w:cs="Times New Roman"/>
          <w:iCs/>
          <w:sz w:val="28"/>
          <w:szCs w:val="28"/>
        </w:rPr>
        <w:t xml:space="preserve"> 2007. –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Р.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1455–1473.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Anglister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L., Stiles J.R.,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Salpeter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M.M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 Acetylcholinesterase density and turnover number at frog neuromuscular junctions, with modeling of their role in synaptic function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Neuron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1994</w:t>
      </w:r>
      <w:r w:rsidRPr="00A32D40">
        <w:rPr>
          <w:rFonts w:ascii="Times New Roman" w:eastAsia="Calibri" w:hAnsi="Times New Roman" w:cs="Times New Roman"/>
          <w:sz w:val="28"/>
          <w:szCs w:val="28"/>
        </w:rPr>
        <w:t>. – Р.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783-94.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Caballero B. J.,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Paul M. F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Encyclopedia of food sciences and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nutrition  /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Academic Press. – 2003. – 6406 </w:t>
      </w:r>
      <w:r w:rsidRPr="00A32D40">
        <w:rPr>
          <w:rFonts w:ascii="Times New Roman" w:eastAsia="Calibri" w:hAnsi="Times New Roman" w:cs="Times New Roman"/>
          <w:sz w:val="28"/>
          <w:szCs w:val="28"/>
        </w:rPr>
        <w:t>р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Chatonnet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Lockridge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O.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Comparison of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butyrylcholinesterase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acetylcholinesterase //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Biochem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 J.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2004. –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Vol. 260(3). – P. 625 – 34.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de-DE"/>
        </w:rPr>
        <w:t>Chatonnet F.,</w:t>
      </w:r>
      <w:r w:rsidRPr="00A32D40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de-DE"/>
        </w:rPr>
        <w:t>Boudinot E., Chatonnet A.</w:t>
      </w:r>
      <w:r w:rsidRPr="00A32D40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et al.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Breathing without acetylcholinesterase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Adv. Exp. Med. Biol. – 2004.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–  Vol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 551. – P. 165 – 70.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Enzyme Nomenclature.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Recommendations of the Commission on Biochemical Nomenclature of the Nomenclature and Classification of Enzymes. Amsterdam: Elsevier Publishing Company</w:t>
      </w:r>
      <w:r w:rsidRPr="00A32D40">
        <w:rPr>
          <w:rFonts w:ascii="Times New Roman" w:eastAsia="Calibri" w:hAnsi="Times New Roman" w:cs="Times New Roman"/>
          <w:sz w:val="28"/>
          <w:szCs w:val="28"/>
        </w:rPr>
        <w:t>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1973.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– 85 р.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Garcia-Carrasco M.,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Escarcega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R.O., Fuentes-Alexandro S. et al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Therapeutic options in autoimmune myasthenia gravis.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Autoimmun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 Rev. 2007; 6(6): 373-8.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Girard E.,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Bernard V.,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Minic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 et al.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Butyrylcholinesterase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the control of synaptic responses in acetylcholinesterase knockout mice // Life Sci. –2007. – Vol. 80(24-25). – 2380 p.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Hobbiger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F.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Pharmacology of anticholinesterase drugs // Handbook of exp.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pharmacol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Berlin: Springer-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Verlag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, N.Y.: Heidelberg. – 1976. – Vol. 42(4). – P. 486 – 581.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Holmes R.S.,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Masters C.J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A comparative study of the multiplicity of mammalian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esterases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Biochim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Biophys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Acta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r w:rsidRPr="00A32D40">
        <w:rPr>
          <w:rFonts w:ascii="Times New Roman" w:eastAsia="Calibri" w:hAnsi="Times New Roman" w:cs="Times New Roman"/>
          <w:sz w:val="28"/>
          <w:szCs w:val="28"/>
        </w:rPr>
        <w:t>2003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–  Vol</w:t>
      </w:r>
      <w:proofErr w:type="gram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 151(1). – P. 147 –158.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de-DE"/>
        </w:rPr>
        <w:t>Kaplan D.,</w:t>
      </w:r>
      <w:r w:rsidRPr="00A32D40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de-DE"/>
        </w:rPr>
        <w:t>Ordentlich A., Barak D. et al</w:t>
      </w:r>
      <w:r w:rsidRPr="00A32D40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Does "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butyrylization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" of acetylcholinesterase through substitution of the six divergent aromatic amino acids in the active center gorge generate an enzyme mimic of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butyrylcholinesterase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Biochemistry. – 2001. – 40(25). – P. 33 – 45.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Katz B.,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Miledi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binding of acetylcholine to receptors and its removal from the synaptic cleft // J. Physiol. – 1973. – 231 p.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Lawler H.C.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Turnover time of acetylcholinesterase // J. Biol. Chem. –1961. – 236 p.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Lena C,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Changeux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J–P: Allosteric modulations of the nicotinic acetylcholine receptor // </w:t>
      </w:r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Trends </w:t>
      </w:r>
      <w:proofErr w:type="spellStart"/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Neurol</w:t>
      </w:r>
      <w:proofErr w:type="spellEnd"/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Sci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r w:rsidRPr="00A32D40">
        <w:rPr>
          <w:rFonts w:ascii="Times New Roman" w:eastAsia="Calibri" w:hAnsi="Times New Roman" w:cs="Times New Roman"/>
          <w:sz w:val="28"/>
          <w:szCs w:val="28"/>
        </w:rPr>
        <w:t>2000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 – P. 181–186.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Massouli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Perrier N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Noureddine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H. et al. Old and new questions about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cholinesterases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Chem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Biol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Interact. – 2008. – P. 30 – 44.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McGehee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DS,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Role LW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Physiological diversity of nicotinic acetylcholine receptors expressed by vertebrate neurons //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Annu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32D40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Rev Physiol. – 1995. – P.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521 – 546.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Methods of enzymatic analysis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Bergmeye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H. U.,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Weinheim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 C. – Edited by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Bergmeye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H. U. – Second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english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edition // NY: Academic Press. – </w:t>
      </w:r>
      <w:r w:rsidRPr="00A32D40">
        <w:rPr>
          <w:rFonts w:ascii="Times New Roman" w:eastAsia="Calibri" w:hAnsi="Times New Roman" w:cs="Times New Roman"/>
          <w:sz w:val="28"/>
          <w:szCs w:val="28"/>
        </w:rPr>
        <w:t>2003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745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Osborn G.G.,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Saunders A.V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 Current treatments for patients with Alzheimer disease</w:t>
      </w:r>
      <w:r w:rsidRPr="00A32D40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Am. Osteopath. Assoc. – 2010. – P. 16 – 26.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lang w:val="en-US"/>
        </w:rPr>
        <w:t>Pereira E, Reinhardt–</w:t>
      </w:r>
      <w:proofErr w:type="spellStart"/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lang w:val="en-US"/>
        </w:rPr>
        <w:t>Maelicke</w:t>
      </w:r>
      <w:proofErr w:type="spellEnd"/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lang w:val="en-US"/>
        </w:rPr>
        <w:t xml:space="preserve"> S, </w:t>
      </w:r>
      <w:proofErr w:type="spellStart"/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lang w:val="en-US"/>
        </w:rPr>
        <w:t>Schrattenholz</w:t>
      </w:r>
      <w:proofErr w:type="spellEnd"/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lang w:val="en-US"/>
        </w:rPr>
        <w:t xml:space="preserve"> A, </w:t>
      </w:r>
      <w:proofErr w:type="spellStart"/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lang w:val="en-US"/>
        </w:rPr>
        <w:t>Maelicke</w:t>
      </w:r>
      <w:proofErr w:type="spellEnd"/>
      <w:r w:rsidRPr="00A32D40">
        <w:rPr>
          <w:rFonts w:ascii="Times New Roman" w:eastAsia="Calibri" w:hAnsi="Times New Roman" w:cs="Times New Roman"/>
          <w:i/>
          <w:color w:val="222222"/>
          <w:sz w:val="28"/>
          <w:szCs w:val="28"/>
          <w:lang w:val="en-US"/>
        </w:rPr>
        <w:t xml:space="preserve"> A</w:t>
      </w:r>
      <w:r w:rsidRPr="00A32D40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, Albuquerque EX: Identification and functional characterization of a new agonist site on nicotinic acetylcholine receptors of cultured hippocampal neurons // </w:t>
      </w:r>
      <w:r w:rsidRPr="00A32D40">
        <w:rPr>
          <w:rFonts w:ascii="Times New Roman" w:eastAsia="Calibri" w:hAnsi="Times New Roman" w:cs="Times New Roman"/>
          <w:iCs/>
          <w:color w:val="222222"/>
          <w:sz w:val="28"/>
          <w:szCs w:val="28"/>
          <w:lang w:val="en-US"/>
        </w:rPr>
        <w:t xml:space="preserve">J </w:t>
      </w:r>
      <w:proofErr w:type="spellStart"/>
      <w:r w:rsidRPr="00A32D40">
        <w:rPr>
          <w:rFonts w:ascii="Times New Roman" w:eastAsia="Calibri" w:hAnsi="Times New Roman" w:cs="Times New Roman"/>
          <w:iCs/>
          <w:color w:val="222222"/>
          <w:sz w:val="28"/>
          <w:szCs w:val="28"/>
          <w:lang w:val="en-US"/>
        </w:rPr>
        <w:t>Pharmacol</w:t>
      </w:r>
      <w:proofErr w:type="spellEnd"/>
      <w:r w:rsidRPr="00A32D40">
        <w:rPr>
          <w:rFonts w:ascii="Times New Roman" w:eastAsia="Calibri" w:hAnsi="Times New Roman" w:cs="Times New Roman"/>
          <w:iCs/>
          <w:color w:val="222222"/>
          <w:sz w:val="28"/>
          <w:szCs w:val="28"/>
          <w:lang w:val="en-US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Cs/>
          <w:color w:val="222222"/>
          <w:sz w:val="28"/>
          <w:szCs w:val="28"/>
          <w:lang w:val="en-US"/>
        </w:rPr>
        <w:t>Exp</w:t>
      </w:r>
      <w:proofErr w:type="spellEnd"/>
      <w:r w:rsidRPr="00A32D40">
        <w:rPr>
          <w:rFonts w:ascii="Times New Roman" w:eastAsia="Calibri" w:hAnsi="Times New Roman" w:cs="Times New Roman"/>
          <w:iCs/>
          <w:color w:val="222222"/>
          <w:sz w:val="28"/>
          <w:szCs w:val="28"/>
          <w:lang w:val="en-US"/>
        </w:rPr>
        <w:t xml:space="preserve"> Therap</w:t>
      </w:r>
      <w:r w:rsidRPr="00A32D40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 xml:space="preserve">. – 1993. </w:t>
      </w:r>
      <w:proofErr w:type="gramStart"/>
      <w:r w:rsidRPr="00A32D40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–  volume</w:t>
      </w:r>
      <w:proofErr w:type="gramEnd"/>
      <w:r w:rsidRPr="00A32D40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: 265. – P. 1474–1491.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Powers H.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Riboflavin (vitamin B-2) and health / Am J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Clin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Nutr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 –2003. – № 77. – P. 1352 – 1360.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Rotundo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R.L.,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Rossi S.G.,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Kimbell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L.M. et al.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Targeting acetylcholinesterase to the neuromuscular synapse // Chem. Biol. Interact. – 2005. – P. 157-158.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Rotundo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R.L.,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Ruiz C.A., Marrero E. et al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 Assembly and regulation of acetylcholinesterase at the vertebrate neuromuscular junction // Chem. Biol. Interact. – 2008. – P. 26 – 29.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Silman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I.,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Sussman</w:t>
      </w:r>
      <w:proofErr w:type="spellEnd"/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J.L.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Acetylcholinesterase: how is structure related to function? // Chem. Biol. Interact. – 2008; 175 p.</w:t>
      </w:r>
    </w:p>
    <w:p w:rsidR="00A32D40" w:rsidRPr="00A32D40" w:rsidRDefault="00A32D40" w:rsidP="00A32D40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32D40">
        <w:rPr>
          <w:rFonts w:ascii="Times New Roman" w:eastAsia="Calibri" w:hAnsi="Times New Roman" w:cs="Times New Roman"/>
          <w:i/>
          <w:sz w:val="28"/>
          <w:szCs w:val="28"/>
          <w:lang w:val="en-US"/>
        </w:rPr>
        <w:t>Vitamin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analysis for the health and food sciences /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Eitenmiller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R., Ye L., Landen W. O.  - Edited by </w:t>
      </w:r>
      <w:proofErr w:type="spellStart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Eitenmiller</w:t>
      </w:r>
      <w:proofErr w:type="spellEnd"/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 - Second edition // NY: CRS Press/ -2008. – 662 </w:t>
      </w:r>
      <w:r w:rsidRPr="00A32D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A32D40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F9006F" w:rsidRPr="00A32D40" w:rsidRDefault="00F9006F" w:rsidP="00A32D40">
      <w:pPr>
        <w:rPr>
          <w:lang w:val="en-US"/>
        </w:rPr>
      </w:pPr>
      <w:bookmarkStart w:id="0" w:name="_GoBack"/>
      <w:bookmarkEnd w:id="0"/>
    </w:p>
    <w:sectPr w:rsidR="00F9006F" w:rsidRPr="00A32D4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0E08F6"/>
    <w:multiLevelType w:val="hybridMultilevel"/>
    <w:tmpl w:val="FEB4D45A"/>
    <w:lvl w:ilvl="0" w:tplc="FC341484">
      <w:start w:val="1"/>
      <w:numFmt w:val="decimal"/>
      <w:lvlText w:val="%1."/>
      <w:lvlJc w:val="left"/>
      <w:pPr>
        <w:ind w:left="900" w:hanging="360"/>
      </w:pPr>
      <w:rPr>
        <w:rFonts w:cs="Times New Roman"/>
        <w:b w:val="0"/>
        <w:i w:val="0"/>
      </w:r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52AA0987"/>
    <w:multiLevelType w:val="hybridMultilevel"/>
    <w:tmpl w:val="94201CD6"/>
    <w:lvl w:ilvl="0" w:tplc="175468E4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F70"/>
    <w:rsid w:val="00A24F70"/>
    <w:rsid w:val="00A32D40"/>
    <w:rsid w:val="00F90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14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10504</Words>
  <Characters>5988</Characters>
  <Application>Microsoft Office Word</Application>
  <DocSecurity>0</DocSecurity>
  <Lines>49</Lines>
  <Paragraphs>32</Paragraphs>
  <ScaleCrop>false</ScaleCrop>
  <Company/>
  <LinksUpToDate>false</LinksUpToDate>
  <CharactersWithSpaces>16460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2019-01-18T10:56:00Z</dcterms:created>
  <dcterms:modified xsi:type="dcterms:W3CDTF">2019-01-18T11:05:00Z</dcterms:modified>
</cp:coreProperties>
</file>