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4040" w:rsidRPr="00FA4040" w:rsidRDefault="00FA4040" w:rsidP="00FA404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FA4040" w:rsidRPr="00FA4040" w:rsidRDefault="00FA4040" w:rsidP="00FA40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A4040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FA4040" w:rsidRPr="00FA4040" w:rsidRDefault="00FA4040" w:rsidP="00FA404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соціальних наук</w:t>
      </w:r>
    </w:p>
    <w:p w:rsidR="00FA4040" w:rsidRPr="00FA4040" w:rsidRDefault="00FA4040" w:rsidP="00FA40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A4040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FA4040" w:rsidRPr="00FA4040" w:rsidRDefault="00FA4040" w:rsidP="00FA404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FA4040" w:rsidRPr="00FA4040" w:rsidRDefault="00FA4040" w:rsidP="00FA40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A4040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FA4040" w:rsidRPr="00FA4040" w:rsidRDefault="00FA4040" w:rsidP="00FA4040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FA4040" w:rsidRPr="00FA4040" w:rsidRDefault="00FA4040" w:rsidP="00FA40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FA4040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FA4040" w:rsidRPr="00FA4040" w:rsidRDefault="00FA4040" w:rsidP="00FA4040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FA4040" w:rsidRPr="00FA4040" w:rsidRDefault="00FA4040" w:rsidP="00FA404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A4040" w:rsidRPr="00FA4040" w:rsidRDefault="00FA4040" w:rsidP="00FA404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FA404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 w:rsidRPr="00FA4040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Розширення ЄС в роки холодної війни</w:t>
      </w:r>
      <w:r w:rsidRPr="00FA404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FA4040" w:rsidRPr="00FA4040" w:rsidRDefault="00FA4040" w:rsidP="00FA404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FA4040" w:rsidRPr="00FA4040" w:rsidRDefault="00FA4040" w:rsidP="00FA404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FA4040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«The expansion of EU during the Cold War»</w:t>
      </w:r>
    </w:p>
    <w:p w:rsidR="00FA4040" w:rsidRPr="00FA4040" w:rsidRDefault="00FA4040" w:rsidP="00FA404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FA4040" w:rsidRPr="00FA4040" w:rsidRDefault="00FA4040" w:rsidP="00FA4040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FA4040" w:rsidRPr="00FA4040" w:rsidRDefault="00FA4040" w:rsidP="00FA40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FA404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Виконав(ла): студент(ка)</w:t>
      </w: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A40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4  </w:t>
      </w: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FA4040" w:rsidRPr="00FA4040" w:rsidRDefault="00FA4040" w:rsidP="00FA4040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FA40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FA4040" w:rsidRPr="00FA4040" w:rsidRDefault="00FA4040" w:rsidP="00FA40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FA40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FA4040" w:rsidRPr="00FA4040" w:rsidRDefault="00FA4040" w:rsidP="00FA4040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FA404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FA404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FA404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r w:rsidRPr="00FA404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 відносини</w:t>
      </w:r>
    </w:p>
    <w:p w:rsidR="00FA4040" w:rsidRPr="00FA4040" w:rsidRDefault="00FA4040" w:rsidP="00FA4040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FA4040" w:rsidRPr="00FA4040" w:rsidRDefault="00FA4040" w:rsidP="00FA40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</w:t>
      </w: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  <w:r w:rsidRPr="00FA404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Абрамова Д.О.</w:t>
      </w:r>
    </w:p>
    <w:p w:rsidR="00FA4040" w:rsidRPr="00FA4040" w:rsidRDefault="00FA4040" w:rsidP="00FA4040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A404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A404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A404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FA4040" w:rsidRPr="00FA4040" w:rsidRDefault="00FA4040" w:rsidP="00FA4040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FA4040" w:rsidRPr="00FA4040" w:rsidRDefault="00FA4040" w:rsidP="00FA4040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FA4040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</w:t>
      </w: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  <w:r w:rsidRPr="00FA404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доц. Сіновець П.А.</w:t>
      </w:r>
    </w:p>
    <w:p w:rsidR="00FA4040" w:rsidRPr="00FA4040" w:rsidRDefault="00FA4040" w:rsidP="00FA4040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Pr="00FA404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FA4040" w:rsidRPr="00FA4040" w:rsidRDefault="00FA4040" w:rsidP="00FA4040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r w:rsidRPr="00FA404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доц. Романова О.В.</w:t>
      </w:r>
    </w:p>
    <w:p w:rsidR="00FA4040" w:rsidRPr="00FA4040" w:rsidRDefault="00FA4040" w:rsidP="00FA4040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FA404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  </w:t>
      </w:r>
      <w:r w:rsidRPr="00FA4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FA404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FA4040" w:rsidRPr="00FA4040" w:rsidRDefault="00FA4040" w:rsidP="00FA4040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A4040" w:rsidRPr="00FA4040" w:rsidRDefault="00FA4040" w:rsidP="00FA4040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A4040" w:rsidRPr="00FA4040" w:rsidRDefault="00FA4040" w:rsidP="00FA4040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FA4040" w:rsidRPr="00FA4040" w:rsidTr="00111C38">
        <w:trPr>
          <w:jc w:val="center"/>
        </w:trPr>
        <w:tc>
          <w:tcPr>
            <w:tcW w:w="4967" w:type="dxa"/>
            <w:hideMark/>
          </w:tcPr>
          <w:p w:rsidR="00FA4040" w:rsidRPr="00FA4040" w:rsidRDefault="00FA4040" w:rsidP="00FA4040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FA4040" w:rsidRPr="00FA4040" w:rsidRDefault="00FA4040" w:rsidP="00FA4040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FA4040" w:rsidRPr="00FA4040" w:rsidRDefault="00FA4040" w:rsidP="00FA4040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FA4040" w:rsidRPr="00FA4040" w:rsidRDefault="00FA4040" w:rsidP="00FA4040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FA4040" w:rsidRPr="00FA4040" w:rsidRDefault="00FA4040" w:rsidP="00FA4040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FA4040" w:rsidRPr="00FA4040" w:rsidRDefault="00FA4040" w:rsidP="00FA4040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A4040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FA4040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FA4040" w:rsidRPr="00FA4040" w:rsidRDefault="00FA4040" w:rsidP="00FA4040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</w:t>
            </w:r>
          </w:p>
          <w:p w:rsidR="00FA4040" w:rsidRPr="00FA4040" w:rsidRDefault="00FA4040" w:rsidP="00FA4040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FA4040" w:rsidRPr="00FA4040" w:rsidRDefault="00FA4040" w:rsidP="00FA4040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FA4040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FA4040" w:rsidRPr="00FA4040" w:rsidRDefault="00FA4040" w:rsidP="00FA404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A4040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FA4040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FA4040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FA4040" w:rsidRPr="00FA4040" w:rsidRDefault="00FA4040" w:rsidP="00FA4040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FA4040" w:rsidRPr="00FA4040" w:rsidRDefault="00FA4040" w:rsidP="00FA4040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</w:t>
            </w:r>
            <w:r w:rsidRPr="00FA404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FA4040" w:rsidRPr="00FA4040" w:rsidRDefault="00FA4040" w:rsidP="00FA4040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A4040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FA4040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FA4040" w:rsidRPr="00FA4040" w:rsidTr="00111C38">
        <w:trPr>
          <w:jc w:val="center"/>
        </w:trPr>
        <w:tc>
          <w:tcPr>
            <w:tcW w:w="4967" w:type="dxa"/>
          </w:tcPr>
          <w:p w:rsidR="00FA4040" w:rsidRPr="00FA4040" w:rsidRDefault="00FA4040" w:rsidP="00FA4040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FA4040" w:rsidRPr="00FA4040" w:rsidRDefault="00FA4040" w:rsidP="00FA4040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FA4040" w:rsidRPr="00FA4040" w:rsidRDefault="00FA4040" w:rsidP="00FA40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A4040" w:rsidRPr="00FA4040" w:rsidRDefault="00FA4040" w:rsidP="00FA40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A40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FA404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FA40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FA404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7</w:t>
      </w: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FA4040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СОДЕРЖАНИЕ</w:t>
      </w:r>
    </w:p>
    <w:p w:rsidR="00FA4040" w:rsidRPr="00FA4040" w:rsidRDefault="00FA4040" w:rsidP="00FA4040">
      <w:pPr>
        <w:tabs>
          <w:tab w:val="right" w:leader="dot" w:pos="9060"/>
        </w:tabs>
        <w:spacing w:after="100" w:line="276" w:lineRule="auto"/>
        <w:rPr>
          <w:rFonts w:ascii="Calibri" w:eastAsia="Times New Roman" w:hAnsi="Calibri" w:cs="Times New Roman"/>
          <w:noProof/>
          <w:lang w:eastAsia="ru-RU"/>
        </w:rPr>
      </w:pPr>
      <w:r w:rsidRPr="00FA4040">
        <w:rPr>
          <w:rFonts w:ascii="Calibri" w:eastAsia="Calibri" w:hAnsi="Calibri" w:cs="Times New Roman"/>
        </w:rPr>
        <w:fldChar w:fldCharType="begin"/>
      </w:r>
      <w:r w:rsidRPr="00FA4040">
        <w:rPr>
          <w:rFonts w:ascii="Calibri" w:eastAsia="Calibri" w:hAnsi="Calibri" w:cs="Times New Roman"/>
        </w:rPr>
        <w:instrText xml:space="preserve"> TOC \o "1-3" \h \z \u </w:instrText>
      </w:r>
      <w:r w:rsidRPr="00FA4040">
        <w:rPr>
          <w:rFonts w:ascii="Calibri" w:eastAsia="Calibri" w:hAnsi="Calibri" w:cs="Times New Roman"/>
        </w:rPr>
        <w:fldChar w:fldCharType="separate"/>
      </w:r>
      <w:hyperlink w:anchor="_Toc480625037" w:history="1">
        <w:r w:rsidRPr="00FA4040">
          <w:rPr>
            <w:rFonts w:ascii="Times New Roman" w:eastAsia="Calibri" w:hAnsi="Times New Roman" w:cs="Times New Roman"/>
            <w:b/>
            <w:noProof/>
            <w:color w:val="0000FF"/>
            <w:u w:val="single"/>
          </w:rPr>
          <w:t>ВВЕДЕНИЕ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ab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begin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instrText xml:space="preserve"> PAGEREF _Toc480625037 \h </w:instrTex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separate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>3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end"/>
        </w:r>
      </w:hyperlink>
    </w:p>
    <w:p w:rsidR="00FA4040" w:rsidRPr="00FA4040" w:rsidRDefault="00FA4040" w:rsidP="00FA4040">
      <w:pPr>
        <w:tabs>
          <w:tab w:val="right" w:leader="dot" w:pos="9060"/>
        </w:tabs>
        <w:spacing w:after="100" w:line="276" w:lineRule="auto"/>
        <w:rPr>
          <w:rFonts w:ascii="Calibri" w:eastAsia="Times New Roman" w:hAnsi="Calibri" w:cs="Times New Roman"/>
          <w:noProof/>
          <w:lang w:eastAsia="ru-RU"/>
        </w:rPr>
      </w:pPr>
      <w:hyperlink w:anchor="_Toc480625038" w:history="1">
        <w:r w:rsidRPr="00FA4040">
          <w:rPr>
            <w:rFonts w:ascii="Times New Roman" w:eastAsia="Calibri" w:hAnsi="Times New Roman" w:cs="Times New Roman"/>
            <w:b/>
            <w:noProof/>
            <w:color w:val="0000FF"/>
            <w:u w:val="single"/>
          </w:rPr>
          <w:t>ГЛАВА 1. НАЧАЛЬНЫЙ ЭТАП ЕВРОИНТЕГРАЦИОННЫХ ПРОЦЕССОВ (1950 – 1967 ГГ.)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ab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begin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instrText xml:space="preserve"> PAGEREF _Toc480625038 \h </w:instrTex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separate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>7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end"/>
        </w:r>
      </w:hyperlink>
    </w:p>
    <w:p w:rsidR="00FA4040" w:rsidRPr="00FA4040" w:rsidRDefault="00FA4040" w:rsidP="00FA4040">
      <w:pPr>
        <w:tabs>
          <w:tab w:val="right" w:leader="dot" w:pos="9060"/>
        </w:tabs>
        <w:spacing w:after="100" w:line="276" w:lineRule="auto"/>
        <w:rPr>
          <w:rFonts w:ascii="Calibri" w:eastAsia="Times New Roman" w:hAnsi="Calibri" w:cs="Times New Roman"/>
          <w:noProof/>
          <w:lang w:eastAsia="ru-RU"/>
        </w:rPr>
      </w:pPr>
      <w:hyperlink w:anchor="_Toc480625039" w:history="1">
        <w:r w:rsidRPr="00FA4040">
          <w:rPr>
            <w:rFonts w:ascii="Times New Roman" w:eastAsia="Calibri" w:hAnsi="Times New Roman" w:cs="Times New Roman"/>
            <w:b/>
            <w:noProof/>
            <w:color w:val="0000FF"/>
            <w:u w:val="single"/>
          </w:rPr>
          <w:t>ГЛАВА 2. ПЕРВАЯ ВОЛНА РАСШИРЕНИЯ ЕЭС: ВСТУПЛЕНИЕ В ОРГАНИЗАЦИЮ ВЕЛИКОБРИТАНИИ, ИРЛАНДИИ И ДАНИИ (1958 – 1979 гг.)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ab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begin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instrText xml:space="preserve"> PAGEREF _Toc480625039 \h </w:instrTex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separate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>19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end"/>
        </w:r>
      </w:hyperlink>
    </w:p>
    <w:p w:rsidR="00FA4040" w:rsidRPr="00FA4040" w:rsidRDefault="00FA4040" w:rsidP="00FA4040">
      <w:pPr>
        <w:tabs>
          <w:tab w:val="right" w:leader="dot" w:pos="9060"/>
        </w:tabs>
        <w:spacing w:after="100" w:line="276" w:lineRule="auto"/>
        <w:rPr>
          <w:rFonts w:ascii="Calibri" w:eastAsia="Times New Roman" w:hAnsi="Calibri" w:cs="Times New Roman"/>
          <w:noProof/>
          <w:lang w:eastAsia="ru-RU"/>
        </w:rPr>
      </w:pPr>
      <w:hyperlink w:anchor="_Toc480625040" w:history="1">
        <w:r w:rsidRPr="00FA4040">
          <w:rPr>
            <w:rFonts w:ascii="Times New Roman" w:eastAsia="Calibri" w:hAnsi="Times New Roman" w:cs="Times New Roman"/>
            <w:b/>
            <w:noProof/>
            <w:color w:val="0000FF"/>
            <w:u w:val="single"/>
          </w:rPr>
          <w:t>ГЛАВА 3. ВТОРАЯ ВОЛНА РАСШИРЕНИЯ ЕЭС: ПРИСОЕДИНЕНИЕ ГРЕЦИИ, ИСПАНИИ И ПОРТУГАЛИИ К ЕВРОПЕЙСКИМ СООБЩЕСТВАМ (1980 – 1991 ГГ.)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ab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begin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instrText xml:space="preserve"> PAGEREF _Toc480625040 \h </w:instrTex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separate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>30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end"/>
        </w:r>
      </w:hyperlink>
    </w:p>
    <w:p w:rsidR="00FA4040" w:rsidRPr="00FA4040" w:rsidRDefault="00FA4040" w:rsidP="00FA4040">
      <w:pPr>
        <w:tabs>
          <w:tab w:val="right" w:leader="dot" w:pos="9060"/>
        </w:tabs>
        <w:spacing w:after="100" w:line="276" w:lineRule="auto"/>
        <w:rPr>
          <w:rFonts w:ascii="Calibri" w:eastAsia="Times New Roman" w:hAnsi="Calibri" w:cs="Times New Roman"/>
          <w:noProof/>
          <w:lang w:eastAsia="ru-RU"/>
        </w:rPr>
      </w:pPr>
      <w:hyperlink w:anchor="_Toc480625041" w:history="1">
        <w:r w:rsidRPr="00FA4040">
          <w:rPr>
            <w:rFonts w:ascii="Times New Roman" w:eastAsia="Calibri" w:hAnsi="Times New Roman" w:cs="Times New Roman"/>
            <w:b/>
            <w:noProof/>
            <w:color w:val="0000FF"/>
            <w:u w:val="single"/>
          </w:rPr>
          <w:t>ЗАКЛЮЧЕНИЕ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ab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begin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instrText xml:space="preserve"> PAGEREF _Toc480625041 \h </w:instrTex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separate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>43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end"/>
        </w:r>
      </w:hyperlink>
    </w:p>
    <w:p w:rsidR="00FA4040" w:rsidRPr="00FA4040" w:rsidRDefault="00FA4040" w:rsidP="00FA4040">
      <w:pPr>
        <w:tabs>
          <w:tab w:val="right" w:leader="dot" w:pos="9060"/>
        </w:tabs>
        <w:spacing w:after="100" w:line="276" w:lineRule="auto"/>
        <w:rPr>
          <w:rFonts w:ascii="Calibri" w:eastAsia="Times New Roman" w:hAnsi="Calibri" w:cs="Times New Roman"/>
          <w:noProof/>
          <w:lang w:eastAsia="ru-RU"/>
        </w:rPr>
      </w:pPr>
      <w:hyperlink w:anchor="_Toc480625042" w:history="1">
        <w:r w:rsidRPr="00FA4040">
          <w:rPr>
            <w:rFonts w:ascii="Times New Roman" w:eastAsia="Calibri" w:hAnsi="Times New Roman" w:cs="Times New Roman"/>
            <w:b/>
            <w:noProof/>
            <w:color w:val="0000FF"/>
            <w:u w:val="single"/>
          </w:rPr>
          <w:t>СПИСОК ИЗУЧЕННЫХ ИСТОЧНИКОВ И ЛИТЕРАТУРЫ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ab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begin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instrText xml:space="preserve"> PAGEREF _Toc480625042 \h </w:instrTex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separate"/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t>46</w:t>
        </w:r>
        <w:r w:rsidRPr="00FA4040">
          <w:rPr>
            <w:rFonts w:ascii="Calibri" w:eastAsia="Calibri" w:hAnsi="Calibri" w:cs="Times New Roman"/>
            <w:noProof/>
            <w:webHidden/>
            <w:lang w:val="uk-UA"/>
          </w:rPr>
          <w:fldChar w:fldCharType="end"/>
        </w:r>
      </w:hyperlink>
    </w:p>
    <w:p w:rsidR="00FA4040" w:rsidRPr="00FA4040" w:rsidRDefault="00FA4040" w:rsidP="00FA4040">
      <w:pPr>
        <w:spacing w:after="24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fldChar w:fldCharType="end"/>
      </w:r>
    </w:p>
    <w:p w:rsidR="00FA4040" w:rsidRPr="00FA4040" w:rsidRDefault="00FA4040" w:rsidP="00FA404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tabs>
          <w:tab w:val="left" w:pos="5835"/>
        </w:tabs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keepNext/>
        <w:keepLines/>
        <w:spacing w:before="240" w:after="240" w:line="276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32"/>
        </w:rPr>
      </w:pPr>
      <w:bookmarkStart w:id="0" w:name="_Toc480625037"/>
      <w:r w:rsidRPr="00FA4040">
        <w:rPr>
          <w:rFonts w:ascii="Times New Roman" w:eastAsia="Times New Roman" w:hAnsi="Times New Roman" w:cs="Times New Roman"/>
          <w:b/>
          <w:sz w:val="28"/>
          <w:szCs w:val="32"/>
        </w:rPr>
        <w:lastRenderedPageBreak/>
        <w:t>ВВЕДЕНИЕ</w:t>
      </w:r>
      <w:bookmarkEnd w:id="0"/>
    </w:p>
    <w:p w:rsidR="00FA4040" w:rsidRPr="00FA4040" w:rsidRDefault="00FA4040" w:rsidP="00FA4040">
      <w:pPr>
        <w:tabs>
          <w:tab w:val="left" w:pos="5835"/>
        </w:tabs>
        <w:spacing w:after="0" w:line="276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Темой данной работы является расширение ЕЭС в годы «Холодной войны».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Актуальность темы не вызывает сомнений в силу того, что Европейский Союз сегодня – один из глобальных игроков. Изучение закономерностей расширения процессов европейском интеграции необходимо для комплексного понимания процессов, которые происходят в ЕС сейчас, что, соответственно, оказывает определённое влияние на общемировые процессы. Также невозможно обойти актуальность дынной темы для Украины. Актуальность анализа политики в ЕС также определяется особой важностью европейских интеграционных процессов для Киева. В настоящее время Украина стремится присоединиться к европейской интеграции, и поэтому очень важно изучить опыт развития европейского сообщества в целом, а также на примерах отдельных государств, ведь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Евросоюз является важнейшим нашим партнёром в экономической, политической и гуманитарной сферах; он представляет интерес как модель региональной интеграции, принципы которой могут быть перенесены на постсоветское пространство.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 Украине необходимо изучить разнообразный опыт различных стран, разных по уровню своего политического, экономического и социального развития, таких как Великобритания и Греция, например, и те трудности, которые возникали на их пути европейской интеграции для того, чтобы извлечь для себя уроки и определить свою стратегию, которая станет успешной в ходе будущего возможного присоединения Украины е ЕС.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Целью работы является изучить и проанализировать основные этапы расширения ЕЭС в годы «Холодной войны».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В соответствии с поставленной исследовательской целью были поставлены отвечающие ей задачи, среди которых стоит выделить следующие. Во-первых, изучение начального этапа образования европейского интеграционного ядра, включавшего такие страны, как ФРГ, Францию, Италию и страны Бенилюкса; анализ причин создания европейских </w:t>
      </w:r>
      <w:r w:rsidRPr="00FA404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интеграционных объединений и внутриполитических и внутриэкономических причин желания указанных стран участвовать в данных интеграционных процессах; рассмотрение межгосударственных противоречий, присутвовавших в ходе образования ЕОУС, а затем – ЕЭС. 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Во-вторых, изучение препятствий, которые возникли на пути евроинтеграции Великобритании, а также хода их урегулирования; анализ мотивов присоединения Ирландии и Дании к ЕЭС и внутри- и внешнеполитических последствий этого шага для этих стран; рассмотрение внутриполитических дебатов в Великобритани, позиции нового консервативного правительства М. Тетчер по европейскому вопросу и уступок, которые были сделаны со стороны ЕЭС Великобритании в соответствии с её требованиями.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В-третьих, изучение опыта поглощения ЕЭС стран с более низким уровнем экономического и политического развития, таких как Греции, Испании и Португалии; анализ причин, мешавших Греции на пути евроинтеграции; последствия присоединения к ЕЭМ для трёх указанных стран.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В ходе написания работы был изучен ряд источников и литературы, которые можно условно разделить на несколько групп.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К первой группе необходимо отнести документальную базу исследования. Среди международных договоров, проанализированных для написания работы, были Брюссельский пакт 1948 г. [6]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, Договор об учреждении ЕОУС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 1951 г. [7]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Римский Договор 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1957 г. [8]. 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Ко второй группе – литературу, посвящённую теории интеграции стран Европы. К этой группе можно отнести работы А. П. Береснёва [3], Ф. М. Гиниятова [4], Я. В. Калиша [10], М. Кацина [11], Л. Ю. Кухиной и Ю. М. Орловой [13] и коллективный труд учёных под редакцией В. Е. Рыбалкина [22]. В этих работах авторы раскрывают основные механизмы и инструменты осуществления европейской интеграции.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lastRenderedPageBreak/>
        <w:t>Третья группа – это работы, посвящённые более локальным проблемам европейской интеграции. Так, франко-германские отношения в рассматриваемом контексте были изучены Н. С. Малышевой [20], британо-французские – Е. В. Хазалкиной [33], препятствия на пути евроинтеграции Великобритании – В. Н. Чепиком [36], а Греции – С. Н. Мирошниковым [23], последствия же вступления в ЕС для Португалии и Испании были проанализированы в диссертационном исследовании Е. Б. Павловой [26].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Хронологическими рамками работы является период 1950-1991 гг.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Выбор нижней хронологической рамки обуславливается разработкой «плана Шумана» и началом формирования европейского интеграционного ядра.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Выбор нижней хронологической рамки обуславливается распадом биполярной системы международных отношений и окончанием «Холодной войны» с распадом СССР и началом истории ЕС после подписания Маастрихтского договора в 1992 г.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Структурно работа представлена тремя главами.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В первой главе описывается зарождение европейской политической интеграции и описаны мотивы и последствия вступления на путь евроинтеграции Германии, Франции, Италии и стран Бенилюкса, а также взгляд глобальных играков на события в Европе.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Во второй главе описан путь вступления Великобритании в ЕЭС, те препятствия, с которыми она столкнулась, а также франко-британские отношения в этом контексте. Также были рассмотрены причины вступления Дании и Ирландии в ЕЭС. Помимо этого, также были рассмотрены внутриполитические дискуссии среди британского политического истеблишмента относительно дел европейской интеграции. Были изучены причины выдаижения требований, которые привели к сравнительно большей независимости Лондона среди других государств ЕЭС. Также была рассмотрена позизия консервативного кабинета М. Тетчер касательно вопроса углубления евроинтеграции.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lastRenderedPageBreak/>
        <w:t>В третьей главе изучены основные трудности, с которыми столкнулись как ЕЭС, так и Греция, Португалия и Испания в ходе вступления указанных стран в Европейское сообщество. Были изучены и проанализированы требования, выдвинутые со стороны ЕЭС данным государствам для их соответствования уровню стран-членов Европейского сообщества, а также последствия вступлния этих стран в ЕЭС.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A1F8F" w:rsidRDefault="00AA1F8F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Default="00FA4040"/>
    <w:p w:rsidR="00FA4040" w:rsidRPr="00FA4040" w:rsidRDefault="00FA4040" w:rsidP="00FA4040">
      <w:pPr>
        <w:keepNext/>
        <w:keepLines/>
        <w:spacing w:before="240" w:after="240" w:line="276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32"/>
        </w:rPr>
      </w:pPr>
      <w:bookmarkStart w:id="1" w:name="_Toc480625041"/>
      <w:r w:rsidRPr="00FA4040">
        <w:rPr>
          <w:rFonts w:ascii="Times New Roman" w:eastAsia="Times New Roman" w:hAnsi="Times New Roman" w:cs="Times New Roman"/>
          <w:b/>
          <w:sz w:val="28"/>
          <w:szCs w:val="32"/>
        </w:rPr>
        <w:lastRenderedPageBreak/>
        <w:t>ЗАКЛЮЧЕНИЕ</w:t>
      </w:r>
      <w:bookmarkEnd w:id="1"/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Интеграционны</w:t>
      </w:r>
      <w:r w:rsidRPr="00FA4040">
        <w:rPr>
          <w:rFonts w:ascii="Times New Roman" w:eastAsia="Calibri" w:hAnsi="Times New Roman" w:cs="Times New Roman"/>
          <w:sz w:val="28"/>
          <w:szCs w:val="28"/>
        </w:rPr>
        <w:t>е п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роцесс</w:t>
      </w:r>
      <w:r w:rsidRPr="00FA4040">
        <w:rPr>
          <w:rFonts w:ascii="Times New Roman" w:eastAsia="Calibri" w:hAnsi="Times New Roman" w:cs="Times New Roman"/>
          <w:sz w:val="28"/>
          <w:szCs w:val="28"/>
        </w:rPr>
        <w:t>ы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Европы пролегал</w:t>
      </w:r>
      <w:r w:rsidRPr="00FA4040">
        <w:rPr>
          <w:rFonts w:ascii="Times New Roman" w:eastAsia="Calibri" w:hAnsi="Times New Roman" w:cs="Times New Roman"/>
          <w:sz w:val="28"/>
          <w:szCs w:val="28"/>
        </w:rPr>
        <w:t>и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 приливами и отливами, но все </w:t>
      </w:r>
      <w:r w:rsidRPr="00FA4040">
        <w:rPr>
          <w:rFonts w:ascii="Times New Roman" w:eastAsia="Calibri" w:hAnsi="Times New Roman" w:cs="Times New Roman"/>
          <w:sz w:val="28"/>
          <w:szCs w:val="28"/>
        </w:rPr>
        <w:t>же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двигал</w:t>
      </w:r>
      <w:r w:rsidRPr="00FA4040">
        <w:rPr>
          <w:rFonts w:ascii="Times New Roman" w:eastAsia="Calibri" w:hAnsi="Times New Roman" w:cs="Times New Roman"/>
          <w:sz w:val="28"/>
          <w:szCs w:val="28"/>
        </w:rPr>
        <w:t>и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сь в сторону более тесного сотрудничества между государствами. Путем создания наднационал</w:t>
      </w:r>
      <w:r w:rsidRPr="00FA4040">
        <w:rPr>
          <w:rFonts w:ascii="Times New Roman" w:eastAsia="Calibri" w:hAnsi="Times New Roman" w:cs="Times New Roman"/>
          <w:sz w:val="28"/>
          <w:szCs w:val="28"/>
        </w:rPr>
        <w:t>ь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ной институционал</w:t>
      </w:r>
      <w:r w:rsidRPr="00FA4040">
        <w:rPr>
          <w:rFonts w:ascii="Times New Roman" w:eastAsia="Calibri" w:hAnsi="Times New Roman" w:cs="Times New Roman"/>
          <w:sz w:val="28"/>
          <w:szCs w:val="28"/>
        </w:rPr>
        <w:t>ь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ной структуры, в 1952 г</w:t>
      </w:r>
      <w:r w:rsidRPr="00FA4040">
        <w:rPr>
          <w:rFonts w:ascii="Times New Roman" w:eastAsia="Calibri" w:hAnsi="Times New Roman" w:cs="Times New Roman"/>
          <w:sz w:val="28"/>
          <w:szCs w:val="28"/>
        </w:rPr>
        <w:t>.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шесть стран cделали шаг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 в сторону европейской интеграции беспрецедентной ранее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. Для того</w:t>
      </w:r>
      <w:r w:rsidRPr="00FA4040">
        <w:rPr>
          <w:rFonts w:ascii="Times New Roman" w:eastAsia="Calibri" w:hAnsi="Times New Roman" w:cs="Times New Roman"/>
          <w:sz w:val="28"/>
          <w:szCs w:val="28"/>
        </w:rPr>
        <w:t>,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чтобы обеспечить более быстрое экономическое развитие Европы и политическую стабильность, государства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делегировали одну часть права принятия решении на более высокий уровень. 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План создания Европейского объединения угля и стали (ЕОУС) был обнародован 9 мая 1950 г. Р. Шуманом, занимавшим в то время пост министра иностранных дел Франции. Этот план стал первой ступенькой долгосрочного процесса развития Европейского Сообщества и положил начало новой странице в истории Европы. Он предусматривал установление международного контроля над ключевыми отраслями военной промышленности через заключение договора, обязательного к исполнению. Тем самым становилось невозможным резкое наращивание вооружений в целях подготовки к войне.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Осознавая важность плана Шумана, к нему быстро выразили желание присоединиться Италия и страны Бенилюкс. 18 апреля 1951 г. в Париже состоялась Первая международная конференция, где был подписан Договор о Европейском Объединении Угля и Стали (ЕОУС) между 6-ю странами: Бельгией, Италией, Люксембургом, Нидерландами, ФРГ и Францией, который вступил в силу 10 августа 1952 г.; его первым председателем стал Жан Монне. Целью объединения было создание узкофункционального сообщества, обеспечивающего наличие общего рынка угля и стали шести государств, а так же решение вопросов, связанных с подъемом производства в тяжелой промышленности этих шести государств. А главное то, что на основе ЕОУС отрабатывались те начала и принципы, которые следовало положить в основу европейской интеграции.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Первоначально управление ЕОУС и ЕЭС осуществлялось двумя различными руководящими органами. В 1967 г. произошло слияние Высшего руководящего органа ЕОУС и руководящих органов ЕЭС-Евратом. Новый орган заложил институциональную основу современного Европейского сообщества, после чего вся интеграционная группировка стала официально называться Европейским сообществом (ЕС).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Быстро расширяющийся рынок Сообщества дал хорошую возможность оздоровления национальной экономики в целом, заставив компании мобилизовать имеющиеся средства для выживания в условиях конкуренции на рынке Сообщества. Поэтому в августе 1961 г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Великобритания официально заявила о своем желании вступить в Сообщество. Остальные страны </w:t>
      </w:r>
      <w:r w:rsidRPr="00FA4040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ЕАСТ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Дания и Норвегия, и Ирландия 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последовали ее примеру. Одним из сильнейших факторов, который повлиял на вступление Дании в Сообщество, была перспектива свободного доступа на единый рынок. 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Также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в большой степени повлияла Великобритания своим заявлением о вступлении в Сообщество, так как она являлась для Дании крупнейшим рынком экспорта. У Ирланди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и же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традиционно сложились тесные культурные, религиозные и военные взаимосвязи с континентом, и поэтому отношение страны к процессам интеграции в Европе оказалось довольно открытым. Ирландцы также увидели в этом возможности для экспорта своей сельскохозяйственной продукции. Полученная таким образом конкурентоспособность позволила надеяться на увеличения уровня благосостояния и улучшение условий торговли путем вступления в единое рыночное пространство. Другим важным фактором, оказавшим влияние на желание Ирландии вступить в Сообщество стало создание Социального и Регионального фондов, которые могли предложить вполне конкретные экономические выгоды.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Несмотря на все это, процесс объединения был заблокирован в 1963 г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, когда Генерал Де Голль прервал переговоры, не доверяя намерениям Великобритании. Второе заявление Великобритании о вступлении 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опять с Ирландией, Данией и Норвегией 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опять потерпело неудачу по похожим причинам. И только когда 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lastRenderedPageBreak/>
        <w:t>в 1969 г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Де Голль ушел в отставку, на Саммите в Гааге годом позже в этом вопросе наметился прорыв. И в завершение затянувшихся переговоров 22 января 1972 г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были подписаны Соглашения по объединению. 1 января 1973 г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, после успешного проведения референдумов в Ирландии и Дании и ратификации соглашений национальными парламентами, Великобритания, Дания и Ирландия вошли в Сообщества.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В 1975 г. заявку на присоединение к ЕЭС подала Греция, в 1977 г. — Португалия и Испания. Все три страны встали на путь демократического развития: Португалия после «революции гвоздик» в апреле 1974 г., Греция после падения диктаторского режима «черных полковников» в июле 1974 г., Испания после смерти Франко в ноябре 1975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 г.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демократизации политического режима в стране.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Переговоры о вступлении в ЕЭС Португалии и Испании были достаточно напряженными, ибо Франция и Италия не без оснований опасались конкуренции стран Иберийского полуострова в торговле овощами, фруктами, вином.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Греция стала полноправным членом Сообщества 1 января 1981 г., Португалия и Испания были приняты в ЕЭС в марте 1985 г. Тем самым ЕЭС усиливало свой политический вес и более активно вовлекалось Выравнивания уровней социально-экономического развития членов ЕЭС привело к росту расходов Сообщества, что потребовало дополнительных финансовых средств, полученных за счет повышения сборов в бюджет ЕЭС.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Во второй половине 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ХХ 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Pr="00FA4040">
        <w:rPr>
          <w:rFonts w:ascii="Times New Roman" w:eastAsia="Calibri" w:hAnsi="Times New Roman" w:cs="Times New Roman"/>
          <w:sz w:val="28"/>
          <w:szCs w:val="28"/>
        </w:rPr>
        <w:t>.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 странам учредител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ям 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решил</w:t>
      </w:r>
      <w:r w:rsidRPr="00FA4040">
        <w:rPr>
          <w:rFonts w:ascii="Times New Roman" w:eastAsia="Calibri" w:hAnsi="Times New Roman" w:cs="Times New Roman"/>
          <w:sz w:val="28"/>
          <w:szCs w:val="28"/>
        </w:rPr>
        <w:t>а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присоединится почти вся Западная Европа, а также в середине 1990 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г. 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решил</w:t>
      </w:r>
      <w:r w:rsidRPr="00FA4040">
        <w:rPr>
          <w:rFonts w:ascii="Times New Roman" w:eastAsia="Calibri" w:hAnsi="Times New Roman" w:cs="Times New Roman"/>
          <w:sz w:val="28"/>
          <w:szCs w:val="28"/>
        </w:rPr>
        <w:t>и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присоединиться также государства Центральной и Восточной Европы.</w:t>
      </w: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A4040" w:rsidRPr="00FA4040" w:rsidRDefault="00FA4040" w:rsidP="00FA4040">
      <w:pPr>
        <w:keepNext/>
        <w:keepLines/>
        <w:spacing w:before="240" w:after="240" w:line="276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32"/>
        </w:rPr>
      </w:pPr>
      <w:bookmarkStart w:id="2" w:name="_Toc480625042"/>
      <w:r w:rsidRPr="00FA4040">
        <w:rPr>
          <w:rFonts w:ascii="Times New Roman" w:eastAsia="Times New Roman" w:hAnsi="Times New Roman" w:cs="Times New Roman"/>
          <w:b/>
          <w:sz w:val="28"/>
          <w:szCs w:val="32"/>
        </w:rPr>
        <w:lastRenderedPageBreak/>
        <w:t>СПИСОК ИЗУЧЕННЫХ ИСТОЧНИКОВ И ЛИТЕРАТУРЫ</w:t>
      </w:r>
      <w:bookmarkEnd w:id="2"/>
    </w:p>
    <w:p w:rsidR="00FA4040" w:rsidRPr="00FA4040" w:rsidRDefault="00FA4040" w:rsidP="00FA4040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Астахов К. В. Развитие интеграционных процессов как общемировая тенденция. // Социально-экономические явления и процессы. – № 11. – 2011. – С. 33-37.</w:t>
      </w:r>
    </w:p>
    <w:p w:rsidR="00FA4040" w:rsidRPr="00FA4040" w:rsidRDefault="00FA4040" w:rsidP="00FA4040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Бабурина Н. А. </w:t>
      </w:r>
      <w:r w:rsidRPr="00FA4040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Валютная интеграция в Европе:</w:t>
      </w:r>
      <w:r w:rsidRPr="00FA4040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r w:rsidRPr="00FA4040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уроки прошлого и тенденции будущ</w:t>
      </w:r>
      <w:r w:rsidRPr="00FA4040">
        <w:rPr>
          <w:rFonts w:ascii="Times New Roman" w:eastAsia="Calibri" w:hAnsi="Times New Roman" w:cs="Times New Roman"/>
          <w:bCs/>
          <w:iCs/>
          <w:sz w:val="28"/>
          <w:szCs w:val="28"/>
        </w:rPr>
        <w:t>е</w:t>
      </w:r>
      <w:r w:rsidRPr="00FA4040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го</w:t>
      </w:r>
      <w:r w:rsidRPr="00FA4040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// </w:t>
      </w:r>
      <w:r w:rsidRPr="00FA4040">
        <w:rPr>
          <w:rFonts w:ascii="Times New Roman" w:eastAsia="QuantAntiquaBoldItalic" w:hAnsi="Times New Roman" w:cs="Times New Roman"/>
          <w:bCs/>
          <w:iCs/>
          <w:sz w:val="28"/>
          <w:szCs w:val="28"/>
        </w:rPr>
        <w:t>Вестник Томского государственного университета. – №11. – 2011. – С. 45-52.</w:t>
      </w:r>
    </w:p>
    <w:p w:rsidR="00FA4040" w:rsidRPr="00FA4040" w:rsidRDefault="00FA4040" w:rsidP="00FA4040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Береснев А. П. Становление и развитие институциональной системы Европейского союза (1960 начало 1990-х гг. ). // Научные ведомости Белгородского государственного университета. Серия: История. Политология. – № 1 (72). – 2010. – С. 84-91.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Гиниятов Ф. М. Теории европейской интеграции и текущий кризис Европейского союза. // Вестник экономики, права и социологии. – № 2. – 2015. – С. 116-119.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Договор о Европейском Союзе (Маастрихт, 7 февраля 1992 г.). // http://base.garant.ru/2566557/#ixzz4ZJYK8rY8/.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Договор о совместной деятельности в экономической, социальной и культурной сферах и коллективной самообороне (Брюссельский пакт, подписанный 17 марта 1948 г., и измененный Парижским соглашением от 23 октября 1954 г.). // http://eulaw.edu.ru/documents/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legislation/eur_int_law/weu.htm/.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>Д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оговор об учреждении </w:t>
      </w:r>
      <w:r w:rsidRPr="00FA4040">
        <w:rPr>
          <w:rFonts w:ascii="Times New Roman" w:eastAsia="Calibri" w:hAnsi="Times New Roman" w:cs="Times New Roman"/>
          <w:sz w:val="28"/>
          <w:szCs w:val="28"/>
        </w:rPr>
        <w:t>Е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вропейского объединения угля и стали. // http://ppt.ru/newstext.phtml?id=26875/. 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Договор, учреждающий Европейское Сообщество. // http://eulaw.ru/content/2001/.</w:t>
      </w:r>
    </w:p>
    <w:p w:rsidR="00FA4040" w:rsidRPr="00FA4040" w:rsidRDefault="00FA4040" w:rsidP="00FA4040">
      <w:pPr>
        <w:numPr>
          <w:ilvl w:val="0"/>
          <w:numId w:val="1"/>
        </w:numPr>
        <w:spacing w:after="9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Иванчук Д. В. Немецкое «экономическое чудо» и социально-государственное строительство в ФРГ в 1950-е годы. // Вектор науки Тольяттинского государственного университета. – № 2-1 (32-1). – 2015. – С. 86-90.</w:t>
      </w:r>
    </w:p>
    <w:p w:rsidR="00FA4040" w:rsidRPr="00FA4040" w:rsidRDefault="00FA4040" w:rsidP="00FA4040">
      <w:pPr>
        <w:numPr>
          <w:ilvl w:val="0"/>
          <w:numId w:val="1"/>
        </w:numPr>
        <w:spacing w:after="9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Калиш Я. В.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Т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еория и практика интеграции стран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ападной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вропы: актуальные проблемы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//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Гуманитарные науки. Вестник Финансового университета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№ 4 (24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). –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 2016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. – С. 57-62.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Кацин М. Историко-правовое значение Европейского сообщества угля и стали в процессе институционализации европейской экономической интеграции. // Вісник Маріупольського державного університету. Сер.: Право. – № 7. – 2014. – С. 210-217.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Кочева Е. Є. Вальтер Хальштейн и переговоры по плану Шумана (1950-1951 гг. ). // Вестник Томского государственного университета. – № 371. – 2013. – С. 110-113.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Кухнина Л. Ю., Орлова Ю. М. Механизм и перспективы расширения Европейского союза. // Вестник Нижегородского университета им. Н.И. Лобачевского. – № 3 (2). – 2014. – С. 167-170.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Лекаренко О. Г. Позиция администрации Дж. Кеннеди по вопросу о вступлении Великобритании в ЕЭС (март-сентябрь 1961 г.). // Вестник Томского государственного университета. – № 338. – 2010. – С. 93-96. 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Лекаренко О. Г. Политика администрации Д. Эйзенхауэра в связи с подготовкой и подписанием договора о создании Евратома (1955-1957 гг.). // Вестник Томского государственного университета. – № 329. – 2009. – С. 94-101.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Лекаренко О. Г. Политика США в отношении европейской интеграции при президенте Л. Джонсоне. // Вестник Томского государственного университета. – № 395. – 2015. – С. 197-115. 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Лекаренко О. Г. Сотрудничество между США и Евратомом во второй половине 1950-х гг. // Известия Алтайского государственного университета. – № 4-2. – 2009. – С. 107-112.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Макаренков М. В. Европейские сообщества в 80-х годах ХХ века и СССР. // Локус: люди, общество, культуры, смыслы. – № 2. – 2014. – С. 30-38.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Мал</w:t>
      </w:r>
      <w:r w:rsidRPr="00FA4040">
        <w:rPr>
          <w:rFonts w:ascii="Times New Roman" w:eastAsia="Calibri" w:hAnsi="Times New Roman" w:cs="Times New Roman"/>
          <w:sz w:val="28"/>
          <w:szCs w:val="28"/>
        </w:rPr>
        <w:t>ы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шева Н. С. Политические и экономические интересы США в отношении создания Европейского объединения угля и стали (1945-1951 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гг. ). // Известия Алтайского государственного университета. – № 4-4. – 2009. – С. 157-161.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Малышева Н. С. Франко-германские переговоры по плану Шумана в 1950-1951 гг. : поиски компромисса. // Известия Алтайского государственного университета. – № 4. – 2006. – С. 51-53.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Медведев А. И. </w:t>
      </w:r>
      <w:r w:rsidRPr="00FA4040">
        <w:rPr>
          <w:rFonts w:ascii="Times New Roman" w:eastAsia="Calibri" w:hAnsi="Times New Roman" w:cs="Times New Roman"/>
          <w:sz w:val="28"/>
          <w:szCs w:val="28"/>
        </w:rPr>
        <w:t>Э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кономический и</w:t>
      </w: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 валютный союз. // Теория и практика общественного развития. – №3. – 2012. – С. 176-178.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Международная интеграция в Европе // 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Международные экономические отношения</w:t>
      </w:r>
      <w:r w:rsidRPr="00FA4040">
        <w:rPr>
          <w:rFonts w:ascii="Times New Roman" w:eastAsia="Calibri" w:hAnsi="Times New Roman" w:cs="Times New Roman"/>
          <w:sz w:val="28"/>
          <w:szCs w:val="28"/>
        </w:rPr>
        <w:t>.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 / Под ред. В.Е. Рыбалкина. 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 М.: ЮНИТИ, 2006. 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FA40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С. 304-308. 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A40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Мирошников С. Н.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Второе расширение Европейского Союза: политика versus экономика. Греция</w:t>
      </w:r>
      <w:r w:rsidRPr="00FA4040">
        <w:rPr>
          <w:rFonts w:ascii="Times New Roman" w:eastAsia="Calibri" w:hAnsi="Times New Roman" w:cs="Times New Roman"/>
          <w:bCs/>
          <w:caps/>
          <w:color w:val="000000"/>
          <w:sz w:val="28"/>
          <w:szCs w:val="28"/>
          <w:lang w:val="uk-UA"/>
        </w:rPr>
        <w:t xml:space="preserve">. //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Вестник Кемеровского государственного университета. –№ 2 (54).– Том 3. – 2013. – С. 102-106.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Мичурина О. Ю. Место и роль интеграционных процессов в мировой экономике. // Вестник Астраханского государственного технического университета. Серия: Экономика. – № 2. – 2010. – С. 7-17. 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Осадчая И. Европейский Союз – вчера, сегодня, завтра. // http://www.nkj.ru/archive/articles/2957/.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Павлова Е. Б.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Португалия и интеграционные процессы в современном мире: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Политические аспекты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 // http://www.dissercat.com/content/portugaliya-i-integratsionnye-protsessy-v-sovremennom-mire-politicheskie-aspekty.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bCs/>
          <w:color w:val="313131"/>
          <w:sz w:val="28"/>
          <w:szCs w:val="28"/>
          <w:lang w:val="uk-UA"/>
        </w:rPr>
        <w:t>Сенчакова</w:t>
      </w:r>
      <w:r w:rsidRPr="00FA4040">
        <w:rPr>
          <w:rFonts w:ascii="Times New Roman" w:eastAsia="Calibri" w:hAnsi="Times New Roman" w:cs="Times New Roman"/>
          <w:bCs/>
          <w:color w:val="313131"/>
          <w:sz w:val="28"/>
          <w:szCs w:val="28"/>
        </w:rPr>
        <w:t xml:space="preserve"> А. Д. </w:t>
      </w:r>
      <w:r w:rsidRPr="00FA4040">
        <w:rPr>
          <w:rFonts w:ascii="Times New Roman" w:eastAsia="Calibri" w:hAnsi="Times New Roman" w:cs="Times New Roman"/>
          <w:bCs/>
          <w:sz w:val="28"/>
          <w:szCs w:val="28"/>
          <w:bdr w:val="none" w:sz="0" w:space="0" w:color="auto" w:frame="1"/>
        </w:rPr>
        <w:t>В</w:t>
      </w:r>
      <w:r w:rsidRPr="00FA4040">
        <w:rPr>
          <w:rFonts w:ascii="Times New Roman" w:eastAsia="Calibri" w:hAnsi="Times New Roman" w:cs="Times New Roman"/>
          <w:bCs/>
          <w:sz w:val="28"/>
          <w:szCs w:val="28"/>
          <w:bdr w:val="none" w:sz="0" w:space="0" w:color="auto" w:frame="1"/>
          <w:lang w:val="uk-UA"/>
        </w:rPr>
        <w:t xml:space="preserve">ступление в </w:t>
      </w:r>
      <w:r w:rsidRPr="00FA4040">
        <w:rPr>
          <w:rFonts w:ascii="Times New Roman" w:eastAsia="Calibri" w:hAnsi="Times New Roman" w:cs="Times New Roman"/>
          <w:bCs/>
          <w:sz w:val="28"/>
          <w:szCs w:val="28"/>
          <w:bdr w:val="none" w:sz="0" w:space="0" w:color="auto" w:frame="1"/>
        </w:rPr>
        <w:t>Е</w:t>
      </w:r>
      <w:r w:rsidRPr="00FA4040">
        <w:rPr>
          <w:rFonts w:ascii="Times New Roman" w:eastAsia="Calibri" w:hAnsi="Times New Roman" w:cs="Times New Roman"/>
          <w:bCs/>
          <w:sz w:val="28"/>
          <w:szCs w:val="28"/>
          <w:bdr w:val="none" w:sz="0" w:space="0" w:color="auto" w:frame="1"/>
          <w:lang w:val="uk-UA"/>
        </w:rPr>
        <w:t xml:space="preserve">вропейский </w:t>
      </w:r>
      <w:r w:rsidRPr="00FA4040">
        <w:rPr>
          <w:rFonts w:ascii="Times New Roman" w:eastAsia="Calibri" w:hAnsi="Times New Roman" w:cs="Times New Roman"/>
          <w:bCs/>
          <w:sz w:val="28"/>
          <w:szCs w:val="28"/>
          <w:bdr w:val="none" w:sz="0" w:space="0" w:color="auto" w:frame="1"/>
        </w:rPr>
        <w:t>С</w:t>
      </w:r>
      <w:r w:rsidRPr="00FA4040">
        <w:rPr>
          <w:rFonts w:ascii="Times New Roman" w:eastAsia="Calibri" w:hAnsi="Times New Roman" w:cs="Times New Roman"/>
          <w:bCs/>
          <w:sz w:val="28"/>
          <w:szCs w:val="28"/>
          <w:bdr w:val="none" w:sz="0" w:space="0" w:color="auto" w:frame="1"/>
          <w:lang w:val="uk-UA"/>
        </w:rPr>
        <w:t xml:space="preserve">оюз как залог экономического процветания // </w:t>
      </w:r>
      <w:r w:rsidRPr="00FA4040">
        <w:rPr>
          <w:rFonts w:ascii="Times New Roman" w:eastAsia="Calibri" w:hAnsi="Times New Roman" w:cs="Times New Roman"/>
          <w:bCs/>
          <w:sz w:val="28"/>
          <w:szCs w:val="28"/>
          <w:bdr w:val="none" w:sz="0" w:space="0" w:color="auto" w:frame="1"/>
        </w:rPr>
        <w:t>С</w:t>
      </w:r>
      <w:r w:rsidRPr="00FA4040">
        <w:rPr>
          <w:rFonts w:ascii="Times New Roman" w:eastAsia="Calibri" w:hAnsi="Times New Roman" w:cs="Times New Roman"/>
          <w:bCs/>
          <w:sz w:val="28"/>
          <w:szCs w:val="28"/>
          <w:bdr w:val="none" w:sz="0" w:space="0" w:color="auto" w:frame="1"/>
          <w:lang w:val="uk-UA"/>
        </w:rPr>
        <w:t>б. ст. по материалам XVII студ. междунар. заочной науч.-практ. конф</w:t>
      </w:r>
      <w:r w:rsidRPr="00FA4040">
        <w:rPr>
          <w:rFonts w:ascii="Times New Roman" w:eastAsia="Calibri" w:hAnsi="Times New Roman" w:cs="Times New Roman"/>
          <w:bCs/>
          <w:caps/>
          <w:sz w:val="28"/>
          <w:szCs w:val="28"/>
          <w:bdr w:val="none" w:sz="0" w:space="0" w:color="auto" w:frame="1"/>
          <w:lang w:val="uk-UA"/>
        </w:rPr>
        <w:t xml:space="preserve">. </w:t>
      </w:r>
      <w:r w:rsidRPr="00FA4040">
        <w:rPr>
          <w:rFonts w:ascii="Times New Roman" w:eastAsia="Calibri" w:hAnsi="Times New Roman" w:cs="Times New Roman"/>
          <w:bCs/>
          <w:caps/>
          <w:sz w:val="28"/>
          <w:szCs w:val="28"/>
          <w:bdr w:val="none" w:sz="0" w:space="0" w:color="auto" w:frame="1"/>
        </w:rPr>
        <w:t>–</w:t>
      </w:r>
      <w:r w:rsidRPr="00FA4040">
        <w:rPr>
          <w:rFonts w:ascii="Times New Roman" w:eastAsia="Calibri" w:hAnsi="Times New Roman" w:cs="Times New Roman"/>
          <w:bCs/>
          <w:caps/>
          <w:sz w:val="28"/>
          <w:szCs w:val="28"/>
          <w:bdr w:val="none" w:sz="0" w:space="0" w:color="auto" w:frame="1"/>
          <w:lang w:val="uk-UA"/>
        </w:rPr>
        <w:t xml:space="preserve"> М.: «МЦНО». </w:t>
      </w:r>
      <w:r w:rsidRPr="00FA4040">
        <w:rPr>
          <w:rFonts w:ascii="Times New Roman" w:eastAsia="Calibri" w:hAnsi="Times New Roman" w:cs="Times New Roman"/>
          <w:bCs/>
          <w:caps/>
          <w:sz w:val="28"/>
          <w:szCs w:val="28"/>
          <w:bdr w:val="none" w:sz="0" w:space="0" w:color="auto" w:frame="1"/>
        </w:rPr>
        <w:t>–</w:t>
      </w:r>
      <w:r w:rsidRPr="00FA4040">
        <w:rPr>
          <w:rFonts w:ascii="Times New Roman" w:eastAsia="Calibri" w:hAnsi="Times New Roman" w:cs="Times New Roman"/>
          <w:bCs/>
          <w:caps/>
          <w:sz w:val="28"/>
          <w:szCs w:val="28"/>
          <w:bdr w:val="none" w:sz="0" w:space="0" w:color="auto" w:frame="1"/>
          <w:lang w:val="uk-UA"/>
        </w:rPr>
        <w:t xml:space="preserve"> 2014 </w:t>
      </w:r>
      <w:r w:rsidRPr="00FA4040">
        <w:rPr>
          <w:rFonts w:ascii="Times New Roman" w:eastAsia="Calibri" w:hAnsi="Times New Roman" w:cs="Times New Roman"/>
          <w:bCs/>
          <w:caps/>
          <w:sz w:val="28"/>
          <w:szCs w:val="28"/>
          <w:bdr w:val="none" w:sz="0" w:space="0" w:color="auto" w:frame="1"/>
        </w:rPr>
        <w:t xml:space="preserve">– </w:t>
      </w:r>
      <w:r w:rsidRPr="00FA4040">
        <w:rPr>
          <w:rFonts w:ascii="Times New Roman" w:eastAsia="Calibri" w:hAnsi="Times New Roman" w:cs="Times New Roman"/>
          <w:bCs/>
          <w:caps/>
          <w:sz w:val="28"/>
          <w:szCs w:val="28"/>
          <w:bdr w:val="none" w:sz="0" w:space="0" w:color="auto" w:frame="1"/>
          <w:lang w:val="uk-UA"/>
        </w:rPr>
        <w:t>№ 10(17)</w:t>
      </w:r>
      <w:r w:rsidRPr="00FA4040">
        <w:rPr>
          <w:rFonts w:ascii="Times New Roman" w:eastAsia="Calibri" w:hAnsi="Times New Roman" w:cs="Times New Roman"/>
          <w:bCs/>
          <w:caps/>
          <w:sz w:val="28"/>
          <w:szCs w:val="28"/>
          <w:bdr w:val="none" w:sz="0" w:space="0" w:color="auto" w:frame="1"/>
        </w:rPr>
        <w:t>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Синдеев А. А. Аденауэр и подготовка плана Шумана. // Вестник Костромского государственного университета им. Н.А. Некрасова. – № 1 (17). – 2011. –  С. 75-78.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Системная история международных отношений в четырех томах. 1918-2003. События и документы / Под ред. А.Д. Богатурова. Том III, М.: НОФМО, 2003-2004. – 720 с.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Системная история международных отношений в четырех томах. 1918-2003. События и документы / Под ред. А.Д. Богатурова. том IV, М.: НОФМО, 2003-2004. – 600 с.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Суслова Т.Л. Динамика европейской интеграции: теоретические закономерности, политические тенденции и результаты институционализации: дис. канд. полит. наук: 23.00.02 / Т.Л. Суслова. – Н. Новгород, 2005. – 292 c.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Фомичев В. И. Европейское объединение угля и стали. // http://polbu.ru/fomichev_inttrading/ch31_all.html/.</w:t>
      </w:r>
    </w:p>
    <w:p w:rsidR="00FA4040" w:rsidRPr="00FA4040" w:rsidRDefault="00FA4040" w:rsidP="00FA4040">
      <w:pPr>
        <w:numPr>
          <w:ilvl w:val="0"/>
          <w:numId w:val="1"/>
        </w:numPr>
        <w:spacing w:after="9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Хахалкина Е. В. Британо-французские отношения в контексте европейской интеграции в 1957-1958 гг. // Вестник Томского государственного университета. История. – № 1 (17). – 2012. – С. 147-155.</w:t>
      </w:r>
    </w:p>
    <w:p w:rsidR="00FA4040" w:rsidRPr="00FA4040" w:rsidRDefault="00FA4040" w:rsidP="00FA4040">
      <w:pPr>
        <w:numPr>
          <w:ilvl w:val="0"/>
          <w:numId w:val="1"/>
        </w:numPr>
        <w:spacing w:after="9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Хахалкина Е. В.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еколонизация в контексте политики развития ЕС и миграционного законодательства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еликобритании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//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Вестник Томского государственного университета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№ 382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. –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 2014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. – С. 125-132.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</w:rPr>
        <w:t xml:space="preserve">Цветков Н. Н.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азвитие европейской интеграции и её влияние на торгово-экономические показатели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ермании</w:t>
      </w:r>
      <w:r w:rsidRPr="00FA4040">
        <w:rPr>
          <w:rFonts w:ascii="Times New Roman" w:eastAsia="Calibri" w:hAnsi="Times New Roman" w:cs="Times New Roman"/>
          <w:bCs/>
          <w:caps/>
          <w:color w:val="000000"/>
          <w:sz w:val="28"/>
          <w:szCs w:val="28"/>
        </w:rPr>
        <w:t xml:space="preserve">. //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Проблемы современной экономики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№ 1 (57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). –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 2016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. – С. 146-149.</w:t>
      </w:r>
    </w:p>
    <w:p w:rsidR="00FA4040" w:rsidRPr="00FA4040" w:rsidRDefault="00FA4040" w:rsidP="00FA4040">
      <w:pPr>
        <w:numPr>
          <w:ilvl w:val="0"/>
          <w:numId w:val="1"/>
        </w:numPr>
        <w:spacing w:after="9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Чепик В. Н. Интеграционная политика Великобритании в Западной Европе в конце 1960-Х первой половине 1970-х годов.  // Вестник Санкт-Петербургского университета. Серия 2. История. – № 2. – 2015. – С. 148-158. </w:t>
      </w:r>
    </w:p>
    <w:p w:rsidR="00FA4040" w:rsidRPr="00FA4040" w:rsidRDefault="00FA4040" w:rsidP="00FA4040">
      <w:pPr>
        <w:numPr>
          <w:ilvl w:val="0"/>
          <w:numId w:val="1"/>
        </w:numPr>
        <w:spacing w:after="9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FA40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Cotta M</w:t>
      </w:r>
      <w:r w:rsidRPr="00FA404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., </w:t>
      </w:r>
      <w:r w:rsidRPr="00FA40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Russo F</w:t>
      </w:r>
      <w:r w:rsidRPr="00FA404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.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Beyond Eurosceptisism And Euriphilia: Multiple Views About Europe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//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Сравнительная политика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–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№ 1 (14)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–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2014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–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102-119.</w:t>
      </w:r>
    </w:p>
    <w:p w:rsidR="00FA4040" w:rsidRPr="00FA4040" w:rsidRDefault="00FA4040" w:rsidP="00FA4040">
      <w:pPr>
        <w:numPr>
          <w:ilvl w:val="0"/>
          <w:numId w:val="1"/>
        </w:numPr>
        <w:spacing w:after="9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History of European Integration. // http://europejskiportal.eu/history-of-european-integration/.</w:t>
      </w:r>
    </w:p>
    <w:p w:rsidR="00FA4040" w:rsidRPr="00FA4040" w:rsidRDefault="00FA4040" w:rsidP="00FA4040">
      <w:pPr>
        <w:numPr>
          <w:ilvl w:val="0"/>
          <w:numId w:val="1"/>
        </w:numPr>
        <w:spacing w:after="9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FA40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Makukh V</w:t>
      </w:r>
      <w:r w:rsidRPr="00FA404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.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Comparative Analysis Of The Euro-Integration Dynamics Of The European Neighborhood Policy Member States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//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Central Asia and the Caucasus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– 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№ 6 (54)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 2008</w:t>
      </w:r>
      <w:r w:rsidRPr="00FA404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 P. 17-25.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Poelmans E. The emergence of the ‘coastal steelworks’ in the European Coal and Steel Community (ECSC).</w:t>
      </w:r>
      <w:r w:rsidRPr="00FA40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// https://lirias.kuleuven.be/bitstream/123456789/230197/1/.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Reynolds P. A. The European Coal and Steel Community. // http://onlinelibrary.wiley.com/doi/10.1111/j.1467-923X.1952.tb02709.x/abstract/.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The history of the European Union. // https://europa.eu/european-union/about-eu/history_en/.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Transnational Relations and World Politics / Ed. by R. Keohane, J. Nye. Cambridge: Harvard University Press, 1972.</w:t>
      </w:r>
    </w:p>
    <w:p w:rsidR="00FA4040" w:rsidRPr="00FA4040" w:rsidRDefault="00FA4040" w:rsidP="00FA4040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A4040">
        <w:rPr>
          <w:rFonts w:ascii="Times New Roman" w:eastAsia="Calibri" w:hAnsi="Times New Roman" w:cs="Times New Roman"/>
          <w:sz w:val="28"/>
          <w:szCs w:val="28"/>
          <w:lang w:val="uk-UA"/>
        </w:rPr>
        <w:t>Weil L. G. A Handbook on the European Economic Community. // http://aei.pitt.edu/3216/1/3216.pdf</w:t>
      </w:r>
    </w:p>
    <w:p w:rsidR="00FA4040" w:rsidRPr="00FA4040" w:rsidRDefault="00FA4040">
      <w:pPr>
        <w:rPr>
          <w:lang w:val="uk-UA"/>
        </w:rPr>
      </w:pPr>
      <w:bookmarkStart w:id="3" w:name="_GoBack"/>
      <w:bookmarkEnd w:id="3"/>
    </w:p>
    <w:sectPr w:rsidR="00FA4040" w:rsidRPr="00FA40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QuantAntiquaBold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827D8E"/>
    <w:multiLevelType w:val="hybridMultilevel"/>
    <w:tmpl w:val="EAB0EFC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7BA9"/>
    <w:rsid w:val="00017BA9"/>
    <w:rsid w:val="00AA1F8F"/>
    <w:rsid w:val="00FA4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8C4499-2FCB-426E-A52D-463D224A8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3075</Words>
  <Characters>17528</Characters>
  <Application>Microsoft Office Word</Application>
  <DocSecurity>0</DocSecurity>
  <Lines>146</Lines>
  <Paragraphs>41</Paragraphs>
  <ScaleCrop>false</ScaleCrop>
  <Company/>
  <LinksUpToDate>false</LinksUpToDate>
  <CharactersWithSpaces>20562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2018-04-18T11:26:00Z</dcterms:created>
  <dcterms:modified xsi:type="dcterms:W3CDTF">2018-04-18T11:28:00Z</dcterms:modified>
</cp:coreProperties>
</file>