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0673" w:rsidRDefault="00D60673" w:rsidP="00D60673">
      <w:pPr>
        <w:pStyle w:val="a3"/>
        <w:spacing w:before="67"/>
        <w:ind w:left="754" w:right="416"/>
        <w:jc w:val="center"/>
      </w:pPr>
      <w:r>
        <w:t>ОДЕСЬКИЙ</w:t>
      </w:r>
      <w:r>
        <w:rPr>
          <w:spacing w:val="-11"/>
        </w:rPr>
        <w:t xml:space="preserve"> </w:t>
      </w:r>
      <w:r>
        <w:t>НАЦІОНАЛЬНИЙ</w:t>
      </w:r>
      <w:r>
        <w:rPr>
          <w:spacing w:val="-2"/>
        </w:rPr>
        <w:t xml:space="preserve"> </w:t>
      </w:r>
      <w:r>
        <w:t>УНІВЕРСИТЕТ</w:t>
      </w:r>
      <w:r>
        <w:rPr>
          <w:spacing w:val="-7"/>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D60673" w:rsidRDefault="00D60673" w:rsidP="00D60673">
      <w:pPr>
        <w:pStyle w:val="a3"/>
        <w:spacing w:before="2"/>
        <w:ind w:left="2836" w:right="2485" w:firstLine="987"/>
      </w:pPr>
      <w:r>
        <w:t>Факультет хімії та фармації Кафедра</w:t>
      </w:r>
      <w:r>
        <w:rPr>
          <w:spacing w:val="-9"/>
        </w:rPr>
        <w:t xml:space="preserve"> </w:t>
      </w:r>
      <w:r>
        <w:t>органічної</w:t>
      </w:r>
      <w:r>
        <w:rPr>
          <w:spacing w:val="-11"/>
        </w:rPr>
        <w:t xml:space="preserve"> </w:t>
      </w:r>
      <w:r>
        <w:t>та</w:t>
      </w:r>
      <w:r>
        <w:rPr>
          <w:spacing w:val="-9"/>
        </w:rPr>
        <w:t xml:space="preserve"> </w:t>
      </w:r>
      <w:r>
        <w:t>фармацевтичної</w:t>
      </w:r>
      <w:r>
        <w:rPr>
          <w:spacing w:val="-11"/>
        </w:rPr>
        <w:t xml:space="preserve"> </w:t>
      </w:r>
      <w:r>
        <w:t>хімії</w:t>
      </w:r>
    </w:p>
    <w:p w:rsidR="00D60673" w:rsidRDefault="00D60673" w:rsidP="00D60673">
      <w:pPr>
        <w:pStyle w:val="a3"/>
        <w:ind w:left="0"/>
      </w:pPr>
    </w:p>
    <w:p w:rsidR="00D60673" w:rsidRDefault="00D60673" w:rsidP="00D60673">
      <w:pPr>
        <w:pStyle w:val="a3"/>
        <w:ind w:left="0"/>
      </w:pPr>
    </w:p>
    <w:p w:rsidR="00D60673" w:rsidRDefault="00D60673" w:rsidP="00D60673">
      <w:pPr>
        <w:pStyle w:val="a3"/>
        <w:spacing w:before="144"/>
        <w:ind w:left="0"/>
      </w:pPr>
    </w:p>
    <w:p w:rsidR="00D60673" w:rsidRDefault="00D60673" w:rsidP="00D60673">
      <w:pPr>
        <w:pStyle w:val="a5"/>
        <w:ind w:right="416" w:firstLine="0"/>
        <w:jc w:val="center"/>
      </w:pPr>
      <w:r>
        <w:rPr>
          <w:spacing w:val="-2"/>
        </w:rPr>
        <w:t>Кваліфікаційна</w:t>
      </w:r>
      <w:r>
        <w:rPr>
          <w:spacing w:val="6"/>
        </w:rPr>
        <w:t xml:space="preserve"> </w:t>
      </w:r>
      <w:r>
        <w:rPr>
          <w:spacing w:val="-2"/>
        </w:rPr>
        <w:t>робота</w:t>
      </w:r>
    </w:p>
    <w:p w:rsidR="00D60673" w:rsidRDefault="00D60673" w:rsidP="00D60673">
      <w:pPr>
        <w:spacing w:before="361"/>
        <w:ind w:left="744" w:right="416"/>
        <w:jc w:val="center"/>
        <w:rPr>
          <w:sz w:val="32"/>
        </w:rPr>
      </w:pPr>
      <w:r>
        <w:rPr>
          <w:sz w:val="32"/>
        </w:rPr>
        <w:t>на</w:t>
      </w:r>
      <w:r>
        <w:rPr>
          <w:spacing w:val="-11"/>
          <w:sz w:val="32"/>
        </w:rPr>
        <w:t xml:space="preserve"> </w:t>
      </w:r>
      <w:r>
        <w:rPr>
          <w:sz w:val="32"/>
        </w:rPr>
        <w:t>здобуття</w:t>
      </w:r>
      <w:r>
        <w:rPr>
          <w:spacing w:val="-8"/>
          <w:sz w:val="32"/>
        </w:rPr>
        <w:t xml:space="preserve"> </w:t>
      </w:r>
      <w:r>
        <w:rPr>
          <w:sz w:val="32"/>
        </w:rPr>
        <w:t>ступеня</w:t>
      </w:r>
      <w:r>
        <w:rPr>
          <w:spacing w:val="-11"/>
          <w:sz w:val="32"/>
        </w:rPr>
        <w:t xml:space="preserve"> </w:t>
      </w:r>
      <w:r>
        <w:rPr>
          <w:sz w:val="32"/>
        </w:rPr>
        <w:t>вищої</w:t>
      </w:r>
      <w:r>
        <w:rPr>
          <w:spacing w:val="-10"/>
          <w:sz w:val="32"/>
        </w:rPr>
        <w:t xml:space="preserve"> </w:t>
      </w:r>
      <w:r>
        <w:rPr>
          <w:sz w:val="32"/>
        </w:rPr>
        <w:t>освіти</w:t>
      </w:r>
      <w:r>
        <w:rPr>
          <w:spacing w:val="-9"/>
          <w:sz w:val="32"/>
        </w:rPr>
        <w:t xml:space="preserve"> </w:t>
      </w:r>
      <w:r>
        <w:rPr>
          <w:spacing w:val="-2"/>
          <w:sz w:val="32"/>
        </w:rPr>
        <w:t>Магістр</w:t>
      </w:r>
    </w:p>
    <w:p w:rsidR="00D60673" w:rsidRDefault="00D60673" w:rsidP="00D60673">
      <w:pPr>
        <w:pStyle w:val="a3"/>
        <w:spacing w:before="3"/>
        <w:ind w:left="0"/>
        <w:rPr>
          <w:sz w:val="32"/>
        </w:rPr>
      </w:pPr>
    </w:p>
    <w:p w:rsidR="00D60673" w:rsidRDefault="00D60673" w:rsidP="00D60673">
      <w:pPr>
        <w:pStyle w:val="a5"/>
        <w:spacing w:before="1" w:line="360" w:lineRule="auto"/>
        <w:ind w:left="2988"/>
      </w:pPr>
      <w:r>
        <w:t>«Верифікація</w:t>
      </w:r>
      <w:r>
        <w:rPr>
          <w:spacing w:val="-10"/>
        </w:rPr>
        <w:t xml:space="preserve"> </w:t>
      </w:r>
      <w:r>
        <w:t>фізико-хімічних</w:t>
      </w:r>
      <w:r>
        <w:rPr>
          <w:spacing w:val="-9"/>
        </w:rPr>
        <w:t xml:space="preserve"> </w:t>
      </w:r>
      <w:r>
        <w:t>параметрів</w:t>
      </w:r>
      <w:r>
        <w:rPr>
          <w:spacing w:val="-10"/>
        </w:rPr>
        <w:t xml:space="preserve"> </w:t>
      </w:r>
      <w:r>
        <w:t>Фабомотизолу</w:t>
      </w:r>
      <w:r>
        <w:rPr>
          <w:spacing w:val="-9"/>
        </w:rPr>
        <w:t xml:space="preserve"> </w:t>
      </w:r>
      <w:r>
        <w:t>в процесі фармацевтичної розробки»</w:t>
      </w:r>
    </w:p>
    <w:p w:rsidR="00D60673" w:rsidRDefault="00D60673" w:rsidP="00D60673">
      <w:pPr>
        <w:pStyle w:val="a3"/>
        <w:spacing w:before="318"/>
        <w:ind w:left="743" w:right="416"/>
        <w:jc w:val="center"/>
      </w:pPr>
      <w:r>
        <w:t>«Verification</w:t>
      </w:r>
      <w:r>
        <w:rPr>
          <w:spacing w:val="-2"/>
        </w:rPr>
        <w:t xml:space="preserve"> </w:t>
      </w:r>
      <w:r>
        <w:t>of</w:t>
      </w:r>
      <w:r>
        <w:rPr>
          <w:spacing w:val="-3"/>
        </w:rPr>
        <w:t xml:space="preserve"> </w:t>
      </w:r>
      <w:r>
        <w:t>the</w:t>
      </w:r>
      <w:r>
        <w:rPr>
          <w:spacing w:val="-3"/>
        </w:rPr>
        <w:t xml:space="preserve"> </w:t>
      </w:r>
      <w:r>
        <w:t>physicochemical</w:t>
      </w:r>
      <w:r>
        <w:rPr>
          <w:spacing w:val="-5"/>
        </w:rPr>
        <w:t xml:space="preserve"> </w:t>
      </w:r>
      <w:r>
        <w:t>properties</w:t>
      </w:r>
      <w:r>
        <w:rPr>
          <w:spacing w:val="-5"/>
        </w:rPr>
        <w:t xml:space="preserve"> </w:t>
      </w:r>
      <w:r>
        <w:t>of</w:t>
      </w:r>
      <w:r>
        <w:rPr>
          <w:spacing w:val="-3"/>
        </w:rPr>
        <w:t xml:space="preserve"> </w:t>
      </w:r>
      <w:r>
        <w:t>Fabomotizole</w:t>
      </w:r>
      <w:r>
        <w:rPr>
          <w:spacing w:val="-5"/>
        </w:rPr>
        <w:t xml:space="preserve"> </w:t>
      </w:r>
      <w:r>
        <w:t>in</w:t>
      </w:r>
      <w:r>
        <w:rPr>
          <w:spacing w:val="-2"/>
        </w:rPr>
        <w:t xml:space="preserve"> </w:t>
      </w:r>
      <w:r>
        <w:t>the</w:t>
      </w:r>
      <w:r>
        <w:rPr>
          <w:spacing w:val="-6"/>
        </w:rPr>
        <w:t xml:space="preserve"> </w:t>
      </w:r>
      <w:r>
        <w:t>process</w:t>
      </w:r>
      <w:r>
        <w:rPr>
          <w:spacing w:val="-6"/>
        </w:rPr>
        <w:t xml:space="preserve"> </w:t>
      </w:r>
      <w:r>
        <w:t>of pharmaceutical development »</w:t>
      </w:r>
    </w:p>
    <w:p w:rsidR="00D60673" w:rsidRDefault="00D60673" w:rsidP="00D60673">
      <w:pPr>
        <w:pStyle w:val="a3"/>
        <w:spacing w:before="105"/>
        <w:ind w:left="0"/>
        <w:rPr>
          <w:sz w:val="20"/>
        </w:rPr>
      </w:pPr>
    </w:p>
    <w:tbl>
      <w:tblPr>
        <w:tblStyle w:val="TableNormal"/>
        <w:tblW w:w="0" w:type="auto"/>
        <w:tblInd w:w="124" w:type="dxa"/>
        <w:tblLayout w:type="fixed"/>
        <w:tblLook w:val="01E0" w:firstRow="1" w:lastRow="1" w:firstColumn="1" w:lastColumn="1" w:noHBand="0" w:noVBand="0"/>
      </w:tblPr>
      <w:tblGrid>
        <w:gridCol w:w="4330"/>
        <w:gridCol w:w="1547"/>
        <w:gridCol w:w="4513"/>
      </w:tblGrid>
      <w:tr w:rsidR="00D60673" w:rsidTr="00981153">
        <w:trPr>
          <w:trHeight w:val="2238"/>
        </w:trPr>
        <w:tc>
          <w:tcPr>
            <w:tcW w:w="10390" w:type="dxa"/>
            <w:gridSpan w:val="3"/>
          </w:tcPr>
          <w:p w:rsidR="00D60673" w:rsidRDefault="00D60673" w:rsidP="00981153">
            <w:pPr>
              <w:pStyle w:val="TableParagraph"/>
              <w:spacing w:line="360" w:lineRule="auto"/>
              <w:ind w:left="4447" w:right="1345"/>
              <w:rPr>
                <w:sz w:val="26"/>
              </w:rPr>
            </w:pPr>
            <w:r>
              <w:rPr>
                <w:sz w:val="26"/>
              </w:rPr>
              <w:t>Виконала:</w:t>
            </w:r>
            <w:r>
              <w:rPr>
                <w:spacing w:val="-15"/>
                <w:sz w:val="26"/>
              </w:rPr>
              <w:t xml:space="preserve"> </w:t>
            </w:r>
            <w:r>
              <w:rPr>
                <w:sz w:val="26"/>
              </w:rPr>
              <w:t>здобувачка</w:t>
            </w:r>
            <w:r>
              <w:rPr>
                <w:spacing w:val="-12"/>
                <w:sz w:val="26"/>
              </w:rPr>
              <w:t xml:space="preserve"> </w:t>
            </w:r>
            <w:r>
              <w:rPr>
                <w:sz w:val="26"/>
              </w:rPr>
              <w:t>вищої</w:t>
            </w:r>
            <w:r>
              <w:rPr>
                <w:spacing w:val="-15"/>
                <w:sz w:val="26"/>
              </w:rPr>
              <w:t xml:space="preserve"> </w:t>
            </w:r>
            <w:r>
              <w:rPr>
                <w:sz w:val="26"/>
              </w:rPr>
              <w:t>освіти денної форми навчання</w:t>
            </w:r>
          </w:p>
          <w:p w:rsidR="00D60673" w:rsidRDefault="00D60673" w:rsidP="00981153">
            <w:pPr>
              <w:pStyle w:val="TableParagraph"/>
              <w:spacing w:line="357" w:lineRule="auto"/>
              <w:ind w:left="4447"/>
              <w:rPr>
                <w:sz w:val="26"/>
              </w:rPr>
            </w:pPr>
            <w:r>
              <w:rPr>
                <w:sz w:val="26"/>
              </w:rPr>
              <w:t>спеціальності</w:t>
            </w:r>
            <w:r>
              <w:rPr>
                <w:spacing w:val="-10"/>
                <w:sz w:val="26"/>
              </w:rPr>
              <w:t xml:space="preserve"> </w:t>
            </w:r>
            <w:r>
              <w:rPr>
                <w:sz w:val="26"/>
              </w:rPr>
              <w:t>226</w:t>
            </w:r>
            <w:r>
              <w:rPr>
                <w:spacing w:val="-10"/>
                <w:sz w:val="26"/>
              </w:rPr>
              <w:t xml:space="preserve"> </w:t>
            </w:r>
            <w:r>
              <w:rPr>
                <w:sz w:val="26"/>
              </w:rPr>
              <w:t>«Фармація,</w:t>
            </w:r>
            <w:r>
              <w:rPr>
                <w:spacing w:val="-12"/>
                <w:sz w:val="26"/>
              </w:rPr>
              <w:t xml:space="preserve"> </w:t>
            </w:r>
            <w:r>
              <w:rPr>
                <w:sz w:val="26"/>
              </w:rPr>
              <w:t>промислова</w:t>
            </w:r>
            <w:r>
              <w:rPr>
                <w:spacing w:val="-8"/>
                <w:sz w:val="26"/>
              </w:rPr>
              <w:t xml:space="preserve"> </w:t>
            </w:r>
            <w:r>
              <w:rPr>
                <w:sz w:val="26"/>
              </w:rPr>
              <w:t>фармація» освітня програма «Фармація»</w:t>
            </w:r>
          </w:p>
          <w:p w:rsidR="00D60673" w:rsidRDefault="00D60673" w:rsidP="00981153">
            <w:pPr>
              <w:pStyle w:val="TableParagraph"/>
              <w:ind w:left="4452"/>
              <w:rPr>
                <w:b/>
                <w:sz w:val="26"/>
              </w:rPr>
            </w:pPr>
            <w:r>
              <w:rPr>
                <w:b/>
                <w:sz w:val="26"/>
              </w:rPr>
              <w:t>Валентірова</w:t>
            </w:r>
            <w:r>
              <w:rPr>
                <w:b/>
                <w:spacing w:val="-12"/>
                <w:sz w:val="26"/>
              </w:rPr>
              <w:t xml:space="preserve"> </w:t>
            </w:r>
            <w:r>
              <w:rPr>
                <w:b/>
                <w:sz w:val="26"/>
              </w:rPr>
              <w:t>Єлизавета</w:t>
            </w:r>
            <w:r>
              <w:rPr>
                <w:b/>
                <w:spacing w:val="-13"/>
                <w:sz w:val="26"/>
              </w:rPr>
              <w:t xml:space="preserve"> </w:t>
            </w:r>
            <w:r>
              <w:rPr>
                <w:b/>
                <w:spacing w:val="-2"/>
                <w:sz w:val="26"/>
              </w:rPr>
              <w:t>Юріївна</w:t>
            </w:r>
          </w:p>
        </w:tc>
      </w:tr>
      <w:tr w:rsidR="00D60673" w:rsidTr="00981153">
        <w:trPr>
          <w:trHeight w:val="676"/>
        </w:trPr>
        <w:tc>
          <w:tcPr>
            <w:tcW w:w="10390" w:type="dxa"/>
            <w:gridSpan w:val="3"/>
          </w:tcPr>
          <w:p w:rsidR="00D60673" w:rsidRDefault="00D60673" w:rsidP="00981153">
            <w:pPr>
              <w:pStyle w:val="TableParagraph"/>
              <w:tabs>
                <w:tab w:val="left" w:pos="9600"/>
              </w:tabs>
              <w:spacing w:before="140"/>
              <w:ind w:left="4447"/>
              <w:rPr>
                <w:sz w:val="26"/>
              </w:rPr>
            </w:pPr>
            <w:r>
              <w:rPr>
                <w:sz w:val="26"/>
              </w:rPr>
              <w:t>Керівник: к.</w:t>
            </w:r>
            <w:r>
              <w:rPr>
                <w:spacing w:val="-2"/>
                <w:sz w:val="26"/>
              </w:rPr>
              <w:t xml:space="preserve"> </w:t>
            </w:r>
            <w:r>
              <w:rPr>
                <w:sz w:val="26"/>
              </w:rPr>
              <w:t>х.</w:t>
            </w:r>
            <w:r>
              <w:rPr>
                <w:spacing w:val="-3"/>
                <w:sz w:val="26"/>
              </w:rPr>
              <w:t xml:space="preserve"> </w:t>
            </w:r>
            <w:r>
              <w:rPr>
                <w:sz w:val="26"/>
              </w:rPr>
              <w:t>н.,</w:t>
            </w:r>
            <w:r>
              <w:rPr>
                <w:spacing w:val="-2"/>
                <w:sz w:val="26"/>
              </w:rPr>
              <w:t xml:space="preserve"> </w:t>
            </w:r>
            <w:r>
              <w:rPr>
                <w:sz w:val="26"/>
              </w:rPr>
              <w:t>доц.</w:t>
            </w:r>
            <w:r>
              <w:rPr>
                <w:spacing w:val="-3"/>
                <w:sz w:val="26"/>
              </w:rPr>
              <w:t xml:space="preserve"> </w:t>
            </w:r>
            <w:r>
              <w:rPr>
                <w:sz w:val="26"/>
              </w:rPr>
              <w:t>Ведута</w:t>
            </w:r>
            <w:r>
              <w:rPr>
                <w:spacing w:val="-2"/>
                <w:sz w:val="26"/>
              </w:rPr>
              <w:t xml:space="preserve"> </w:t>
            </w:r>
            <w:r>
              <w:rPr>
                <w:sz w:val="26"/>
              </w:rPr>
              <w:t>В.В.</w:t>
            </w:r>
            <w:r>
              <w:rPr>
                <w:spacing w:val="-2"/>
                <w:sz w:val="26"/>
              </w:rPr>
              <w:t xml:space="preserve"> </w:t>
            </w:r>
            <w:r>
              <w:rPr>
                <w:sz w:val="26"/>
                <w:u w:val="single"/>
              </w:rPr>
              <w:tab/>
            </w:r>
          </w:p>
          <w:p w:rsidR="00D60673" w:rsidRDefault="00D60673" w:rsidP="00981153">
            <w:pPr>
              <w:pStyle w:val="TableParagraph"/>
              <w:spacing w:before="2" w:line="216" w:lineRule="exact"/>
              <w:ind w:right="901"/>
              <w:jc w:val="right"/>
              <w:rPr>
                <w:sz w:val="20"/>
              </w:rPr>
            </w:pPr>
            <w:r>
              <w:rPr>
                <w:spacing w:val="-2"/>
                <w:sz w:val="20"/>
              </w:rPr>
              <w:t>(підпис)</w:t>
            </w:r>
          </w:p>
        </w:tc>
      </w:tr>
      <w:tr w:rsidR="00D60673" w:rsidTr="00981153">
        <w:trPr>
          <w:trHeight w:val="810"/>
        </w:trPr>
        <w:tc>
          <w:tcPr>
            <w:tcW w:w="10390" w:type="dxa"/>
            <w:gridSpan w:val="3"/>
          </w:tcPr>
          <w:p w:rsidR="00D60673" w:rsidRDefault="00D60673" w:rsidP="00981153">
            <w:pPr>
              <w:pStyle w:val="TableParagraph"/>
              <w:tabs>
                <w:tab w:val="left" w:pos="10026"/>
              </w:tabs>
              <w:spacing w:line="293" w:lineRule="exact"/>
              <w:ind w:left="4447"/>
              <w:rPr>
                <w:sz w:val="26"/>
              </w:rPr>
            </w:pPr>
            <w:r>
              <w:rPr>
                <w:sz w:val="26"/>
              </w:rPr>
              <w:t>Рецензент:</w:t>
            </w:r>
            <w:r>
              <w:rPr>
                <w:spacing w:val="-3"/>
                <w:sz w:val="26"/>
              </w:rPr>
              <w:t xml:space="preserve"> </w:t>
            </w:r>
            <w:r>
              <w:rPr>
                <w:sz w:val="26"/>
              </w:rPr>
              <w:t>к.</w:t>
            </w:r>
            <w:r>
              <w:rPr>
                <w:spacing w:val="-3"/>
                <w:sz w:val="26"/>
              </w:rPr>
              <w:t xml:space="preserve"> </w:t>
            </w:r>
            <w:r>
              <w:rPr>
                <w:sz w:val="26"/>
              </w:rPr>
              <w:t>б.</w:t>
            </w:r>
            <w:r>
              <w:rPr>
                <w:spacing w:val="-3"/>
                <w:sz w:val="26"/>
              </w:rPr>
              <w:t xml:space="preserve"> </w:t>
            </w:r>
            <w:r>
              <w:rPr>
                <w:sz w:val="26"/>
              </w:rPr>
              <w:t>н.,</w:t>
            </w:r>
            <w:r>
              <w:rPr>
                <w:spacing w:val="-3"/>
                <w:sz w:val="26"/>
              </w:rPr>
              <w:t xml:space="preserve"> </w:t>
            </w:r>
            <w:r>
              <w:rPr>
                <w:sz w:val="26"/>
              </w:rPr>
              <w:t>доц.</w:t>
            </w:r>
            <w:r>
              <w:rPr>
                <w:spacing w:val="-1"/>
                <w:sz w:val="26"/>
              </w:rPr>
              <w:t xml:space="preserve"> </w:t>
            </w:r>
            <w:r>
              <w:rPr>
                <w:sz w:val="26"/>
              </w:rPr>
              <w:t>Александрова</w:t>
            </w:r>
            <w:r>
              <w:rPr>
                <w:spacing w:val="-2"/>
                <w:sz w:val="26"/>
              </w:rPr>
              <w:t xml:space="preserve"> </w:t>
            </w:r>
            <w:r>
              <w:rPr>
                <w:sz w:val="26"/>
              </w:rPr>
              <w:t xml:space="preserve">О.І. </w:t>
            </w:r>
            <w:r>
              <w:rPr>
                <w:sz w:val="26"/>
                <w:u w:val="single"/>
              </w:rPr>
              <w:tab/>
            </w:r>
          </w:p>
          <w:p w:rsidR="00D60673" w:rsidRDefault="00D60673" w:rsidP="00981153">
            <w:pPr>
              <w:pStyle w:val="TableParagraph"/>
              <w:spacing w:line="230" w:lineRule="exact"/>
              <w:ind w:right="392"/>
              <w:jc w:val="right"/>
              <w:rPr>
                <w:sz w:val="20"/>
              </w:rPr>
            </w:pPr>
            <w:r>
              <w:rPr>
                <w:spacing w:val="-2"/>
                <w:sz w:val="20"/>
              </w:rPr>
              <w:t>(підпис)</w:t>
            </w:r>
          </w:p>
        </w:tc>
      </w:tr>
      <w:tr w:rsidR="00D60673" w:rsidTr="00981153">
        <w:trPr>
          <w:trHeight w:val="1754"/>
        </w:trPr>
        <w:tc>
          <w:tcPr>
            <w:tcW w:w="4330" w:type="dxa"/>
            <w:vMerge w:val="restart"/>
          </w:tcPr>
          <w:p w:rsidR="00D60673" w:rsidRDefault="00D60673" w:rsidP="00981153">
            <w:pPr>
              <w:pStyle w:val="TableParagraph"/>
              <w:spacing w:before="276" w:line="360" w:lineRule="auto"/>
              <w:ind w:left="50" w:right="255"/>
              <w:rPr>
                <w:sz w:val="26"/>
              </w:rPr>
            </w:pPr>
            <w:r>
              <w:rPr>
                <w:sz w:val="26"/>
              </w:rPr>
              <w:t>Рекомендовано до захисту: протокол</w:t>
            </w:r>
            <w:r>
              <w:rPr>
                <w:spacing w:val="-17"/>
                <w:sz w:val="26"/>
              </w:rPr>
              <w:t xml:space="preserve"> </w:t>
            </w:r>
            <w:r>
              <w:rPr>
                <w:sz w:val="26"/>
              </w:rPr>
              <w:t>засідання</w:t>
            </w:r>
            <w:r>
              <w:rPr>
                <w:spacing w:val="-16"/>
                <w:sz w:val="26"/>
              </w:rPr>
              <w:t xml:space="preserve"> </w:t>
            </w:r>
            <w:r>
              <w:rPr>
                <w:sz w:val="26"/>
              </w:rPr>
              <w:t>кафедри</w:t>
            </w:r>
          </w:p>
          <w:p w:rsidR="00D60673" w:rsidRDefault="00D60673" w:rsidP="00981153">
            <w:pPr>
              <w:pStyle w:val="TableParagraph"/>
              <w:tabs>
                <w:tab w:val="left" w:pos="810"/>
                <w:tab w:val="left" w:leader="dot" w:pos="3091"/>
                <w:tab w:val="left" w:pos="3672"/>
              </w:tabs>
              <w:ind w:left="50"/>
              <w:rPr>
                <w:sz w:val="26"/>
              </w:rPr>
            </w:pPr>
            <w:r>
              <w:rPr>
                <w:sz w:val="26"/>
              </w:rPr>
              <w:t xml:space="preserve">№ </w:t>
            </w:r>
            <w:r>
              <w:rPr>
                <w:sz w:val="26"/>
                <w:u w:val="single"/>
              </w:rPr>
              <w:tab/>
            </w:r>
            <w:r>
              <w:rPr>
                <w:spacing w:val="-5"/>
                <w:sz w:val="26"/>
              </w:rPr>
              <w:t>від</w:t>
            </w:r>
            <w:r>
              <w:rPr>
                <w:sz w:val="26"/>
              </w:rPr>
              <w:tab/>
            </w:r>
            <w:r>
              <w:rPr>
                <w:spacing w:val="-5"/>
                <w:sz w:val="26"/>
              </w:rPr>
              <w:t>20</w:t>
            </w:r>
            <w:r>
              <w:rPr>
                <w:sz w:val="26"/>
                <w:u w:val="single"/>
              </w:rPr>
              <w:tab/>
            </w:r>
            <w:r>
              <w:rPr>
                <w:spacing w:val="-5"/>
                <w:sz w:val="26"/>
              </w:rPr>
              <w:t>р.</w:t>
            </w:r>
          </w:p>
          <w:p w:rsidR="00D60673" w:rsidRDefault="00D60673" w:rsidP="00981153">
            <w:pPr>
              <w:pStyle w:val="TableParagraph"/>
              <w:spacing w:before="297"/>
              <w:rPr>
                <w:sz w:val="26"/>
              </w:rPr>
            </w:pPr>
          </w:p>
          <w:p w:rsidR="00D60673" w:rsidRDefault="00D60673" w:rsidP="00981153">
            <w:pPr>
              <w:pStyle w:val="TableParagraph"/>
              <w:spacing w:before="1"/>
              <w:ind w:left="50"/>
              <w:rPr>
                <w:sz w:val="26"/>
              </w:rPr>
            </w:pPr>
            <w:r>
              <w:rPr>
                <w:sz w:val="26"/>
              </w:rPr>
              <w:t>Завідувачка</w:t>
            </w:r>
            <w:r>
              <w:rPr>
                <w:spacing w:val="50"/>
                <w:sz w:val="26"/>
              </w:rPr>
              <w:t xml:space="preserve"> </w:t>
            </w:r>
            <w:r>
              <w:rPr>
                <w:spacing w:val="-2"/>
                <w:sz w:val="26"/>
              </w:rPr>
              <w:t>кафедри</w:t>
            </w:r>
          </w:p>
          <w:p w:rsidR="00D60673" w:rsidRDefault="00D60673" w:rsidP="00981153">
            <w:pPr>
              <w:pStyle w:val="TableParagraph"/>
              <w:tabs>
                <w:tab w:val="left" w:pos="887"/>
              </w:tabs>
              <w:spacing w:before="150"/>
              <w:ind w:left="50"/>
              <w:rPr>
                <w:sz w:val="26"/>
              </w:rPr>
            </w:pPr>
            <w:r>
              <w:rPr>
                <w:sz w:val="26"/>
                <w:u w:val="single"/>
              </w:rPr>
              <w:tab/>
            </w:r>
            <w:r>
              <w:rPr>
                <w:sz w:val="26"/>
              </w:rPr>
              <w:t>д.</w:t>
            </w:r>
            <w:r>
              <w:rPr>
                <w:spacing w:val="-4"/>
                <w:sz w:val="26"/>
              </w:rPr>
              <w:t xml:space="preserve"> </w:t>
            </w:r>
            <w:r>
              <w:rPr>
                <w:sz w:val="26"/>
              </w:rPr>
              <w:t>х.</w:t>
            </w:r>
            <w:r>
              <w:rPr>
                <w:spacing w:val="-5"/>
                <w:sz w:val="26"/>
              </w:rPr>
              <w:t xml:space="preserve"> </w:t>
            </w:r>
            <w:r>
              <w:rPr>
                <w:sz w:val="26"/>
              </w:rPr>
              <w:t>н.,</w:t>
            </w:r>
            <w:r>
              <w:rPr>
                <w:spacing w:val="-6"/>
                <w:sz w:val="26"/>
              </w:rPr>
              <w:t xml:space="preserve"> </w:t>
            </w:r>
            <w:r>
              <w:rPr>
                <w:sz w:val="26"/>
              </w:rPr>
              <w:t>проф.</w:t>
            </w:r>
            <w:r>
              <w:rPr>
                <w:spacing w:val="-4"/>
                <w:sz w:val="26"/>
              </w:rPr>
              <w:t xml:space="preserve"> </w:t>
            </w:r>
            <w:r>
              <w:rPr>
                <w:sz w:val="26"/>
              </w:rPr>
              <w:t>Шевченко</w:t>
            </w:r>
            <w:r>
              <w:rPr>
                <w:spacing w:val="-6"/>
                <w:sz w:val="26"/>
              </w:rPr>
              <w:t xml:space="preserve"> </w:t>
            </w:r>
            <w:r>
              <w:rPr>
                <w:sz w:val="26"/>
              </w:rPr>
              <w:t>О.</w:t>
            </w:r>
            <w:r>
              <w:rPr>
                <w:spacing w:val="-1"/>
                <w:sz w:val="26"/>
              </w:rPr>
              <w:t xml:space="preserve"> </w:t>
            </w:r>
            <w:r>
              <w:rPr>
                <w:spacing w:val="-5"/>
                <w:sz w:val="26"/>
              </w:rPr>
              <w:t>В.</w:t>
            </w:r>
          </w:p>
          <w:p w:rsidR="00D60673" w:rsidRDefault="00D60673" w:rsidP="00981153">
            <w:pPr>
              <w:pStyle w:val="TableParagraph"/>
              <w:spacing w:before="2"/>
              <w:ind w:left="100"/>
              <w:rPr>
                <w:sz w:val="20"/>
              </w:rPr>
            </w:pPr>
            <w:r>
              <w:rPr>
                <w:spacing w:val="-2"/>
                <w:sz w:val="20"/>
              </w:rPr>
              <w:t>(підпис)</w:t>
            </w:r>
          </w:p>
        </w:tc>
        <w:tc>
          <w:tcPr>
            <w:tcW w:w="6060" w:type="dxa"/>
            <w:gridSpan w:val="2"/>
          </w:tcPr>
          <w:p w:rsidR="00D60673" w:rsidRDefault="00D60673" w:rsidP="00981153">
            <w:pPr>
              <w:pStyle w:val="TableParagraph"/>
              <w:tabs>
                <w:tab w:val="left" w:pos="4023"/>
              </w:tabs>
              <w:spacing w:before="276"/>
              <w:ind w:left="117"/>
              <w:rPr>
                <w:sz w:val="26"/>
              </w:rPr>
            </w:pPr>
            <w:r>
              <w:rPr>
                <w:sz w:val="26"/>
              </w:rPr>
              <w:t>Захищено</w:t>
            </w:r>
            <w:r>
              <w:rPr>
                <w:spacing w:val="-7"/>
                <w:sz w:val="26"/>
              </w:rPr>
              <w:t xml:space="preserve"> </w:t>
            </w:r>
            <w:r>
              <w:rPr>
                <w:sz w:val="26"/>
              </w:rPr>
              <w:t>на</w:t>
            </w:r>
            <w:r>
              <w:rPr>
                <w:spacing w:val="-7"/>
                <w:sz w:val="26"/>
              </w:rPr>
              <w:t xml:space="preserve"> </w:t>
            </w:r>
            <w:r>
              <w:rPr>
                <w:sz w:val="26"/>
              </w:rPr>
              <w:t>засіданні</w:t>
            </w:r>
            <w:r>
              <w:rPr>
                <w:spacing w:val="-7"/>
                <w:sz w:val="26"/>
              </w:rPr>
              <w:t xml:space="preserve"> </w:t>
            </w:r>
            <w:r>
              <w:rPr>
                <w:sz w:val="26"/>
              </w:rPr>
              <w:t>ЕК</w:t>
            </w:r>
            <w:r>
              <w:rPr>
                <w:spacing w:val="-7"/>
                <w:sz w:val="26"/>
              </w:rPr>
              <w:t xml:space="preserve"> </w:t>
            </w:r>
            <w:r>
              <w:rPr>
                <w:spacing w:val="-10"/>
                <w:sz w:val="26"/>
              </w:rPr>
              <w:t>№</w:t>
            </w:r>
            <w:r>
              <w:rPr>
                <w:sz w:val="26"/>
                <w:u w:val="single"/>
              </w:rPr>
              <w:tab/>
            </w:r>
          </w:p>
          <w:p w:rsidR="00D60673" w:rsidRDefault="00D60673" w:rsidP="00981153">
            <w:pPr>
              <w:pStyle w:val="TableParagraph"/>
              <w:tabs>
                <w:tab w:val="left" w:pos="2042"/>
                <w:tab w:val="left" w:leader="dot" w:pos="4451"/>
                <w:tab w:val="left" w:pos="5029"/>
              </w:tabs>
              <w:spacing w:before="150"/>
              <w:ind w:left="117"/>
              <w:rPr>
                <w:sz w:val="26"/>
              </w:rPr>
            </w:pPr>
            <w:r>
              <w:rPr>
                <w:sz w:val="26"/>
              </w:rPr>
              <w:t xml:space="preserve">протокол № </w:t>
            </w:r>
            <w:r>
              <w:rPr>
                <w:sz w:val="26"/>
                <w:u w:val="single"/>
              </w:rPr>
              <w:tab/>
            </w:r>
            <w:r>
              <w:rPr>
                <w:spacing w:val="-5"/>
                <w:sz w:val="26"/>
              </w:rPr>
              <w:t>від</w:t>
            </w:r>
            <w:r>
              <w:rPr>
                <w:sz w:val="26"/>
              </w:rPr>
              <w:tab/>
            </w:r>
            <w:r>
              <w:rPr>
                <w:spacing w:val="-5"/>
                <w:sz w:val="26"/>
              </w:rPr>
              <w:t>20</w:t>
            </w:r>
            <w:r>
              <w:rPr>
                <w:sz w:val="26"/>
                <w:u w:val="single"/>
              </w:rPr>
              <w:tab/>
            </w:r>
            <w:r>
              <w:rPr>
                <w:spacing w:val="-5"/>
                <w:sz w:val="26"/>
              </w:rPr>
              <w:t>р.</w:t>
            </w:r>
          </w:p>
          <w:p w:rsidR="00D60673" w:rsidRDefault="00D60673" w:rsidP="00981153">
            <w:pPr>
              <w:pStyle w:val="TableParagraph"/>
              <w:tabs>
                <w:tab w:val="left" w:pos="2521"/>
                <w:tab w:val="left" w:pos="4150"/>
                <w:tab w:val="left" w:pos="5323"/>
              </w:tabs>
              <w:spacing w:before="149" w:line="299" w:lineRule="exact"/>
              <w:ind w:left="117"/>
              <w:rPr>
                <w:sz w:val="26"/>
              </w:rPr>
            </w:pPr>
            <w:r>
              <w:rPr>
                <w:sz w:val="26"/>
              </w:rPr>
              <w:t xml:space="preserve">Оцінка </w:t>
            </w:r>
            <w:r>
              <w:rPr>
                <w:sz w:val="26"/>
                <w:u w:val="single"/>
              </w:rPr>
              <w:tab/>
            </w:r>
            <w:r>
              <w:rPr>
                <w:spacing w:val="-10"/>
                <w:sz w:val="26"/>
              </w:rPr>
              <w:t>/</w:t>
            </w:r>
            <w:r>
              <w:rPr>
                <w:sz w:val="26"/>
                <w:u w:val="single"/>
              </w:rPr>
              <w:tab/>
            </w:r>
            <w:r>
              <w:rPr>
                <w:spacing w:val="-10"/>
                <w:sz w:val="26"/>
              </w:rPr>
              <w:t>/</w:t>
            </w:r>
            <w:r>
              <w:rPr>
                <w:sz w:val="26"/>
                <w:u w:val="single"/>
              </w:rPr>
              <w:tab/>
            </w:r>
          </w:p>
          <w:p w:rsidR="00D60673" w:rsidRDefault="00D60673" w:rsidP="00981153">
            <w:pPr>
              <w:pStyle w:val="TableParagraph"/>
              <w:spacing w:line="230" w:lineRule="exact"/>
              <w:ind w:left="252"/>
              <w:jc w:val="center"/>
              <w:rPr>
                <w:sz w:val="20"/>
              </w:rPr>
            </w:pPr>
            <w:r>
              <w:rPr>
                <w:sz w:val="20"/>
              </w:rPr>
              <w:t>(за</w:t>
            </w:r>
            <w:r>
              <w:rPr>
                <w:spacing w:val="-5"/>
                <w:sz w:val="20"/>
              </w:rPr>
              <w:t xml:space="preserve"> </w:t>
            </w:r>
            <w:r>
              <w:rPr>
                <w:sz w:val="20"/>
              </w:rPr>
              <w:t>національною</w:t>
            </w:r>
            <w:r>
              <w:rPr>
                <w:spacing w:val="-5"/>
                <w:sz w:val="20"/>
              </w:rPr>
              <w:t xml:space="preserve"> </w:t>
            </w:r>
            <w:r>
              <w:rPr>
                <w:sz w:val="20"/>
              </w:rPr>
              <w:t>шкалою</w:t>
            </w:r>
            <w:r>
              <w:rPr>
                <w:spacing w:val="-3"/>
                <w:sz w:val="20"/>
              </w:rPr>
              <w:t xml:space="preserve"> </w:t>
            </w:r>
            <w:r>
              <w:rPr>
                <w:sz w:val="20"/>
              </w:rPr>
              <w:t>/</w:t>
            </w:r>
            <w:r>
              <w:rPr>
                <w:spacing w:val="-6"/>
                <w:sz w:val="20"/>
              </w:rPr>
              <w:t xml:space="preserve"> </w:t>
            </w:r>
            <w:r>
              <w:rPr>
                <w:sz w:val="20"/>
              </w:rPr>
              <w:t>за</w:t>
            </w:r>
            <w:r>
              <w:rPr>
                <w:spacing w:val="-5"/>
                <w:sz w:val="20"/>
              </w:rPr>
              <w:t xml:space="preserve"> </w:t>
            </w:r>
            <w:r>
              <w:rPr>
                <w:sz w:val="20"/>
              </w:rPr>
              <w:t>шкалою</w:t>
            </w:r>
            <w:r>
              <w:rPr>
                <w:spacing w:val="-5"/>
                <w:sz w:val="20"/>
              </w:rPr>
              <w:t xml:space="preserve"> </w:t>
            </w:r>
            <w:r>
              <w:rPr>
                <w:sz w:val="20"/>
              </w:rPr>
              <w:t>ECTS</w:t>
            </w:r>
            <w:r>
              <w:rPr>
                <w:spacing w:val="-5"/>
                <w:sz w:val="20"/>
              </w:rPr>
              <w:t xml:space="preserve"> </w:t>
            </w:r>
            <w:r>
              <w:rPr>
                <w:sz w:val="20"/>
              </w:rPr>
              <w:t>/</w:t>
            </w:r>
            <w:r>
              <w:rPr>
                <w:spacing w:val="-5"/>
                <w:sz w:val="20"/>
              </w:rPr>
              <w:t xml:space="preserve"> </w:t>
            </w:r>
            <w:r>
              <w:rPr>
                <w:spacing w:val="-4"/>
                <w:sz w:val="20"/>
              </w:rPr>
              <w:t>бали)</w:t>
            </w:r>
          </w:p>
        </w:tc>
      </w:tr>
      <w:tr w:rsidR="00D60673" w:rsidTr="00981153">
        <w:trPr>
          <w:trHeight w:val="570"/>
        </w:trPr>
        <w:tc>
          <w:tcPr>
            <w:tcW w:w="4330" w:type="dxa"/>
            <w:vMerge/>
            <w:tcBorders>
              <w:top w:val="nil"/>
            </w:tcBorders>
          </w:tcPr>
          <w:p w:rsidR="00D60673" w:rsidRDefault="00D60673" w:rsidP="00981153">
            <w:pPr>
              <w:rPr>
                <w:sz w:val="2"/>
                <w:szCs w:val="2"/>
              </w:rPr>
            </w:pPr>
          </w:p>
        </w:tc>
        <w:tc>
          <w:tcPr>
            <w:tcW w:w="1547" w:type="dxa"/>
          </w:tcPr>
          <w:p w:rsidR="00D60673" w:rsidRDefault="00D60673" w:rsidP="00981153">
            <w:pPr>
              <w:pStyle w:val="TableParagraph"/>
              <w:spacing w:before="41"/>
              <w:ind w:left="117"/>
              <w:rPr>
                <w:sz w:val="26"/>
              </w:rPr>
            </w:pPr>
            <w:r>
              <w:rPr>
                <w:sz w:val="26"/>
              </w:rPr>
              <w:t>Голова</w:t>
            </w:r>
            <w:r>
              <w:rPr>
                <w:spacing w:val="-8"/>
                <w:sz w:val="26"/>
              </w:rPr>
              <w:t xml:space="preserve"> </w:t>
            </w:r>
            <w:r>
              <w:rPr>
                <w:spacing w:val="-5"/>
                <w:sz w:val="26"/>
              </w:rPr>
              <w:t>ЕК</w:t>
            </w:r>
          </w:p>
        </w:tc>
        <w:tc>
          <w:tcPr>
            <w:tcW w:w="4513" w:type="dxa"/>
          </w:tcPr>
          <w:p w:rsidR="00D60673" w:rsidRDefault="00D60673" w:rsidP="00981153">
            <w:pPr>
              <w:pStyle w:val="TableParagraph"/>
              <w:rPr>
                <w:sz w:val="26"/>
              </w:rPr>
            </w:pPr>
          </w:p>
        </w:tc>
      </w:tr>
      <w:tr w:rsidR="00D60673" w:rsidTr="00981153">
        <w:trPr>
          <w:trHeight w:val="747"/>
        </w:trPr>
        <w:tc>
          <w:tcPr>
            <w:tcW w:w="4330" w:type="dxa"/>
            <w:vMerge/>
            <w:tcBorders>
              <w:top w:val="nil"/>
            </w:tcBorders>
          </w:tcPr>
          <w:p w:rsidR="00D60673" w:rsidRDefault="00D60673" w:rsidP="00981153">
            <w:pPr>
              <w:rPr>
                <w:sz w:val="2"/>
                <w:szCs w:val="2"/>
              </w:rPr>
            </w:pPr>
          </w:p>
        </w:tc>
        <w:tc>
          <w:tcPr>
            <w:tcW w:w="1547" w:type="dxa"/>
          </w:tcPr>
          <w:p w:rsidR="00D60673" w:rsidRDefault="00D60673" w:rsidP="00981153">
            <w:pPr>
              <w:pStyle w:val="TableParagraph"/>
              <w:tabs>
                <w:tab w:val="left" w:pos="1404"/>
              </w:tabs>
              <w:spacing w:before="193"/>
              <w:ind w:left="46"/>
              <w:jc w:val="center"/>
              <w:rPr>
                <w:sz w:val="26"/>
              </w:rPr>
            </w:pPr>
            <w:r>
              <w:rPr>
                <w:w w:val="99"/>
                <w:sz w:val="26"/>
                <w:u w:val="single"/>
              </w:rPr>
              <w:t xml:space="preserve"> </w:t>
            </w:r>
            <w:r>
              <w:rPr>
                <w:sz w:val="26"/>
                <w:u w:val="single"/>
              </w:rPr>
              <w:tab/>
            </w:r>
          </w:p>
          <w:p w:rsidR="00D60673" w:rsidRDefault="00D60673" w:rsidP="00981153">
            <w:pPr>
              <w:pStyle w:val="TableParagraph"/>
              <w:spacing w:before="26" w:line="210" w:lineRule="exact"/>
              <w:ind w:left="46" w:right="56"/>
              <w:jc w:val="center"/>
              <w:rPr>
                <w:sz w:val="20"/>
              </w:rPr>
            </w:pPr>
            <w:r>
              <w:rPr>
                <w:spacing w:val="-2"/>
                <w:sz w:val="20"/>
              </w:rPr>
              <w:t>(підпис)</w:t>
            </w:r>
          </w:p>
        </w:tc>
        <w:tc>
          <w:tcPr>
            <w:tcW w:w="4513" w:type="dxa"/>
          </w:tcPr>
          <w:p w:rsidR="00D60673" w:rsidRDefault="00D60673" w:rsidP="00981153">
            <w:pPr>
              <w:pStyle w:val="TableParagraph"/>
              <w:spacing w:before="219"/>
              <w:ind w:left="131"/>
              <w:rPr>
                <w:sz w:val="26"/>
              </w:rPr>
            </w:pPr>
            <w:r>
              <w:rPr>
                <w:sz w:val="26"/>
              </w:rPr>
              <w:t>д.</w:t>
            </w:r>
            <w:r>
              <w:rPr>
                <w:spacing w:val="-15"/>
                <w:sz w:val="26"/>
              </w:rPr>
              <w:t xml:space="preserve"> </w:t>
            </w:r>
            <w:r>
              <w:rPr>
                <w:sz w:val="26"/>
              </w:rPr>
              <w:t>мед.</w:t>
            </w:r>
            <w:r>
              <w:rPr>
                <w:spacing w:val="-16"/>
                <w:sz w:val="26"/>
              </w:rPr>
              <w:t xml:space="preserve"> </w:t>
            </w:r>
            <w:r>
              <w:rPr>
                <w:sz w:val="26"/>
              </w:rPr>
              <w:t>н.,</w:t>
            </w:r>
            <w:r>
              <w:rPr>
                <w:spacing w:val="-16"/>
                <w:sz w:val="26"/>
              </w:rPr>
              <w:t xml:space="preserve"> </w:t>
            </w:r>
            <w:r>
              <w:rPr>
                <w:sz w:val="26"/>
              </w:rPr>
              <w:t>проф.</w:t>
            </w:r>
            <w:r>
              <w:rPr>
                <w:spacing w:val="32"/>
                <w:sz w:val="26"/>
              </w:rPr>
              <w:t xml:space="preserve"> </w:t>
            </w:r>
            <w:r>
              <w:rPr>
                <w:sz w:val="26"/>
              </w:rPr>
              <w:t>Нефьодов</w:t>
            </w:r>
            <w:r>
              <w:rPr>
                <w:spacing w:val="-17"/>
                <w:sz w:val="26"/>
              </w:rPr>
              <w:t xml:space="preserve"> </w:t>
            </w:r>
            <w:r>
              <w:rPr>
                <w:sz w:val="26"/>
              </w:rPr>
              <w:t>О.</w:t>
            </w:r>
            <w:r>
              <w:rPr>
                <w:spacing w:val="-16"/>
                <w:sz w:val="26"/>
              </w:rPr>
              <w:t xml:space="preserve"> </w:t>
            </w:r>
            <w:r>
              <w:rPr>
                <w:spacing w:val="-5"/>
                <w:sz w:val="26"/>
              </w:rPr>
              <w:t>О.</w:t>
            </w:r>
          </w:p>
        </w:tc>
      </w:tr>
    </w:tbl>
    <w:p w:rsidR="00D60673" w:rsidRDefault="00D60673" w:rsidP="00D60673">
      <w:pPr>
        <w:pStyle w:val="a3"/>
        <w:ind w:left="0"/>
      </w:pPr>
    </w:p>
    <w:p w:rsidR="00D60673" w:rsidRDefault="00D60673" w:rsidP="00D60673">
      <w:pPr>
        <w:pStyle w:val="a3"/>
        <w:spacing w:before="120"/>
        <w:ind w:left="0"/>
      </w:pPr>
    </w:p>
    <w:p w:rsidR="00D60673" w:rsidRDefault="00D60673" w:rsidP="00D60673">
      <w:pPr>
        <w:pStyle w:val="2"/>
        <w:ind w:left="755" w:right="416" w:firstLine="0"/>
        <w:jc w:val="center"/>
      </w:pPr>
      <w:r>
        <w:t>Одеса</w:t>
      </w:r>
      <w:r>
        <w:rPr>
          <w:spacing w:val="-2"/>
        </w:rPr>
        <w:t xml:space="preserve"> </w:t>
      </w:r>
      <w:r>
        <w:t>–</w:t>
      </w:r>
      <w:r>
        <w:rPr>
          <w:spacing w:val="1"/>
        </w:rPr>
        <w:t xml:space="preserve"> </w:t>
      </w:r>
      <w:r>
        <w:rPr>
          <w:spacing w:val="-4"/>
        </w:rPr>
        <w:t>2024</w:t>
      </w:r>
    </w:p>
    <w:p w:rsidR="00D60673" w:rsidRDefault="00D60673" w:rsidP="00D60673">
      <w:pPr>
        <w:jc w:val="center"/>
        <w:sectPr w:rsidR="00D60673" w:rsidSect="00D60673">
          <w:pgSz w:w="11910" w:h="16840"/>
          <w:pgMar w:top="1040" w:right="240" w:bottom="280" w:left="1040" w:header="720" w:footer="720" w:gutter="0"/>
          <w:cols w:space="720"/>
        </w:sectPr>
      </w:pPr>
    </w:p>
    <w:p w:rsidR="00D60673" w:rsidRDefault="00D60673" w:rsidP="00D60673">
      <w:pPr>
        <w:pStyle w:val="a3"/>
        <w:spacing w:before="173"/>
        <w:ind w:left="752" w:right="416"/>
        <w:jc w:val="center"/>
      </w:pPr>
      <w:r>
        <w:rPr>
          <w:spacing w:val="-2"/>
        </w:rPr>
        <w:lastRenderedPageBreak/>
        <w:t>Реферат</w:t>
      </w:r>
    </w:p>
    <w:p w:rsidR="00D60673" w:rsidRDefault="00D60673" w:rsidP="00D60673">
      <w:pPr>
        <w:pStyle w:val="a3"/>
        <w:spacing w:before="131"/>
        <w:ind w:left="0"/>
      </w:pPr>
    </w:p>
    <w:p w:rsidR="00D60673" w:rsidRDefault="00D60673" w:rsidP="00D60673">
      <w:pPr>
        <w:pStyle w:val="a3"/>
        <w:spacing w:line="360" w:lineRule="auto"/>
        <w:ind w:right="321" w:firstLine="707"/>
        <w:jc w:val="both"/>
      </w:pPr>
      <w:r>
        <w:t>Кваліфікаційна робота виконана на кафедрі органічної та фармацевтичної хімії</w:t>
      </w:r>
      <w:r>
        <w:rPr>
          <w:spacing w:val="-8"/>
        </w:rPr>
        <w:t xml:space="preserve"> </w:t>
      </w:r>
      <w:r>
        <w:t>факультету</w:t>
      </w:r>
      <w:r>
        <w:rPr>
          <w:spacing w:val="-12"/>
        </w:rPr>
        <w:t xml:space="preserve"> </w:t>
      </w:r>
      <w:r>
        <w:t>хімії</w:t>
      </w:r>
      <w:r>
        <w:rPr>
          <w:spacing w:val="-8"/>
        </w:rPr>
        <w:t xml:space="preserve"> </w:t>
      </w:r>
      <w:r>
        <w:t>та</w:t>
      </w:r>
      <w:r>
        <w:rPr>
          <w:spacing w:val="-11"/>
        </w:rPr>
        <w:t xml:space="preserve"> </w:t>
      </w:r>
      <w:r>
        <w:t>фармації</w:t>
      </w:r>
      <w:r>
        <w:rPr>
          <w:spacing w:val="-8"/>
        </w:rPr>
        <w:t xml:space="preserve"> </w:t>
      </w:r>
      <w:r>
        <w:t>Одеського</w:t>
      </w:r>
      <w:r>
        <w:rPr>
          <w:spacing w:val="-8"/>
        </w:rPr>
        <w:t xml:space="preserve"> </w:t>
      </w:r>
      <w:r>
        <w:t>національного</w:t>
      </w:r>
      <w:r>
        <w:rPr>
          <w:spacing w:val="-10"/>
        </w:rPr>
        <w:t xml:space="preserve"> </w:t>
      </w:r>
      <w:r>
        <w:t>університету</w:t>
      </w:r>
      <w:r>
        <w:rPr>
          <w:spacing w:val="-12"/>
        </w:rPr>
        <w:t xml:space="preserve"> </w:t>
      </w:r>
      <w:r>
        <w:t>імені</w:t>
      </w:r>
      <w:r>
        <w:rPr>
          <w:spacing w:val="-10"/>
        </w:rPr>
        <w:t xml:space="preserve"> </w:t>
      </w:r>
      <w:r>
        <w:t>І. І. Мечникова і присвячена вивченню фізико-хімічних параметрів активного фармацевтичного інгредієнту анксіолітичного препарату Фабомотизол, представленого на фармацевтичному ринку України препаратом «Бафазол ІС».</w:t>
      </w:r>
    </w:p>
    <w:p w:rsidR="00D60673" w:rsidRDefault="00D60673" w:rsidP="00D60673">
      <w:pPr>
        <w:pStyle w:val="a3"/>
        <w:spacing w:line="360" w:lineRule="auto"/>
        <w:ind w:right="324" w:firstLine="707"/>
        <w:jc w:val="both"/>
      </w:pPr>
      <w:r>
        <w:t xml:space="preserve">Основна мета роботи полягала у вивченні деяких фізико-хімічних властивостей фармацевтичної субстанції Фабомотизолу, а саме вивченню його спектральних, кислотно-основних властивостей, термостабільності та </w:t>
      </w:r>
      <w:r>
        <w:rPr>
          <w:spacing w:val="-2"/>
        </w:rPr>
        <w:t>гігроскопічності.</w:t>
      </w:r>
    </w:p>
    <w:p w:rsidR="00D60673" w:rsidRDefault="00D60673" w:rsidP="00D60673">
      <w:pPr>
        <w:pStyle w:val="a3"/>
        <w:spacing w:before="1" w:line="360" w:lineRule="auto"/>
        <w:ind w:right="323" w:firstLine="707"/>
        <w:jc w:val="both"/>
      </w:pPr>
      <w:r>
        <w:t>За результатами проведеного дослідження були встановленні константи дисоціації протонованих форм Фабомотизолу, склад та властивості його гідратованих форм, термостабільнісь. На основі результатів цього дослідження були обгрунтовані умови зберігання робочих стандартних зразків Фабомотизолу. Було показано, що АФІ Фабомотизолу є досить стійким до дії органічних розчинииків, сильних кислот та основ, відносно стійким до нагрівання і нестійким по відношенню до окисників. При цьому кристалічний Фабомотизол</w:t>
      </w:r>
      <w:r>
        <w:rPr>
          <w:spacing w:val="-11"/>
        </w:rPr>
        <w:t xml:space="preserve"> </w:t>
      </w:r>
      <w:r>
        <w:t>досить</w:t>
      </w:r>
      <w:r>
        <w:rPr>
          <w:spacing w:val="-9"/>
        </w:rPr>
        <w:t xml:space="preserve"> </w:t>
      </w:r>
      <w:r>
        <w:t>гігроскопічний</w:t>
      </w:r>
      <w:r>
        <w:rPr>
          <w:spacing w:val="-10"/>
        </w:rPr>
        <w:t xml:space="preserve"> </w:t>
      </w:r>
      <w:r>
        <w:t>і</w:t>
      </w:r>
      <w:r>
        <w:rPr>
          <w:spacing w:val="-10"/>
        </w:rPr>
        <w:t xml:space="preserve"> </w:t>
      </w:r>
      <w:r>
        <w:t>може</w:t>
      </w:r>
      <w:r>
        <w:rPr>
          <w:spacing w:val="-8"/>
        </w:rPr>
        <w:t xml:space="preserve"> </w:t>
      </w:r>
      <w:r>
        <w:t>утримувати</w:t>
      </w:r>
      <w:r>
        <w:rPr>
          <w:spacing w:val="-8"/>
        </w:rPr>
        <w:t xml:space="preserve"> </w:t>
      </w:r>
      <w:r>
        <w:t>воду</w:t>
      </w:r>
      <w:r>
        <w:rPr>
          <w:spacing w:val="-12"/>
        </w:rPr>
        <w:t xml:space="preserve"> </w:t>
      </w:r>
      <w:r>
        <w:t>не</w:t>
      </w:r>
      <w:r>
        <w:rPr>
          <w:spacing w:val="-9"/>
        </w:rPr>
        <w:t xml:space="preserve"> </w:t>
      </w:r>
      <w:r>
        <w:t>лише</w:t>
      </w:r>
      <w:r>
        <w:rPr>
          <w:spacing w:val="-9"/>
        </w:rPr>
        <w:t xml:space="preserve"> </w:t>
      </w:r>
      <w:r>
        <w:t>за</w:t>
      </w:r>
      <w:r>
        <w:rPr>
          <w:spacing w:val="-11"/>
        </w:rPr>
        <w:t xml:space="preserve"> </w:t>
      </w:r>
      <w:r>
        <w:t>рахунок адгезії, але й в результаті уворення кристалічних моно- та дигідратних форм. Також були визначені константи іонізації Фабомотизолу дигідрохлориду.</w:t>
      </w:r>
    </w:p>
    <w:p w:rsidR="00D60673" w:rsidRDefault="00D60673" w:rsidP="00D60673">
      <w:pPr>
        <w:pStyle w:val="a3"/>
        <w:spacing w:before="2" w:line="360" w:lineRule="auto"/>
        <w:ind w:right="326" w:firstLine="707"/>
        <w:jc w:val="both"/>
      </w:pPr>
      <w:r>
        <w:t>Кваліфікаційна робота викладена на 62 сторінках друкованого тексту та містить: 8 таблиць; 21 рисунок; використано 47 літературних джерел.</w:t>
      </w:r>
    </w:p>
    <w:p w:rsidR="00D60673" w:rsidRDefault="00D60673" w:rsidP="00D60673">
      <w:pPr>
        <w:spacing w:line="360" w:lineRule="auto"/>
        <w:jc w:val="both"/>
        <w:sectPr w:rsidR="00D60673">
          <w:headerReference w:type="default" r:id="rId5"/>
          <w:pgSz w:w="11910" w:h="16840"/>
          <w:pgMar w:top="1040" w:right="240" w:bottom="280" w:left="1040" w:header="710" w:footer="0" w:gutter="0"/>
          <w:pgNumType w:start="2"/>
          <w:cols w:space="720"/>
        </w:sectPr>
      </w:pPr>
    </w:p>
    <w:p w:rsidR="00D60673" w:rsidRDefault="00D60673" w:rsidP="00D60673">
      <w:pPr>
        <w:pStyle w:val="a3"/>
        <w:spacing w:before="175"/>
        <w:ind w:left="748" w:right="416"/>
        <w:jc w:val="center"/>
      </w:pPr>
      <w:r>
        <w:lastRenderedPageBreak/>
        <w:t>ПЕРЕЛІК</w:t>
      </w:r>
      <w:r>
        <w:rPr>
          <w:spacing w:val="-8"/>
        </w:rPr>
        <w:t xml:space="preserve"> </w:t>
      </w:r>
      <w:r>
        <w:t>УМОВНИХ</w:t>
      </w:r>
      <w:r>
        <w:rPr>
          <w:spacing w:val="-6"/>
        </w:rPr>
        <w:t xml:space="preserve"> </w:t>
      </w:r>
      <w:r>
        <w:rPr>
          <w:spacing w:val="-2"/>
        </w:rPr>
        <w:t>ПОЗНАЧЕНЬ</w:t>
      </w:r>
    </w:p>
    <w:p w:rsidR="00D60673" w:rsidRDefault="00D60673" w:rsidP="00D60673">
      <w:pPr>
        <w:pStyle w:val="a3"/>
        <w:ind w:left="0"/>
      </w:pPr>
    </w:p>
    <w:p w:rsidR="00D60673" w:rsidRDefault="00D60673" w:rsidP="00D60673">
      <w:pPr>
        <w:pStyle w:val="a3"/>
        <w:spacing w:before="2"/>
        <w:ind w:left="0"/>
      </w:pPr>
    </w:p>
    <w:p w:rsidR="00D60673" w:rsidRDefault="00D60673" w:rsidP="00D60673">
      <w:pPr>
        <w:pStyle w:val="a3"/>
        <w:spacing w:line="360" w:lineRule="auto"/>
        <w:ind w:right="3908"/>
      </w:pPr>
      <w:r>
        <w:t>АФІ – активний фармацевтичний інгредієнт; ВЕРХ</w:t>
      </w:r>
      <w:r>
        <w:rPr>
          <w:spacing w:val="-10"/>
        </w:rPr>
        <w:t xml:space="preserve"> </w:t>
      </w:r>
      <w:r>
        <w:t>–</w:t>
      </w:r>
      <w:r>
        <w:rPr>
          <w:spacing w:val="-9"/>
        </w:rPr>
        <w:t xml:space="preserve"> </w:t>
      </w:r>
      <w:r>
        <w:t>високоефективна</w:t>
      </w:r>
      <w:r>
        <w:rPr>
          <w:spacing w:val="-11"/>
        </w:rPr>
        <w:t xml:space="preserve"> </w:t>
      </w:r>
      <w:r>
        <w:t>рідинна</w:t>
      </w:r>
      <w:r>
        <w:rPr>
          <w:spacing w:val="-9"/>
        </w:rPr>
        <w:t xml:space="preserve"> </w:t>
      </w:r>
      <w:r>
        <w:t>хроматографія; ГЛС – готовий лікарський засіб;</w:t>
      </w:r>
    </w:p>
    <w:p w:rsidR="00D60673" w:rsidRDefault="00D60673" w:rsidP="00D60673">
      <w:pPr>
        <w:pStyle w:val="a3"/>
        <w:spacing w:line="362" w:lineRule="auto"/>
        <w:ind w:right="5423"/>
      </w:pPr>
      <w:r>
        <w:t>ГЛФ</w:t>
      </w:r>
      <w:r>
        <w:rPr>
          <w:spacing w:val="-11"/>
        </w:rPr>
        <w:t xml:space="preserve"> </w:t>
      </w:r>
      <w:r>
        <w:t>–</w:t>
      </w:r>
      <w:r>
        <w:rPr>
          <w:spacing w:val="-8"/>
        </w:rPr>
        <w:t xml:space="preserve"> </w:t>
      </w:r>
      <w:r>
        <w:t>готова</w:t>
      </w:r>
      <w:r>
        <w:rPr>
          <w:spacing w:val="-9"/>
        </w:rPr>
        <w:t xml:space="preserve"> </w:t>
      </w:r>
      <w:r>
        <w:t>лікарська</w:t>
      </w:r>
      <w:r>
        <w:rPr>
          <w:spacing w:val="-8"/>
        </w:rPr>
        <w:t xml:space="preserve"> </w:t>
      </w:r>
      <w:r>
        <w:t>форма; ДМФА – диметилформамід;</w:t>
      </w:r>
    </w:p>
    <w:p w:rsidR="00D60673" w:rsidRDefault="00D60673" w:rsidP="00D60673">
      <w:pPr>
        <w:pStyle w:val="a3"/>
        <w:spacing w:line="360" w:lineRule="auto"/>
        <w:ind w:right="4080"/>
      </w:pPr>
      <w:r>
        <w:t>ДСК</w:t>
      </w:r>
      <w:r>
        <w:rPr>
          <w:spacing w:val="-10"/>
        </w:rPr>
        <w:t xml:space="preserve"> </w:t>
      </w:r>
      <w:r>
        <w:t>-</w:t>
      </w:r>
      <w:r>
        <w:rPr>
          <w:spacing w:val="-10"/>
        </w:rPr>
        <w:t xml:space="preserve"> </w:t>
      </w:r>
      <w:r>
        <w:t>диференціальна</w:t>
      </w:r>
      <w:r>
        <w:rPr>
          <w:spacing w:val="-9"/>
        </w:rPr>
        <w:t xml:space="preserve"> </w:t>
      </w:r>
      <w:r>
        <w:t>скануюча</w:t>
      </w:r>
      <w:r>
        <w:rPr>
          <w:spacing w:val="-9"/>
        </w:rPr>
        <w:t xml:space="preserve"> </w:t>
      </w:r>
      <w:r>
        <w:t>калориметрія; ІЧ – інфрачервона спектроскопія;</w:t>
      </w:r>
    </w:p>
    <w:p w:rsidR="00D60673" w:rsidRDefault="00D60673" w:rsidP="00D60673">
      <w:pPr>
        <w:pStyle w:val="a3"/>
        <w:spacing w:line="321" w:lineRule="exact"/>
      </w:pPr>
      <w:r>
        <w:t>КРС</w:t>
      </w:r>
      <w:r>
        <w:rPr>
          <w:spacing w:val="-8"/>
        </w:rPr>
        <w:t xml:space="preserve"> </w:t>
      </w:r>
      <w:r>
        <w:t>-</w:t>
      </w:r>
      <w:r>
        <w:rPr>
          <w:spacing w:val="-6"/>
        </w:rPr>
        <w:t xml:space="preserve"> </w:t>
      </w:r>
      <w:r>
        <w:t>комбінаційне</w:t>
      </w:r>
      <w:r>
        <w:rPr>
          <w:spacing w:val="-7"/>
        </w:rPr>
        <w:t xml:space="preserve"> </w:t>
      </w:r>
      <w:r>
        <w:t>розсіювання</w:t>
      </w:r>
      <w:r>
        <w:rPr>
          <w:spacing w:val="-4"/>
        </w:rPr>
        <w:t xml:space="preserve"> </w:t>
      </w:r>
      <w:r>
        <w:rPr>
          <w:spacing w:val="-2"/>
        </w:rPr>
        <w:t>світла;</w:t>
      </w:r>
    </w:p>
    <w:p w:rsidR="00D60673" w:rsidRDefault="00D60673" w:rsidP="00D60673">
      <w:pPr>
        <w:pStyle w:val="a3"/>
        <w:spacing w:before="156" w:line="360" w:lineRule="auto"/>
        <w:ind w:right="3908"/>
      </w:pPr>
      <w:r>
        <w:t>ЛФР</w:t>
      </w:r>
      <w:r>
        <w:rPr>
          <w:spacing w:val="-9"/>
        </w:rPr>
        <w:t xml:space="preserve"> </w:t>
      </w:r>
      <w:r>
        <w:t>–</w:t>
      </w:r>
      <w:r>
        <w:rPr>
          <w:spacing w:val="-8"/>
        </w:rPr>
        <w:t xml:space="preserve"> </w:t>
      </w:r>
      <w:r>
        <w:t>лабораторна</w:t>
      </w:r>
      <w:r>
        <w:rPr>
          <w:spacing w:val="-11"/>
        </w:rPr>
        <w:t xml:space="preserve"> </w:t>
      </w:r>
      <w:r>
        <w:t>фармацевтична</w:t>
      </w:r>
      <w:r>
        <w:rPr>
          <w:spacing w:val="-8"/>
        </w:rPr>
        <w:t xml:space="preserve"> </w:t>
      </w:r>
      <w:r>
        <w:t>технологія; МКЯ – методика контролю якості;</w:t>
      </w:r>
    </w:p>
    <w:p w:rsidR="00D60673" w:rsidRDefault="00D60673" w:rsidP="00D60673">
      <w:pPr>
        <w:pStyle w:val="a3"/>
        <w:spacing w:line="321" w:lineRule="exact"/>
      </w:pPr>
      <w:r>
        <w:t>МС</w:t>
      </w:r>
      <w:r>
        <w:rPr>
          <w:spacing w:val="-3"/>
        </w:rPr>
        <w:t xml:space="preserve"> </w:t>
      </w:r>
      <w:r>
        <w:t>–</w:t>
      </w:r>
      <w:r>
        <w:rPr>
          <w:spacing w:val="-2"/>
        </w:rPr>
        <w:t xml:space="preserve"> </w:t>
      </w:r>
      <w:r>
        <w:t>мас-</w:t>
      </w:r>
      <w:r>
        <w:rPr>
          <w:spacing w:val="-2"/>
        </w:rPr>
        <w:t>спектрометрія;</w:t>
      </w:r>
    </w:p>
    <w:p w:rsidR="00D60673" w:rsidRDefault="00D60673" w:rsidP="00D60673">
      <w:pPr>
        <w:pStyle w:val="a3"/>
        <w:spacing w:before="160" w:line="360" w:lineRule="auto"/>
        <w:ind w:right="1155"/>
      </w:pPr>
      <w:r>
        <w:t>НДЛ</w:t>
      </w:r>
      <w:r>
        <w:rPr>
          <w:spacing w:val="-6"/>
        </w:rPr>
        <w:t xml:space="preserve"> </w:t>
      </w:r>
      <w:r>
        <w:t>ФХМ</w:t>
      </w:r>
      <w:r>
        <w:rPr>
          <w:spacing w:val="-6"/>
        </w:rPr>
        <w:t xml:space="preserve"> </w:t>
      </w:r>
      <w:r>
        <w:t>–</w:t>
      </w:r>
      <w:r>
        <w:rPr>
          <w:spacing w:val="-5"/>
        </w:rPr>
        <w:t xml:space="preserve"> </w:t>
      </w:r>
      <w:r>
        <w:t>науково-дослідна</w:t>
      </w:r>
      <w:r>
        <w:rPr>
          <w:spacing w:val="-5"/>
        </w:rPr>
        <w:t xml:space="preserve"> </w:t>
      </w:r>
      <w:r>
        <w:t>лабораторія</w:t>
      </w:r>
      <w:r>
        <w:rPr>
          <w:spacing w:val="-5"/>
        </w:rPr>
        <w:t xml:space="preserve"> </w:t>
      </w:r>
      <w:r>
        <w:t>фізико-хімічних</w:t>
      </w:r>
      <w:r>
        <w:rPr>
          <w:spacing w:val="-8"/>
        </w:rPr>
        <w:t xml:space="preserve"> </w:t>
      </w:r>
      <w:r>
        <w:t>методів; НПВВ – нарушене повне внутрішнє відбиття;</w:t>
      </w:r>
    </w:p>
    <w:p w:rsidR="00D60673" w:rsidRDefault="00D60673" w:rsidP="00D60673">
      <w:pPr>
        <w:pStyle w:val="a3"/>
        <w:spacing w:before="1" w:line="436" w:lineRule="auto"/>
        <w:ind w:right="3908"/>
      </w:pPr>
      <w:r>
        <w:t>ВООЗ</w:t>
      </w:r>
      <w:r>
        <w:rPr>
          <w:spacing w:val="-6"/>
        </w:rPr>
        <w:t xml:space="preserve"> </w:t>
      </w:r>
      <w:r>
        <w:t>-</w:t>
      </w:r>
      <w:r>
        <w:rPr>
          <w:spacing w:val="-7"/>
        </w:rPr>
        <w:t xml:space="preserve"> </w:t>
      </w:r>
      <w:r>
        <w:t>Всесвітня</w:t>
      </w:r>
      <w:r>
        <w:rPr>
          <w:spacing w:val="-9"/>
        </w:rPr>
        <w:t xml:space="preserve"> </w:t>
      </w:r>
      <w:r>
        <w:t>організація</w:t>
      </w:r>
      <w:r>
        <w:rPr>
          <w:spacing w:val="-6"/>
        </w:rPr>
        <w:t xml:space="preserve"> </w:t>
      </w:r>
      <w:r>
        <w:t>охорони</w:t>
      </w:r>
      <w:r>
        <w:rPr>
          <w:spacing w:val="-6"/>
        </w:rPr>
        <w:t xml:space="preserve"> </w:t>
      </w:r>
      <w:r>
        <w:t>здоров'я; МНН – міжнародна непатентована назва;</w:t>
      </w:r>
    </w:p>
    <w:p w:rsidR="00D60673" w:rsidRDefault="00D60673" w:rsidP="00D60673">
      <w:pPr>
        <w:pStyle w:val="a3"/>
        <w:spacing w:line="322" w:lineRule="exact"/>
      </w:pPr>
      <w:r>
        <w:t>СІЗЗС</w:t>
      </w:r>
      <w:r>
        <w:rPr>
          <w:spacing w:val="-10"/>
        </w:rPr>
        <w:t xml:space="preserve"> </w:t>
      </w:r>
      <w:r>
        <w:t>-</w:t>
      </w:r>
      <w:r>
        <w:rPr>
          <w:spacing w:val="-7"/>
        </w:rPr>
        <w:t xml:space="preserve"> </w:t>
      </w:r>
      <w:r>
        <w:t>селективні</w:t>
      </w:r>
      <w:r>
        <w:rPr>
          <w:spacing w:val="-6"/>
        </w:rPr>
        <w:t xml:space="preserve"> </w:t>
      </w:r>
      <w:r>
        <w:t>інгібітори</w:t>
      </w:r>
      <w:r>
        <w:rPr>
          <w:spacing w:val="-6"/>
        </w:rPr>
        <w:t xml:space="preserve"> </w:t>
      </w:r>
      <w:r>
        <w:t>зворотного</w:t>
      </w:r>
      <w:r>
        <w:rPr>
          <w:spacing w:val="-6"/>
        </w:rPr>
        <w:t xml:space="preserve"> </w:t>
      </w:r>
      <w:r>
        <w:t>захоплення</w:t>
      </w:r>
      <w:r>
        <w:rPr>
          <w:spacing w:val="-6"/>
        </w:rPr>
        <w:t xml:space="preserve"> </w:t>
      </w:r>
      <w:r>
        <w:rPr>
          <w:spacing w:val="-2"/>
        </w:rPr>
        <w:t>серотоніну</w:t>
      </w:r>
    </w:p>
    <w:p w:rsidR="00D60673" w:rsidRDefault="00D60673" w:rsidP="00D60673">
      <w:pPr>
        <w:spacing w:line="322" w:lineRule="exact"/>
        <w:sectPr w:rsidR="00D60673">
          <w:pgSz w:w="11910" w:h="16840"/>
          <w:pgMar w:top="1040" w:right="240" w:bottom="280" w:left="1040" w:header="710" w:footer="0" w:gutter="0"/>
          <w:cols w:space="720"/>
        </w:sectPr>
      </w:pPr>
    </w:p>
    <w:p w:rsidR="00D60673" w:rsidRDefault="00D60673" w:rsidP="00D60673">
      <w:pPr>
        <w:pStyle w:val="a3"/>
        <w:spacing w:before="175"/>
        <w:ind w:left="756" w:right="416"/>
        <w:jc w:val="center"/>
      </w:pPr>
      <w:r>
        <w:rPr>
          <w:spacing w:val="-2"/>
        </w:rPr>
        <w:lastRenderedPageBreak/>
        <w:t>ЗМІСТ</w:t>
      </w:r>
    </w:p>
    <w:sdt>
      <w:sdtPr>
        <w:id w:val="476887232"/>
        <w:docPartObj>
          <w:docPartGallery w:val="Table of Contents"/>
          <w:docPartUnique/>
        </w:docPartObj>
      </w:sdtPr>
      <w:sdtContent>
        <w:p w:rsidR="00D60673" w:rsidRDefault="00D60673" w:rsidP="00D60673">
          <w:pPr>
            <w:pStyle w:val="4"/>
            <w:tabs>
              <w:tab w:val="right" w:leader="dot" w:pos="10293"/>
            </w:tabs>
            <w:spacing w:before="526"/>
            <w:ind w:left="1086"/>
            <w:rPr>
              <w:b w:val="0"/>
              <w:i w:val="0"/>
              <w:sz w:val="28"/>
            </w:rPr>
          </w:pPr>
          <w:hyperlink w:anchor="_bookmark0" w:history="1">
            <w:r>
              <w:rPr>
                <w:i w:val="0"/>
                <w:spacing w:val="-2"/>
                <w:sz w:val="28"/>
              </w:rPr>
              <w:t>ВСТУП</w:t>
            </w:r>
            <w:r>
              <w:rPr>
                <w:b w:val="0"/>
                <w:i w:val="0"/>
                <w:sz w:val="28"/>
              </w:rPr>
              <w:tab/>
            </w:r>
            <w:r>
              <w:rPr>
                <w:b w:val="0"/>
                <w:i w:val="0"/>
                <w:spacing w:val="-10"/>
                <w:sz w:val="28"/>
              </w:rPr>
              <w:t>5</w:t>
            </w:r>
          </w:hyperlink>
        </w:p>
        <w:p w:rsidR="00D60673" w:rsidRDefault="00D60673" w:rsidP="00D60673">
          <w:pPr>
            <w:pStyle w:val="11"/>
            <w:tabs>
              <w:tab w:val="right" w:leader="dot" w:pos="10293"/>
            </w:tabs>
            <w:spacing w:before="167"/>
            <w:rPr>
              <w:rFonts w:ascii="Calibri" w:hAnsi="Calibri"/>
              <w:b w:val="0"/>
              <w:sz w:val="21"/>
            </w:rPr>
          </w:pPr>
          <w:hyperlink w:anchor="_bookmark0" w:history="1">
            <w:r>
              <w:t>РОЗДІЛ</w:t>
            </w:r>
            <w:r>
              <w:rPr>
                <w:spacing w:val="-5"/>
              </w:rPr>
              <w:t xml:space="preserve"> </w:t>
            </w:r>
            <w:r>
              <w:t>1.</w:t>
            </w:r>
            <w:r>
              <w:rPr>
                <w:spacing w:val="-4"/>
              </w:rPr>
              <w:t xml:space="preserve"> </w:t>
            </w:r>
            <w:r>
              <w:t>ОГЛЯД</w:t>
            </w:r>
            <w:r>
              <w:rPr>
                <w:spacing w:val="-4"/>
              </w:rPr>
              <w:t xml:space="preserve"> </w:t>
            </w:r>
            <w:r>
              <w:rPr>
                <w:spacing w:val="-2"/>
              </w:rPr>
              <w:t>ЛІТЕРАТУРИ</w:t>
            </w:r>
            <w:r>
              <w:rPr>
                <w:b w:val="0"/>
              </w:rPr>
              <w:tab/>
            </w:r>
            <w:r>
              <w:rPr>
                <w:rFonts w:ascii="Calibri" w:hAnsi="Calibri"/>
                <w:b w:val="0"/>
                <w:spacing w:val="-10"/>
                <w:sz w:val="21"/>
              </w:rPr>
              <w:t>7</w:t>
            </w:r>
          </w:hyperlink>
        </w:p>
        <w:p w:rsidR="00D60673" w:rsidRDefault="00D60673" w:rsidP="00D60673">
          <w:pPr>
            <w:pStyle w:val="21"/>
            <w:numPr>
              <w:ilvl w:val="1"/>
              <w:numId w:val="3"/>
            </w:numPr>
            <w:tabs>
              <w:tab w:val="left" w:pos="1571"/>
              <w:tab w:val="right" w:leader="dot" w:pos="10293"/>
            </w:tabs>
            <w:spacing w:before="161"/>
            <w:ind w:left="1571" w:hanging="490"/>
          </w:pPr>
          <w:hyperlink w:anchor="_bookmark1" w:history="1">
            <w:r>
              <w:t>Актуальність</w:t>
            </w:r>
            <w:r>
              <w:rPr>
                <w:spacing w:val="-13"/>
              </w:rPr>
              <w:t xml:space="preserve"> </w:t>
            </w:r>
            <w:r>
              <w:rPr>
                <w:spacing w:val="-4"/>
              </w:rPr>
              <w:t>теми</w:t>
            </w:r>
            <w:r>
              <w:tab/>
            </w:r>
            <w:r>
              <w:rPr>
                <w:spacing w:val="-10"/>
              </w:rPr>
              <w:t>7</w:t>
            </w:r>
          </w:hyperlink>
        </w:p>
        <w:p w:rsidR="00D60673" w:rsidRDefault="00D60673" w:rsidP="00D60673">
          <w:pPr>
            <w:pStyle w:val="21"/>
            <w:numPr>
              <w:ilvl w:val="1"/>
              <w:numId w:val="3"/>
            </w:numPr>
            <w:tabs>
              <w:tab w:val="left" w:pos="1512"/>
              <w:tab w:val="right" w:leader="dot" w:pos="10293"/>
            </w:tabs>
            <w:ind w:left="1512" w:hanging="426"/>
            <w:rPr>
              <w:rFonts w:ascii="Calibri" w:hAnsi="Calibri"/>
              <w:sz w:val="21"/>
            </w:rPr>
          </w:pPr>
          <w:hyperlink w:anchor="_bookmark2" w:history="1">
            <w:r>
              <w:t>Історія</w:t>
            </w:r>
            <w:r>
              <w:rPr>
                <w:spacing w:val="-9"/>
              </w:rPr>
              <w:t xml:space="preserve"> </w:t>
            </w:r>
            <w:r>
              <w:t>створення</w:t>
            </w:r>
            <w:r>
              <w:rPr>
                <w:spacing w:val="-6"/>
              </w:rPr>
              <w:t xml:space="preserve"> </w:t>
            </w:r>
            <w:r>
              <w:t>та</w:t>
            </w:r>
            <w:r>
              <w:rPr>
                <w:spacing w:val="-8"/>
              </w:rPr>
              <w:t xml:space="preserve"> </w:t>
            </w:r>
            <w:r>
              <w:t>область</w:t>
            </w:r>
            <w:r>
              <w:rPr>
                <w:spacing w:val="-7"/>
              </w:rPr>
              <w:t xml:space="preserve"> </w:t>
            </w:r>
            <w:r>
              <w:t>використання</w:t>
            </w:r>
            <w:r>
              <w:rPr>
                <w:spacing w:val="-6"/>
              </w:rPr>
              <w:t xml:space="preserve"> </w:t>
            </w:r>
            <w:r>
              <w:t>препарата</w:t>
            </w:r>
            <w:r>
              <w:rPr>
                <w:spacing w:val="-6"/>
              </w:rPr>
              <w:t xml:space="preserve"> </w:t>
            </w:r>
            <w:r>
              <w:rPr>
                <w:spacing w:val="-2"/>
              </w:rPr>
              <w:t>Фабомотизол</w:t>
            </w:r>
            <w:r>
              <w:tab/>
            </w:r>
            <w:r>
              <w:rPr>
                <w:rFonts w:ascii="Calibri" w:hAnsi="Calibri"/>
                <w:spacing w:val="-10"/>
                <w:sz w:val="21"/>
              </w:rPr>
              <w:t>8</w:t>
            </w:r>
          </w:hyperlink>
        </w:p>
        <w:p w:rsidR="00D60673" w:rsidRDefault="00D60673" w:rsidP="00D60673">
          <w:pPr>
            <w:pStyle w:val="21"/>
            <w:numPr>
              <w:ilvl w:val="1"/>
              <w:numId w:val="3"/>
            </w:numPr>
            <w:tabs>
              <w:tab w:val="left" w:pos="1577"/>
              <w:tab w:val="right" w:leader="dot" w:pos="10294"/>
            </w:tabs>
            <w:spacing w:before="163"/>
            <w:ind w:left="1577" w:hanging="491"/>
            <w:rPr>
              <w:rFonts w:ascii="Calibri" w:hAnsi="Calibri"/>
              <w:sz w:val="21"/>
            </w:rPr>
          </w:pPr>
          <w:hyperlink w:anchor="_bookmark3" w:history="1">
            <w:r>
              <w:t>Механізм</w:t>
            </w:r>
            <w:r>
              <w:rPr>
                <w:spacing w:val="-8"/>
              </w:rPr>
              <w:t xml:space="preserve"> </w:t>
            </w:r>
            <w:r>
              <w:t>дії</w:t>
            </w:r>
            <w:r>
              <w:rPr>
                <w:spacing w:val="-3"/>
              </w:rPr>
              <w:t xml:space="preserve"> </w:t>
            </w:r>
            <w:r>
              <w:rPr>
                <w:spacing w:val="-2"/>
              </w:rPr>
              <w:t>Фабомотизолу</w:t>
            </w:r>
            <w:r>
              <w:tab/>
            </w:r>
            <w:r>
              <w:rPr>
                <w:rFonts w:ascii="Calibri" w:hAnsi="Calibri"/>
                <w:spacing w:val="-5"/>
                <w:sz w:val="21"/>
              </w:rPr>
              <w:t>16</w:t>
            </w:r>
          </w:hyperlink>
        </w:p>
        <w:p w:rsidR="00D60673" w:rsidRDefault="00D60673" w:rsidP="00D60673">
          <w:pPr>
            <w:pStyle w:val="21"/>
            <w:numPr>
              <w:ilvl w:val="1"/>
              <w:numId w:val="3"/>
            </w:numPr>
            <w:tabs>
              <w:tab w:val="left" w:pos="1577"/>
              <w:tab w:val="right" w:leader="dot" w:pos="10294"/>
            </w:tabs>
            <w:ind w:left="1577" w:hanging="491"/>
            <w:rPr>
              <w:rFonts w:ascii="Calibri" w:hAnsi="Calibri"/>
              <w:sz w:val="21"/>
            </w:rPr>
          </w:pPr>
          <w:hyperlink w:anchor="_bookmark4" w:history="1">
            <w:r>
              <w:t>Дослідження</w:t>
            </w:r>
            <w:r>
              <w:rPr>
                <w:spacing w:val="-10"/>
              </w:rPr>
              <w:t xml:space="preserve"> </w:t>
            </w:r>
            <w:r>
              <w:t>фізико-хімічних</w:t>
            </w:r>
            <w:r>
              <w:rPr>
                <w:spacing w:val="55"/>
              </w:rPr>
              <w:t xml:space="preserve"> </w:t>
            </w:r>
            <w:r>
              <w:t>властивостей</w:t>
            </w:r>
            <w:r>
              <w:rPr>
                <w:spacing w:val="-6"/>
              </w:rPr>
              <w:t xml:space="preserve"> </w:t>
            </w:r>
            <w:r>
              <w:t>АФІ</w:t>
            </w:r>
            <w:r>
              <w:rPr>
                <w:spacing w:val="-7"/>
              </w:rPr>
              <w:t xml:space="preserve"> </w:t>
            </w:r>
            <w:r>
              <w:rPr>
                <w:spacing w:val="-2"/>
              </w:rPr>
              <w:t>Фабомотизол</w:t>
            </w:r>
            <w:r>
              <w:tab/>
            </w:r>
            <w:r>
              <w:rPr>
                <w:rFonts w:ascii="Calibri" w:hAnsi="Calibri"/>
                <w:spacing w:val="-5"/>
                <w:sz w:val="21"/>
              </w:rPr>
              <w:t>17</w:t>
            </w:r>
          </w:hyperlink>
        </w:p>
        <w:p w:rsidR="00D60673" w:rsidRDefault="00D60673" w:rsidP="00D60673">
          <w:pPr>
            <w:pStyle w:val="11"/>
            <w:tabs>
              <w:tab w:val="right" w:leader="dot" w:pos="10294"/>
            </w:tabs>
            <w:rPr>
              <w:rFonts w:ascii="Calibri" w:hAnsi="Calibri"/>
              <w:b w:val="0"/>
              <w:sz w:val="21"/>
            </w:rPr>
          </w:pPr>
          <w:hyperlink w:anchor="_bookmark5" w:history="1">
            <w:r>
              <w:t>РОЗДІЛ</w:t>
            </w:r>
            <w:r>
              <w:rPr>
                <w:spacing w:val="-9"/>
              </w:rPr>
              <w:t xml:space="preserve"> </w:t>
            </w:r>
            <w:r>
              <w:t>2.</w:t>
            </w:r>
            <w:r>
              <w:rPr>
                <w:spacing w:val="-8"/>
              </w:rPr>
              <w:t xml:space="preserve"> </w:t>
            </w:r>
            <w:r>
              <w:t>ЕСПЕРИМЕНТАЛЬНА</w:t>
            </w:r>
            <w:r>
              <w:rPr>
                <w:spacing w:val="-8"/>
              </w:rPr>
              <w:t xml:space="preserve"> </w:t>
            </w:r>
            <w:r>
              <w:rPr>
                <w:spacing w:val="-2"/>
              </w:rPr>
              <w:t>ЧАСТИНА</w:t>
            </w:r>
            <w:r>
              <w:rPr>
                <w:b w:val="0"/>
              </w:rPr>
              <w:tab/>
            </w:r>
            <w:r>
              <w:rPr>
                <w:rFonts w:ascii="Calibri" w:hAnsi="Calibri"/>
                <w:b w:val="0"/>
                <w:spacing w:val="-5"/>
                <w:sz w:val="21"/>
              </w:rPr>
              <w:t>19</w:t>
            </w:r>
          </w:hyperlink>
        </w:p>
        <w:p w:rsidR="00D60673" w:rsidRDefault="00D60673" w:rsidP="00D60673">
          <w:pPr>
            <w:pStyle w:val="21"/>
            <w:numPr>
              <w:ilvl w:val="1"/>
              <w:numId w:val="2"/>
            </w:numPr>
            <w:tabs>
              <w:tab w:val="left" w:pos="1577"/>
              <w:tab w:val="right" w:leader="dot" w:pos="10294"/>
            </w:tabs>
            <w:spacing w:before="159"/>
            <w:ind w:left="1577" w:hanging="491"/>
            <w:rPr>
              <w:rFonts w:ascii="Calibri" w:hAnsi="Calibri"/>
              <w:sz w:val="21"/>
            </w:rPr>
          </w:pPr>
          <w:hyperlink w:anchor="_bookmark6" w:history="1">
            <w:r>
              <w:t>Об’єкт</w:t>
            </w:r>
            <w:r>
              <w:rPr>
                <w:spacing w:val="-6"/>
              </w:rPr>
              <w:t xml:space="preserve"> </w:t>
            </w:r>
            <w:r>
              <w:rPr>
                <w:spacing w:val="-2"/>
              </w:rPr>
              <w:t>дослідження</w:t>
            </w:r>
            <w:r>
              <w:tab/>
            </w:r>
            <w:r>
              <w:rPr>
                <w:rFonts w:ascii="Calibri" w:hAnsi="Calibri"/>
                <w:spacing w:val="-5"/>
                <w:sz w:val="21"/>
              </w:rPr>
              <w:t>19</w:t>
            </w:r>
          </w:hyperlink>
        </w:p>
        <w:p w:rsidR="00D60673" w:rsidRDefault="00D60673" w:rsidP="00D60673">
          <w:pPr>
            <w:pStyle w:val="21"/>
            <w:numPr>
              <w:ilvl w:val="1"/>
              <w:numId w:val="2"/>
            </w:numPr>
            <w:tabs>
              <w:tab w:val="left" w:pos="1577"/>
              <w:tab w:val="right" w:leader="dot" w:pos="10294"/>
            </w:tabs>
            <w:ind w:left="1577" w:hanging="491"/>
            <w:rPr>
              <w:rFonts w:ascii="Calibri" w:hAnsi="Calibri"/>
              <w:sz w:val="21"/>
            </w:rPr>
          </w:pPr>
          <w:hyperlink w:anchor="_bookmark7" w:history="1">
            <w:r>
              <w:t>Методики</w:t>
            </w:r>
            <w:r>
              <w:rPr>
                <w:spacing w:val="-10"/>
              </w:rPr>
              <w:t xml:space="preserve"> </w:t>
            </w:r>
            <w:r>
              <w:t>проведення</w:t>
            </w:r>
            <w:r>
              <w:rPr>
                <w:spacing w:val="-10"/>
              </w:rPr>
              <w:t xml:space="preserve"> </w:t>
            </w:r>
            <w:r>
              <w:rPr>
                <w:spacing w:val="-2"/>
              </w:rPr>
              <w:t>експерименту</w:t>
            </w:r>
            <w:r>
              <w:tab/>
            </w:r>
            <w:r>
              <w:rPr>
                <w:rFonts w:ascii="Calibri" w:hAnsi="Calibri"/>
                <w:spacing w:val="-5"/>
                <w:sz w:val="21"/>
              </w:rPr>
              <w:t>21</w:t>
            </w:r>
          </w:hyperlink>
        </w:p>
        <w:p w:rsidR="00D60673" w:rsidRDefault="00D60673" w:rsidP="00D60673">
          <w:pPr>
            <w:pStyle w:val="3"/>
            <w:numPr>
              <w:ilvl w:val="2"/>
              <w:numId w:val="2"/>
            </w:numPr>
            <w:tabs>
              <w:tab w:val="left" w:pos="1783"/>
              <w:tab w:val="right" w:leader="dot" w:pos="10294"/>
            </w:tabs>
            <w:ind w:left="1783" w:hanging="697"/>
            <w:rPr>
              <w:rFonts w:ascii="Calibri" w:hAnsi="Calibri"/>
              <w:i w:val="0"/>
              <w:sz w:val="21"/>
            </w:rPr>
          </w:pPr>
          <w:hyperlink w:anchor="_bookmark8" w:history="1">
            <w:r>
              <w:t>Визначення</w:t>
            </w:r>
            <w:r>
              <w:rPr>
                <w:spacing w:val="-7"/>
              </w:rPr>
              <w:t xml:space="preserve"> </w:t>
            </w:r>
            <w:r>
              <w:t>вмісту</w:t>
            </w:r>
            <w:r>
              <w:rPr>
                <w:spacing w:val="-5"/>
              </w:rPr>
              <w:t xml:space="preserve"> </w:t>
            </w:r>
            <w:r>
              <w:t>води</w:t>
            </w:r>
            <w:r>
              <w:rPr>
                <w:spacing w:val="-5"/>
              </w:rPr>
              <w:t xml:space="preserve"> </w:t>
            </w:r>
            <w:r>
              <w:rPr>
                <w:spacing w:val="-2"/>
              </w:rPr>
              <w:t>напівмікрометодом</w:t>
            </w:r>
            <w:r>
              <w:rPr>
                <w:i w:val="0"/>
              </w:rPr>
              <w:tab/>
            </w:r>
            <w:r>
              <w:rPr>
                <w:rFonts w:ascii="Calibri" w:hAnsi="Calibri"/>
                <w:i w:val="0"/>
                <w:spacing w:val="-5"/>
                <w:sz w:val="21"/>
              </w:rPr>
              <w:t>21</w:t>
            </w:r>
          </w:hyperlink>
        </w:p>
        <w:p w:rsidR="00D60673" w:rsidRDefault="00D60673" w:rsidP="00D60673">
          <w:pPr>
            <w:pStyle w:val="3"/>
            <w:numPr>
              <w:ilvl w:val="2"/>
              <w:numId w:val="2"/>
            </w:numPr>
            <w:tabs>
              <w:tab w:val="left" w:pos="1784"/>
              <w:tab w:val="right" w:leader="dot" w:pos="10294"/>
            </w:tabs>
            <w:spacing w:before="163"/>
            <w:ind w:left="1784" w:hanging="698"/>
            <w:rPr>
              <w:rFonts w:ascii="Calibri" w:hAnsi="Calibri"/>
              <w:i w:val="0"/>
              <w:sz w:val="21"/>
            </w:rPr>
          </w:pPr>
          <w:hyperlink w:anchor="_bookmark9" w:history="1">
            <w:r>
              <w:t>Потенціометричне</w:t>
            </w:r>
            <w:r>
              <w:rPr>
                <w:spacing w:val="-15"/>
              </w:rPr>
              <w:t xml:space="preserve"> </w:t>
            </w:r>
            <w:r>
              <w:rPr>
                <w:spacing w:val="-2"/>
              </w:rPr>
              <w:t>титрування</w:t>
            </w:r>
            <w:r>
              <w:rPr>
                <w:i w:val="0"/>
              </w:rPr>
              <w:tab/>
            </w:r>
            <w:r>
              <w:rPr>
                <w:rFonts w:ascii="Calibri" w:hAnsi="Calibri"/>
                <w:i w:val="0"/>
                <w:spacing w:val="-5"/>
                <w:sz w:val="21"/>
              </w:rPr>
              <w:t>24</w:t>
            </w:r>
          </w:hyperlink>
        </w:p>
        <w:p w:rsidR="00D60673" w:rsidRDefault="00D60673" w:rsidP="00D60673">
          <w:pPr>
            <w:pStyle w:val="3"/>
            <w:numPr>
              <w:ilvl w:val="2"/>
              <w:numId w:val="2"/>
            </w:numPr>
            <w:tabs>
              <w:tab w:val="left" w:pos="1784"/>
            </w:tabs>
            <w:ind w:left="1784" w:hanging="698"/>
          </w:pPr>
          <w:hyperlink w:anchor="_bookmark10" w:history="1">
            <w:r>
              <w:t>Методики</w:t>
            </w:r>
            <w:r>
              <w:rPr>
                <w:spacing w:val="63"/>
              </w:rPr>
              <w:t xml:space="preserve"> </w:t>
            </w:r>
            <w:r>
              <w:t>визначення</w:t>
            </w:r>
            <w:r>
              <w:rPr>
                <w:spacing w:val="59"/>
              </w:rPr>
              <w:t xml:space="preserve"> </w:t>
            </w:r>
            <w:r>
              <w:t>хімічної</w:t>
            </w:r>
            <w:r>
              <w:rPr>
                <w:spacing w:val="62"/>
              </w:rPr>
              <w:t xml:space="preserve"> </w:t>
            </w:r>
            <w:r>
              <w:t>стабільності</w:t>
            </w:r>
            <w:r>
              <w:rPr>
                <w:spacing w:val="63"/>
              </w:rPr>
              <w:t xml:space="preserve"> </w:t>
            </w:r>
            <w:r>
              <w:rPr>
                <w:spacing w:val="-2"/>
              </w:rPr>
              <w:t>субстанції</w:t>
            </w:r>
          </w:hyperlink>
        </w:p>
        <w:p w:rsidR="00D60673" w:rsidRDefault="00D60673" w:rsidP="00D60673">
          <w:pPr>
            <w:pStyle w:val="5"/>
            <w:tabs>
              <w:tab w:val="right" w:leader="dot" w:pos="7164"/>
            </w:tabs>
            <w:rPr>
              <w:rFonts w:ascii="Calibri" w:hAnsi="Calibri"/>
              <w:sz w:val="21"/>
            </w:rPr>
          </w:pPr>
          <w:hyperlink w:anchor="_bookmark10" w:history="1">
            <w:r>
              <w:rPr>
                <w:spacing w:val="-2"/>
              </w:rPr>
              <w:t>Фабомотизолу</w:t>
            </w:r>
            <w:r>
              <w:tab/>
            </w:r>
            <w:r>
              <w:rPr>
                <w:rFonts w:ascii="Calibri" w:hAnsi="Calibri"/>
                <w:spacing w:val="-5"/>
                <w:sz w:val="21"/>
              </w:rPr>
              <w:t>26</w:t>
            </w:r>
          </w:hyperlink>
        </w:p>
        <w:p w:rsidR="00D60673" w:rsidRDefault="00D60673" w:rsidP="00D60673">
          <w:pPr>
            <w:pStyle w:val="11"/>
            <w:tabs>
              <w:tab w:val="right" w:leader="dot" w:pos="10294"/>
            </w:tabs>
            <w:rPr>
              <w:rFonts w:ascii="Calibri" w:hAnsi="Calibri"/>
              <w:b w:val="0"/>
              <w:sz w:val="21"/>
            </w:rPr>
          </w:pPr>
          <w:hyperlink w:anchor="_bookmark11" w:history="1">
            <w:r>
              <w:t>РОЗДІЛ</w:t>
            </w:r>
            <w:r>
              <w:rPr>
                <w:spacing w:val="-6"/>
              </w:rPr>
              <w:t xml:space="preserve"> </w:t>
            </w:r>
            <w:r>
              <w:t>3.</w:t>
            </w:r>
            <w:r>
              <w:rPr>
                <w:spacing w:val="-5"/>
              </w:rPr>
              <w:t xml:space="preserve"> </w:t>
            </w:r>
            <w:r>
              <w:t>РЕЗУЛЬТАТИ</w:t>
            </w:r>
            <w:r>
              <w:rPr>
                <w:spacing w:val="-4"/>
              </w:rPr>
              <w:t xml:space="preserve"> </w:t>
            </w:r>
            <w:r>
              <w:t>ТА</w:t>
            </w:r>
            <w:r>
              <w:rPr>
                <w:spacing w:val="-5"/>
              </w:rPr>
              <w:t xml:space="preserve"> </w:t>
            </w:r>
            <w:r>
              <w:t>ЇХ</w:t>
            </w:r>
            <w:r>
              <w:rPr>
                <w:spacing w:val="-4"/>
              </w:rPr>
              <w:t xml:space="preserve"> </w:t>
            </w:r>
            <w:r>
              <w:rPr>
                <w:spacing w:val="-2"/>
              </w:rPr>
              <w:t>АНАЛІЗ</w:t>
            </w:r>
            <w:r>
              <w:rPr>
                <w:b w:val="0"/>
              </w:rPr>
              <w:tab/>
            </w:r>
            <w:r>
              <w:rPr>
                <w:rFonts w:ascii="Calibri" w:hAnsi="Calibri"/>
                <w:b w:val="0"/>
                <w:spacing w:val="-5"/>
                <w:sz w:val="21"/>
              </w:rPr>
              <w:t>28</w:t>
            </w:r>
          </w:hyperlink>
        </w:p>
        <w:p w:rsidR="00D60673" w:rsidRDefault="00D60673" w:rsidP="00D60673">
          <w:pPr>
            <w:pStyle w:val="21"/>
            <w:numPr>
              <w:ilvl w:val="1"/>
              <w:numId w:val="1"/>
            </w:numPr>
            <w:tabs>
              <w:tab w:val="left" w:pos="1578"/>
              <w:tab w:val="right" w:leader="dot" w:pos="10294"/>
            </w:tabs>
            <w:spacing w:before="158"/>
            <w:ind w:left="1578" w:hanging="492"/>
            <w:rPr>
              <w:rFonts w:ascii="Calibri" w:hAnsi="Calibri"/>
              <w:sz w:val="21"/>
            </w:rPr>
          </w:pPr>
          <w:hyperlink w:anchor="_bookmark12" w:history="1">
            <w:r>
              <w:t>ІЧ-КР</w:t>
            </w:r>
            <w:r>
              <w:rPr>
                <w:spacing w:val="-6"/>
              </w:rPr>
              <w:t xml:space="preserve"> </w:t>
            </w:r>
            <w:r>
              <w:t>спектроскопія</w:t>
            </w:r>
            <w:r>
              <w:rPr>
                <w:spacing w:val="-6"/>
              </w:rPr>
              <w:t xml:space="preserve"> </w:t>
            </w:r>
            <w:r>
              <w:t>та</w:t>
            </w:r>
            <w:r>
              <w:rPr>
                <w:spacing w:val="-6"/>
              </w:rPr>
              <w:t xml:space="preserve"> </w:t>
            </w:r>
            <w:r>
              <w:t>мікроскопія</w:t>
            </w:r>
            <w:r>
              <w:rPr>
                <w:spacing w:val="-7"/>
              </w:rPr>
              <w:t xml:space="preserve"> </w:t>
            </w:r>
            <w:r>
              <w:rPr>
                <w:spacing w:val="-2"/>
              </w:rPr>
              <w:t>кристалів</w:t>
            </w:r>
            <w:r>
              <w:tab/>
            </w:r>
            <w:r>
              <w:rPr>
                <w:rFonts w:ascii="Calibri" w:hAnsi="Calibri"/>
                <w:spacing w:val="-5"/>
                <w:sz w:val="21"/>
              </w:rPr>
              <w:t>28</w:t>
            </w:r>
          </w:hyperlink>
        </w:p>
        <w:p w:rsidR="00D60673" w:rsidRDefault="00D60673" w:rsidP="00D60673">
          <w:pPr>
            <w:pStyle w:val="21"/>
            <w:numPr>
              <w:ilvl w:val="1"/>
              <w:numId w:val="1"/>
            </w:numPr>
            <w:tabs>
              <w:tab w:val="left" w:pos="1578"/>
              <w:tab w:val="right" w:leader="dot" w:pos="10294"/>
            </w:tabs>
            <w:ind w:left="1578" w:hanging="492"/>
            <w:rPr>
              <w:rFonts w:ascii="Calibri" w:hAnsi="Calibri"/>
              <w:sz w:val="21"/>
            </w:rPr>
          </w:pPr>
          <w:hyperlink w:anchor="_bookmark13" w:history="1">
            <w:r>
              <w:t>Визначення</w:t>
            </w:r>
            <w:r>
              <w:rPr>
                <w:spacing w:val="-10"/>
              </w:rPr>
              <w:t xml:space="preserve"> </w:t>
            </w:r>
            <w:r>
              <w:t>константи</w:t>
            </w:r>
            <w:r>
              <w:rPr>
                <w:spacing w:val="-11"/>
              </w:rPr>
              <w:t xml:space="preserve"> </w:t>
            </w:r>
            <w:r>
              <w:t>дисоціації</w:t>
            </w:r>
            <w:r>
              <w:rPr>
                <w:spacing w:val="-9"/>
              </w:rPr>
              <w:t xml:space="preserve"> </w:t>
            </w:r>
            <w:r>
              <w:rPr>
                <w:spacing w:val="-2"/>
              </w:rPr>
              <w:t>Фабомотизолу</w:t>
            </w:r>
            <w:r>
              <w:tab/>
            </w:r>
            <w:r>
              <w:rPr>
                <w:rFonts w:ascii="Calibri" w:hAnsi="Calibri"/>
                <w:spacing w:val="-5"/>
                <w:sz w:val="21"/>
              </w:rPr>
              <w:t>31</w:t>
            </w:r>
          </w:hyperlink>
        </w:p>
        <w:p w:rsidR="00D60673" w:rsidRDefault="00D60673" w:rsidP="00D60673">
          <w:pPr>
            <w:pStyle w:val="21"/>
            <w:numPr>
              <w:ilvl w:val="1"/>
              <w:numId w:val="1"/>
            </w:numPr>
            <w:tabs>
              <w:tab w:val="left" w:pos="1578"/>
              <w:tab w:val="right" w:leader="dot" w:pos="10294"/>
            </w:tabs>
            <w:spacing w:before="163"/>
            <w:ind w:left="1578" w:hanging="492"/>
          </w:pPr>
          <w:hyperlink w:anchor="_bookmark14" w:history="1">
            <w:r>
              <w:t>Визначення</w:t>
            </w:r>
            <w:r>
              <w:rPr>
                <w:spacing w:val="-14"/>
              </w:rPr>
              <w:t xml:space="preserve"> </w:t>
            </w:r>
            <w:r>
              <w:t>гігроскопічности</w:t>
            </w:r>
            <w:r>
              <w:rPr>
                <w:spacing w:val="-13"/>
              </w:rPr>
              <w:t xml:space="preserve"> </w:t>
            </w:r>
            <w:r>
              <w:rPr>
                <w:spacing w:val="-2"/>
              </w:rPr>
              <w:t>Фабомотизолу</w:t>
            </w:r>
            <w:r>
              <w:tab/>
            </w:r>
            <w:r>
              <w:rPr>
                <w:spacing w:val="-5"/>
              </w:rPr>
              <w:t>43</w:t>
            </w:r>
          </w:hyperlink>
        </w:p>
        <w:p w:rsidR="00D60673" w:rsidRDefault="00D60673" w:rsidP="00D60673">
          <w:pPr>
            <w:pStyle w:val="21"/>
            <w:numPr>
              <w:ilvl w:val="1"/>
              <w:numId w:val="1"/>
            </w:numPr>
            <w:tabs>
              <w:tab w:val="left" w:pos="1578"/>
              <w:tab w:val="right" w:leader="dot" w:pos="10275"/>
            </w:tabs>
            <w:spacing w:before="168"/>
            <w:ind w:left="1578" w:hanging="492"/>
          </w:pPr>
          <w:r>
            <w:t>Вивчення</w:t>
          </w:r>
          <w:r>
            <w:rPr>
              <w:spacing w:val="-15"/>
            </w:rPr>
            <w:t xml:space="preserve"> </w:t>
          </w:r>
          <w:r>
            <w:t>хімічної</w:t>
          </w:r>
          <w:r>
            <w:rPr>
              <w:spacing w:val="-8"/>
            </w:rPr>
            <w:t xml:space="preserve"> </w:t>
          </w:r>
          <w:r>
            <w:t>стабільності</w:t>
          </w:r>
          <w:r>
            <w:rPr>
              <w:spacing w:val="-9"/>
            </w:rPr>
            <w:t xml:space="preserve"> </w:t>
          </w:r>
          <w:r>
            <w:t>субстанції</w:t>
          </w:r>
          <w:r>
            <w:rPr>
              <w:spacing w:val="-8"/>
            </w:rPr>
            <w:t xml:space="preserve"> </w:t>
          </w:r>
          <w:r>
            <w:rPr>
              <w:spacing w:val="-2"/>
            </w:rPr>
            <w:t>Фабомотизолу</w:t>
          </w:r>
          <w:r>
            <w:tab/>
          </w:r>
          <w:r>
            <w:rPr>
              <w:spacing w:val="-5"/>
            </w:rPr>
            <w:t>49</w:t>
          </w:r>
        </w:p>
        <w:p w:rsidR="00D60673" w:rsidRDefault="00D60673" w:rsidP="00D60673">
          <w:pPr>
            <w:pStyle w:val="4"/>
            <w:tabs>
              <w:tab w:val="right" w:leader="dot" w:pos="10293"/>
            </w:tabs>
            <w:rPr>
              <w:b w:val="0"/>
              <w:i w:val="0"/>
              <w:sz w:val="28"/>
            </w:rPr>
          </w:pPr>
          <w:hyperlink w:anchor="_TOC_250000" w:history="1">
            <w:r>
              <w:rPr>
                <w:i w:val="0"/>
                <w:spacing w:val="-2"/>
                <w:sz w:val="28"/>
              </w:rPr>
              <w:t>ВИСНОВКИ</w:t>
            </w:r>
            <w:r>
              <w:rPr>
                <w:b w:val="0"/>
                <w:i w:val="0"/>
                <w:sz w:val="28"/>
              </w:rPr>
              <w:tab/>
            </w:r>
            <w:r>
              <w:rPr>
                <w:b w:val="0"/>
                <w:i w:val="0"/>
                <w:spacing w:val="-5"/>
                <w:sz w:val="28"/>
              </w:rPr>
              <w:t>56</w:t>
            </w:r>
          </w:hyperlink>
        </w:p>
      </w:sdtContent>
    </w:sdt>
    <w:p w:rsidR="00D60673" w:rsidRDefault="00D60673" w:rsidP="00D60673">
      <w:pPr>
        <w:pStyle w:val="2"/>
        <w:tabs>
          <w:tab w:val="left" w:leader="dot" w:pos="5957"/>
        </w:tabs>
        <w:spacing w:before="170"/>
        <w:ind w:firstLine="0"/>
      </w:pPr>
      <w:r>
        <w:t>СПИСОК</w:t>
      </w:r>
      <w:r>
        <w:rPr>
          <w:spacing w:val="-7"/>
        </w:rPr>
        <w:t xml:space="preserve"> </w:t>
      </w:r>
      <w:r>
        <w:rPr>
          <w:spacing w:val="-2"/>
        </w:rPr>
        <w:t>ЛІТЕРАТУРИ</w:t>
      </w:r>
      <w:r>
        <w:rPr>
          <w:b w:val="0"/>
        </w:rPr>
        <w:tab/>
      </w:r>
      <w:r>
        <w:t>Ошибка!</w:t>
      </w:r>
      <w:r>
        <w:rPr>
          <w:spacing w:val="-8"/>
        </w:rPr>
        <w:t xml:space="preserve"> </w:t>
      </w:r>
      <w:r>
        <w:t>Закладка</w:t>
      </w:r>
      <w:r>
        <w:rPr>
          <w:spacing w:val="-7"/>
        </w:rPr>
        <w:t xml:space="preserve"> </w:t>
      </w:r>
      <w:r>
        <w:t>не</w:t>
      </w:r>
      <w:r>
        <w:rPr>
          <w:spacing w:val="-5"/>
        </w:rPr>
        <w:t xml:space="preserve"> </w:t>
      </w:r>
      <w:r>
        <w:rPr>
          <w:spacing w:val="-2"/>
        </w:rPr>
        <w:t>определена.</w:t>
      </w:r>
    </w:p>
    <w:p w:rsidR="00D60673" w:rsidRDefault="00D60673" w:rsidP="00D60673">
      <w:pPr>
        <w:tabs>
          <w:tab w:val="left" w:leader="dot" w:pos="5957"/>
        </w:tabs>
        <w:spacing w:before="165"/>
        <w:ind w:left="1081"/>
        <w:rPr>
          <w:b/>
          <w:sz w:val="28"/>
        </w:rPr>
      </w:pPr>
      <w:r>
        <w:rPr>
          <w:b/>
          <w:spacing w:val="-2"/>
          <w:sz w:val="28"/>
        </w:rPr>
        <w:t>ДОДАТКИ</w:t>
      </w:r>
      <w:r>
        <w:rPr>
          <w:sz w:val="28"/>
        </w:rPr>
        <w:tab/>
      </w:r>
      <w:r>
        <w:rPr>
          <w:b/>
          <w:sz w:val="28"/>
        </w:rPr>
        <w:t>Ошибка!</w:t>
      </w:r>
      <w:r>
        <w:rPr>
          <w:b/>
          <w:spacing w:val="-8"/>
          <w:sz w:val="28"/>
        </w:rPr>
        <w:t xml:space="preserve"> </w:t>
      </w:r>
      <w:r>
        <w:rPr>
          <w:b/>
          <w:sz w:val="28"/>
        </w:rPr>
        <w:t>Закладка</w:t>
      </w:r>
      <w:r>
        <w:rPr>
          <w:b/>
          <w:spacing w:val="-7"/>
          <w:sz w:val="28"/>
        </w:rPr>
        <w:t xml:space="preserve"> </w:t>
      </w:r>
      <w:r>
        <w:rPr>
          <w:b/>
          <w:sz w:val="28"/>
        </w:rPr>
        <w:t>не</w:t>
      </w:r>
      <w:r>
        <w:rPr>
          <w:b/>
          <w:spacing w:val="-5"/>
          <w:sz w:val="28"/>
        </w:rPr>
        <w:t xml:space="preserve"> </w:t>
      </w:r>
      <w:r>
        <w:rPr>
          <w:b/>
          <w:spacing w:val="-2"/>
          <w:sz w:val="28"/>
        </w:rPr>
        <w:t>определена.</w:t>
      </w:r>
    </w:p>
    <w:p w:rsidR="00D60673" w:rsidRDefault="00D60673" w:rsidP="00D60673">
      <w:pPr>
        <w:rPr>
          <w:sz w:val="28"/>
        </w:rPr>
        <w:sectPr w:rsidR="00D60673">
          <w:pgSz w:w="11910" w:h="16840"/>
          <w:pgMar w:top="1040" w:right="240" w:bottom="280" w:left="1040" w:header="710" w:footer="0" w:gutter="0"/>
          <w:cols w:space="720"/>
        </w:sectPr>
      </w:pPr>
    </w:p>
    <w:p w:rsidR="00D60673" w:rsidRDefault="00D60673" w:rsidP="00D60673">
      <w:pPr>
        <w:pStyle w:val="a3"/>
        <w:spacing w:before="175"/>
        <w:ind w:left="811" w:right="416"/>
        <w:jc w:val="center"/>
      </w:pPr>
      <w:r>
        <w:rPr>
          <w:spacing w:val="-2"/>
        </w:rPr>
        <w:lastRenderedPageBreak/>
        <w:t>ВСТУП</w:t>
      </w:r>
    </w:p>
    <w:p w:rsidR="00D60673" w:rsidRDefault="00D60673" w:rsidP="00D60673">
      <w:pPr>
        <w:pStyle w:val="a3"/>
        <w:spacing w:before="225"/>
        <w:ind w:left="0"/>
      </w:pPr>
    </w:p>
    <w:p w:rsidR="00D60673" w:rsidRDefault="00D60673" w:rsidP="00D60673">
      <w:pPr>
        <w:pStyle w:val="a3"/>
        <w:spacing w:line="360" w:lineRule="auto"/>
        <w:ind w:right="322" w:firstLine="707"/>
        <w:jc w:val="both"/>
      </w:pPr>
      <w:r>
        <w:t>У</w:t>
      </w:r>
      <w:r>
        <w:rPr>
          <w:spacing w:val="-18"/>
        </w:rPr>
        <w:t xml:space="preserve"> </w:t>
      </w:r>
      <w:r>
        <w:t>сучасному</w:t>
      </w:r>
      <w:r>
        <w:rPr>
          <w:spacing w:val="-17"/>
        </w:rPr>
        <w:t xml:space="preserve"> </w:t>
      </w:r>
      <w:r>
        <w:t>світі</w:t>
      </w:r>
      <w:r>
        <w:rPr>
          <w:spacing w:val="-18"/>
        </w:rPr>
        <w:t xml:space="preserve"> </w:t>
      </w:r>
      <w:r>
        <w:t>перманентна</w:t>
      </w:r>
      <w:r>
        <w:rPr>
          <w:spacing w:val="-17"/>
        </w:rPr>
        <w:t xml:space="preserve"> </w:t>
      </w:r>
      <w:r>
        <w:t>тривожність</w:t>
      </w:r>
      <w:r>
        <w:rPr>
          <w:spacing w:val="-18"/>
        </w:rPr>
        <w:t xml:space="preserve"> </w:t>
      </w:r>
      <w:r>
        <w:t>доводить</w:t>
      </w:r>
      <w:r>
        <w:rPr>
          <w:spacing w:val="-17"/>
        </w:rPr>
        <w:t xml:space="preserve"> </w:t>
      </w:r>
      <w:r>
        <w:t>до</w:t>
      </w:r>
      <w:r>
        <w:rPr>
          <w:spacing w:val="-18"/>
        </w:rPr>
        <w:t xml:space="preserve"> </w:t>
      </w:r>
      <w:r>
        <w:t>стресів,</w:t>
      </w:r>
      <w:r>
        <w:rPr>
          <w:spacing w:val="-17"/>
        </w:rPr>
        <w:t xml:space="preserve"> </w:t>
      </w:r>
      <w:r>
        <w:t>а</w:t>
      </w:r>
      <w:r>
        <w:rPr>
          <w:spacing w:val="-18"/>
        </w:rPr>
        <w:t xml:space="preserve"> </w:t>
      </w:r>
      <w:r>
        <w:t>психічні розлади, одним з яких є тривожний стан, стають однією з головних проблем суспільства. За даними останніх психіатричних досліджень, за відсутності лікування хронічна тривожність може спричиняти такі негативні прояви, як артеріальна гіпертензія (АГ), серцево-судинні захворювання (ССЗ), деменція, гострі</w:t>
      </w:r>
      <w:r>
        <w:rPr>
          <w:spacing w:val="-18"/>
        </w:rPr>
        <w:t xml:space="preserve"> </w:t>
      </w:r>
      <w:r>
        <w:t>порушення</w:t>
      </w:r>
      <w:r>
        <w:rPr>
          <w:spacing w:val="-17"/>
        </w:rPr>
        <w:t xml:space="preserve"> </w:t>
      </w:r>
      <w:r>
        <w:t>мозкового</w:t>
      </w:r>
      <w:r>
        <w:rPr>
          <w:spacing w:val="-18"/>
        </w:rPr>
        <w:t xml:space="preserve"> </w:t>
      </w:r>
      <w:r>
        <w:t>кровообігу,</w:t>
      </w:r>
      <w:r>
        <w:rPr>
          <w:spacing w:val="-17"/>
        </w:rPr>
        <w:t xml:space="preserve"> </w:t>
      </w:r>
      <w:r>
        <w:t>цукровий</w:t>
      </w:r>
      <w:r>
        <w:rPr>
          <w:spacing w:val="-18"/>
        </w:rPr>
        <w:t xml:space="preserve"> </w:t>
      </w:r>
      <w:r>
        <w:t>діабет,</w:t>
      </w:r>
      <w:r>
        <w:rPr>
          <w:spacing w:val="-17"/>
        </w:rPr>
        <w:t xml:space="preserve"> </w:t>
      </w:r>
      <w:r>
        <w:t>і</w:t>
      </w:r>
      <w:r>
        <w:rPr>
          <w:spacing w:val="-18"/>
        </w:rPr>
        <w:t xml:space="preserve"> </w:t>
      </w:r>
      <w:r>
        <w:t>навіть</w:t>
      </w:r>
      <w:r>
        <w:rPr>
          <w:spacing w:val="-17"/>
        </w:rPr>
        <w:t xml:space="preserve"> </w:t>
      </w:r>
      <w:r>
        <w:t>новоутворення [1,</w:t>
      </w:r>
      <w:r>
        <w:rPr>
          <w:spacing w:val="-16"/>
        </w:rPr>
        <w:t xml:space="preserve"> </w:t>
      </w:r>
      <w:r>
        <w:t>2].</w:t>
      </w:r>
      <w:r>
        <w:rPr>
          <w:spacing w:val="-16"/>
        </w:rPr>
        <w:t xml:space="preserve"> </w:t>
      </w:r>
      <w:r>
        <w:t>За</w:t>
      </w:r>
      <w:r>
        <w:rPr>
          <w:spacing w:val="-16"/>
        </w:rPr>
        <w:t xml:space="preserve"> </w:t>
      </w:r>
      <w:r>
        <w:t>даними</w:t>
      </w:r>
      <w:r>
        <w:rPr>
          <w:spacing w:val="-16"/>
        </w:rPr>
        <w:t xml:space="preserve"> </w:t>
      </w:r>
      <w:r>
        <w:t>роботи</w:t>
      </w:r>
      <w:r>
        <w:rPr>
          <w:spacing w:val="-14"/>
        </w:rPr>
        <w:t xml:space="preserve"> </w:t>
      </w:r>
      <w:r>
        <w:t>S.F.</w:t>
      </w:r>
      <w:r>
        <w:rPr>
          <w:spacing w:val="-16"/>
        </w:rPr>
        <w:t xml:space="preserve"> </w:t>
      </w:r>
      <w:r>
        <w:t>Javaid</w:t>
      </w:r>
      <w:r>
        <w:rPr>
          <w:spacing w:val="-15"/>
        </w:rPr>
        <w:t xml:space="preserve"> </w:t>
      </w:r>
      <w:r>
        <w:t>і</w:t>
      </w:r>
      <w:r>
        <w:rPr>
          <w:spacing w:val="-15"/>
        </w:rPr>
        <w:t xml:space="preserve"> </w:t>
      </w:r>
      <w:r>
        <w:t>співавт.</w:t>
      </w:r>
      <w:r>
        <w:rPr>
          <w:spacing w:val="-17"/>
        </w:rPr>
        <w:t xml:space="preserve"> </w:t>
      </w:r>
      <w:r>
        <w:t>(2023),</w:t>
      </w:r>
      <w:r>
        <w:rPr>
          <w:spacing w:val="-16"/>
        </w:rPr>
        <w:t xml:space="preserve"> </w:t>
      </w:r>
      <w:r>
        <w:t>загальносвітова</w:t>
      </w:r>
      <w:r>
        <w:rPr>
          <w:spacing w:val="-16"/>
        </w:rPr>
        <w:t xml:space="preserve"> </w:t>
      </w:r>
      <w:r>
        <w:t>поширеність ТС станом на 2019 р. становила 4,05%. Із 1990 по 2019 р. кількість осіб із тривожними станами (ТС) у світі зросла зі 194,9 до 301,4 млн, що приблизно відповідає показнику 3895 осіб на 100 тис. населення [3].</w:t>
      </w:r>
    </w:p>
    <w:p w:rsidR="00D60673" w:rsidRDefault="00D60673" w:rsidP="00D60673">
      <w:pPr>
        <w:pStyle w:val="a3"/>
        <w:spacing w:before="3" w:line="360" w:lineRule="auto"/>
        <w:ind w:right="321" w:firstLine="707"/>
        <w:jc w:val="both"/>
      </w:pPr>
      <w:r>
        <w:t>На сучасному фармацевтичному ринку анксіолітичні препарати (наприклад, бензодіазепіни (діазепам, гідазепам), дифенілметани, бензоктамін, буспірон, мебікар, триоксазин, фенібут)</w:t>
      </w:r>
      <w:r>
        <w:rPr>
          <w:spacing w:val="40"/>
        </w:rPr>
        <w:t xml:space="preserve"> </w:t>
      </w:r>
      <w:r>
        <w:t>користуються високим попитом, який за час війни суттєво підвищився [4]. Тому пошук і виведення на ринок нових дієвих анксіолітичних препаратів, що не викликають небажаних побічних ефектів, є надзвичайно актуальним.</w:t>
      </w:r>
    </w:p>
    <w:p w:rsidR="00D60673" w:rsidRDefault="00D60673" w:rsidP="00D60673">
      <w:pPr>
        <w:pStyle w:val="a3"/>
        <w:spacing w:line="360" w:lineRule="auto"/>
        <w:ind w:right="320" w:firstLine="707"/>
        <w:jc w:val="both"/>
      </w:pPr>
      <w:r>
        <w:t>При цьому анксіолітики можуть проявляти небажані побічні ефекти. Наприклад, найбільш вживаний в Україні препарат цього класу «Гідазепам» за даними</w:t>
      </w:r>
      <w:r>
        <w:rPr>
          <w:spacing w:val="40"/>
        </w:rPr>
        <w:t xml:space="preserve"> </w:t>
      </w:r>
      <w:r>
        <w:t>маркетологічних досліджень в 2022 та 2023 році увійшов в топ-10. Але він є рецептурним препаратом і проявляє значний снодійний ефект, що виражається в рекомендації втриматись від діяльності, що потребує підвищеної уваги</w:t>
      </w:r>
      <w:r>
        <w:rPr>
          <w:spacing w:val="-18"/>
        </w:rPr>
        <w:t xml:space="preserve"> </w:t>
      </w:r>
      <w:r>
        <w:t>та</w:t>
      </w:r>
      <w:r>
        <w:rPr>
          <w:spacing w:val="-17"/>
        </w:rPr>
        <w:t xml:space="preserve"> </w:t>
      </w:r>
      <w:r>
        <w:t>швидкої</w:t>
      </w:r>
      <w:r>
        <w:rPr>
          <w:spacing w:val="-18"/>
        </w:rPr>
        <w:t xml:space="preserve"> </w:t>
      </w:r>
      <w:r>
        <w:t>реакції</w:t>
      </w:r>
      <w:r>
        <w:rPr>
          <w:spacing w:val="-17"/>
        </w:rPr>
        <w:t xml:space="preserve"> </w:t>
      </w:r>
      <w:r>
        <w:t>[5].</w:t>
      </w:r>
      <w:r>
        <w:rPr>
          <w:spacing w:val="-18"/>
        </w:rPr>
        <w:t xml:space="preserve"> </w:t>
      </w:r>
      <w:r>
        <w:t>Позбавлений</w:t>
      </w:r>
      <w:r>
        <w:rPr>
          <w:spacing w:val="-17"/>
        </w:rPr>
        <w:t xml:space="preserve"> </w:t>
      </w:r>
      <w:r>
        <w:t>цих</w:t>
      </w:r>
      <w:r>
        <w:rPr>
          <w:spacing w:val="-18"/>
        </w:rPr>
        <w:t xml:space="preserve"> </w:t>
      </w:r>
      <w:r>
        <w:t>недоліків</w:t>
      </w:r>
      <w:r>
        <w:rPr>
          <w:spacing w:val="-17"/>
        </w:rPr>
        <w:t xml:space="preserve"> </w:t>
      </w:r>
      <w:r>
        <w:t>анксіолітичний</w:t>
      </w:r>
      <w:r>
        <w:rPr>
          <w:spacing w:val="-18"/>
        </w:rPr>
        <w:t xml:space="preserve"> </w:t>
      </w:r>
      <w:r>
        <w:t>препарат з МНН Фабомотизол не викликає м’язової слабкості, сонливості та не чинить негативного впливу на концентрацію уваги і пам’ять [6]. При його застосуванні не розвивається звикання, медикаментозна залежність та синдром відміни. Оригінальний препарат Фабомотизолу - «Афобазол®» зник з фармацевтичного ринку</w:t>
      </w:r>
      <w:r>
        <w:rPr>
          <w:spacing w:val="-13"/>
        </w:rPr>
        <w:t xml:space="preserve"> </w:t>
      </w:r>
      <w:r>
        <w:t>України</w:t>
      </w:r>
      <w:r>
        <w:rPr>
          <w:spacing w:val="-9"/>
        </w:rPr>
        <w:t xml:space="preserve"> </w:t>
      </w:r>
      <w:r>
        <w:t>в</w:t>
      </w:r>
      <w:r>
        <w:rPr>
          <w:spacing w:val="-10"/>
        </w:rPr>
        <w:t xml:space="preserve"> </w:t>
      </w:r>
      <w:r>
        <w:t>2018</w:t>
      </w:r>
      <w:r>
        <w:rPr>
          <w:spacing w:val="-8"/>
        </w:rPr>
        <w:t xml:space="preserve"> </w:t>
      </w:r>
      <w:r>
        <w:t>році</w:t>
      </w:r>
      <w:r>
        <w:rPr>
          <w:spacing w:val="-8"/>
        </w:rPr>
        <w:t xml:space="preserve"> </w:t>
      </w:r>
      <w:r>
        <w:t>у</w:t>
      </w:r>
      <w:r>
        <w:rPr>
          <w:spacing w:val="-13"/>
        </w:rPr>
        <w:t xml:space="preserve"> </w:t>
      </w:r>
      <w:r>
        <w:t>зв’язку</w:t>
      </w:r>
      <w:r>
        <w:rPr>
          <w:spacing w:val="-13"/>
        </w:rPr>
        <w:t xml:space="preserve"> </w:t>
      </w:r>
      <w:r>
        <w:t>з</w:t>
      </w:r>
      <w:r>
        <w:rPr>
          <w:spacing w:val="-10"/>
        </w:rPr>
        <w:t xml:space="preserve"> </w:t>
      </w:r>
      <w:r>
        <w:t>тим,</w:t>
      </w:r>
      <w:r>
        <w:rPr>
          <w:spacing w:val="-10"/>
        </w:rPr>
        <w:t xml:space="preserve"> </w:t>
      </w:r>
      <w:r>
        <w:t>що</w:t>
      </w:r>
      <w:r>
        <w:rPr>
          <w:spacing w:val="-8"/>
        </w:rPr>
        <w:t xml:space="preserve"> </w:t>
      </w:r>
      <w:r>
        <w:t>виробляється</w:t>
      </w:r>
      <w:r>
        <w:rPr>
          <w:spacing w:val="-11"/>
        </w:rPr>
        <w:t xml:space="preserve"> </w:t>
      </w:r>
      <w:r>
        <w:t>він</w:t>
      </w:r>
      <w:r>
        <w:rPr>
          <w:spacing w:val="-8"/>
        </w:rPr>
        <w:t xml:space="preserve"> </w:t>
      </w:r>
      <w:r>
        <w:t>у</w:t>
      </w:r>
      <w:r>
        <w:rPr>
          <w:spacing w:val="-13"/>
        </w:rPr>
        <w:t xml:space="preserve"> </w:t>
      </w:r>
      <w:r>
        <w:t>країні-агресорі. Створений</w:t>
      </w:r>
      <w:r>
        <w:rPr>
          <w:spacing w:val="40"/>
        </w:rPr>
        <w:t xml:space="preserve"> </w:t>
      </w:r>
      <w:r>
        <w:t>вакуум</w:t>
      </w:r>
      <w:r>
        <w:rPr>
          <w:spacing w:val="40"/>
        </w:rPr>
        <w:t xml:space="preserve"> </w:t>
      </w:r>
      <w:r>
        <w:t>призваний</w:t>
      </w:r>
      <w:r>
        <w:rPr>
          <w:spacing w:val="40"/>
        </w:rPr>
        <w:t xml:space="preserve"> </w:t>
      </w:r>
      <w:r>
        <w:t>бути</w:t>
      </w:r>
      <w:r>
        <w:rPr>
          <w:spacing w:val="40"/>
        </w:rPr>
        <w:t xml:space="preserve"> </w:t>
      </w:r>
      <w:r>
        <w:t>заміщений</w:t>
      </w:r>
      <w:r>
        <w:rPr>
          <w:spacing w:val="40"/>
        </w:rPr>
        <w:t xml:space="preserve"> </w:t>
      </w:r>
      <w:r>
        <w:t>вітчизняним</w:t>
      </w:r>
      <w:r>
        <w:rPr>
          <w:spacing w:val="40"/>
        </w:rPr>
        <w:t xml:space="preserve"> </w:t>
      </w:r>
      <w:r>
        <w:t>фармацевтичним</w:t>
      </w:r>
    </w:p>
    <w:p w:rsidR="00D60673" w:rsidRDefault="00D60673" w:rsidP="00D60673">
      <w:pPr>
        <w:spacing w:line="360" w:lineRule="auto"/>
        <w:jc w:val="both"/>
        <w:sectPr w:rsidR="00D60673">
          <w:pgSz w:w="11910" w:h="16840"/>
          <w:pgMar w:top="1040" w:right="240" w:bottom="280" w:left="1040" w:header="710" w:footer="0" w:gutter="0"/>
          <w:cols w:space="720"/>
        </w:sectPr>
      </w:pPr>
    </w:p>
    <w:p w:rsidR="00D60673" w:rsidRDefault="00D60673" w:rsidP="00D60673">
      <w:pPr>
        <w:pStyle w:val="a3"/>
        <w:spacing w:before="175" w:line="360" w:lineRule="auto"/>
        <w:ind w:right="320"/>
        <w:jc w:val="both"/>
      </w:pPr>
      <w:r>
        <w:lastRenderedPageBreak/>
        <w:t>засобом «Бафазол ІС», що є препаратом-дженериком «Афобазолу®» і має міжнародну непантентовану назву Фабомотизол [7].</w:t>
      </w:r>
    </w:p>
    <w:p w:rsidR="00D60673" w:rsidRDefault="00D60673" w:rsidP="00D60673">
      <w:pPr>
        <w:pStyle w:val="a3"/>
        <w:spacing w:before="2" w:line="360" w:lineRule="auto"/>
        <w:ind w:right="321" w:firstLine="707"/>
        <w:jc w:val="both"/>
      </w:pPr>
      <w:r>
        <w:t xml:space="preserve">Фабомотизол, як синтетичний лікарський засіб, належить до денних транквілізаторів та вже зарекомендував себе як перспективний препарат для лікування психічних розладів. На тлі постійного зростання числа людей, які стикаються з психічними проблемами, вивчення фізико-хімічних параметрів Фабомотизолу набуває важливості як для фармацевтів, так і для медичної </w:t>
      </w:r>
      <w:r>
        <w:rPr>
          <w:spacing w:val="-2"/>
        </w:rPr>
        <w:t>практики.</w:t>
      </w:r>
    </w:p>
    <w:p w:rsidR="00D60673" w:rsidRDefault="00D60673" w:rsidP="00D60673">
      <w:pPr>
        <w:pStyle w:val="a3"/>
        <w:spacing w:line="360" w:lineRule="auto"/>
        <w:ind w:right="322" w:firstLine="707"/>
        <w:jc w:val="both"/>
      </w:pPr>
      <w:r>
        <w:t>Зазначена тема також ставить перед собою завдання врахування унікальних аспектів використання Фабомотизолу в умовах воєнних конфліктів, де психічні та емоційні навантаження на військовослужбовців та цивільне населення стають особливо актуальними [8,9]. Ми не лише прагнемо зрозуміти фізико-хімічні параметри препарату, але і визначити його потенційність у ролі інструмента забезпечення психічного благополуччя в умовах стресу та надзвичайних</w:t>
      </w:r>
      <w:r>
        <w:rPr>
          <w:spacing w:val="-18"/>
        </w:rPr>
        <w:t xml:space="preserve"> </w:t>
      </w:r>
      <w:r>
        <w:t>обставин,</w:t>
      </w:r>
      <w:r>
        <w:rPr>
          <w:spacing w:val="-17"/>
        </w:rPr>
        <w:t xml:space="preserve"> </w:t>
      </w:r>
      <w:r>
        <w:t>щоб</w:t>
      </w:r>
      <w:r>
        <w:rPr>
          <w:spacing w:val="-18"/>
        </w:rPr>
        <w:t xml:space="preserve"> </w:t>
      </w:r>
      <w:r>
        <w:t>досягти</w:t>
      </w:r>
      <w:r>
        <w:rPr>
          <w:spacing w:val="-17"/>
        </w:rPr>
        <w:t xml:space="preserve"> </w:t>
      </w:r>
      <w:r>
        <w:t>максимальної</w:t>
      </w:r>
      <w:r>
        <w:rPr>
          <w:spacing w:val="-17"/>
        </w:rPr>
        <w:t xml:space="preserve"> </w:t>
      </w:r>
      <w:r>
        <w:t>ефективності</w:t>
      </w:r>
      <w:r>
        <w:rPr>
          <w:spacing w:val="-17"/>
        </w:rPr>
        <w:t xml:space="preserve"> </w:t>
      </w:r>
      <w:r>
        <w:t>та</w:t>
      </w:r>
      <w:r>
        <w:rPr>
          <w:spacing w:val="-17"/>
        </w:rPr>
        <w:t xml:space="preserve"> </w:t>
      </w:r>
      <w:r>
        <w:t>мінімізувати можливі ризики.</w:t>
      </w:r>
    </w:p>
    <w:p w:rsidR="00D60673" w:rsidRDefault="00D60673" w:rsidP="00D60673">
      <w:pPr>
        <w:pStyle w:val="a3"/>
        <w:spacing w:line="360" w:lineRule="auto"/>
        <w:ind w:right="320" w:firstLine="707"/>
        <w:jc w:val="both"/>
      </w:pPr>
      <w:r>
        <w:t>Для</w:t>
      </w:r>
      <w:r>
        <w:rPr>
          <w:spacing w:val="-18"/>
        </w:rPr>
        <w:t xml:space="preserve"> </w:t>
      </w:r>
      <w:r>
        <w:t>розробки</w:t>
      </w:r>
      <w:r>
        <w:rPr>
          <w:spacing w:val="-17"/>
        </w:rPr>
        <w:t xml:space="preserve"> </w:t>
      </w:r>
      <w:r>
        <w:t>вітчизняного</w:t>
      </w:r>
      <w:r>
        <w:rPr>
          <w:spacing w:val="-16"/>
        </w:rPr>
        <w:t xml:space="preserve"> </w:t>
      </w:r>
      <w:r>
        <w:t>таблетованого</w:t>
      </w:r>
      <w:r>
        <w:rPr>
          <w:spacing w:val="-16"/>
        </w:rPr>
        <w:t xml:space="preserve"> </w:t>
      </w:r>
      <w:r>
        <w:t>препарату</w:t>
      </w:r>
      <w:r>
        <w:rPr>
          <w:spacing w:val="-18"/>
        </w:rPr>
        <w:t xml:space="preserve"> </w:t>
      </w:r>
      <w:r>
        <w:t>Фабомотизолу</w:t>
      </w:r>
      <w:r>
        <w:rPr>
          <w:spacing w:val="-14"/>
        </w:rPr>
        <w:t xml:space="preserve"> </w:t>
      </w:r>
      <w:r>
        <w:t>на</w:t>
      </w:r>
      <w:r>
        <w:rPr>
          <w:spacing w:val="-17"/>
        </w:rPr>
        <w:t xml:space="preserve"> </w:t>
      </w:r>
      <w:r>
        <w:t>базі науково-дослідної аналітичної лабораторії ТДВ «Інтерхім» важливим етапом стало</w:t>
      </w:r>
      <w:r>
        <w:rPr>
          <w:spacing w:val="-6"/>
        </w:rPr>
        <w:t xml:space="preserve"> </w:t>
      </w:r>
      <w:r>
        <w:t>вивчення</w:t>
      </w:r>
      <w:r>
        <w:rPr>
          <w:spacing w:val="-9"/>
        </w:rPr>
        <w:t xml:space="preserve"> </w:t>
      </w:r>
      <w:r>
        <w:t>фізико-хімічних</w:t>
      </w:r>
      <w:r>
        <w:rPr>
          <w:spacing w:val="-9"/>
        </w:rPr>
        <w:t xml:space="preserve"> </w:t>
      </w:r>
      <w:r>
        <w:t>параметрів</w:t>
      </w:r>
      <w:r>
        <w:rPr>
          <w:spacing w:val="-5"/>
        </w:rPr>
        <w:t xml:space="preserve"> </w:t>
      </w:r>
      <w:r>
        <w:t>АФІ</w:t>
      </w:r>
      <w:r>
        <w:rPr>
          <w:spacing w:val="-7"/>
        </w:rPr>
        <w:t xml:space="preserve"> </w:t>
      </w:r>
      <w:r>
        <w:t>Фабомотизолу,</w:t>
      </w:r>
      <w:r>
        <w:rPr>
          <w:spacing w:val="-8"/>
        </w:rPr>
        <w:t xml:space="preserve"> </w:t>
      </w:r>
      <w:r>
        <w:t>серед</w:t>
      </w:r>
      <w:r>
        <w:rPr>
          <w:spacing w:val="-6"/>
        </w:rPr>
        <w:t xml:space="preserve"> </w:t>
      </w:r>
      <w:r>
        <w:t>яких</w:t>
      </w:r>
      <w:r>
        <w:rPr>
          <w:spacing w:val="-9"/>
        </w:rPr>
        <w:t xml:space="preserve"> </w:t>
      </w:r>
      <w:r>
        <w:t>його термічна стабільність, кислотно-основні, гігроскопічні та спектральні властивості. Ці параметри є суттєво необхідними для розробки методик виробництва, контролю якості, ідентифікації та кількісного визначення препарату, визначення терміну</w:t>
      </w:r>
      <w:r>
        <w:rPr>
          <w:spacing w:val="-2"/>
        </w:rPr>
        <w:t xml:space="preserve"> </w:t>
      </w:r>
      <w:r>
        <w:t>та умов зберігання, що є важливими завданнями фармацевтичної</w:t>
      </w:r>
      <w:r>
        <w:rPr>
          <w:spacing w:val="-1"/>
        </w:rPr>
        <w:t xml:space="preserve"> </w:t>
      </w:r>
      <w:r>
        <w:t>науки. Таким чином,</w:t>
      </w:r>
      <w:r>
        <w:rPr>
          <w:spacing w:val="-2"/>
        </w:rPr>
        <w:t xml:space="preserve"> </w:t>
      </w:r>
      <w:r>
        <w:t>дана дипломна</w:t>
      </w:r>
      <w:r>
        <w:rPr>
          <w:spacing w:val="-2"/>
        </w:rPr>
        <w:t xml:space="preserve"> </w:t>
      </w:r>
      <w:r>
        <w:t>робота є важливим етапом вирішення проблеми сучасної фармацевтики, а саме забезпечення ефективної вітчизняної фармацевтичної розробки та вивчення нових препаратів для покращення якості життя людей у сучасному загальнолюдському вимірі.</w:t>
      </w:r>
    </w:p>
    <w:p w:rsidR="00D60673" w:rsidRDefault="00D60673" w:rsidP="00D60673">
      <w:pPr>
        <w:spacing w:line="360" w:lineRule="auto"/>
        <w:jc w:val="both"/>
        <w:sectPr w:rsidR="00D60673">
          <w:pgSz w:w="11910" w:h="16840"/>
          <w:pgMar w:top="1040" w:right="240" w:bottom="280" w:left="1040" w:header="710" w:footer="0" w:gutter="0"/>
          <w:cols w:space="720"/>
        </w:sectPr>
      </w:pPr>
    </w:p>
    <w:p w:rsidR="00342919" w:rsidRDefault="00342919" w:rsidP="00342919">
      <w:pPr>
        <w:pStyle w:val="1"/>
        <w:ind w:left="755"/>
      </w:pPr>
      <w:r>
        <w:rPr>
          <w:spacing w:val="-2"/>
        </w:rPr>
        <w:lastRenderedPageBreak/>
        <w:t>ВИСНОВКИ</w:t>
      </w:r>
    </w:p>
    <w:p w:rsidR="00342919" w:rsidRDefault="00342919" w:rsidP="00342919">
      <w:pPr>
        <w:pStyle w:val="a7"/>
        <w:numPr>
          <w:ilvl w:val="0"/>
          <w:numId w:val="6"/>
        </w:numPr>
        <w:tabs>
          <w:tab w:val="left" w:pos="945"/>
          <w:tab w:val="left" w:pos="1077"/>
        </w:tabs>
        <w:spacing w:before="262" w:line="360" w:lineRule="auto"/>
        <w:ind w:right="332" w:hanging="284"/>
        <w:jc w:val="both"/>
        <w:rPr>
          <w:sz w:val="28"/>
        </w:rPr>
      </w:pPr>
      <w:r>
        <w:rPr>
          <w:sz w:val="28"/>
        </w:rPr>
        <w:tab/>
        <w:t>Методом потенціометричного титрування були визначені протолітичні константи іонізації АФІ Фабомотизол:</w:t>
      </w:r>
      <w:r>
        <w:rPr>
          <w:spacing w:val="40"/>
          <w:sz w:val="28"/>
        </w:rPr>
        <w:t xml:space="preserve"> </w:t>
      </w:r>
      <w:r>
        <w:rPr>
          <w:sz w:val="28"/>
        </w:rPr>
        <w:t>рК</w:t>
      </w:r>
      <w:r>
        <w:rPr>
          <w:sz w:val="28"/>
          <w:vertAlign w:val="subscript"/>
        </w:rPr>
        <w:t>1</w:t>
      </w:r>
      <w:r>
        <w:rPr>
          <w:sz w:val="28"/>
        </w:rPr>
        <w:t xml:space="preserve"> = 4.62±0.01, рК</w:t>
      </w:r>
      <w:r>
        <w:rPr>
          <w:sz w:val="28"/>
          <w:vertAlign w:val="subscript"/>
        </w:rPr>
        <w:t>2</w:t>
      </w:r>
      <w:r>
        <w:rPr>
          <w:sz w:val="28"/>
        </w:rPr>
        <w:t xml:space="preserve"> = 6.77±0.11.</w:t>
      </w:r>
    </w:p>
    <w:p w:rsidR="00342919" w:rsidRDefault="00342919" w:rsidP="00342919">
      <w:pPr>
        <w:pStyle w:val="a7"/>
        <w:numPr>
          <w:ilvl w:val="0"/>
          <w:numId w:val="6"/>
        </w:numPr>
        <w:tabs>
          <w:tab w:val="left" w:pos="945"/>
          <w:tab w:val="left" w:pos="964"/>
        </w:tabs>
        <w:spacing w:line="360" w:lineRule="auto"/>
        <w:ind w:right="322" w:hanging="284"/>
        <w:jc w:val="both"/>
        <w:rPr>
          <w:sz w:val="28"/>
        </w:rPr>
      </w:pPr>
      <w:r>
        <w:rPr>
          <w:sz w:val="28"/>
        </w:rPr>
        <w:tab/>
        <w:t>Визначено, що лікарська субстанція Фабомотизол дигідрохлорид має сильні гігроскопічні властивості: при експозиції зразка АФІ Фабомотизол у відкритому вигляді при відносній вологості 55% (23 °С) спостерігається інтенсивне</w:t>
      </w:r>
      <w:r>
        <w:rPr>
          <w:spacing w:val="-15"/>
          <w:sz w:val="28"/>
        </w:rPr>
        <w:t xml:space="preserve"> </w:t>
      </w:r>
      <w:r>
        <w:rPr>
          <w:sz w:val="28"/>
        </w:rPr>
        <w:t>поглинання</w:t>
      </w:r>
      <w:r>
        <w:rPr>
          <w:spacing w:val="-13"/>
          <w:sz w:val="28"/>
        </w:rPr>
        <w:t xml:space="preserve"> </w:t>
      </w:r>
      <w:r>
        <w:rPr>
          <w:sz w:val="28"/>
        </w:rPr>
        <w:t>водяної</w:t>
      </w:r>
      <w:r>
        <w:rPr>
          <w:spacing w:val="-13"/>
          <w:sz w:val="28"/>
        </w:rPr>
        <w:t xml:space="preserve"> </w:t>
      </w:r>
      <w:r>
        <w:rPr>
          <w:sz w:val="28"/>
        </w:rPr>
        <w:t>пари</w:t>
      </w:r>
      <w:r>
        <w:rPr>
          <w:spacing w:val="-13"/>
          <w:sz w:val="28"/>
        </w:rPr>
        <w:t xml:space="preserve"> </w:t>
      </w:r>
      <w:r>
        <w:rPr>
          <w:sz w:val="28"/>
        </w:rPr>
        <w:t>до</w:t>
      </w:r>
      <w:r>
        <w:rPr>
          <w:spacing w:val="-15"/>
          <w:sz w:val="28"/>
        </w:rPr>
        <w:t xml:space="preserve"> </w:t>
      </w:r>
      <w:r>
        <w:rPr>
          <w:sz w:val="28"/>
        </w:rPr>
        <w:t>6.1%</w:t>
      </w:r>
      <w:r>
        <w:rPr>
          <w:spacing w:val="-14"/>
          <w:sz w:val="28"/>
        </w:rPr>
        <w:t xml:space="preserve"> </w:t>
      </w:r>
      <w:r>
        <w:rPr>
          <w:sz w:val="28"/>
        </w:rPr>
        <w:t>у</w:t>
      </w:r>
      <w:r>
        <w:rPr>
          <w:spacing w:val="-17"/>
          <w:sz w:val="28"/>
        </w:rPr>
        <w:t xml:space="preserve"> </w:t>
      </w:r>
      <w:r>
        <w:rPr>
          <w:sz w:val="28"/>
        </w:rPr>
        <w:t>перші</w:t>
      </w:r>
      <w:r>
        <w:rPr>
          <w:spacing w:val="-13"/>
          <w:sz w:val="28"/>
        </w:rPr>
        <w:t xml:space="preserve"> </w:t>
      </w:r>
      <w:r>
        <w:rPr>
          <w:sz w:val="28"/>
        </w:rPr>
        <w:t>5</w:t>
      </w:r>
      <w:r>
        <w:rPr>
          <w:spacing w:val="-13"/>
          <w:sz w:val="28"/>
        </w:rPr>
        <w:t xml:space="preserve"> </w:t>
      </w:r>
      <w:r>
        <w:rPr>
          <w:sz w:val="28"/>
        </w:rPr>
        <w:t>годин,</w:t>
      </w:r>
      <w:r>
        <w:rPr>
          <w:spacing w:val="-7"/>
          <w:sz w:val="28"/>
        </w:rPr>
        <w:t xml:space="preserve"> </w:t>
      </w:r>
      <w:r>
        <w:rPr>
          <w:sz w:val="28"/>
        </w:rPr>
        <w:t>потім</w:t>
      </w:r>
      <w:r>
        <w:rPr>
          <w:spacing w:val="-13"/>
          <w:sz w:val="28"/>
        </w:rPr>
        <w:t xml:space="preserve"> </w:t>
      </w:r>
      <w:r>
        <w:rPr>
          <w:sz w:val="28"/>
        </w:rPr>
        <w:t>швидкість сорбції значно зменшується і в наступні 22 години вміст води у зразку збільшується до 6.5%. При експозиції зразка АФІ Фабомотизол у закритій камері при відносній вологості 85% (23°С) спостерігається інтенсивне поглинання парів води до 10% у перші 3 години, потім у наступні 17 годин вміст води у зразку збільшується до 13.5%;</w:t>
      </w:r>
    </w:p>
    <w:p w:rsidR="00342919" w:rsidRDefault="00342919" w:rsidP="00342919">
      <w:pPr>
        <w:pStyle w:val="a7"/>
        <w:numPr>
          <w:ilvl w:val="0"/>
          <w:numId w:val="6"/>
        </w:numPr>
        <w:tabs>
          <w:tab w:val="left" w:pos="945"/>
          <w:tab w:val="left" w:pos="1032"/>
        </w:tabs>
        <w:spacing w:line="360" w:lineRule="auto"/>
        <w:ind w:right="326" w:hanging="284"/>
        <w:jc w:val="both"/>
        <w:rPr>
          <w:sz w:val="28"/>
        </w:rPr>
      </w:pPr>
      <w:r>
        <w:rPr>
          <w:sz w:val="28"/>
        </w:rPr>
        <w:tab/>
        <w:t>Характер сигналів на термограмах ДСК зразків Фабомотизолу з різним вмістом води дозволяє припустити, що вода в субстанції Фабомотизол зв'язується з речовиною в гідратованій формі, при цьому можливе утворення як моногідрату (теоретичний вміст Н</w:t>
      </w:r>
      <w:r>
        <w:rPr>
          <w:sz w:val="28"/>
          <w:vertAlign w:val="subscript"/>
        </w:rPr>
        <w:t>2</w:t>
      </w:r>
      <w:r>
        <w:rPr>
          <w:sz w:val="28"/>
        </w:rPr>
        <w:t>О 4.52%), так і дигідрату (теоретичний вміст Н</w:t>
      </w:r>
      <w:r>
        <w:rPr>
          <w:sz w:val="28"/>
          <w:vertAlign w:val="subscript"/>
        </w:rPr>
        <w:t>2</w:t>
      </w:r>
      <w:r>
        <w:rPr>
          <w:sz w:val="28"/>
        </w:rPr>
        <w:t>О 8.65%).</w:t>
      </w:r>
    </w:p>
    <w:p w:rsidR="00342919" w:rsidRDefault="00342919" w:rsidP="00342919">
      <w:pPr>
        <w:pStyle w:val="a7"/>
        <w:numPr>
          <w:ilvl w:val="0"/>
          <w:numId w:val="6"/>
        </w:numPr>
        <w:tabs>
          <w:tab w:val="left" w:pos="945"/>
          <w:tab w:val="left" w:pos="1046"/>
        </w:tabs>
        <w:spacing w:line="360" w:lineRule="auto"/>
        <w:ind w:right="321" w:hanging="284"/>
        <w:jc w:val="both"/>
        <w:rPr>
          <w:sz w:val="28"/>
        </w:rPr>
      </w:pPr>
      <w:r>
        <w:rPr>
          <w:sz w:val="28"/>
        </w:rPr>
        <w:tab/>
        <w:t>Проведене дослідження щодо хімічної стабільності субстанції в різних розчинах</w:t>
      </w:r>
      <w:r>
        <w:rPr>
          <w:spacing w:val="-5"/>
          <w:sz w:val="28"/>
        </w:rPr>
        <w:t xml:space="preserve"> </w:t>
      </w:r>
      <w:r>
        <w:rPr>
          <w:sz w:val="28"/>
        </w:rPr>
        <w:t>(ДМФА,</w:t>
      </w:r>
      <w:r>
        <w:rPr>
          <w:spacing w:val="-6"/>
          <w:sz w:val="28"/>
        </w:rPr>
        <w:t xml:space="preserve"> </w:t>
      </w:r>
      <w:r>
        <w:rPr>
          <w:sz w:val="28"/>
        </w:rPr>
        <w:t>ацетонітрил</w:t>
      </w:r>
      <w:r>
        <w:rPr>
          <w:spacing w:val="-6"/>
          <w:sz w:val="28"/>
        </w:rPr>
        <w:t xml:space="preserve"> </w:t>
      </w:r>
      <w:r>
        <w:rPr>
          <w:sz w:val="28"/>
        </w:rPr>
        <w:t>та</w:t>
      </w:r>
      <w:r>
        <w:rPr>
          <w:spacing w:val="-5"/>
          <w:sz w:val="28"/>
        </w:rPr>
        <w:t xml:space="preserve"> </w:t>
      </w:r>
      <w:r>
        <w:rPr>
          <w:sz w:val="28"/>
        </w:rPr>
        <w:t>етиловий</w:t>
      </w:r>
      <w:r>
        <w:rPr>
          <w:spacing w:val="-5"/>
          <w:sz w:val="28"/>
        </w:rPr>
        <w:t xml:space="preserve"> </w:t>
      </w:r>
      <w:r>
        <w:rPr>
          <w:sz w:val="28"/>
        </w:rPr>
        <w:t>спирт)</w:t>
      </w:r>
      <w:r>
        <w:rPr>
          <w:spacing w:val="-5"/>
          <w:sz w:val="28"/>
        </w:rPr>
        <w:t xml:space="preserve"> </w:t>
      </w:r>
      <w:r>
        <w:rPr>
          <w:sz w:val="28"/>
        </w:rPr>
        <w:t>показано,</w:t>
      </w:r>
      <w:r>
        <w:rPr>
          <w:spacing w:val="-6"/>
          <w:sz w:val="28"/>
        </w:rPr>
        <w:t xml:space="preserve"> </w:t>
      </w:r>
      <w:r>
        <w:rPr>
          <w:sz w:val="28"/>
        </w:rPr>
        <w:t>що</w:t>
      </w:r>
      <w:r>
        <w:rPr>
          <w:spacing w:val="-5"/>
          <w:sz w:val="28"/>
        </w:rPr>
        <w:t xml:space="preserve"> </w:t>
      </w:r>
      <w:r>
        <w:rPr>
          <w:sz w:val="28"/>
        </w:rPr>
        <w:t>Фабомотизол є досить стабільним під час термічної обробки у органічних розчинниках, водних</w:t>
      </w:r>
      <w:r>
        <w:rPr>
          <w:spacing w:val="-9"/>
          <w:sz w:val="28"/>
        </w:rPr>
        <w:t xml:space="preserve"> </w:t>
      </w:r>
      <w:r>
        <w:rPr>
          <w:sz w:val="28"/>
        </w:rPr>
        <w:t>розчинах</w:t>
      </w:r>
      <w:r>
        <w:rPr>
          <w:spacing w:val="-9"/>
          <w:sz w:val="28"/>
        </w:rPr>
        <w:t xml:space="preserve"> </w:t>
      </w:r>
      <w:r>
        <w:rPr>
          <w:sz w:val="28"/>
        </w:rPr>
        <w:t>0.1М</w:t>
      </w:r>
      <w:r>
        <w:rPr>
          <w:spacing w:val="-7"/>
          <w:sz w:val="28"/>
        </w:rPr>
        <w:t xml:space="preserve"> </w:t>
      </w:r>
      <w:r>
        <w:rPr>
          <w:sz w:val="28"/>
        </w:rPr>
        <w:t>гідроксиду</w:t>
      </w:r>
      <w:r>
        <w:rPr>
          <w:spacing w:val="-11"/>
          <w:sz w:val="28"/>
        </w:rPr>
        <w:t xml:space="preserve"> </w:t>
      </w:r>
      <w:r>
        <w:rPr>
          <w:sz w:val="28"/>
        </w:rPr>
        <w:t>натрію,</w:t>
      </w:r>
      <w:r>
        <w:rPr>
          <w:spacing w:val="-8"/>
          <w:sz w:val="28"/>
        </w:rPr>
        <w:t xml:space="preserve"> </w:t>
      </w:r>
      <w:r>
        <w:rPr>
          <w:sz w:val="28"/>
        </w:rPr>
        <w:t>0.1М</w:t>
      </w:r>
      <w:r>
        <w:rPr>
          <w:spacing w:val="-9"/>
          <w:sz w:val="28"/>
        </w:rPr>
        <w:t xml:space="preserve"> </w:t>
      </w:r>
      <w:r>
        <w:rPr>
          <w:sz w:val="28"/>
        </w:rPr>
        <w:t>кислоти</w:t>
      </w:r>
      <w:r>
        <w:rPr>
          <w:spacing w:val="-9"/>
          <w:sz w:val="28"/>
        </w:rPr>
        <w:t xml:space="preserve"> </w:t>
      </w:r>
      <w:r>
        <w:rPr>
          <w:sz w:val="28"/>
        </w:rPr>
        <w:t>хлористоводневої (до 1% продуктів деградації). Натомість, виявлено, що Фабомотизол є нестійким у 6 % розчині перекису водню (від 20% до 30% продуктів деградації).</w:t>
      </w:r>
    </w:p>
    <w:p w:rsidR="00342919" w:rsidRDefault="00342919" w:rsidP="00342919">
      <w:pPr>
        <w:pStyle w:val="a7"/>
        <w:numPr>
          <w:ilvl w:val="0"/>
          <w:numId w:val="6"/>
        </w:numPr>
        <w:tabs>
          <w:tab w:val="left" w:pos="945"/>
          <w:tab w:val="left" w:pos="1006"/>
        </w:tabs>
        <w:spacing w:line="360" w:lineRule="auto"/>
        <w:ind w:right="320" w:hanging="284"/>
        <w:jc w:val="both"/>
        <w:rPr>
          <w:sz w:val="28"/>
        </w:rPr>
      </w:pPr>
      <w:r>
        <w:rPr>
          <w:sz w:val="28"/>
        </w:rPr>
        <w:tab/>
        <w:t>Виявлено, що при термічному впливі на порошок субстанції при 120 °C протягом 1.5 годин Фабомотизол піддається термохімічній деструкції, утворюючи продукти розкладання у сумарній кількості близько 3.6%. Основними продуктами розкладання субстанції Фабомотизол є 5-етокси-1Н- бензімідазол-2-тіол та 4-етенілморфолін.</w:t>
      </w:r>
    </w:p>
    <w:p w:rsidR="00342919" w:rsidRDefault="00342919" w:rsidP="00342919">
      <w:pPr>
        <w:spacing w:line="360" w:lineRule="auto"/>
        <w:jc w:val="both"/>
        <w:rPr>
          <w:sz w:val="28"/>
        </w:rPr>
        <w:sectPr w:rsidR="00342919">
          <w:pgSz w:w="11910" w:h="16840"/>
          <w:pgMar w:top="1040" w:right="240" w:bottom="280" w:left="1040" w:header="710" w:footer="0" w:gutter="0"/>
          <w:cols w:space="720"/>
        </w:sectPr>
      </w:pPr>
    </w:p>
    <w:p w:rsidR="00342919" w:rsidRDefault="00342919" w:rsidP="00342919">
      <w:pPr>
        <w:pStyle w:val="1"/>
        <w:ind w:left="753"/>
      </w:pPr>
      <w:r>
        <w:lastRenderedPageBreak/>
        <w:t>СПИСОК</w:t>
      </w:r>
      <w:r>
        <w:rPr>
          <w:spacing w:val="-7"/>
        </w:rPr>
        <w:t xml:space="preserve"> </w:t>
      </w:r>
      <w:r>
        <w:rPr>
          <w:spacing w:val="-2"/>
        </w:rPr>
        <w:t>ЛІТЕРАТУРИ</w:t>
      </w:r>
    </w:p>
    <w:p w:rsidR="00342919" w:rsidRDefault="00342919" w:rsidP="00342919">
      <w:pPr>
        <w:pStyle w:val="a7"/>
        <w:numPr>
          <w:ilvl w:val="1"/>
          <w:numId w:val="6"/>
        </w:numPr>
        <w:tabs>
          <w:tab w:val="left" w:pos="1382"/>
        </w:tabs>
        <w:spacing w:before="262" w:line="360" w:lineRule="auto"/>
        <w:ind w:right="320"/>
        <w:jc w:val="both"/>
        <w:rPr>
          <w:sz w:val="28"/>
        </w:rPr>
      </w:pPr>
      <w:r>
        <w:rPr>
          <w:sz w:val="28"/>
        </w:rPr>
        <w:t>Jahangiri S., Naeim M., Majidnia M,. et al. Unveiling the neuro-cognitive paradigm:</w:t>
      </w:r>
      <w:r>
        <w:rPr>
          <w:spacing w:val="-3"/>
          <w:sz w:val="28"/>
        </w:rPr>
        <w:t xml:space="preserve"> </w:t>
      </w:r>
      <w:r>
        <w:rPr>
          <w:sz w:val="28"/>
        </w:rPr>
        <w:t>a</w:t>
      </w:r>
      <w:r>
        <w:rPr>
          <w:spacing w:val="-5"/>
          <w:sz w:val="28"/>
        </w:rPr>
        <w:t xml:space="preserve"> </w:t>
      </w:r>
      <w:r>
        <w:rPr>
          <w:sz w:val="28"/>
        </w:rPr>
        <w:t>new</w:t>
      </w:r>
      <w:r>
        <w:rPr>
          <w:spacing w:val="-5"/>
          <w:sz w:val="28"/>
        </w:rPr>
        <w:t xml:space="preserve"> </w:t>
      </w:r>
      <w:r>
        <w:rPr>
          <w:sz w:val="28"/>
        </w:rPr>
        <w:t>approach</w:t>
      </w:r>
      <w:r>
        <w:rPr>
          <w:spacing w:val="-3"/>
          <w:sz w:val="28"/>
        </w:rPr>
        <w:t xml:space="preserve"> </w:t>
      </w:r>
      <w:r>
        <w:rPr>
          <w:sz w:val="28"/>
        </w:rPr>
        <w:t>to</w:t>
      </w:r>
      <w:r>
        <w:rPr>
          <w:spacing w:val="-7"/>
          <w:sz w:val="28"/>
        </w:rPr>
        <w:t xml:space="preserve"> </w:t>
      </w:r>
      <w:r>
        <w:rPr>
          <w:sz w:val="28"/>
        </w:rPr>
        <w:t>the</w:t>
      </w:r>
      <w:r>
        <w:rPr>
          <w:spacing w:val="-4"/>
          <w:sz w:val="28"/>
        </w:rPr>
        <w:t xml:space="preserve"> </w:t>
      </w:r>
      <w:r>
        <w:rPr>
          <w:sz w:val="28"/>
        </w:rPr>
        <w:t>treatment</w:t>
      </w:r>
      <w:r>
        <w:rPr>
          <w:spacing w:val="-3"/>
          <w:sz w:val="28"/>
        </w:rPr>
        <w:t xml:space="preserve"> </w:t>
      </w:r>
      <w:r>
        <w:rPr>
          <w:sz w:val="28"/>
        </w:rPr>
        <w:t>of</w:t>
      </w:r>
      <w:r>
        <w:rPr>
          <w:spacing w:val="-4"/>
          <w:sz w:val="28"/>
        </w:rPr>
        <w:t xml:space="preserve"> </w:t>
      </w:r>
      <w:r>
        <w:rPr>
          <w:sz w:val="28"/>
        </w:rPr>
        <w:t>anxiety:</w:t>
      </w:r>
      <w:r>
        <w:rPr>
          <w:spacing w:val="-3"/>
          <w:sz w:val="28"/>
        </w:rPr>
        <w:t xml:space="preserve"> </w:t>
      </w:r>
      <w:r>
        <w:rPr>
          <w:sz w:val="28"/>
        </w:rPr>
        <w:t>a</w:t>
      </w:r>
      <w:r>
        <w:rPr>
          <w:spacing w:val="-5"/>
          <w:sz w:val="28"/>
        </w:rPr>
        <w:t xml:space="preserve"> </w:t>
      </w:r>
      <w:r>
        <w:rPr>
          <w:sz w:val="28"/>
        </w:rPr>
        <w:t>comprehensive</w:t>
      </w:r>
      <w:r>
        <w:rPr>
          <w:spacing w:val="-4"/>
          <w:sz w:val="28"/>
        </w:rPr>
        <w:t xml:space="preserve"> </w:t>
      </w:r>
      <w:r>
        <w:rPr>
          <w:sz w:val="28"/>
        </w:rPr>
        <w:t xml:space="preserve">review. </w:t>
      </w:r>
      <w:r>
        <w:rPr>
          <w:i/>
          <w:sz w:val="28"/>
        </w:rPr>
        <w:t xml:space="preserve">Ann Med Surg </w:t>
      </w:r>
      <w:r>
        <w:rPr>
          <w:sz w:val="28"/>
        </w:rPr>
        <w:t>(Lond). 2024.86(6).Р.3508-3513.</w:t>
      </w:r>
    </w:p>
    <w:p w:rsidR="00342919" w:rsidRDefault="00342919" w:rsidP="00342919">
      <w:pPr>
        <w:pStyle w:val="a7"/>
        <w:numPr>
          <w:ilvl w:val="1"/>
          <w:numId w:val="6"/>
        </w:numPr>
        <w:tabs>
          <w:tab w:val="left" w:pos="1382"/>
        </w:tabs>
        <w:spacing w:line="360" w:lineRule="auto"/>
        <w:ind w:right="330"/>
        <w:jc w:val="both"/>
        <w:rPr>
          <w:sz w:val="28"/>
        </w:rPr>
      </w:pPr>
      <w:r>
        <w:rPr>
          <w:sz w:val="28"/>
        </w:rPr>
        <w:t xml:space="preserve">Стрільчук Л. Лікування тривожних станів на первинній ланці медичної допомоги. </w:t>
      </w:r>
      <w:r>
        <w:rPr>
          <w:i/>
          <w:sz w:val="28"/>
        </w:rPr>
        <w:t xml:space="preserve">«Здоров’я України 21 сторіччя» </w:t>
      </w:r>
      <w:r>
        <w:rPr>
          <w:sz w:val="28"/>
        </w:rPr>
        <w:t>2024.№.1-2 .С.(562-563)</w:t>
      </w:r>
    </w:p>
    <w:p w:rsidR="00342919" w:rsidRDefault="00342919" w:rsidP="00342919">
      <w:pPr>
        <w:pStyle w:val="a7"/>
        <w:numPr>
          <w:ilvl w:val="1"/>
          <w:numId w:val="6"/>
        </w:numPr>
        <w:tabs>
          <w:tab w:val="left" w:pos="1382"/>
        </w:tabs>
        <w:spacing w:line="360" w:lineRule="auto"/>
        <w:ind w:right="323"/>
        <w:jc w:val="both"/>
        <w:rPr>
          <w:sz w:val="28"/>
        </w:rPr>
      </w:pPr>
      <w:r>
        <w:rPr>
          <w:color w:val="000000"/>
          <w:sz w:val="28"/>
          <w:shd w:val="clear" w:color="auto" w:fill="FBFBFB"/>
        </w:rPr>
        <w:t>Javaid S., Hashim I., Hashim M.,</w:t>
      </w:r>
      <w:r>
        <w:rPr>
          <w:color w:val="000000"/>
          <w:spacing w:val="-1"/>
          <w:sz w:val="28"/>
          <w:shd w:val="clear" w:color="auto" w:fill="FBFBFB"/>
        </w:rPr>
        <w:t xml:space="preserve"> </w:t>
      </w:r>
      <w:r>
        <w:rPr>
          <w:color w:val="000000"/>
          <w:sz w:val="28"/>
          <w:shd w:val="clear" w:color="auto" w:fill="FBFBFB"/>
        </w:rPr>
        <w:t>et al. Epidemiology of anxiety disorders:</w:t>
      </w:r>
      <w:r>
        <w:rPr>
          <w:color w:val="000000"/>
          <w:sz w:val="28"/>
        </w:rPr>
        <w:t xml:space="preserve"> </w:t>
      </w:r>
      <w:r>
        <w:rPr>
          <w:color w:val="000000"/>
          <w:sz w:val="28"/>
          <w:shd w:val="clear" w:color="auto" w:fill="FBFBFB"/>
        </w:rPr>
        <w:t xml:space="preserve">global burden and sociodemographic associations. </w:t>
      </w:r>
      <w:r>
        <w:rPr>
          <w:i/>
          <w:color w:val="000000"/>
          <w:sz w:val="28"/>
          <w:shd w:val="clear" w:color="auto" w:fill="FBFBFB"/>
        </w:rPr>
        <w:t>Middle East Curr</w:t>
      </w:r>
      <w:r>
        <w:rPr>
          <w:i/>
          <w:color w:val="000000"/>
          <w:spacing w:val="40"/>
          <w:sz w:val="28"/>
        </w:rPr>
        <w:t xml:space="preserve"> </w:t>
      </w:r>
      <w:r>
        <w:rPr>
          <w:i/>
          <w:color w:val="000000"/>
          <w:sz w:val="28"/>
          <w:shd w:val="clear" w:color="auto" w:fill="FBFBFB"/>
        </w:rPr>
        <w:t xml:space="preserve">Psychiatry </w:t>
      </w:r>
      <w:r>
        <w:rPr>
          <w:b/>
          <w:color w:val="000000"/>
          <w:sz w:val="28"/>
          <w:shd w:val="clear" w:color="auto" w:fill="FBFBFB"/>
        </w:rPr>
        <w:t>30</w:t>
      </w:r>
      <w:r>
        <w:rPr>
          <w:color w:val="000000"/>
          <w:sz w:val="28"/>
          <w:shd w:val="clear" w:color="auto" w:fill="FBFBFB"/>
        </w:rPr>
        <w:t>, 44 (2023).</w:t>
      </w:r>
    </w:p>
    <w:p w:rsidR="00342919" w:rsidRDefault="00342919" w:rsidP="00342919">
      <w:pPr>
        <w:pStyle w:val="a7"/>
        <w:numPr>
          <w:ilvl w:val="1"/>
          <w:numId w:val="6"/>
        </w:numPr>
        <w:tabs>
          <w:tab w:val="left" w:pos="1380"/>
        </w:tabs>
        <w:spacing w:line="321" w:lineRule="exact"/>
        <w:ind w:left="1380" w:hanging="359"/>
        <w:jc w:val="both"/>
        <w:rPr>
          <w:sz w:val="28"/>
        </w:rPr>
      </w:pPr>
      <w:r>
        <w:rPr>
          <w:sz w:val="28"/>
        </w:rPr>
        <w:t>Кірсанов</w:t>
      </w:r>
      <w:r>
        <w:rPr>
          <w:spacing w:val="48"/>
          <w:w w:val="150"/>
          <w:sz w:val="28"/>
        </w:rPr>
        <w:t xml:space="preserve"> </w:t>
      </w:r>
      <w:r>
        <w:rPr>
          <w:sz w:val="28"/>
        </w:rPr>
        <w:t>Д.</w:t>
      </w:r>
      <w:r>
        <w:rPr>
          <w:spacing w:val="49"/>
          <w:w w:val="150"/>
          <w:sz w:val="28"/>
        </w:rPr>
        <w:t xml:space="preserve"> </w:t>
      </w:r>
      <w:r>
        <w:rPr>
          <w:sz w:val="28"/>
        </w:rPr>
        <w:t>Аптечний</w:t>
      </w:r>
      <w:r>
        <w:rPr>
          <w:spacing w:val="49"/>
          <w:w w:val="150"/>
          <w:sz w:val="28"/>
        </w:rPr>
        <w:t xml:space="preserve"> </w:t>
      </w:r>
      <w:r>
        <w:rPr>
          <w:sz w:val="28"/>
        </w:rPr>
        <w:t>продаж</w:t>
      </w:r>
      <w:r>
        <w:rPr>
          <w:spacing w:val="49"/>
          <w:w w:val="150"/>
          <w:sz w:val="28"/>
        </w:rPr>
        <w:t xml:space="preserve"> </w:t>
      </w:r>
      <w:r>
        <w:rPr>
          <w:sz w:val="28"/>
        </w:rPr>
        <w:t>за</w:t>
      </w:r>
      <w:r>
        <w:rPr>
          <w:spacing w:val="48"/>
          <w:w w:val="150"/>
          <w:sz w:val="28"/>
        </w:rPr>
        <w:t xml:space="preserve"> </w:t>
      </w:r>
      <w:r>
        <w:rPr>
          <w:sz w:val="28"/>
        </w:rPr>
        <w:t>підсумками</w:t>
      </w:r>
      <w:r>
        <w:rPr>
          <w:spacing w:val="49"/>
          <w:w w:val="150"/>
          <w:sz w:val="28"/>
        </w:rPr>
        <w:t xml:space="preserve"> </w:t>
      </w:r>
      <w:r>
        <w:rPr>
          <w:sz w:val="28"/>
        </w:rPr>
        <w:t>2023</w:t>
      </w:r>
      <w:r>
        <w:rPr>
          <w:spacing w:val="49"/>
          <w:w w:val="150"/>
          <w:sz w:val="28"/>
        </w:rPr>
        <w:t xml:space="preserve"> </w:t>
      </w:r>
      <w:r>
        <w:rPr>
          <w:sz w:val="28"/>
        </w:rPr>
        <w:t>р.</w:t>
      </w:r>
      <w:r>
        <w:rPr>
          <w:spacing w:val="48"/>
          <w:w w:val="150"/>
          <w:sz w:val="28"/>
        </w:rPr>
        <w:t xml:space="preserve"> </w:t>
      </w:r>
      <w:r>
        <w:rPr>
          <w:sz w:val="28"/>
        </w:rPr>
        <w:t>он-лайн</w:t>
      </w:r>
      <w:r>
        <w:rPr>
          <w:spacing w:val="50"/>
          <w:w w:val="150"/>
          <w:sz w:val="28"/>
        </w:rPr>
        <w:t xml:space="preserve"> </w:t>
      </w:r>
      <w:r>
        <w:rPr>
          <w:spacing w:val="-2"/>
          <w:sz w:val="28"/>
        </w:rPr>
        <w:t>газета</w:t>
      </w:r>
    </w:p>
    <w:p w:rsidR="00342919" w:rsidRDefault="00342919" w:rsidP="00342919">
      <w:pPr>
        <w:pStyle w:val="a3"/>
        <w:spacing w:before="162"/>
        <w:ind w:left="1382"/>
        <w:jc w:val="both"/>
      </w:pPr>
      <w:r>
        <w:rPr>
          <w:i/>
        </w:rPr>
        <w:t>Apteka.ua</w:t>
      </w:r>
      <w:r>
        <w:t>,</w:t>
      </w:r>
      <w:r>
        <w:rPr>
          <w:spacing w:val="-11"/>
        </w:rPr>
        <w:t xml:space="preserve"> </w:t>
      </w:r>
      <w:r>
        <w:t>№</w:t>
      </w:r>
      <w:r>
        <w:rPr>
          <w:spacing w:val="-6"/>
        </w:rPr>
        <w:t xml:space="preserve"> </w:t>
      </w:r>
      <w:r>
        <w:t>01/02</w:t>
      </w:r>
      <w:r>
        <w:rPr>
          <w:spacing w:val="-4"/>
        </w:rPr>
        <w:t xml:space="preserve"> </w:t>
      </w:r>
      <w:r>
        <w:t>(1422/1423</w:t>
      </w:r>
      <w:r>
        <w:rPr>
          <w:spacing w:val="-4"/>
        </w:rPr>
        <w:t xml:space="preserve"> </w:t>
      </w:r>
      <w:r>
        <w:t>),</w:t>
      </w:r>
      <w:r>
        <w:rPr>
          <w:spacing w:val="-6"/>
        </w:rPr>
        <w:t xml:space="preserve"> </w:t>
      </w:r>
      <w:r>
        <w:t>дата</w:t>
      </w:r>
      <w:r>
        <w:rPr>
          <w:spacing w:val="-5"/>
        </w:rPr>
        <w:t xml:space="preserve"> </w:t>
      </w:r>
      <w:r>
        <w:t>публікації</w:t>
      </w:r>
      <w:r>
        <w:rPr>
          <w:spacing w:val="-7"/>
        </w:rPr>
        <w:t xml:space="preserve"> </w:t>
      </w:r>
      <w:r>
        <w:rPr>
          <w:spacing w:val="-2"/>
        </w:rPr>
        <w:t>15.01.2024.</w:t>
      </w:r>
    </w:p>
    <w:p w:rsidR="00342919" w:rsidRDefault="00342919" w:rsidP="00342919">
      <w:pPr>
        <w:pStyle w:val="a7"/>
        <w:numPr>
          <w:ilvl w:val="1"/>
          <w:numId w:val="6"/>
        </w:numPr>
        <w:tabs>
          <w:tab w:val="left" w:pos="1382"/>
        </w:tabs>
        <w:spacing w:before="160" w:line="360" w:lineRule="auto"/>
        <w:ind w:right="322"/>
        <w:jc w:val="both"/>
        <w:rPr>
          <w:sz w:val="28"/>
        </w:rPr>
      </w:pPr>
      <w:r>
        <w:rPr>
          <w:color w:val="202020"/>
          <w:sz w:val="28"/>
        </w:rPr>
        <w:t>Edinoff</w:t>
      </w:r>
      <w:r>
        <w:rPr>
          <w:color w:val="202020"/>
          <w:spacing w:val="-13"/>
          <w:sz w:val="28"/>
        </w:rPr>
        <w:t xml:space="preserve"> </w:t>
      </w:r>
      <w:r>
        <w:rPr>
          <w:color w:val="202020"/>
          <w:sz w:val="28"/>
        </w:rPr>
        <w:t>A,</w:t>
      </w:r>
      <w:r>
        <w:rPr>
          <w:color w:val="202020"/>
          <w:spacing w:val="-14"/>
          <w:sz w:val="28"/>
        </w:rPr>
        <w:t xml:space="preserve"> </w:t>
      </w:r>
      <w:r>
        <w:rPr>
          <w:color w:val="202020"/>
          <w:sz w:val="28"/>
        </w:rPr>
        <w:t>Nix</w:t>
      </w:r>
      <w:r>
        <w:rPr>
          <w:color w:val="202020"/>
          <w:spacing w:val="-13"/>
          <w:sz w:val="28"/>
        </w:rPr>
        <w:t xml:space="preserve"> </w:t>
      </w:r>
      <w:r>
        <w:rPr>
          <w:color w:val="202020"/>
          <w:sz w:val="28"/>
        </w:rPr>
        <w:t>C,</w:t>
      </w:r>
      <w:r>
        <w:rPr>
          <w:color w:val="202020"/>
          <w:spacing w:val="-14"/>
          <w:sz w:val="28"/>
        </w:rPr>
        <w:t xml:space="preserve"> </w:t>
      </w:r>
      <w:r>
        <w:rPr>
          <w:color w:val="202020"/>
          <w:sz w:val="28"/>
        </w:rPr>
        <w:t>Hollier</w:t>
      </w:r>
      <w:r>
        <w:rPr>
          <w:color w:val="202020"/>
          <w:spacing w:val="-16"/>
          <w:sz w:val="28"/>
        </w:rPr>
        <w:t xml:space="preserve"> </w:t>
      </w:r>
      <w:r>
        <w:rPr>
          <w:color w:val="202020"/>
          <w:sz w:val="28"/>
        </w:rPr>
        <w:t>J.</w:t>
      </w:r>
      <w:r>
        <w:rPr>
          <w:color w:val="000000"/>
          <w:spacing w:val="-14"/>
          <w:sz w:val="28"/>
          <w:shd w:val="clear" w:color="auto" w:fill="FBFBFB"/>
        </w:rPr>
        <w:t xml:space="preserve"> </w:t>
      </w:r>
      <w:r>
        <w:rPr>
          <w:color w:val="000000"/>
          <w:sz w:val="28"/>
          <w:shd w:val="clear" w:color="auto" w:fill="FBFBFB"/>
        </w:rPr>
        <w:t>et</w:t>
      </w:r>
      <w:r>
        <w:rPr>
          <w:color w:val="000000"/>
          <w:spacing w:val="-13"/>
          <w:sz w:val="28"/>
          <w:shd w:val="clear" w:color="auto" w:fill="FBFBFB"/>
        </w:rPr>
        <w:t xml:space="preserve"> </w:t>
      </w:r>
      <w:r>
        <w:rPr>
          <w:color w:val="000000"/>
          <w:sz w:val="28"/>
          <w:shd w:val="clear" w:color="auto" w:fill="FBFBFB"/>
        </w:rPr>
        <w:t>al.</w:t>
      </w:r>
      <w:r>
        <w:rPr>
          <w:color w:val="000000"/>
          <w:spacing w:val="-4"/>
          <w:sz w:val="28"/>
          <w:shd w:val="clear" w:color="auto" w:fill="FBFBFB"/>
        </w:rPr>
        <w:t xml:space="preserve"> </w:t>
      </w:r>
      <w:r>
        <w:rPr>
          <w:color w:val="000000"/>
          <w:spacing w:val="-13"/>
          <w:sz w:val="28"/>
        </w:rPr>
        <w:t xml:space="preserve"> </w:t>
      </w:r>
      <w:r>
        <w:rPr>
          <w:color w:val="202020"/>
          <w:sz w:val="28"/>
        </w:rPr>
        <w:t>Benzodiazepines:</w:t>
      </w:r>
      <w:r>
        <w:rPr>
          <w:color w:val="202020"/>
          <w:spacing w:val="-13"/>
          <w:sz w:val="28"/>
        </w:rPr>
        <w:t xml:space="preserve"> </w:t>
      </w:r>
      <w:r>
        <w:rPr>
          <w:color w:val="202020"/>
          <w:sz w:val="28"/>
        </w:rPr>
        <w:t>Uses,</w:t>
      </w:r>
      <w:r>
        <w:rPr>
          <w:color w:val="202020"/>
          <w:spacing w:val="-14"/>
          <w:sz w:val="28"/>
        </w:rPr>
        <w:t xml:space="preserve"> </w:t>
      </w:r>
      <w:r>
        <w:rPr>
          <w:color w:val="202020"/>
          <w:sz w:val="28"/>
        </w:rPr>
        <w:t>Dangers,</w:t>
      </w:r>
      <w:r>
        <w:rPr>
          <w:color w:val="202020"/>
          <w:spacing w:val="-14"/>
          <w:sz w:val="28"/>
        </w:rPr>
        <w:t xml:space="preserve"> </w:t>
      </w:r>
      <w:r>
        <w:rPr>
          <w:color w:val="202020"/>
          <w:sz w:val="28"/>
        </w:rPr>
        <w:t>and</w:t>
      </w:r>
      <w:r>
        <w:rPr>
          <w:color w:val="202020"/>
          <w:spacing w:val="-13"/>
          <w:sz w:val="28"/>
        </w:rPr>
        <w:t xml:space="preserve"> </w:t>
      </w:r>
      <w:r>
        <w:rPr>
          <w:color w:val="202020"/>
          <w:sz w:val="28"/>
        </w:rPr>
        <w:t xml:space="preserve">Clinical Considerations. </w:t>
      </w:r>
      <w:r>
        <w:rPr>
          <w:i/>
          <w:color w:val="202020"/>
          <w:sz w:val="28"/>
        </w:rPr>
        <w:t>Neurol Int</w:t>
      </w:r>
      <w:r>
        <w:rPr>
          <w:color w:val="202020"/>
          <w:sz w:val="28"/>
        </w:rPr>
        <w:t xml:space="preserve">. 2021 Nov 10;13(4).P.594-607. doi: </w:t>
      </w:r>
      <w:r>
        <w:rPr>
          <w:color w:val="202020"/>
          <w:spacing w:val="-2"/>
          <w:sz w:val="28"/>
        </w:rPr>
        <w:t>10.3390/neurolint13040059.</w:t>
      </w:r>
    </w:p>
    <w:p w:rsidR="00342919" w:rsidRDefault="00342919" w:rsidP="00342919">
      <w:pPr>
        <w:pStyle w:val="a7"/>
        <w:numPr>
          <w:ilvl w:val="1"/>
          <w:numId w:val="6"/>
        </w:numPr>
        <w:tabs>
          <w:tab w:val="left" w:pos="1382"/>
        </w:tabs>
        <w:spacing w:before="1" w:line="360" w:lineRule="auto"/>
        <w:ind w:right="319"/>
        <w:jc w:val="both"/>
        <w:rPr>
          <w:color w:val="202020"/>
          <w:sz w:val="28"/>
        </w:rPr>
      </w:pPr>
      <w:r>
        <w:rPr>
          <w:color w:val="202020"/>
          <w:sz w:val="28"/>
        </w:rPr>
        <w:t xml:space="preserve">Voronin M., Vakhitova Y., Tsypysheva I. </w:t>
      </w:r>
      <w:r>
        <w:rPr>
          <w:sz w:val="28"/>
        </w:rPr>
        <w:t xml:space="preserve">et al </w:t>
      </w:r>
      <w:r>
        <w:rPr>
          <w:color w:val="202020"/>
          <w:sz w:val="28"/>
        </w:rPr>
        <w:t xml:space="preserve">Involvement of Chaperone Sigma1R in the Anxiolytic Effect of Fabomotizole. </w:t>
      </w:r>
      <w:r>
        <w:rPr>
          <w:i/>
          <w:color w:val="202020"/>
          <w:sz w:val="28"/>
        </w:rPr>
        <w:t>Int J Mol Sci</w:t>
      </w:r>
      <w:r>
        <w:rPr>
          <w:color w:val="202020"/>
          <w:sz w:val="28"/>
        </w:rPr>
        <w:t>. 2021 May 21;22(11).P.5455. doi: 10.3390/ijms22115455.</w:t>
      </w:r>
    </w:p>
    <w:p w:rsidR="00342919" w:rsidRDefault="00342919" w:rsidP="00342919">
      <w:pPr>
        <w:pStyle w:val="a7"/>
        <w:numPr>
          <w:ilvl w:val="1"/>
          <w:numId w:val="6"/>
        </w:numPr>
        <w:tabs>
          <w:tab w:val="left" w:pos="1382"/>
        </w:tabs>
        <w:spacing w:line="360" w:lineRule="auto"/>
        <w:ind w:right="323"/>
        <w:rPr>
          <w:sz w:val="28"/>
        </w:rPr>
      </w:pPr>
      <w:r>
        <w:rPr>
          <w:sz w:val="28"/>
        </w:rPr>
        <w:t>МОЗ України. Фармацевтичне управління. Державний експертний центр Міністерства</w:t>
      </w:r>
      <w:r>
        <w:rPr>
          <w:spacing w:val="40"/>
          <w:sz w:val="28"/>
        </w:rPr>
        <w:t xml:space="preserve"> </w:t>
      </w:r>
      <w:r>
        <w:rPr>
          <w:sz w:val="28"/>
        </w:rPr>
        <w:t>охорони</w:t>
      </w:r>
      <w:r>
        <w:rPr>
          <w:spacing w:val="40"/>
          <w:sz w:val="28"/>
        </w:rPr>
        <w:t xml:space="preserve"> </w:t>
      </w:r>
      <w:r>
        <w:rPr>
          <w:sz w:val="28"/>
        </w:rPr>
        <w:t>здоров'я</w:t>
      </w:r>
      <w:r>
        <w:rPr>
          <w:spacing w:val="40"/>
          <w:sz w:val="28"/>
        </w:rPr>
        <w:t xml:space="preserve"> </w:t>
      </w:r>
      <w:r>
        <w:rPr>
          <w:sz w:val="28"/>
        </w:rPr>
        <w:t>України.</w:t>
      </w:r>
      <w:r>
        <w:rPr>
          <w:spacing w:val="40"/>
          <w:sz w:val="28"/>
        </w:rPr>
        <w:t xml:space="preserve"> </w:t>
      </w:r>
      <w:r>
        <w:rPr>
          <w:sz w:val="28"/>
        </w:rPr>
        <w:t>Державний</w:t>
      </w:r>
      <w:r>
        <w:rPr>
          <w:spacing w:val="40"/>
          <w:sz w:val="28"/>
        </w:rPr>
        <w:t xml:space="preserve"> </w:t>
      </w:r>
      <w:r>
        <w:rPr>
          <w:sz w:val="28"/>
        </w:rPr>
        <w:t>реєстр</w:t>
      </w:r>
      <w:r>
        <w:rPr>
          <w:spacing w:val="40"/>
          <w:sz w:val="28"/>
        </w:rPr>
        <w:t xml:space="preserve"> </w:t>
      </w:r>
      <w:r>
        <w:rPr>
          <w:sz w:val="28"/>
        </w:rPr>
        <w:t xml:space="preserve">лікарських засобів України. Інформаційний фонд. Лікарський засіб </w:t>
      </w:r>
      <w:r>
        <w:rPr>
          <w:color w:val="000000"/>
          <w:sz w:val="28"/>
          <w:shd w:val="clear" w:color="auto" w:fill="F8F8F8"/>
        </w:rPr>
        <w:t>Бафазол IC:</w:t>
      </w:r>
      <w:r>
        <w:rPr>
          <w:color w:val="000000"/>
          <w:sz w:val="28"/>
        </w:rPr>
        <w:t xml:space="preserve"> </w:t>
      </w:r>
      <w:hyperlink r:id="rId6">
        <w:r>
          <w:rPr>
            <w:color w:val="0000FF"/>
            <w:spacing w:val="-2"/>
            <w:sz w:val="28"/>
            <w:u w:val="single" w:color="0000FF"/>
          </w:rPr>
          <w:t>http://www.drlz.com.ua/ibp/ddsite.nsf/all/shlz1?opendocument&amp;stype=2E06B</w:t>
        </w:r>
      </w:hyperlink>
      <w:r>
        <w:rPr>
          <w:color w:val="0000FF"/>
          <w:spacing w:val="-2"/>
          <w:sz w:val="28"/>
        </w:rPr>
        <w:t xml:space="preserve"> </w:t>
      </w:r>
      <w:hyperlink r:id="rId7">
        <w:r>
          <w:rPr>
            <w:color w:val="0000FF"/>
            <w:spacing w:val="-2"/>
            <w:sz w:val="28"/>
            <w:u w:val="single" w:color="0000FF"/>
          </w:rPr>
          <w:t>B1A327AFB79C2258A84002DF9FE</w:t>
        </w:r>
      </w:hyperlink>
    </w:p>
    <w:p w:rsidR="00342919" w:rsidRDefault="00342919" w:rsidP="00342919">
      <w:pPr>
        <w:pStyle w:val="a7"/>
        <w:numPr>
          <w:ilvl w:val="1"/>
          <w:numId w:val="6"/>
        </w:numPr>
        <w:tabs>
          <w:tab w:val="left" w:pos="1382"/>
        </w:tabs>
        <w:spacing w:line="360" w:lineRule="auto"/>
        <w:ind w:right="322"/>
        <w:jc w:val="both"/>
        <w:rPr>
          <w:color w:val="202020"/>
          <w:sz w:val="28"/>
        </w:rPr>
      </w:pPr>
      <w:r>
        <w:rPr>
          <w:color w:val="202020"/>
          <w:sz w:val="28"/>
        </w:rPr>
        <w:t xml:space="preserve">Riad A., Drobov A., Krobot M. </w:t>
      </w:r>
      <w:r>
        <w:rPr>
          <w:sz w:val="28"/>
        </w:rPr>
        <w:t xml:space="preserve">et al. </w:t>
      </w:r>
      <w:r>
        <w:rPr>
          <w:color w:val="202020"/>
          <w:sz w:val="28"/>
        </w:rPr>
        <w:t>Mental Health Burden of the Russian- Ukrainian</w:t>
      </w:r>
      <w:r>
        <w:rPr>
          <w:color w:val="202020"/>
          <w:spacing w:val="-3"/>
          <w:sz w:val="28"/>
        </w:rPr>
        <w:t xml:space="preserve"> </w:t>
      </w:r>
      <w:r>
        <w:rPr>
          <w:color w:val="202020"/>
          <w:sz w:val="28"/>
        </w:rPr>
        <w:t>War</w:t>
      </w:r>
      <w:r>
        <w:rPr>
          <w:color w:val="202020"/>
          <w:spacing w:val="-4"/>
          <w:sz w:val="28"/>
        </w:rPr>
        <w:t xml:space="preserve"> </w:t>
      </w:r>
      <w:r>
        <w:rPr>
          <w:color w:val="202020"/>
          <w:sz w:val="28"/>
        </w:rPr>
        <w:t>2022</w:t>
      </w:r>
      <w:r>
        <w:rPr>
          <w:color w:val="202020"/>
          <w:spacing w:val="-7"/>
          <w:sz w:val="28"/>
        </w:rPr>
        <w:t xml:space="preserve"> </w:t>
      </w:r>
      <w:r>
        <w:rPr>
          <w:color w:val="202020"/>
          <w:sz w:val="28"/>
        </w:rPr>
        <w:t>(RUW-22):</w:t>
      </w:r>
      <w:r>
        <w:rPr>
          <w:color w:val="202020"/>
          <w:spacing w:val="-3"/>
          <w:sz w:val="28"/>
        </w:rPr>
        <w:t xml:space="preserve"> </w:t>
      </w:r>
      <w:r>
        <w:rPr>
          <w:color w:val="202020"/>
          <w:sz w:val="28"/>
        </w:rPr>
        <w:t>Anxiety</w:t>
      </w:r>
      <w:r>
        <w:rPr>
          <w:color w:val="202020"/>
          <w:spacing w:val="-8"/>
          <w:sz w:val="28"/>
        </w:rPr>
        <w:t xml:space="preserve"> </w:t>
      </w:r>
      <w:r>
        <w:rPr>
          <w:color w:val="202020"/>
          <w:sz w:val="28"/>
        </w:rPr>
        <w:t>and</w:t>
      </w:r>
      <w:r>
        <w:rPr>
          <w:color w:val="202020"/>
          <w:spacing w:val="-3"/>
          <w:sz w:val="28"/>
        </w:rPr>
        <w:t xml:space="preserve"> </w:t>
      </w:r>
      <w:r>
        <w:rPr>
          <w:color w:val="202020"/>
          <w:sz w:val="28"/>
        </w:rPr>
        <w:t>Depression</w:t>
      </w:r>
      <w:r>
        <w:rPr>
          <w:color w:val="202020"/>
          <w:spacing w:val="-3"/>
          <w:sz w:val="28"/>
        </w:rPr>
        <w:t xml:space="preserve"> </w:t>
      </w:r>
      <w:r>
        <w:rPr>
          <w:color w:val="202020"/>
          <w:sz w:val="28"/>
        </w:rPr>
        <w:t>Levels</w:t>
      </w:r>
      <w:r>
        <w:rPr>
          <w:color w:val="202020"/>
          <w:spacing w:val="-3"/>
          <w:sz w:val="28"/>
        </w:rPr>
        <w:t xml:space="preserve"> </w:t>
      </w:r>
      <w:r>
        <w:rPr>
          <w:color w:val="202020"/>
          <w:sz w:val="28"/>
        </w:rPr>
        <w:t>among</w:t>
      </w:r>
      <w:r>
        <w:rPr>
          <w:color w:val="202020"/>
          <w:spacing w:val="-3"/>
          <w:sz w:val="28"/>
        </w:rPr>
        <w:t xml:space="preserve"> </w:t>
      </w:r>
      <w:r>
        <w:rPr>
          <w:color w:val="202020"/>
          <w:sz w:val="28"/>
        </w:rPr>
        <w:t xml:space="preserve">Young Adults in Central Europe. </w:t>
      </w:r>
      <w:r>
        <w:rPr>
          <w:i/>
          <w:color w:val="202020"/>
          <w:sz w:val="28"/>
        </w:rPr>
        <w:t xml:space="preserve">Int J Environ Res Public Health. </w:t>
      </w:r>
      <w:r>
        <w:rPr>
          <w:color w:val="202020"/>
          <w:sz w:val="28"/>
        </w:rPr>
        <w:t>2022 Jul 9;19(14).P.8418. doi: 10.3390/ijerph19148418.</w:t>
      </w:r>
    </w:p>
    <w:p w:rsidR="00342919" w:rsidRDefault="00342919" w:rsidP="00342919">
      <w:pPr>
        <w:pStyle w:val="a7"/>
        <w:numPr>
          <w:ilvl w:val="1"/>
          <w:numId w:val="6"/>
        </w:numPr>
        <w:tabs>
          <w:tab w:val="left" w:pos="1382"/>
        </w:tabs>
        <w:spacing w:line="360" w:lineRule="auto"/>
        <w:ind w:right="320"/>
        <w:jc w:val="both"/>
        <w:rPr>
          <w:color w:val="202020"/>
          <w:sz w:val="28"/>
        </w:rPr>
      </w:pPr>
      <w:r>
        <w:rPr>
          <w:color w:val="202020"/>
          <w:sz w:val="28"/>
        </w:rPr>
        <w:t>Zabłocka-Żytka L., Lavdas M. The stress of war. Recommendations for the protection</w:t>
      </w:r>
      <w:r>
        <w:rPr>
          <w:color w:val="202020"/>
          <w:spacing w:val="-9"/>
          <w:sz w:val="28"/>
        </w:rPr>
        <w:t xml:space="preserve"> </w:t>
      </w:r>
      <w:r>
        <w:rPr>
          <w:color w:val="202020"/>
          <w:sz w:val="28"/>
        </w:rPr>
        <w:t>of</w:t>
      </w:r>
      <w:r>
        <w:rPr>
          <w:color w:val="202020"/>
          <w:spacing w:val="-10"/>
          <w:sz w:val="28"/>
        </w:rPr>
        <w:t xml:space="preserve"> </w:t>
      </w:r>
      <w:r>
        <w:rPr>
          <w:color w:val="202020"/>
          <w:sz w:val="28"/>
        </w:rPr>
        <w:t>mental</w:t>
      </w:r>
      <w:r>
        <w:rPr>
          <w:color w:val="202020"/>
          <w:spacing w:val="-12"/>
          <w:sz w:val="28"/>
        </w:rPr>
        <w:t xml:space="preserve"> </w:t>
      </w:r>
      <w:r>
        <w:rPr>
          <w:color w:val="202020"/>
          <w:sz w:val="28"/>
        </w:rPr>
        <w:t>health</w:t>
      </w:r>
      <w:r>
        <w:rPr>
          <w:color w:val="202020"/>
          <w:spacing w:val="-9"/>
          <w:sz w:val="28"/>
        </w:rPr>
        <w:t xml:space="preserve"> </w:t>
      </w:r>
      <w:r>
        <w:rPr>
          <w:color w:val="202020"/>
          <w:sz w:val="28"/>
        </w:rPr>
        <w:t>and</w:t>
      </w:r>
      <w:r>
        <w:rPr>
          <w:color w:val="202020"/>
          <w:spacing w:val="-10"/>
          <w:sz w:val="28"/>
        </w:rPr>
        <w:t xml:space="preserve"> </w:t>
      </w:r>
      <w:r>
        <w:rPr>
          <w:color w:val="202020"/>
          <w:sz w:val="28"/>
        </w:rPr>
        <w:t>wellbeing</w:t>
      </w:r>
      <w:r>
        <w:rPr>
          <w:color w:val="202020"/>
          <w:spacing w:val="-12"/>
          <w:sz w:val="28"/>
        </w:rPr>
        <w:t xml:space="preserve"> </w:t>
      </w:r>
      <w:r>
        <w:rPr>
          <w:color w:val="202020"/>
          <w:sz w:val="28"/>
        </w:rPr>
        <w:t>for</w:t>
      </w:r>
      <w:r>
        <w:rPr>
          <w:color w:val="202020"/>
          <w:spacing w:val="-10"/>
          <w:sz w:val="28"/>
        </w:rPr>
        <w:t xml:space="preserve"> </w:t>
      </w:r>
      <w:r>
        <w:rPr>
          <w:color w:val="202020"/>
          <w:sz w:val="28"/>
        </w:rPr>
        <w:t>both</w:t>
      </w:r>
      <w:r>
        <w:rPr>
          <w:color w:val="202020"/>
          <w:spacing w:val="-9"/>
          <w:sz w:val="28"/>
        </w:rPr>
        <w:t xml:space="preserve"> </w:t>
      </w:r>
      <w:r>
        <w:rPr>
          <w:color w:val="202020"/>
          <w:sz w:val="28"/>
        </w:rPr>
        <w:t>Ukrainian</w:t>
      </w:r>
      <w:r>
        <w:rPr>
          <w:color w:val="202020"/>
          <w:spacing w:val="-10"/>
          <w:sz w:val="28"/>
        </w:rPr>
        <w:t xml:space="preserve"> </w:t>
      </w:r>
      <w:r>
        <w:rPr>
          <w:color w:val="202020"/>
          <w:sz w:val="28"/>
        </w:rPr>
        <w:t>refugees</w:t>
      </w:r>
      <w:r>
        <w:rPr>
          <w:color w:val="202020"/>
          <w:spacing w:val="-9"/>
          <w:sz w:val="28"/>
        </w:rPr>
        <w:t xml:space="preserve"> </w:t>
      </w:r>
      <w:r>
        <w:rPr>
          <w:color w:val="202020"/>
          <w:sz w:val="28"/>
        </w:rPr>
        <w:t>as</w:t>
      </w:r>
      <w:r>
        <w:rPr>
          <w:color w:val="202020"/>
          <w:spacing w:val="-10"/>
          <w:sz w:val="28"/>
        </w:rPr>
        <w:t xml:space="preserve"> </w:t>
      </w:r>
      <w:r>
        <w:rPr>
          <w:color w:val="202020"/>
          <w:sz w:val="28"/>
        </w:rPr>
        <w:t>well</w:t>
      </w:r>
      <w:r>
        <w:rPr>
          <w:color w:val="202020"/>
          <w:spacing w:val="-9"/>
          <w:sz w:val="28"/>
        </w:rPr>
        <w:t xml:space="preserve"> </w:t>
      </w:r>
      <w:r>
        <w:rPr>
          <w:color w:val="202020"/>
          <w:sz w:val="28"/>
        </w:rPr>
        <w:t xml:space="preserve">as Poles supporting them. </w:t>
      </w:r>
      <w:r>
        <w:rPr>
          <w:i/>
          <w:color w:val="202020"/>
          <w:sz w:val="28"/>
        </w:rPr>
        <w:t xml:space="preserve">Psychiatr Pol. </w:t>
      </w:r>
      <w:r>
        <w:rPr>
          <w:color w:val="202020"/>
          <w:sz w:val="28"/>
        </w:rPr>
        <w:t>2023 Aug 31;57(4).P.729-746. English, Polish. doi: 10.12740/PP/156157.</w:t>
      </w:r>
    </w:p>
    <w:p w:rsidR="00342919" w:rsidRDefault="00342919" w:rsidP="00342919">
      <w:pPr>
        <w:spacing w:line="360" w:lineRule="auto"/>
        <w:jc w:val="both"/>
        <w:rPr>
          <w:sz w:val="28"/>
        </w:rPr>
        <w:sectPr w:rsidR="00342919">
          <w:pgSz w:w="11910" w:h="16840"/>
          <w:pgMar w:top="1040" w:right="240" w:bottom="280" w:left="1040" w:header="710" w:footer="0" w:gutter="0"/>
          <w:cols w:space="720"/>
        </w:sectPr>
      </w:pPr>
    </w:p>
    <w:p w:rsidR="00342919" w:rsidRDefault="00342919" w:rsidP="00342919">
      <w:pPr>
        <w:pStyle w:val="a7"/>
        <w:numPr>
          <w:ilvl w:val="1"/>
          <w:numId w:val="6"/>
        </w:numPr>
        <w:tabs>
          <w:tab w:val="left" w:pos="1382"/>
          <w:tab w:val="left" w:pos="1451"/>
        </w:tabs>
        <w:spacing w:before="175" w:line="360" w:lineRule="auto"/>
        <w:ind w:right="321"/>
        <w:jc w:val="both"/>
        <w:rPr>
          <w:color w:val="202020"/>
          <w:sz w:val="28"/>
        </w:rPr>
      </w:pPr>
      <w:r>
        <w:rPr>
          <w:color w:val="202020"/>
          <w:sz w:val="28"/>
        </w:rPr>
        <w:lastRenderedPageBreak/>
        <w:tab/>
        <w:t>Kolacz M., Kosson D., Puchalska-Kowalczyk E.</w:t>
      </w:r>
      <w:r>
        <w:rPr>
          <w:color w:val="000000"/>
          <w:sz w:val="28"/>
          <w:shd w:val="clear" w:color="auto" w:fill="FBFBFB"/>
        </w:rPr>
        <w:t xml:space="preserve"> et al.</w:t>
      </w:r>
      <w:r>
        <w:rPr>
          <w:color w:val="000000"/>
          <w:sz w:val="28"/>
        </w:rPr>
        <w:t xml:space="preserve"> </w:t>
      </w:r>
      <w:r>
        <w:rPr>
          <w:color w:val="202020"/>
          <w:sz w:val="28"/>
        </w:rPr>
        <w:t xml:space="preserve">Analysis of Antidepressant, Benzodiazepine Anxiolytic, and Hypnotic Use When Treating Depression, Anxiety, and Aggression in Pain Clinic Patients Treated for Neuropathic Pain. </w:t>
      </w:r>
      <w:r>
        <w:rPr>
          <w:i/>
          <w:color w:val="202020"/>
          <w:sz w:val="28"/>
        </w:rPr>
        <w:t>Life (Basel)</w:t>
      </w:r>
      <w:r>
        <w:rPr>
          <w:color w:val="202020"/>
          <w:sz w:val="28"/>
        </w:rPr>
        <w:t xml:space="preserve">. 2022 Mar 16;12(3).P.433. doi: </w:t>
      </w:r>
      <w:r>
        <w:rPr>
          <w:color w:val="202020"/>
          <w:spacing w:val="-2"/>
          <w:sz w:val="28"/>
        </w:rPr>
        <w:t>10.3390/life12030433.</w:t>
      </w:r>
    </w:p>
    <w:p w:rsidR="00342919" w:rsidRDefault="00342919" w:rsidP="00342919">
      <w:pPr>
        <w:pStyle w:val="a7"/>
        <w:numPr>
          <w:ilvl w:val="1"/>
          <w:numId w:val="6"/>
        </w:numPr>
        <w:tabs>
          <w:tab w:val="left" w:pos="1382"/>
        </w:tabs>
        <w:spacing w:line="360" w:lineRule="auto"/>
        <w:ind w:right="321"/>
        <w:jc w:val="both"/>
        <w:rPr>
          <w:color w:val="202020"/>
          <w:sz w:val="26"/>
        </w:rPr>
      </w:pPr>
      <w:r>
        <w:rPr>
          <w:color w:val="202020"/>
          <w:sz w:val="28"/>
        </w:rPr>
        <w:t xml:space="preserve">Guo X., Meng Z., Huang G. </w:t>
      </w:r>
      <w:r>
        <w:rPr>
          <w:color w:val="000000"/>
          <w:sz w:val="28"/>
          <w:shd w:val="clear" w:color="auto" w:fill="FBFBFB"/>
        </w:rPr>
        <w:t>et al.</w:t>
      </w:r>
      <w:r>
        <w:rPr>
          <w:color w:val="000000"/>
          <w:sz w:val="28"/>
        </w:rPr>
        <w:t xml:space="preserve"> </w:t>
      </w:r>
      <w:r>
        <w:rPr>
          <w:color w:val="202020"/>
          <w:sz w:val="28"/>
        </w:rPr>
        <w:t xml:space="preserve">Meta-analysis of the prevalence of anxiety disorders in mainland China from 2000 to 2015. </w:t>
      </w:r>
      <w:r>
        <w:rPr>
          <w:i/>
          <w:color w:val="202020"/>
          <w:sz w:val="28"/>
        </w:rPr>
        <w:t xml:space="preserve">Sci Rep. </w:t>
      </w:r>
      <w:r>
        <w:rPr>
          <w:color w:val="202020"/>
          <w:sz w:val="28"/>
        </w:rPr>
        <w:t>2016 Jun 16;(6).P.28033. doi: 10.1038/srep28033.</w:t>
      </w:r>
    </w:p>
    <w:p w:rsidR="00342919" w:rsidRDefault="00342919" w:rsidP="00342919">
      <w:pPr>
        <w:pStyle w:val="a7"/>
        <w:numPr>
          <w:ilvl w:val="1"/>
          <w:numId w:val="6"/>
        </w:numPr>
        <w:tabs>
          <w:tab w:val="left" w:pos="1382"/>
        </w:tabs>
        <w:spacing w:before="1" w:line="360" w:lineRule="auto"/>
        <w:ind w:right="322"/>
        <w:jc w:val="both"/>
        <w:rPr>
          <w:color w:val="202020"/>
          <w:sz w:val="26"/>
        </w:rPr>
      </w:pPr>
      <w:r>
        <w:rPr>
          <w:color w:val="202020"/>
          <w:sz w:val="28"/>
        </w:rPr>
        <w:t xml:space="preserve">Ströhle A,, Gensichen J,, Domschke K. </w:t>
      </w:r>
      <w:r>
        <w:rPr>
          <w:sz w:val="28"/>
        </w:rPr>
        <w:t xml:space="preserve">et al. </w:t>
      </w:r>
      <w:r>
        <w:rPr>
          <w:color w:val="202020"/>
          <w:sz w:val="28"/>
        </w:rPr>
        <w:t xml:space="preserve">The Diagnosis and Treatment of Anxiety Disorders. </w:t>
      </w:r>
      <w:r>
        <w:rPr>
          <w:i/>
          <w:color w:val="202020"/>
          <w:sz w:val="28"/>
        </w:rPr>
        <w:t xml:space="preserve">Dtsch Arztebl Int. </w:t>
      </w:r>
      <w:r>
        <w:rPr>
          <w:color w:val="202020"/>
          <w:sz w:val="28"/>
        </w:rPr>
        <w:t xml:space="preserve">2018 Sep 14;155(37).P.611-620. doi: </w:t>
      </w:r>
      <w:r>
        <w:rPr>
          <w:color w:val="202020"/>
          <w:spacing w:val="-2"/>
          <w:sz w:val="28"/>
        </w:rPr>
        <w:t>10.3238/arztebl.2018.0611.</w:t>
      </w:r>
    </w:p>
    <w:p w:rsidR="00342919" w:rsidRDefault="00342919" w:rsidP="00342919">
      <w:pPr>
        <w:pStyle w:val="a7"/>
        <w:numPr>
          <w:ilvl w:val="1"/>
          <w:numId w:val="6"/>
        </w:numPr>
        <w:tabs>
          <w:tab w:val="left" w:pos="1382"/>
        </w:tabs>
        <w:spacing w:before="1" w:line="360" w:lineRule="auto"/>
        <w:ind w:right="321"/>
        <w:jc w:val="both"/>
        <w:rPr>
          <w:sz w:val="26"/>
        </w:rPr>
      </w:pPr>
      <w:r>
        <w:rPr>
          <w:color w:val="202020"/>
          <w:sz w:val="28"/>
        </w:rPr>
        <w:t xml:space="preserve">Penninx B., Pine D., Holmes E. </w:t>
      </w:r>
      <w:r>
        <w:rPr>
          <w:sz w:val="28"/>
        </w:rPr>
        <w:t xml:space="preserve">et al. </w:t>
      </w:r>
      <w:r>
        <w:rPr>
          <w:color w:val="202020"/>
          <w:sz w:val="28"/>
        </w:rPr>
        <w:t xml:space="preserve">Anxiety disorders. </w:t>
      </w:r>
      <w:r>
        <w:rPr>
          <w:i/>
          <w:color w:val="202020"/>
          <w:sz w:val="28"/>
        </w:rPr>
        <w:t>Lancet</w:t>
      </w:r>
      <w:r>
        <w:rPr>
          <w:color w:val="202020"/>
          <w:sz w:val="28"/>
        </w:rPr>
        <w:t>. 2021 Mar 6;397(10277)</w:t>
      </w:r>
      <w:r>
        <w:rPr>
          <w:color w:val="202020"/>
          <w:spacing w:val="40"/>
          <w:sz w:val="28"/>
        </w:rPr>
        <w:t xml:space="preserve"> </w:t>
      </w:r>
      <w:r>
        <w:rPr>
          <w:color w:val="202020"/>
          <w:sz w:val="28"/>
        </w:rPr>
        <w:t>.P.914-927.</w:t>
      </w:r>
      <w:r>
        <w:rPr>
          <w:color w:val="202020"/>
          <w:spacing w:val="40"/>
          <w:sz w:val="28"/>
        </w:rPr>
        <w:t xml:space="preserve"> </w:t>
      </w:r>
      <w:r>
        <w:rPr>
          <w:color w:val="202020"/>
          <w:sz w:val="28"/>
        </w:rPr>
        <w:t>doi:</w:t>
      </w:r>
      <w:r>
        <w:rPr>
          <w:color w:val="202020"/>
          <w:spacing w:val="40"/>
          <w:sz w:val="28"/>
        </w:rPr>
        <w:t xml:space="preserve"> </w:t>
      </w:r>
      <w:r>
        <w:rPr>
          <w:color w:val="202020"/>
          <w:sz w:val="28"/>
        </w:rPr>
        <w:t>10.1016/S0140-6736(21)00359-7.</w:t>
      </w:r>
      <w:r>
        <w:rPr>
          <w:color w:val="202020"/>
          <w:spacing w:val="40"/>
          <w:sz w:val="28"/>
        </w:rPr>
        <w:t xml:space="preserve"> </w:t>
      </w:r>
      <w:r>
        <w:rPr>
          <w:color w:val="202020"/>
          <w:sz w:val="28"/>
        </w:rPr>
        <w:t>Epub</w:t>
      </w:r>
      <w:r>
        <w:rPr>
          <w:color w:val="202020"/>
          <w:spacing w:val="40"/>
          <w:sz w:val="28"/>
        </w:rPr>
        <w:t xml:space="preserve"> </w:t>
      </w:r>
      <w:r>
        <w:rPr>
          <w:color w:val="202020"/>
          <w:sz w:val="28"/>
        </w:rPr>
        <w:t>2021</w:t>
      </w:r>
    </w:p>
    <w:p w:rsidR="00342919" w:rsidRDefault="00342919" w:rsidP="00342919">
      <w:pPr>
        <w:pStyle w:val="a3"/>
        <w:spacing w:line="321" w:lineRule="exact"/>
        <w:ind w:left="1382"/>
        <w:jc w:val="both"/>
      </w:pPr>
      <w:r>
        <w:rPr>
          <w:color w:val="202020"/>
        </w:rPr>
        <w:t>Feb</w:t>
      </w:r>
      <w:r>
        <w:rPr>
          <w:color w:val="202020"/>
          <w:spacing w:val="-3"/>
        </w:rPr>
        <w:t xml:space="preserve"> </w:t>
      </w:r>
      <w:r>
        <w:rPr>
          <w:color w:val="202020"/>
        </w:rPr>
        <w:t>11.</w:t>
      </w:r>
      <w:r>
        <w:rPr>
          <w:color w:val="202020"/>
          <w:spacing w:val="-3"/>
        </w:rPr>
        <w:t xml:space="preserve"> </w:t>
      </w:r>
      <w:r>
        <w:rPr>
          <w:color w:val="202020"/>
        </w:rPr>
        <w:t>Erratum</w:t>
      </w:r>
      <w:r>
        <w:rPr>
          <w:color w:val="202020"/>
          <w:spacing w:val="-7"/>
        </w:rPr>
        <w:t xml:space="preserve"> </w:t>
      </w:r>
      <w:r>
        <w:rPr>
          <w:color w:val="202020"/>
        </w:rPr>
        <w:t xml:space="preserve">in: </w:t>
      </w:r>
      <w:r>
        <w:rPr>
          <w:i/>
          <w:color w:val="202020"/>
        </w:rPr>
        <w:t>Lancet.</w:t>
      </w:r>
      <w:r>
        <w:rPr>
          <w:i/>
          <w:color w:val="202020"/>
          <w:spacing w:val="-5"/>
        </w:rPr>
        <w:t xml:space="preserve"> </w:t>
      </w:r>
      <w:r>
        <w:rPr>
          <w:color w:val="202020"/>
        </w:rPr>
        <w:t>2021</w:t>
      </w:r>
      <w:r>
        <w:rPr>
          <w:color w:val="202020"/>
          <w:spacing w:val="-1"/>
        </w:rPr>
        <w:t xml:space="preserve"> </w:t>
      </w:r>
      <w:r>
        <w:rPr>
          <w:color w:val="202020"/>
        </w:rPr>
        <w:t>Mar</w:t>
      </w:r>
      <w:r>
        <w:rPr>
          <w:color w:val="202020"/>
          <w:spacing w:val="-5"/>
        </w:rPr>
        <w:t xml:space="preserve"> </w:t>
      </w:r>
      <w:r>
        <w:rPr>
          <w:color w:val="202020"/>
          <w:spacing w:val="-2"/>
        </w:rPr>
        <w:t>6;397(10277).P.880.</w:t>
      </w:r>
    </w:p>
    <w:p w:rsidR="00342919" w:rsidRDefault="00342919" w:rsidP="00342919">
      <w:pPr>
        <w:pStyle w:val="a7"/>
        <w:numPr>
          <w:ilvl w:val="1"/>
          <w:numId w:val="6"/>
        </w:numPr>
        <w:tabs>
          <w:tab w:val="left" w:pos="1382"/>
        </w:tabs>
        <w:spacing w:before="161" w:line="360" w:lineRule="auto"/>
        <w:ind w:right="322"/>
        <w:jc w:val="both"/>
        <w:rPr>
          <w:color w:val="202020"/>
          <w:sz w:val="26"/>
        </w:rPr>
      </w:pPr>
      <w:r>
        <w:rPr>
          <w:color w:val="202020"/>
          <w:sz w:val="28"/>
        </w:rPr>
        <w:t xml:space="preserve">Grillon C., Ernst M. A way forward for anxiolytic drug development: Testing candidate anxiolytics with anxiety-potentiated startle in healthy humans. </w:t>
      </w:r>
      <w:r>
        <w:rPr>
          <w:i/>
          <w:color w:val="202020"/>
          <w:sz w:val="28"/>
        </w:rPr>
        <w:t>Neurosci Biobehav Rev</w:t>
      </w:r>
      <w:r>
        <w:rPr>
          <w:color w:val="202020"/>
          <w:sz w:val="28"/>
        </w:rPr>
        <w:t xml:space="preserve">. 2020 Dec;119.P.348-354. doi: </w:t>
      </w:r>
      <w:r>
        <w:rPr>
          <w:color w:val="202020"/>
          <w:spacing w:val="-2"/>
          <w:sz w:val="28"/>
        </w:rPr>
        <w:t>10.1016/j.neubiorev.2020.09.024.</w:t>
      </w:r>
    </w:p>
    <w:p w:rsidR="00342919" w:rsidRDefault="00342919" w:rsidP="00342919">
      <w:pPr>
        <w:pStyle w:val="a7"/>
        <w:numPr>
          <w:ilvl w:val="1"/>
          <w:numId w:val="6"/>
        </w:numPr>
        <w:tabs>
          <w:tab w:val="left" w:pos="1382"/>
        </w:tabs>
        <w:spacing w:line="360" w:lineRule="auto"/>
        <w:ind w:right="327"/>
        <w:jc w:val="both"/>
        <w:rPr>
          <w:color w:val="202020"/>
          <w:sz w:val="26"/>
        </w:rPr>
      </w:pPr>
      <w:r>
        <w:rPr>
          <w:color w:val="202020"/>
          <w:sz w:val="28"/>
        </w:rPr>
        <w:t xml:space="preserve">Guina J., Merrill B. Benzodiazepines II: Waking Up on Sedatives: Providing Optimal Care When Inheriting Benzodiazepine Prescriptions in Transfer Patients. </w:t>
      </w:r>
      <w:r>
        <w:rPr>
          <w:i/>
          <w:color w:val="202020"/>
          <w:sz w:val="28"/>
        </w:rPr>
        <w:t>J Clin Med</w:t>
      </w:r>
      <w:r>
        <w:rPr>
          <w:color w:val="202020"/>
          <w:sz w:val="28"/>
        </w:rPr>
        <w:t>. 2018 Jan 30;7(2).P.20. doi: 10.3390/jcm7020020.</w:t>
      </w:r>
    </w:p>
    <w:p w:rsidR="00342919" w:rsidRDefault="00342919" w:rsidP="00342919">
      <w:pPr>
        <w:pStyle w:val="a7"/>
        <w:numPr>
          <w:ilvl w:val="1"/>
          <w:numId w:val="6"/>
        </w:numPr>
        <w:tabs>
          <w:tab w:val="left" w:pos="1382"/>
        </w:tabs>
        <w:spacing w:before="1" w:line="360" w:lineRule="auto"/>
        <w:ind w:right="324"/>
        <w:jc w:val="both"/>
        <w:rPr>
          <w:sz w:val="26"/>
        </w:rPr>
      </w:pPr>
      <w:r>
        <w:rPr>
          <w:sz w:val="28"/>
        </w:rPr>
        <w:t xml:space="preserve">LiverTox: Clinical and Research Information on Drug-Induced Liver Injury. Bethesda (MD): </w:t>
      </w:r>
      <w:r>
        <w:rPr>
          <w:i/>
          <w:sz w:val="28"/>
        </w:rPr>
        <w:t>National Institute of Diabetes and Digestive and Kidney Diseases</w:t>
      </w:r>
      <w:r>
        <w:rPr>
          <w:sz w:val="28"/>
        </w:rPr>
        <w:t>; 2012–. Benzodiazepines. 2017 Jan 24.</w:t>
      </w:r>
    </w:p>
    <w:p w:rsidR="00342919" w:rsidRDefault="00342919" w:rsidP="00342919">
      <w:pPr>
        <w:pStyle w:val="a7"/>
        <w:numPr>
          <w:ilvl w:val="1"/>
          <w:numId w:val="6"/>
        </w:numPr>
        <w:tabs>
          <w:tab w:val="left" w:pos="1382"/>
        </w:tabs>
        <w:spacing w:before="1" w:line="360" w:lineRule="auto"/>
        <w:ind w:right="319"/>
        <w:jc w:val="both"/>
        <w:rPr>
          <w:color w:val="202020"/>
          <w:sz w:val="26"/>
        </w:rPr>
      </w:pPr>
      <w:r>
        <w:rPr>
          <w:color w:val="202020"/>
          <w:sz w:val="28"/>
        </w:rPr>
        <w:t xml:space="preserve">Panes A., Fourrier-Réglat A., Verdoux H. </w:t>
      </w:r>
      <w:r>
        <w:rPr>
          <w:sz w:val="28"/>
        </w:rPr>
        <w:t>et al.</w:t>
      </w:r>
      <w:r>
        <w:rPr>
          <w:color w:val="202020"/>
          <w:sz w:val="28"/>
        </w:rPr>
        <w:t>Usages et mésusages des benzodiazépines</w:t>
      </w:r>
      <w:r>
        <w:rPr>
          <w:color w:val="202020"/>
          <w:spacing w:val="-1"/>
          <w:sz w:val="28"/>
        </w:rPr>
        <w:t xml:space="preserve"> </w:t>
      </w:r>
      <w:r>
        <w:rPr>
          <w:color w:val="202020"/>
          <w:sz w:val="28"/>
        </w:rPr>
        <w:t>chez</w:t>
      </w:r>
      <w:r>
        <w:rPr>
          <w:color w:val="202020"/>
          <w:spacing w:val="-4"/>
          <w:sz w:val="28"/>
        </w:rPr>
        <w:t xml:space="preserve"> </w:t>
      </w:r>
      <w:r>
        <w:rPr>
          <w:color w:val="202020"/>
          <w:sz w:val="28"/>
        </w:rPr>
        <w:t>les</w:t>
      </w:r>
      <w:r>
        <w:rPr>
          <w:color w:val="202020"/>
          <w:spacing w:val="-1"/>
          <w:sz w:val="28"/>
        </w:rPr>
        <w:t xml:space="preserve"> </w:t>
      </w:r>
      <w:r>
        <w:rPr>
          <w:color w:val="202020"/>
          <w:sz w:val="28"/>
        </w:rPr>
        <w:t>patients</w:t>
      </w:r>
      <w:r>
        <w:rPr>
          <w:color w:val="202020"/>
          <w:spacing w:val="-1"/>
          <w:sz w:val="28"/>
        </w:rPr>
        <w:t xml:space="preserve"> </w:t>
      </w:r>
      <w:r>
        <w:rPr>
          <w:color w:val="202020"/>
          <w:sz w:val="28"/>
        </w:rPr>
        <w:t>souffrant</w:t>
      </w:r>
      <w:r>
        <w:rPr>
          <w:color w:val="202020"/>
          <w:spacing w:val="-3"/>
          <w:sz w:val="28"/>
        </w:rPr>
        <w:t xml:space="preserve"> </w:t>
      </w:r>
      <w:r>
        <w:rPr>
          <w:color w:val="202020"/>
          <w:sz w:val="28"/>
        </w:rPr>
        <w:t>de</w:t>
      </w:r>
      <w:r>
        <w:rPr>
          <w:color w:val="202020"/>
          <w:spacing w:val="-3"/>
          <w:sz w:val="28"/>
        </w:rPr>
        <w:t xml:space="preserve"> </w:t>
      </w:r>
      <w:r>
        <w:rPr>
          <w:color w:val="202020"/>
          <w:sz w:val="28"/>
        </w:rPr>
        <w:t>troubles</w:t>
      </w:r>
      <w:r>
        <w:rPr>
          <w:color w:val="202020"/>
          <w:spacing w:val="-2"/>
          <w:sz w:val="28"/>
        </w:rPr>
        <w:t xml:space="preserve"> </w:t>
      </w:r>
      <w:r>
        <w:rPr>
          <w:color w:val="202020"/>
          <w:sz w:val="28"/>
        </w:rPr>
        <w:t>psychiatriques</w:t>
      </w:r>
      <w:r>
        <w:rPr>
          <w:color w:val="202020"/>
          <w:spacing w:val="-1"/>
          <w:sz w:val="28"/>
        </w:rPr>
        <w:t xml:space="preserve"> </w:t>
      </w:r>
      <w:r>
        <w:rPr>
          <w:color w:val="202020"/>
          <w:sz w:val="28"/>
        </w:rPr>
        <w:t>[Use</w:t>
      </w:r>
      <w:r>
        <w:rPr>
          <w:color w:val="202020"/>
          <w:spacing w:val="-2"/>
          <w:sz w:val="28"/>
        </w:rPr>
        <w:t xml:space="preserve"> </w:t>
      </w:r>
      <w:r>
        <w:rPr>
          <w:color w:val="202020"/>
          <w:sz w:val="28"/>
        </w:rPr>
        <w:t xml:space="preserve">and misuse of benzodiazepines in patients with psychiatric disorders]. </w:t>
      </w:r>
      <w:r>
        <w:rPr>
          <w:i/>
          <w:color w:val="202020"/>
          <w:sz w:val="28"/>
        </w:rPr>
        <w:t>Presse Med</w:t>
      </w:r>
      <w:r>
        <w:rPr>
          <w:color w:val="202020"/>
          <w:sz w:val="28"/>
        </w:rPr>
        <w:t>. 2018 Oct;47(10) .P.886-891.doi: 10.1016/j.lpm.2018.10.003.</w:t>
      </w:r>
    </w:p>
    <w:p w:rsidR="00342919" w:rsidRDefault="00342919" w:rsidP="00342919">
      <w:pPr>
        <w:spacing w:line="360" w:lineRule="auto"/>
        <w:jc w:val="both"/>
        <w:rPr>
          <w:sz w:val="26"/>
        </w:rPr>
        <w:sectPr w:rsidR="00342919">
          <w:pgSz w:w="11910" w:h="16840"/>
          <w:pgMar w:top="1040" w:right="240" w:bottom="280" w:left="1040" w:header="710" w:footer="0" w:gutter="0"/>
          <w:cols w:space="720"/>
        </w:sectPr>
      </w:pPr>
    </w:p>
    <w:p w:rsidR="00342919" w:rsidRDefault="00342919" w:rsidP="00342919">
      <w:pPr>
        <w:pStyle w:val="a7"/>
        <w:numPr>
          <w:ilvl w:val="1"/>
          <w:numId w:val="6"/>
        </w:numPr>
        <w:tabs>
          <w:tab w:val="left" w:pos="1382"/>
        </w:tabs>
        <w:spacing w:before="175" w:line="360" w:lineRule="auto"/>
        <w:ind w:right="321"/>
        <w:jc w:val="both"/>
        <w:rPr>
          <w:sz w:val="26"/>
        </w:rPr>
      </w:pPr>
      <w:r>
        <w:rPr>
          <w:color w:val="202020"/>
          <w:sz w:val="28"/>
        </w:rPr>
        <w:lastRenderedPageBreak/>
        <w:t xml:space="preserve">Wong J., Lee S., Sarkar U., Sharma A. </w:t>
      </w:r>
      <w:r>
        <w:rPr>
          <w:sz w:val="28"/>
        </w:rPr>
        <w:t>et al.</w:t>
      </w:r>
      <w:r>
        <w:rPr>
          <w:color w:val="202020"/>
          <w:sz w:val="28"/>
        </w:rPr>
        <w:t xml:space="preserve">Medication adverse events in the ambulatory setting: A mixed-methods analysis. </w:t>
      </w:r>
      <w:r>
        <w:rPr>
          <w:i/>
          <w:color w:val="202020"/>
          <w:sz w:val="28"/>
        </w:rPr>
        <w:t>Am J Health Syst Pharm</w:t>
      </w:r>
      <w:r>
        <w:rPr>
          <w:color w:val="202020"/>
          <w:sz w:val="28"/>
        </w:rPr>
        <w:t>. 2022 Dec 5;79(24).P.2230-2243. doi: 10.1093/ajhp/zxac253.</w:t>
      </w:r>
    </w:p>
    <w:p w:rsidR="00342919" w:rsidRDefault="00342919" w:rsidP="00342919">
      <w:pPr>
        <w:pStyle w:val="a7"/>
        <w:numPr>
          <w:ilvl w:val="1"/>
          <w:numId w:val="6"/>
        </w:numPr>
        <w:tabs>
          <w:tab w:val="left" w:pos="1382"/>
        </w:tabs>
        <w:spacing w:before="1" w:line="360" w:lineRule="auto"/>
        <w:ind w:right="322"/>
        <w:jc w:val="both"/>
        <w:rPr>
          <w:color w:val="202020"/>
          <w:sz w:val="26"/>
        </w:rPr>
      </w:pPr>
      <w:r>
        <w:rPr>
          <w:color w:val="202020"/>
          <w:sz w:val="28"/>
        </w:rPr>
        <w:t xml:space="preserve">Ennaceur A., Chazot P. Preclinical animal anxiety research - flaws and prejudices. </w:t>
      </w:r>
      <w:r>
        <w:rPr>
          <w:i/>
          <w:color w:val="202020"/>
          <w:sz w:val="28"/>
        </w:rPr>
        <w:t>Pharmacol Res Perspect</w:t>
      </w:r>
      <w:r>
        <w:rPr>
          <w:color w:val="202020"/>
          <w:sz w:val="28"/>
        </w:rPr>
        <w:t xml:space="preserve">. 2016 Mar 8;4(2).P.00223. doi: </w:t>
      </w:r>
      <w:r>
        <w:rPr>
          <w:color w:val="202020"/>
          <w:spacing w:val="-2"/>
          <w:sz w:val="28"/>
        </w:rPr>
        <w:t>10.1002/prp2.223.</w:t>
      </w:r>
    </w:p>
    <w:p w:rsidR="00342919" w:rsidRDefault="00342919" w:rsidP="00342919">
      <w:pPr>
        <w:pStyle w:val="a7"/>
        <w:numPr>
          <w:ilvl w:val="1"/>
          <w:numId w:val="6"/>
        </w:numPr>
        <w:tabs>
          <w:tab w:val="left" w:pos="1382"/>
        </w:tabs>
        <w:spacing w:before="1" w:line="360" w:lineRule="auto"/>
        <w:ind w:right="320"/>
        <w:jc w:val="both"/>
        <w:rPr>
          <w:sz w:val="26"/>
        </w:rPr>
      </w:pPr>
      <w:r>
        <w:rPr>
          <w:sz w:val="28"/>
        </w:rPr>
        <w:t>Соловйов</w:t>
      </w:r>
      <w:r>
        <w:rPr>
          <w:spacing w:val="-18"/>
          <w:sz w:val="28"/>
        </w:rPr>
        <w:t xml:space="preserve"> </w:t>
      </w:r>
      <w:r>
        <w:rPr>
          <w:sz w:val="28"/>
        </w:rPr>
        <w:t>О.</w:t>
      </w:r>
      <w:r>
        <w:rPr>
          <w:spacing w:val="-17"/>
          <w:sz w:val="28"/>
        </w:rPr>
        <w:t xml:space="preserve"> </w:t>
      </w:r>
      <w:r>
        <w:rPr>
          <w:sz w:val="28"/>
        </w:rPr>
        <w:t>Бафазол</w:t>
      </w:r>
      <w:r>
        <w:rPr>
          <w:spacing w:val="-18"/>
          <w:sz w:val="28"/>
        </w:rPr>
        <w:t xml:space="preserve"> </w:t>
      </w:r>
      <w:r>
        <w:rPr>
          <w:sz w:val="28"/>
        </w:rPr>
        <w:t>ІС</w:t>
      </w:r>
      <w:r>
        <w:rPr>
          <w:spacing w:val="-17"/>
          <w:sz w:val="28"/>
        </w:rPr>
        <w:t xml:space="preserve"> </w:t>
      </w:r>
      <w:r>
        <w:rPr>
          <w:sz w:val="28"/>
        </w:rPr>
        <w:t>у</w:t>
      </w:r>
      <w:r>
        <w:rPr>
          <w:spacing w:val="-18"/>
          <w:sz w:val="28"/>
        </w:rPr>
        <w:t xml:space="preserve"> </w:t>
      </w:r>
      <w:r>
        <w:rPr>
          <w:sz w:val="28"/>
        </w:rPr>
        <w:t>лікуванні</w:t>
      </w:r>
      <w:r>
        <w:rPr>
          <w:spacing w:val="-17"/>
          <w:sz w:val="28"/>
        </w:rPr>
        <w:t xml:space="preserve"> </w:t>
      </w:r>
      <w:r>
        <w:rPr>
          <w:sz w:val="28"/>
        </w:rPr>
        <w:t>тривожних</w:t>
      </w:r>
      <w:r>
        <w:rPr>
          <w:spacing w:val="-18"/>
          <w:sz w:val="28"/>
        </w:rPr>
        <w:t xml:space="preserve"> </w:t>
      </w:r>
      <w:r>
        <w:rPr>
          <w:sz w:val="28"/>
        </w:rPr>
        <w:t>розладів</w:t>
      </w:r>
      <w:r>
        <w:rPr>
          <w:spacing w:val="-17"/>
          <w:sz w:val="28"/>
        </w:rPr>
        <w:t xml:space="preserve"> </w:t>
      </w:r>
      <w:r>
        <w:rPr>
          <w:sz w:val="28"/>
        </w:rPr>
        <w:t>та</w:t>
      </w:r>
      <w:r>
        <w:rPr>
          <w:spacing w:val="-18"/>
          <w:sz w:val="28"/>
        </w:rPr>
        <w:t xml:space="preserve"> </w:t>
      </w:r>
      <w:r>
        <w:rPr>
          <w:sz w:val="28"/>
        </w:rPr>
        <w:t>інших</w:t>
      </w:r>
      <w:r>
        <w:rPr>
          <w:spacing w:val="-17"/>
          <w:sz w:val="28"/>
        </w:rPr>
        <w:t xml:space="preserve"> </w:t>
      </w:r>
      <w:r>
        <w:rPr>
          <w:sz w:val="28"/>
        </w:rPr>
        <w:t xml:space="preserve">наслідків психологічної травми. Медична газета </w:t>
      </w:r>
      <w:r>
        <w:rPr>
          <w:i/>
          <w:sz w:val="28"/>
        </w:rPr>
        <w:t xml:space="preserve">«Здоров’я України 21 сторіччя» </w:t>
      </w:r>
      <w:r>
        <w:rPr>
          <w:sz w:val="28"/>
        </w:rPr>
        <w:t>№ 1-2 (537-538), 2022 р.</w:t>
      </w:r>
    </w:p>
    <w:p w:rsidR="00342919" w:rsidRDefault="00342919" w:rsidP="00342919">
      <w:pPr>
        <w:pStyle w:val="a7"/>
        <w:numPr>
          <w:ilvl w:val="1"/>
          <w:numId w:val="6"/>
        </w:numPr>
        <w:tabs>
          <w:tab w:val="left" w:pos="1382"/>
        </w:tabs>
        <w:spacing w:line="360" w:lineRule="auto"/>
        <w:ind w:right="321"/>
        <w:jc w:val="both"/>
        <w:rPr>
          <w:sz w:val="26"/>
        </w:rPr>
      </w:pPr>
      <w:r>
        <w:rPr>
          <w:color w:val="202020"/>
          <w:sz w:val="28"/>
        </w:rPr>
        <w:t xml:space="preserve">Бурчинський С. </w:t>
      </w:r>
      <w:r>
        <w:rPr>
          <w:sz w:val="28"/>
        </w:rPr>
        <w:t xml:space="preserve">Нові підходи до лікування синдрому тривоги: чи всі можливості анксіолітиків розкриті у клінічній практиці? 2023р. он-лайн журнал </w:t>
      </w:r>
      <w:r>
        <w:rPr>
          <w:i/>
          <w:sz w:val="28"/>
        </w:rPr>
        <w:t>umj.com.ua</w:t>
      </w:r>
      <w:r>
        <w:rPr>
          <w:sz w:val="28"/>
        </w:rPr>
        <w:t xml:space="preserve">, дата публікації 22.08.2023, УДК:616.891. </w:t>
      </w:r>
      <w:r>
        <w:rPr>
          <w:spacing w:val="-2"/>
          <w:sz w:val="28"/>
        </w:rPr>
        <w:t>DOI:10.32471/umj.1680-3051.156.245548.</w:t>
      </w:r>
    </w:p>
    <w:p w:rsidR="00342919" w:rsidRDefault="00342919" w:rsidP="00342919">
      <w:pPr>
        <w:pStyle w:val="a7"/>
        <w:numPr>
          <w:ilvl w:val="1"/>
          <w:numId w:val="6"/>
        </w:numPr>
        <w:tabs>
          <w:tab w:val="left" w:pos="1382"/>
          <w:tab w:val="left" w:pos="5810"/>
          <w:tab w:val="left" w:pos="9041"/>
        </w:tabs>
        <w:spacing w:line="360" w:lineRule="auto"/>
        <w:ind w:right="319"/>
        <w:jc w:val="both"/>
        <w:rPr>
          <w:sz w:val="26"/>
        </w:rPr>
      </w:pPr>
      <w:r>
        <w:rPr>
          <w:sz w:val="28"/>
        </w:rPr>
        <w:t xml:space="preserve">John Bartholdi. Afobazole Review: Nootropic Benefits, Side Effects &amp; Uses. </w:t>
      </w:r>
      <w:r>
        <w:rPr>
          <w:spacing w:val="-2"/>
          <w:sz w:val="28"/>
        </w:rPr>
        <w:t>nootropicology.com.</w:t>
      </w:r>
      <w:r>
        <w:rPr>
          <w:sz w:val="28"/>
        </w:rPr>
        <w:tab/>
      </w:r>
      <w:r>
        <w:rPr>
          <w:spacing w:val="-2"/>
          <w:sz w:val="28"/>
        </w:rPr>
        <w:t>Published</w:t>
      </w:r>
      <w:r>
        <w:rPr>
          <w:sz w:val="28"/>
        </w:rPr>
        <w:tab/>
      </w:r>
      <w:r>
        <w:rPr>
          <w:spacing w:val="-2"/>
          <w:sz w:val="28"/>
        </w:rPr>
        <w:t>09.05.2024</w:t>
      </w:r>
    </w:p>
    <w:p w:rsidR="00342919" w:rsidRDefault="00342919" w:rsidP="00342919">
      <w:pPr>
        <w:pStyle w:val="a3"/>
        <w:ind w:left="1382"/>
      </w:pPr>
      <w:hyperlink r:id="rId8">
        <w:r>
          <w:rPr>
            <w:color w:val="0000FF"/>
            <w:spacing w:val="-2"/>
            <w:u w:val="single" w:color="0000FF"/>
          </w:rPr>
          <w:t>https://nootropicology.com/afobazole/#</w:t>
        </w:r>
      </w:hyperlink>
    </w:p>
    <w:p w:rsidR="00342919" w:rsidRDefault="00342919" w:rsidP="00342919">
      <w:pPr>
        <w:pStyle w:val="a7"/>
        <w:numPr>
          <w:ilvl w:val="1"/>
          <w:numId w:val="6"/>
        </w:numPr>
        <w:tabs>
          <w:tab w:val="left" w:pos="1382"/>
        </w:tabs>
        <w:spacing w:before="161" w:line="360" w:lineRule="auto"/>
        <w:ind w:right="325"/>
        <w:jc w:val="both"/>
        <w:rPr>
          <w:color w:val="202020"/>
          <w:sz w:val="26"/>
        </w:rPr>
      </w:pPr>
      <w:r>
        <w:rPr>
          <w:color w:val="202020"/>
          <w:sz w:val="28"/>
        </w:rPr>
        <w:t xml:space="preserve">Neznamov G., Siuniakov S., Chumakov D. </w:t>
      </w:r>
      <w:r>
        <w:rPr>
          <w:sz w:val="28"/>
        </w:rPr>
        <w:t>et al.</w:t>
      </w:r>
      <w:r>
        <w:rPr>
          <w:color w:val="202020"/>
          <w:sz w:val="28"/>
        </w:rPr>
        <w:t xml:space="preserve">Rezul'taty klinicheskogo izucheniia selektivnogo anksiolitika afobazola [Clinical study of the selective anxiolytic agent afobazol]. </w:t>
      </w:r>
      <w:r>
        <w:rPr>
          <w:i/>
          <w:color w:val="202020"/>
          <w:sz w:val="28"/>
        </w:rPr>
        <w:t>Eksp Klin Farmakol</w:t>
      </w:r>
      <w:r>
        <w:rPr>
          <w:color w:val="202020"/>
          <w:sz w:val="28"/>
        </w:rPr>
        <w:t>. 2001 Mar-Apr;64(2).P.15-9.</w:t>
      </w:r>
    </w:p>
    <w:p w:rsidR="00342919" w:rsidRDefault="00342919" w:rsidP="00342919">
      <w:pPr>
        <w:pStyle w:val="a7"/>
        <w:numPr>
          <w:ilvl w:val="1"/>
          <w:numId w:val="6"/>
        </w:numPr>
        <w:tabs>
          <w:tab w:val="left" w:pos="1380"/>
        </w:tabs>
        <w:spacing w:before="1"/>
        <w:ind w:left="1380" w:hanging="359"/>
        <w:jc w:val="both"/>
        <w:rPr>
          <w:color w:val="202020"/>
          <w:sz w:val="26"/>
        </w:rPr>
      </w:pPr>
      <w:r>
        <w:rPr>
          <w:color w:val="202020"/>
          <w:sz w:val="28"/>
        </w:rPr>
        <w:t>Maren</w:t>
      </w:r>
      <w:r>
        <w:rPr>
          <w:color w:val="202020"/>
          <w:spacing w:val="20"/>
          <w:sz w:val="28"/>
        </w:rPr>
        <w:t xml:space="preserve"> </w:t>
      </w:r>
      <w:r>
        <w:rPr>
          <w:color w:val="202020"/>
          <w:sz w:val="28"/>
        </w:rPr>
        <w:t>S.,</w:t>
      </w:r>
      <w:r>
        <w:rPr>
          <w:color w:val="202020"/>
          <w:spacing w:val="22"/>
          <w:sz w:val="28"/>
        </w:rPr>
        <w:t xml:space="preserve"> </w:t>
      </w:r>
      <w:r>
        <w:rPr>
          <w:color w:val="202020"/>
          <w:sz w:val="28"/>
        </w:rPr>
        <w:t>Holmes</w:t>
      </w:r>
      <w:r>
        <w:rPr>
          <w:color w:val="202020"/>
          <w:spacing w:val="22"/>
          <w:sz w:val="28"/>
        </w:rPr>
        <w:t xml:space="preserve"> </w:t>
      </w:r>
      <w:r>
        <w:rPr>
          <w:color w:val="202020"/>
          <w:sz w:val="28"/>
        </w:rPr>
        <w:t>A.</w:t>
      </w:r>
      <w:r>
        <w:rPr>
          <w:color w:val="202020"/>
          <w:spacing w:val="22"/>
          <w:sz w:val="28"/>
        </w:rPr>
        <w:t xml:space="preserve"> </w:t>
      </w:r>
      <w:r>
        <w:rPr>
          <w:color w:val="202020"/>
          <w:sz w:val="28"/>
        </w:rPr>
        <w:t>Stress</w:t>
      </w:r>
      <w:r>
        <w:rPr>
          <w:color w:val="202020"/>
          <w:spacing w:val="23"/>
          <w:sz w:val="28"/>
        </w:rPr>
        <w:t xml:space="preserve"> </w:t>
      </w:r>
      <w:r>
        <w:rPr>
          <w:color w:val="202020"/>
          <w:sz w:val="28"/>
        </w:rPr>
        <w:t>and</w:t>
      </w:r>
      <w:r>
        <w:rPr>
          <w:color w:val="202020"/>
          <w:spacing w:val="26"/>
          <w:sz w:val="28"/>
        </w:rPr>
        <w:t xml:space="preserve"> </w:t>
      </w:r>
      <w:r>
        <w:rPr>
          <w:color w:val="202020"/>
          <w:sz w:val="28"/>
        </w:rPr>
        <w:t>Fear</w:t>
      </w:r>
      <w:r>
        <w:rPr>
          <w:color w:val="202020"/>
          <w:spacing w:val="23"/>
          <w:sz w:val="28"/>
        </w:rPr>
        <w:t xml:space="preserve"> </w:t>
      </w:r>
      <w:r>
        <w:rPr>
          <w:color w:val="202020"/>
          <w:sz w:val="28"/>
        </w:rPr>
        <w:t>Extinction.</w:t>
      </w:r>
      <w:r>
        <w:rPr>
          <w:color w:val="202020"/>
          <w:spacing w:val="24"/>
          <w:sz w:val="28"/>
        </w:rPr>
        <w:t xml:space="preserve"> </w:t>
      </w:r>
      <w:r>
        <w:rPr>
          <w:i/>
          <w:color w:val="202020"/>
          <w:spacing w:val="-2"/>
          <w:sz w:val="28"/>
        </w:rPr>
        <w:t>Neuropsychopharmacology.</w:t>
      </w:r>
    </w:p>
    <w:p w:rsidR="00342919" w:rsidRDefault="00342919" w:rsidP="00342919">
      <w:pPr>
        <w:pStyle w:val="a3"/>
        <w:spacing w:before="160"/>
        <w:ind w:left="1382"/>
        <w:jc w:val="both"/>
      </w:pPr>
      <w:r>
        <w:rPr>
          <w:color w:val="202020"/>
        </w:rPr>
        <w:t>2016</w:t>
      </w:r>
      <w:r>
        <w:rPr>
          <w:color w:val="202020"/>
          <w:spacing w:val="-6"/>
        </w:rPr>
        <w:t xml:space="preserve"> </w:t>
      </w:r>
      <w:r>
        <w:rPr>
          <w:color w:val="202020"/>
        </w:rPr>
        <w:t>Jan;41(1).P.58-79.</w:t>
      </w:r>
      <w:r>
        <w:rPr>
          <w:color w:val="202020"/>
          <w:spacing w:val="-10"/>
        </w:rPr>
        <w:t xml:space="preserve"> </w:t>
      </w:r>
      <w:r>
        <w:rPr>
          <w:color w:val="202020"/>
        </w:rPr>
        <w:t>doi:</w:t>
      </w:r>
      <w:r>
        <w:rPr>
          <w:color w:val="202020"/>
          <w:spacing w:val="-9"/>
        </w:rPr>
        <w:t xml:space="preserve"> </w:t>
      </w:r>
      <w:r>
        <w:rPr>
          <w:color w:val="202020"/>
        </w:rPr>
        <w:t>10.1038/npp.2015</w:t>
      </w:r>
      <w:r>
        <w:rPr>
          <w:color w:val="202020"/>
          <w:spacing w:val="-7"/>
        </w:rPr>
        <w:t xml:space="preserve"> </w:t>
      </w:r>
      <w:r>
        <w:rPr>
          <w:color w:val="202020"/>
        </w:rPr>
        <w:t>180.</w:t>
      </w:r>
      <w:r>
        <w:rPr>
          <w:color w:val="202020"/>
          <w:spacing w:val="-7"/>
        </w:rPr>
        <w:t xml:space="preserve"> </w:t>
      </w:r>
      <w:r>
        <w:rPr>
          <w:color w:val="202020"/>
        </w:rPr>
        <w:t>Epub</w:t>
      </w:r>
      <w:r>
        <w:rPr>
          <w:color w:val="202020"/>
          <w:spacing w:val="-6"/>
        </w:rPr>
        <w:t xml:space="preserve"> </w:t>
      </w:r>
      <w:r>
        <w:rPr>
          <w:color w:val="202020"/>
        </w:rPr>
        <w:t>2015</w:t>
      </w:r>
      <w:r>
        <w:rPr>
          <w:color w:val="202020"/>
          <w:spacing w:val="-7"/>
        </w:rPr>
        <w:t xml:space="preserve"> </w:t>
      </w:r>
      <w:r>
        <w:rPr>
          <w:color w:val="202020"/>
        </w:rPr>
        <w:t>Jun</w:t>
      </w:r>
      <w:r>
        <w:rPr>
          <w:color w:val="202020"/>
          <w:spacing w:val="-6"/>
        </w:rPr>
        <w:t xml:space="preserve"> </w:t>
      </w:r>
      <w:r>
        <w:rPr>
          <w:color w:val="202020"/>
          <w:spacing w:val="-5"/>
        </w:rPr>
        <w:t>24.</w:t>
      </w:r>
    </w:p>
    <w:p w:rsidR="00342919" w:rsidRDefault="00342919" w:rsidP="00342919">
      <w:pPr>
        <w:pStyle w:val="a7"/>
        <w:numPr>
          <w:ilvl w:val="1"/>
          <w:numId w:val="6"/>
        </w:numPr>
        <w:tabs>
          <w:tab w:val="left" w:pos="1382"/>
        </w:tabs>
        <w:spacing w:before="161" w:line="360" w:lineRule="auto"/>
        <w:ind w:right="319"/>
        <w:jc w:val="both"/>
        <w:rPr>
          <w:sz w:val="26"/>
        </w:rPr>
      </w:pPr>
      <w:r>
        <w:rPr>
          <w:sz w:val="28"/>
        </w:rPr>
        <w:t>Хаустова</w:t>
      </w:r>
      <w:r>
        <w:rPr>
          <w:spacing w:val="-18"/>
          <w:sz w:val="28"/>
        </w:rPr>
        <w:t xml:space="preserve"> </w:t>
      </w:r>
      <w:r>
        <w:rPr>
          <w:sz w:val="28"/>
        </w:rPr>
        <w:t>О.,</w:t>
      </w:r>
      <w:r>
        <w:rPr>
          <w:spacing w:val="-17"/>
          <w:sz w:val="28"/>
        </w:rPr>
        <w:t xml:space="preserve"> </w:t>
      </w:r>
      <w:r>
        <w:rPr>
          <w:sz w:val="28"/>
        </w:rPr>
        <w:t>Ассонов</w:t>
      </w:r>
      <w:r>
        <w:rPr>
          <w:spacing w:val="-18"/>
          <w:sz w:val="28"/>
        </w:rPr>
        <w:t xml:space="preserve"> </w:t>
      </w:r>
      <w:r>
        <w:rPr>
          <w:sz w:val="28"/>
        </w:rPr>
        <w:t>Д.</w:t>
      </w:r>
      <w:r>
        <w:rPr>
          <w:spacing w:val="-17"/>
          <w:sz w:val="28"/>
        </w:rPr>
        <w:t xml:space="preserve"> </w:t>
      </w:r>
      <w:r>
        <w:rPr>
          <w:sz w:val="28"/>
        </w:rPr>
        <w:t>Порівняльна</w:t>
      </w:r>
      <w:r>
        <w:rPr>
          <w:spacing w:val="-18"/>
          <w:sz w:val="28"/>
        </w:rPr>
        <w:t xml:space="preserve"> </w:t>
      </w:r>
      <w:r>
        <w:rPr>
          <w:sz w:val="28"/>
        </w:rPr>
        <w:t>оцінка</w:t>
      </w:r>
      <w:r>
        <w:rPr>
          <w:spacing w:val="-17"/>
          <w:sz w:val="28"/>
        </w:rPr>
        <w:t xml:space="preserve"> </w:t>
      </w:r>
      <w:r>
        <w:rPr>
          <w:sz w:val="28"/>
        </w:rPr>
        <w:t>протитривожної</w:t>
      </w:r>
      <w:r>
        <w:rPr>
          <w:spacing w:val="-18"/>
          <w:sz w:val="28"/>
        </w:rPr>
        <w:t xml:space="preserve"> </w:t>
      </w:r>
      <w:r>
        <w:rPr>
          <w:sz w:val="28"/>
        </w:rPr>
        <w:t xml:space="preserve">ефективності і переносимості фабомотизолу та фенібуту у пацієнтів із соматоформною вегетативною дисфункцією. Неврологія та психіатрія. </w:t>
      </w:r>
      <w:r>
        <w:rPr>
          <w:i/>
          <w:sz w:val="28"/>
        </w:rPr>
        <w:t>Укр. Мед. Чачопис</w:t>
      </w:r>
      <w:r>
        <w:rPr>
          <w:sz w:val="28"/>
        </w:rPr>
        <w:t>, 5 (157) – IX/X 2023, с.1-7.</w:t>
      </w:r>
      <w:r>
        <w:rPr>
          <w:spacing w:val="40"/>
          <w:sz w:val="28"/>
        </w:rPr>
        <w:t xml:space="preserve"> </w:t>
      </w:r>
      <w:r>
        <w:rPr>
          <w:sz w:val="28"/>
        </w:rPr>
        <w:t>DOI:</w:t>
      </w:r>
      <w:r>
        <w:rPr>
          <w:spacing w:val="40"/>
          <w:sz w:val="28"/>
        </w:rPr>
        <w:t xml:space="preserve"> </w:t>
      </w:r>
      <w:r>
        <w:rPr>
          <w:sz w:val="28"/>
        </w:rPr>
        <w:t>10.32471/umj.1680-3051.157.248253</w:t>
      </w:r>
    </w:p>
    <w:p w:rsidR="00342919" w:rsidRDefault="00342919" w:rsidP="00342919">
      <w:pPr>
        <w:pStyle w:val="a7"/>
        <w:numPr>
          <w:ilvl w:val="1"/>
          <w:numId w:val="6"/>
        </w:numPr>
        <w:tabs>
          <w:tab w:val="left" w:pos="1382"/>
        </w:tabs>
        <w:spacing w:line="360" w:lineRule="auto"/>
        <w:ind w:right="317"/>
        <w:jc w:val="both"/>
        <w:rPr>
          <w:color w:val="202020"/>
          <w:sz w:val="26"/>
        </w:rPr>
      </w:pPr>
      <w:r>
        <w:rPr>
          <w:color w:val="202020"/>
          <w:sz w:val="28"/>
        </w:rPr>
        <w:t xml:space="preserve">Katnik C., Garcia A., Behensky A. </w:t>
      </w:r>
      <w:r>
        <w:rPr>
          <w:sz w:val="28"/>
        </w:rPr>
        <w:t>et al.</w:t>
      </w:r>
      <w:r>
        <w:rPr>
          <w:color w:val="202020"/>
          <w:sz w:val="28"/>
        </w:rPr>
        <w:t xml:space="preserve">Activation of σ1 and σ2 receptors by afobazole increases glial cell survival and prevents glial cell activation and nitrosative stress after ischemic stroke. </w:t>
      </w:r>
      <w:r>
        <w:rPr>
          <w:i/>
          <w:color w:val="202020"/>
          <w:sz w:val="28"/>
        </w:rPr>
        <w:t>J Neurochem</w:t>
      </w:r>
      <w:r>
        <w:rPr>
          <w:color w:val="202020"/>
          <w:sz w:val="28"/>
        </w:rPr>
        <w:t>. 2016 Nov;139(3).P.497-</w:t>
      </w:r>
    </w:p>
    <w:p w:rsidR="00342919" w:rsidRDefault="00342919" w:rsidP="00342919">
      <w:pPr>
        <w:pStyle w:val="a3"/>
        <w:spacing w:before="1"/>
        <w:ind w:left="1382"/>
        <w:jc w:val="both"/>
      </w:pPr>
      <w:r>
        <w:rPr>
          <w:color w:val="202020"/>
        </w:rPr>
        <w:t>509.</w:t>
      </w:r>
      <w:r>
        <w:rPr>
          <w:color w:val="202020"/>
          <w:spacing w:val="-6"/>
        </w:rPr>
        <w:t xml:space="preserve"> </w:t>
      </w:r>
      <w:r>
        <w:rPr>
          <w:color w:val="202020"/>
        </w:rPr>
        <w:t>doi:</w:t>
      </w:r>
      <w:r>
        <w:rPr>
          <w:color w:val="202020"/>
          <w:spacing w:val="-6"/>
        </w:rPr>
        <w:t xml:space="preserve"> </w:t>
      </w:r>
      <w:r>
        <w:rPr>
          <w:color w:val="202020"/>
        </w:rPr>
        <w:t>10.1111/jnc</w:t>
      </w:r>
      <w:r>
        <w:rPr>
          <w:color w:val="202020"/>
          <w:spacing w:val="-7"/>
        </w:rPr>
        <w:t xml:space="preserve"> </w:t>
      </w:r>
      <w:r>
        <w:rPr>
          <w:color w:val="202020"/>
        </w:rPr>
        <w:t>13756.</w:t>
      </w:r>
      <w:r>
        <w:rPr>
          <w:color w:val="202020"/>
          <w:spacing w:val="-5"/>
        </w:rPr>
        <w:t xml:space="preserve"> </w:t>
      </w:r>
      <w:r>
        <w:rPr>
          <w:color w:val="202020"/>
        </w:rPr>
        <w:t>Epub</w:t>
      </w:r>
      <w:r>
        <w:rPr>
          <w:color w:val="202020"/>
          <w:spacing w:val="-3"/>
        </w:rPr>
        <w:t xml:space="preserve"> </w:t>
      </w:r>
      <w:r>
        <w:rPr>
          <w:color w:val="202020"/>
        </w:rPr>
        <w:t>2016</w:t>
      </w:r>
      <w:r>
        <w:rPr>
          <w:color w:val="202020"/>
          <w:spacing w:val="-4"/>
        </w:rPr>
        <w:t xml:space="preserve"> </w:t>
      </w:r>
      <w:r>
        <w:rPr>
          <w:color w:val="202020"/>
        </w:rPr>
        <w:t>Sep</w:t>
      </w:r>
      <w:r>
        <w:rPr>
          <w:color w:val="202020"/>
          <w:spacing w:val="-3"/>
        </w:rPr>
        <w:t xml:space="preserve"> </w:t>
      </w:r>
      <w:r>
        <w:rPr>
          <w:color w:val="202020"/>
          <w:spacing w:val="-5"/>
        </w:rPr>
        <w:t>1.</w:t>
      </w:r>
    </w:p>
    <w:p w:rsidR="00342919" w:rsidRDefault="00342919" w:rsidP="00342919">
      <w:pPr>
        <w:jc w:val="both"/>
        <w:sectPr w:rsidR="00342919">
          <w:pgSz w:w="11910" w:h="16840"/>
          <w:pgMar w:top="1040" w:right="240" w:bottom="280" w:left="1040" w:header="710" w:footer="0" w:gutter="0"/>
          <w:cols w:space="720"/>
        </w:sectPr>
      </w:pPr>
    </w:p>
    <w:p w:rsidR="00342919" w:rsidRDefault="00342919" w:rsidP="00342919">
      <w:pPr>
        <w:pStyle w:val="a7"/>
        <w:numPr>
          <w:ilvl w:val="0"/>
          <w:numId w:val="5"/>
        </w:numPr>
        <w:tabs>
          <w:tab w:val="left" w:pos="1382"/>
        </w:tabs>
        <w:spacing w:before="175" w:line="360" w:lineRule="auto"/>
        <w:ind w:right="322"/>
        <w:jc w:val="both"/>
        <w:rPr>
          <w:color w:val="202020"/>
          <w:sz w:val="26"/>
        </w:rPr>
      </w:pPr>
      <w:r>
        <w:rPr>
          <w:color w:val="202020"/>
          <w:sz w:val="28"/>
        </w:rPr>
        <w:lastRenderedPageBreak/>
        <w:t xml:space="preserve">Seredenin S., Tsorin I., Vititnova M. </w:t>
      </w:r>
      <w:r>
        <w:rPr>
          <w:sz w:val="28"/>
        </w:rPr>
        <w:t xml:space="preserve">et al. </w:t>
      </w:r>
      <w:r>
        <w:rPr>
          <w:color w:val="202020"/>
          <w:sz w:val="28"/>
        </w:rPr>
        <w:t xml:space="preserve">On the mechanism of anti-ischemic effects of afobazole. </w:t>
      </w:r>
      <w:r>
        <w:rPr>
          <w:i/>
          <w:color w:val="202020"/>
          <w:sz w:val="28"/>
        </w:rPr>
        <w:t>Bull Exp Biol Med</w:t>
      </w:r>
      <w:r>
        <w:rPr>
          <w:color w:val="202020"/>
          <w:sz w:val="28"/>
        </w:rPr>
        <w:t xml:space="preserve">. 2013 Oct;155(6).P.760-3. doi: </w:t>
      </w:r>
      <w:r>
        <w:rPr>
          <w:color w:val="202020"/>
          <w:spacing w:val="-2"/>
          <w:sz w:val="28"/>
        </w:rPr>
        <w:t>10.1007/s10517-013-2246-6.</w:t>
      </w:r>
    </w:p>
    <w:p w:rsidR="00342919" w:rsidRDefault="00342919" w:rsidP="00342919">
      <w:pPr>
        <w:pStyle w:val="a7"/>
        <w:numPr>
          <w:ilvl w:val="0"/>
          <w:numId w:val="5"/>
        </w:numPr>
        <w:tabs>
          <w:tab w:val="left" w:pos="1382"/>
        </w:tabs>
        <w:spacing w:before="1" w:line="360" w:lineRule="auto"/>
        <w:ind w:right="323"/>
        <w:jc w:val="both"/>
        <w:rPr>
          <w:color w:val="202020"/>
          <w:sz w:val="26"/>
        </w:rPr>
      </w:pPr>
      <w:r>
        <w:rPr>
          <w:color w:val="202020"/>
          <w:sz w:val="28"/>
        </w:rPr>
        <w:t xml:space="preserve">Katnik C., Garcia A., Behensky A. </w:t>
      </w:r>
      <w:r>
        <w:rPr>
          <w:sz w:val="28"/>
        </w:rPr>
        <w:t xml:space="preserve">et al. </w:t>
      </w:r>
      <w:r>
        <w:rPr>
          <w:color w:val="202020"/>
          <w:sz w:val="28"/>
        </w:rPr>
        <w:t xml:space="preserve">Treatment with afobazole at delayed time points following ischemic stroke improves long-term functional and histological outcomes. </w:t>
      </w:r>
      <w:r>
        <w:rPr>
          <w:i/>
          <w:color w:val="202020"/>
          <w:sz w:val="28"/>
        </w:rPr>
        <w:t>Neurobiol Dis</w:t>
      </w:r>
      <w:r>
        <w:rPr>
          <w:color w:val="202020"/>
          <w:sz w:val="28"/>
        </w:rPr>
        <w:t xml:space="preserve">. 2014 Feb;62.P.354-64. doi: </w:t>
      </w:r>
      <w:r>
        <w:rPr>
          <w:color w:val="202020"/>
          <w:spacing w:val="-2"/>
          <w:sz w:val="28"/>
        </w:rPr>
        <w:t>10.1016/j.nbd.2013.10.011.</w:t>
      </w:r>
    </w:p>
    <w:p w:rsidR="00342919" w:rsidRDefault="00342919" w:rsidP="00342919">
      <w:pPr>
        <w:pStyle w:val="a7"/>
        <w:numPr>
          <w:ilvl w:val="0"/>
          <w:numId w:val="5"/>
        </w:numPr>
        <w:tabs>
          <w:tab w:val="left" w:pos="1382"/>
        </w:tabs>
        <w:spacing w:line="360" w:lineRule="auto"/>
        <w:ind w:right="328"/>
        <w:jc w:val="both"/>
        <w:rPr>
          <w:color w:val="202020"/>
          <w:sz w:val="26"/>
        </w:rPr>
      </w:pPr>
      <w:r>
        <w:rPr>
          <w:color w:val="202020"/>
          <w:sz w:val="28"/>
        </w:rPr>
        <w:t xml:space="preserve">Li W., Xiao W., Chen Y,, Qu J. </w:t>
      </w:r>
      <w:r>
        <w:rPr>
          <w:sz w:val="28"/>
        </w:rPr>
        <w:t xml:space="preserve">et al. </w:t>
      </w:r>
      <w:r>
        <w:rPr>
          <w:color w:val="202020"/>
          <w:sz w:val="28"/>
        </w:rPr>
        <w:t>Anxiety in Patients With Acute Ischemic Stroke: Risk Factors and Effects on Functional Status. Front Psychiatry. 2019 Apr 17;10.P.257. doi: 10.3389/fpsyt.2019.00257.</w:t>
      </w:r>
    </w:p>
    <w:p w:rsidR="00342919" w:rsidRDefault="00342919" w:rsidP="00342919">
      <w:pPr>
        <w:pStyle w:val="a7"/>
        <w:numPr>
          <w:ilvl w:val="0"/>
          <w:numId w:val="5"/>
        </w:numPr>
        <w:tabs>
          <w:tab w:val="left" w:pos="1382"/>
          <w:tab w:val="left" w:pos="1451"/>
        </w:tabs>
        <w:spacing w:before="2" w:line="360" w:lineRule="auto"/>
        <w:ind w:right="322"/>
        <w:jc w:val="both"/>
        <w:rPr>
          <w:sz w:val="28"/>
        </w:rPr>
      </w:pPr>
      <w:r>
        <w:rPr>
          <w:sz w:val="28"/>
        </w:rPr>
        <w:tab/>
      </w:r>
      <w:r>
        <w:rPr>
          <w:color w:val="202020"/>
          <w:sz w:val="28"/>
        </w:rPr>
        <w:t xml:space="preserve">Kryzhanovskii S, Kozhevnikova L, Tsorin I. </w:t>
      </w:r>
      <w:r>
        <w:rPr>
          <w:sz w:val="28"/>
        </w:rPr>
        <w:t xml:space="preserve">et al. </w:t>
      </w:r>
      <w:r>
        <w:rPr>
          <w:color w:val="202020"/>
          <w:sz w:val="28"/>
        </w:rPr>
        <w:t>On the Mechanism of the Cardioprotective Action of σ</w:t>
      </w:r>
      <w:r>
        <w:rPr>
          <w:color w:val="202020"/>
          <w:sz w:val="28"/>
          <w:vertAlign w:val="subscript"/>
        </w:rPr>
        <w:t>1</w:t>
      </w:r>
      <w:r>
        <w:rPr>
          <w:color w:val="202020"/>
          <w:spacing w:val="-2"/>
          <w:sz w:val="28"/>
        </w:rPr>
        <w:t xml:space="preserve"> </w:t>
      </w:r>
      <w:r>
        <w:rPr>
          <w:color w:val="202020"/>
          <w:sz w:val="28"/>
        </w:rPr>
        <w:t xml:space="preserve">Receptor Agonist Anxiolytic Fabomotizole Hydrochloride (Afobazole). </w:t>
      </w:r>
      <w:r>
        <w:rPr>
          <w:i/>
          <w:color w:val="202020"/>
          <w:sz w:val="28"/>
        </w:rPr>
        <w:t>Bull Exp Biol Med</w:t>
      </w:r>
      <w:r>
        <w:rPr>
          <w:color w:val="202020"/>
          <w:sz w:val="28"/>
        </w:rPr>
        <w:t>. 2018 Sep;165(5).P.660-664. doi: 10.1007/s10517-018-4236-1.</w:t>
      </w:r>
    </w:p>
    <w:p w:rsidR="00342919" w:rsidRDefault="00342919" w:rsidP="00342919">
      <w:pPr>
        <w:pStyle w:val="a7"/>
        <w:numPr>
          <w:ilvl w:val="0"/>
          <w:numId w:val="5"/>
        </w:numPr>
        <w:tabs>
          <w:tab w:val="left" w:pos="1382"/>
        </w:tabs>
        <w:spacing w:line="360" w:lineRule="auto"/>
        <w:ind w:right="322"/>
        <w:jc w:val="both"/>
        <w:rPr>
          <w:color w:val="202020"/>
          <w:sz w:val="26"/>
        </w:rPr>
      </w:pPr>
      <w:r>
        <w:rPr>
          <w:color w:val="202020"/>
          <w:sz w:val="28"/>
        </w:rPr>
        <w:t xml:space="preserve">Voronin M, Kadnikov I. Contribution of Sigma-1 receptor to cytoprotective effect of afobazole. </w:t>
      </w:r>
      <w:r>
        <w:rPr>
          <w:i/>
          <w:color w:val="202020"/>
          <w:sz w:val="28"/>
        </w:rPr>
        <w:t>Pharmacol Res Perspect</w:t>
      </w:r>
      <w:r>
        <w:rPr>
          <w:color w:val="202020"/>
          <w:sz w:val="28"/>
        </w:rPr>
        <w:t xml:space="preserve">. 2016 Nov 7;4(6).P.00273. doi: </w:t>
      </w:r>
      <w:r>
        <w:rPr>
          <w:color w:val="202020"/>
          <w:spacing w:val="-2"/>
          <w:sz w:val="28"/>
        </w:rPr>
        <w:t>10.1002/prp2.273.</w:t>
      </w:r>
    </w:p>
    <w:p w:rsidR="00342919" w:rsidRDefault="00342919" w:rsidP="00342919">
      <w:pPr>
        <w:pStyle w:val="a7"/>
        <w:numPr>
          <w:ilvl w:val="0"/>
          <w:numId w:val="5"/>
        </w:numPr>
        <w:tabs>
          <w:tab w:val="left" w:pos="1382"/>
        </w:tabs>
        <w:spacing w:line="360" w:lineRule="auto"/>
        <w:ind w:right="322"/>
        <w:jc w:val="both"/>
        <w:rPr>
          <w:sz w:val="26"/>
        </w:rPr>
      </w:pPr>
      <w:r>
        <w:rPr>
          <w:color w:val="202020"/>
          <w:sz w:val="28"/>
        </w:rPr>
        <w:t xml:space="preserve">Celano C., Villegas A., Albanese A. </w:t>
      </w:r>
      <w:r>
        <w:rPr>
          <w:sz w:val="28"/>
        </w:rPr>
        <w:t xml:space="preserve">et al. </w:t>
      </w:r>
      <w:r>
        <w:rPr>
          <w:color w:val="202020"/>
          <w:sz w:val="28"/>
        </w:rPr>
        <w:t xml:space="preserve">Depression and Anxiety in Heart Failure: A Review. </w:t>
      </w:r>
      <w:r>
        <w:rPr>
          <w:i/>
          <w:color w:val="202020"/>
          <w:sz w:val="28"/>
        </w:rPr>
        <w:t>Harv Rev Psychiatry</w:t>
      </w:r>
      <w:r>
        <w:rPr>
          <w:color w:val="202020"/>
          <w:sz w:val="28"/>
        </w:rPr>
        <w:t xml:space="preserve">. 2018 Jul/Aug;26(4).P.175-184. doi: </w:t>
      </w:r>
      <w:r>
        <w:rPr>
          <w:color w:val="202020"/>
          <w:spacing w:val="-2"/>
          <w:sz w:val="28"/>
        </w:rPr>
        <w:t>10.1097/HRP.0000000000000162.</w:t>
      </w:r>
    </w:p>
    <w:p w:rsidR="00342919" w:rsidRDefault="00342919" w:rsidP="00342919">
      <w:pPr>
        <w:pStyle w:val="a7"/>
        <w:numPr>
          <w:ilvl w:val="0"/>
          <w:numId w:val="5"/>
        </w:numPr>
        <w:tabs>
          <w:tab w:val="left" w:pos="1382"/>
        </w:tabs>
        <w:spacing w:line="360" w:lineRule="auto"/>
        <w:ind w:right="319"/>
        <w:jc w:val="both"/>
        <w:rPr>
          <w:sz w:val="26"/>
        </w:rPr>
      </w:pPr>
      <w:r>
        <w:rPr>
          <w:color w:val="202020"/>
          <w:sz w:val="28"/>
        </w:rPr>
        <w:t xml:space="preserve">Shreder E., Shreder O., Zabrodina V. </w:t>
      </w:r>
      <w:r>
        <w:rPr>
          <w:sz w:val="28"/>
        </w:rPr>
        <w:t xml:space="preserve">et al. </w:t>
      </w:r>
      <w:r>
        <w:rPr>
          <w:color w:val="202020"/>
          <w:sz w:val="28"/>
        </w:rPr>
        <w:t xml:space="preserve">Afobazole modifies the neurotoxic and genotoxic effects in rat prenatal alcoholization model. </w:t>
      </w:r>
      <w:r>
        <w:rPr>
          <w:i/>
          <w:color w:val="202020"/>
          <w:sz w:val="28"/>
        </w:rPr>
        <w:t>Bull Exp Biol Med</w:t>
      </w:r>
      <w:r>
        <w:rPr>
          <w:color w:val="202020"/>
          <w:sz w:val="28"/>
        </w:rPr>
        <w:t>. 2014 Aug;157(4).P.492-5. doi: 10.1007/s10517-014-2599-5.</w:t>
      </w:r>
    </w:p>
    <w:p w:rsidR="00342919" w:rsidRDefault="00342919" w:rsidP="00342919">
      <w:pPr>
        <w:pStyle w:val="a7"/>
        <w:numPr>
          <w:ilvl w:val="0"/>
          <w:numId w:val="5"/>
        </w:numPr>
        <w:tabs>
          <w:tab w:val="left" w:pos="1382"/>
        </w:tabs>
        <w:spacing w:line="360" w:lineRule="auto"/>
        <w:ind w:right="319"/>
        <w:jc w:val="both"/>
        <w:rPr>
          <w:color w:val="202020"/>
          <w:sz w:val="26"/>
        </w:rPr>
      </w:pPr>
      <w:r>
        <w:rPr>
          <w:color w:val="202020"/>
          <w:sz w:val="28"/>
        </w:rPr>
        <w:t xml:space="preserve">Bugaeva L., Denisova T., Sergeeva S. </w:t>
      </w:r>
      <w:r>
        <w:rPr>
          <w:sz w:val="28"/>
        </w:rPr>
        <w:t xml:space="preserve">et al. </w:t>
      </w:r>
      <w:r>
        <w:rPr>
          <w:color w:val="202020"/>
          <w:sz w:val="28"/>
        </w:rPr>
        <w:t>Effects of Afobazole on Postnatal Development</w:t>
      </w:r>
      <w:r>
        <w:rPr>
          <w:color w:val="202020"/>
          <w:spacing w:val="-8"/>
          <w:sz w:val="28"/>
        </w:rPr>
        <w:t xml:space="preserve"> </w:t>
      </w:r>
      <w:r>
        <w:rPr>
          <w:color w:val="202020"/>
          <w:sz w:val="28"/>
        </w:rPr>
        <w:t>of</w:t>
      </w:r>
      <w:r>
        <w:rPr>
          <w:color w:val="202020"/>
          <w:spacing w:val="-9"/>
          <w:sz w:val="28"/>
        </w:rPr>
        <w:t xml:space="preserve"> </w:t>
      </w:r>
      <w:r>
        <w:rPr>
          <w:color w:val="202020"/>
          <w:sz w:val="28"/>
        </w:rPr>
        <w:t>Rat</w:t>
      </w:r>
      <w:r>
        <w:rPr>
          <w:color w:val="202020"/>
          <w:spacing w:val="-8"/>
          <w:sz w:val="28"/>
        </w:rPr>
        <w:t xml:space="preserve"> </w:t>
      </w:r>
      <w:r>
        <w:rPr>
          <w:color w:val="202020"/>
          <w:sz w:val="28"/>
        </w:rPr>
        <w:t>Offspring.</w:t>
      </w:r>
      <w:r>
        <w:rPr>
          <w:color w:val="202020"/>
          <w:spacing w:val="-7"/>
          <w:sz w:val="28"/>
        </w:rPr>
        <w:t xml:space="preserve"> </w:t>
      </w:r>
      <w:r>
        <w:rPr>
          <w:i/>
          <w:color w:val="202020"/>
          <w:sz w:val="28"/>
        </w:rPr>
        <w:t>Bull</w:t>
      </w:r>
      <w:r>
        <w:rPr>
          <w:i/>
          <w:color w:val="202020"/>
          <w:spacing w:val="-8"/>
          <w:sz w:val="28"/>
        </w:rPr>
        <w:t xml:space="preserve"> </w:t>
      </w:r>
      <w:r>
        <w:rPr>
          <w:i/>
          <w:color w:val="202020"/>
          <w:sz w:val="28"/>
        </w:rPr>
        <w:t>Exp</w:t>
      </w:r>
      <w:r>
        <w:rPr>
          <w:i/>
          <w:color w:val="202020"/>
          <w:spacing w:val="-8"/>
          <w:sz w:val="28"/>
        </w:rPr>
        <w:t xml:space="preserve"> </w:t>
      </w:r>
      <w:r>
        <w:rPr>
          <w:i/>
          <w:color w:val="202020"/>
          <w:sz w:val="28"/>
        </w:rPr>
        <w:t>Biol</w:t>
      </w:r>
      <w:r>
        <w:rPr>
          <w:i/>
          <w:color w:val="202020"/>
          <w:spacing w:val="-8"/>
          <w:sz w:val="28"/>
        </w:rPr>
        <w:t xml:space="preserve"> </w:t>
      </w:r>
      <w:r>
        <w:rPr>
          <w:i/>
          <w:color w:val="202020"/>
          <w:sz w:val="28"/>
        </w:rPr>
        <w:t>Med.</w:t>
      </w:r>
      <w:r>
        <w:rPr>
          <w:i/>
          <w:color w:val="202020"/>
          <w:spacing w:val="-7"/>
          <w:sz w:val="28"/>
        </w:rPr>
        <w:t xml:space="preserve"> </w:t>
      </w:r>
      <w:r>
        <w:rPr>
          <w:color w:val="202020"/>
          <w:sz w:val="28"/>
        </w:rPr>
        <w:t>2017</w:t>
      </w:r>
      <w:r>
        <w:rPr>
          <w:color w:val="202020"/>
          <w:spacing w:val="-8"/>
          <w:sz w:val="28"/>
        </w:rPr>
        <w:t xml:space="preserve"> </w:t>
      </w:r>
      <w:r>
        <w:rPr>
          <w:color w:val="202020"/>
          <w:sz w:val="28"/>
        </w:rPr>
        <w:t>Feb;162(4).P.441-444. doi: 10.1007/s10517-017-3635-z.</w:t>
      </w:r>
    </w:p>
    <w:p w:rsidR="00342919" w:rsidRDefault="00342919" w:rsidP="00342919">
      <w:pPr>
        <w:pStyle w:val="a7"/>
        <w:numPr>
          <w:ilvl w:val="0"/>
          <w:numId w:val="5"/>
        </w:numPr>
        <w:tabs>
          <w:tab w:val="left" w:pos="1382"/>
        </w:tabs>
        <w:spacing w:line="360" w:lineRule="auto"/>
        <w:ind w:right="321"/>
        <w:jc w:val="both"/>
        <w:rPr>
          <w:sz w:val="26"/>
        </w:rPr>
      </w:pPr>
      <w:r>
        <w:rPr>
          <w:color w:val="202020"/>
          <w:sz w:val="28"/>
        </w:rPr>
        <w:t xml:space="preserve">Bugaeva L., Denisova T., Mazanova Y. </w:t>
      </w:r>
      <w:r>
        <w:rPr>
          <w:sz w:val="28"/>
        </w:rPr>
        <w:t xml:space="preserve">et al. </w:t>
      </w:r>
      <w:r>
        <w:rPr>
          <w:color w:val="202020"/>
          <w:sz w:val="28"/>
        </w:rPr>
        <w:t>[Physical and behavioral development</w:t>
      </w:r>
      <w:r>
        <w:rPr>
          <w:color w:val="202020"/>
          <w:spacing w:val="-18"/>
          <w:sz w:val="28"/>
        </w:rPr>
        <w:t xml:space="preserve"> </w:t>
      </w:r>
      <w:r>
        <w:rPr>
          <w:color w:val="202020"/>
          <w:sz w:val="28"/>
        </w:rPr>
        <w:t>of</w:t>
      </w:r>
      <w:r>
        <w:rPr>
          <w:color w:val="202020"/>
          <w:spacing w:val="-17"/>
          <w:sz w:val="28"/>
        </w:rPr>
        <w:t xml:space="preserve"> </w:t>
      </w:r>
      <w:r>
        <w:rPr>
          <w:color w:val="202020"/>
          <w:sz w:val="28"/>
        </w:rPr>
        <w:t>the</w:t>
      </w:r>
      <w:r>
        <w:rPr>
          <w:color w:val="202020"/>
          <w:spacing w:val="-18"/>
          <w:sz w:val="28"/>
        </w:rPr>
        <w:t xml:space="preserve"> </w:t>
      </w:r>
      <w:r>
        <w:rPr>
          <w:color w:val="202020"/>
          <w:sz w:val="28"/>
        </w:rPr>
        <w:t>offspring</w:t>
      </w:r>
      <w:r>
        <w:rPr>
          <w:color w:val="202020"/>
          <w:spacing w:val="-17"/>
          <w:sz w:val="28"/>
        </w:rPr>
        <w:t xml:space="preserve"> </w:t>
      </w:r>
      <w:r>
        <w:rPr>
          <w:color w:val="202020"/>
          <w:sz w:val="28"/>
        </w:rPr>
        <w:t>of</w:t>
      </w:r>
      <w:r>
        <w:rPr>
          <w:color w:val="202020"/>
          <w:spacing w:val="-18"/>
          <w:sz w:val="28"/>
        </w:rPr>
        <w:t xml:space="preserve"> </w:t>
      </w:r>
      <w:r>
        <w:rPr>
          <w:color w:val="202020"/>
          <w:sz w:val="28"/>
        </w:rPr>
        <w:t>female</w:t>
      </w:r>
      <w:r>
        <w:rPr>
          <w:color w:val="202020"/>
          <w:spacing w:val="-17"/>
          <w:sz w:val="28"/>
        </w:rPr>
        <w:t xml:space="preserve"> </w:t>
      </w:r>
      <w:r>
        <w:rPr>
          <w:color w:val="202020"/>
          <w:sz w:val="28"/>
        </w:rPr>
        <w:t>rats</w:t>
      </w:r>
      <w:r>
        <w:rPr>
          <w:color w:val="202020"/>
          <w:spacing w:val="-18"/>
          <w:sz w:val="28"/>
        </w:rPr>
        <w:t xml:space="preserve"> </w:t>
      </w:r>
      <w:r>
        <w:rPr>
          <w:color w:val="202020"/>
          <w:sz w:val="28"/>
        </w:rPr>
        <w:t>treated</w:t>
      </w:r>
      <w:r>
        <w:rPr>
          <w:color w:val="202020"/>
          <w:spacing w:val="-17"/>
          <w:sz w:val="28"/>
        </w:rPr>
        <w:t xml:space="preserve"> </w:t>
      </w:r>
      <w:r>
        <w:rPr>
          <w:color w:val="202020"/>
          <w:sz w:val="28"/>
        </w:rPr>
        <w:t>with</w:t>
      </w:r>
      <w:r>
        <w:rPr>
          <w:color w:val="202020"/>
          <w:spacing w:val="-18"/>
          <w:sz w:val="28"/>
        </w:rPr>
        <w:t xml:space="preserve"> </w:t>
      </w:r>
      <w:r>
        <w:rPr>
          <w:color w:val="202020"/>
          <w:sz w:val="28"/>
        </w:rPr>
        <w:t>afobazole</w:t>
      </w:r>
      <w:r>
        <w:rPr>
          <w:color w:val="202020"/>
          <w:spacing w:val="-17"/>
          <w:sz w:val="28"/>
        </w:rPr>
        <w:t xml:space="preserve"> </w:t>
      </w:r>
      <w:r>
        <w:rPr>
          <w:color w:val="202020"/>
          <w:sz w:val="28"/>
        </w:rPr>
        <w:t>during.].</w:t>
      </w:r>
      <w:r>
        <w:rPr>
          <w:color w:val="202020"/>
          <w:spacing w:val="-12"/>
          <w:sz w:val="28"/>
        </w:rPr>
        <w:t xml:space="preserve"> </w:t>
      </w:r>
      <w:r>
        <w:rPr>
          <w:i/>
          <w:color w:val="202020"/>
          <w:sz w:val="28"/>
        </w:rPr>
        <w:t>Eksp Klin Farmakol</w:t>
      </w:r>
      <w:r>
        <w:rPr>
          <w:color w:val="202020"/>
          <w:sz w:val="28"/>
        </w:rPr>
        <w:t>. 2017;80(1).P.28-31.</w:t>
      </w:r>
    </w:p>
    <w:p w:rsidR="00342919" w:rsidRDefault="00342919" w:rsidP="00342919">
      <w:pPr>
        <w:spacing w:line="360" w:lineRule="auto"/>
        <w:jc w:val="both"/>
        <w:rPr>
          <w:sz w:val="26"/>
        </w:rPr>
        <w:sectPr w:rsidR="00342919">
          <w:pgSz w:w="11910" w:h="16840"/>
          <w:pgMar w:top="1040" w:right="240" w:bottom="280" w:left="1040" w:header="710" w:footer="0" w:gutter="0"/>
          <w:cols w:space="720"/>
        </w:sectPr>
      </w:pPr>
    </w:p>
    <w:p w:rsidR="00342919" w:rsidRDefault="00342919" w:rsidP="00342919">
      <w:pPr>
        <w:pStyle w:val="a7"/>
        <w:numPr>
          <w:ilvl w:val="0"/>
          <w:numId w:val="5"/>
        </w:numPr>
        <w:tabs>
          <w:tab w:val="left" w:pos="1382"/>
        </w:tabs>
        <w:spacing w:before="175" w:line="360" w:lineRule="auto"/>
        <w:ind w:right="319"/>
        <w:jc w:val="both"/>
        <w:rPr>
          <w:sz w:val="26"/>
        </w:rPr>
      </w:pPr>
      <w:r>
        <w:rPr>
          <w:sz w:val="28"/>
        </w:rPr>
        <w:lastRenderedPageBreak/>
        <w:t>Zhemkov</w:t>
      </w:r>
      <w:r>
        <w:rPr>
          <w:spacing w:val="-14"/>
          <w:sz w:val="28"/>
        </w:rPr>
        <w:t xml:space="preserve"> </w:t>
      </w:r>
      <w:r>
        <w:rPr>
          <w:sz w:val="28"/>
        </w:rPr>
        <w:t>V.,</w:t>
      </w:r>
      <w:r>
        <w:rPr>
          <w:spacing w:val="-15"/>
          <w:sz w:val="28"/>
        </w:rPr>
        <w:t xml:space="preserve"> </w:t>
      </w:r>
      <w:r>
        <w:rPr>
          <w:sz w:val="28"/>
        </w:rPr>
        <w:t>Ditlev</w:t>
      </w:r>
      <w:r>
        <w:rPr>
          <w:spacing w:val="-14"/>
          <w:sz w:val="28"/>
        </w:rPr>
        <w:t xml:space="preserve"> </w:t>
      </w:r>
      <w:r>
        <w:rPr>
          <w:sz w:val="28"/>
        </w:rPr>
        <w:t>J.,</w:t>
      </w:r>
      <w:r>
        <w:rPr>
          <w:spacing w:val="-15"/>
          <w:sz w:val="28"/>
        </w:rPr>
        <w:t xml:space="preserve"> </w:t>
      </w:r>
      <w:r>
        <w:rPr>
          <w:sz w:val="28"/>
        </w:rPr>
        <w:t>Lee</w:t>
      </w:r>
      <w:r>
        <w:rPr>
          <w:spacing w:val="-12"/>
          <w:sz w:val="28"/>
        </w:rPr>
        <w:t xml:space="preserve"> </w:t>
      </w:r>
      <w:r>
        <w:rPr>
          <w:sz w:val="28"/>
        </w:rPr>
        <w:t>W.</w:t>
      </w:r>
      <w:r>
        <w:rPr>
          <w:spacing w:val="-13"/>
          <w:sz w:val="28"/>
        </w:rPr>
        <w:t xml:space="preserve"> </w:t>
      </w:r>
      <w:r>
        <w:rPr>
          <w:sz w:val="28"/>
        </w:rPr>
        <w:t>et</w:t>
      </w:r>
      <w:r>
        <w:rPr>
          <w:spacing w:val="-14"/>
          <w:sz w:val="28"/>
        </w:rPr>
        <w:t xml:space="preserve"> </w:t>
      </w:r>
      <w:r>
        <w:rPr>
          <w:sz w:val="28"/>
        </w:rPr>
        <w:t>al.</w:t>
      </w:r>
      <w:r>
        <w:rPr>
          <w:spacing w:val="-15"/>
          <w:sz w:val="28"/>
        </w:rPr>
        <w:t xml:space="preserve"> </w:t>
      </w:r>
      <w:r>
        <w:rPr>
          <w:sz w:val="28"/>
        </w:rPr>
        <w:t>The</w:t>
      </w:r>
      <w:r>
        <w:rPr>
          <w:spacing w:val="-15"/>
          <w:sz w:val="28"/>
        </w:rPr>
        <w:t xml:space="preserve"> </w:t>
      </w:r>
      <w:r>
        <w:rPr>
          <w:sz w:val="28"/>
        </w:rPr>
        <w:t>role</w:t>
      </w:r>
      <w:r>
        <w:rPr>
          <w:spacing w:val="-15"/>
          <w:sz w:val="28"/>
        </w:rPr>
        <w:t xml:space="preserve"> </w:t>
      </w:r>
      <w:r>
        <w:rPr>
          <w:sz w:val="28"/>
        </w:rPr>
        <w:t>of</w:t>
      </w:r>
      <w:r>
        <w:rPr>
          <w:spacing w:val="-15"/>
          <w:sz w:val="28"/>
        </w:rPr>
        <w:t xml:space="preserve"> </w:t>
      </w:r>
      <w:r>
        <w:rPr>
          <w:sz w:val="28"/>
        </w:rPr>
        <w:t>sigma</w:t>
      </w:r>
      <w:r>
        <w:rPr>
          <w:spacing w:val="-15"/>
          <w:sz w:val="28"/>
        </w:rPr>
        <w:t xml:space="preserve"> </w:t>
      </w:r>
      <w:r>
        <w:rPr>
          <w:sz w:val="28"/>
        </w:rPr>
        <w:t>1</w:t>
      </w:r>
      <w:r>
        <w:rPr>
          <w:spacing w:val="-14"/>
          <w:sz w:val="28"/>
        </w:rPr>
        <w:t xml:space="preserve"> </w:t>
      </w:r>
      <w:r>
        <w:rPr>
          <w:sz w:val="28"/>
        </w:rPr>
        <w:t>receptor</w:t>
      </w:r>
      <w:r>
        <w:rPr>
          <w:spacing w:val="-15"/>
          <w:sz w:val="28"/>
        </w:rPr>
        <w:t xml:space="preserve"> </w:t>
      </w:r>
      <w:r>
        <w:rPr>
          <w:sz w:val="28"/>
        </w:rPr>
        <w:t>in</w:t>
      </w:r>
      <w:r>
        <w:rPr>
          <w:spacing w:val="-14"/>
          <w:sz w:val="28"/>
        </w:rPr>
        <w:t xml:space="preserve"> </w:t>
      </w:r>
      <w:r>
        <w:rPr>
          <w:sz w:val="28"/>
        </w:rPr>
        <w:t xml:space="preserve">organization of endoplasmic reticulum signaling microdomains. </w:t>
      </w:r>
      <w:r>
        <w:rPr>
          <w:i/>
          <w:sz w:val="28"/>
        </w:rPr>
        <w:t xml:space="preserve">Elife. </w:t>
      </w:r>
      <w:r>
        <w:rPr>
          <w:sz w:val="28"/>
        </w:rPr>
        <w:t>2021 May 11;10</w:t>
      </w:r>
      <w:r>
        <w:rPr>
          <w:color w:val="202020"/>
          <w:sz w:val="28"/>
        </w:rPr>
        <w:t>.P.</w:t>
      </w:r>
      <w:r>
        <w:rPr>
          <w:sz w:val="28"/>
        </w:rPr>
        <w:t>65192. doi: 10.7554/eLife.65192.</w:t>
      </w:r>
    </w:p>
    <w:p w:rsidR="00342919" w:rsidRDefault="00342919" w:rsidP="00342919">
      <w:pPr>
        <w:pStyle w:val="a3"/>
        <w:tabs>
          <w:tab w:val="left" w:pos="2800"/>
          <w:tab w:val="left" w:pos="4711"/>
          <w:tab w:val="left" w:pos="5754"/>
          <w:tab w:val="left" w:pos="7500"/>
          <w:tab w:val="left" w:pos="8312"/>
          <w:tab w:val="left" w:pos="9660"/>
        </w:tabs>
        <w:spacing w:before="1" w:line="360" w:lineRule="auto"/>
        <w:ind w:left="1382" w:right="320"/>
      </w:pPr>
      <w:r>
        <w:t>урчинський</w:t>
      </w:r>
      <w:r>
        <w:rPr>
          <w:spacing w:val="80"/>
        </w:rPr>
        <w:t xml:space="preserve"> </w:t>
      </w:r>
      <w:r>
        <w:t>С.</w:t>
      </w:r>
      <w:r>
        <w:rPr>
          <w:spacing w:val="80"/>
        </w:rPr>
        <w:t xml:space="preserve"> </w:t>
      </w:r>
      <w:r>
        <w:t>Нові</w:t>
      </w:r>
      <w:r>
        <w:rPr>
          <w:spacing w:val="80"/>
        </w:rPr>
        <w:t xml:space="preserve"> </w:t>
      </w:r>
      <w:r>
        <w:t>підходи</w:t>
      </w:r>
      <w:r>
        <w:rPr>
          <w:spacing w:val="80"/>
        </w:rPr>
        <w:t xml:space="preserve"> </w:t>
      </w:r>
      <w:r>
        <w:t>до лікування</w:t>
      </w:r>
      <w:r>
        <w:rPr>
          <w:spacing w:val="80"/>
        </w:rPr>
        <w:t xml:space="preserve"> </w:t>
      </w:r>
      <w:r>
        <w:t>синдрому</w:t>
      </w:r>
      <w:r>
        <w:rPr>
          <w:spacing w:val="80"/>
        </w:rPr>
        <w:t xml:space="preserve"> </w:t>
      </w:r>
      <w:r>
        <w:t>тривоги:</w:t>
      </w:r>
      <w:r>
        <w:rPr>
          <w:spacing w:val="80"/>
        </w:rPr>
        <w:t xml:space="preserve"> </w:t>
      </w:r>
      <w:r>
        <w:t>чи</w:t>
      </w:r>
      <w:r>
        <w:rPr>
          <w:spacing w:val="80"/>
        </w:rPr>
        <w:t xml:space="preserve"> </w:t>
      </w:r>
      <w:r>
        <w:t>всі можливості</w:t>
      </w:r>
      <w:r>
        <w:rPr>
          <w:spacing w:val="80"/>
        </w:rPr>
        <w:t xml:space="preserve"> </w:t>
      </w:r>
      <w:r>
        <w:t>анксіолітиків</w:t>
      </w:r>
      <w:r>
        <w:rPr>
          <w:spacing w:val="80"/>
        </w:rPr>
        <w:t xml:space="preserve"> </w:t>
      </w:r>
      <w:r>
        <w:t>розкриті</w:t>
      </w:r>
      <w:r>
        <w:rPr>
          <w:spacing w:val="80"/>
        </w:rPr>
        <w:t xml:space="preserve"> </w:t>
      </w:r>
      <w:r>
        <w:t>у</w:t>
      </w:r>
      <w:r>
        <w:rPr>
          <w:spacing w:val="-5"/>
        </w:rPr>
        <w:t xml:space="preserve"> </w:t>
      </w:r>
      <w:r>
        <w:t>клінічній</w:t>
      </w:r>
      <w:r>
        <w:rPr>
          <w:spacing w:val="80"/>
        </w:rPr>
        <w:t xml:space="preserve"> </w:t>
      </w:r>
      <w:r>
        <w:t>практиці?2023</w:t>
      </w:r>
      <w:r>
        <w:rPr>
          <w:spacing w:val="80"/>
        </w:rPr>
        <w:t xml:space="preserve"> </w:t>
      </w:r>
      <w:r>
        <w:t xml:space="preserve">он-лайн </w:t>
      </w:r>
      <w:r>
        <w:rPr>
          <w:spacing w:val="-2"/>
        </w:rPr>
        <w:t>журнал</w:t>
      </w:r>
      <w:r>
        <w:tab/>
      </w:r>
      <w:r>
        <w:rPr>
          <w:i/>
          <w:spacing w:val="-2"/>
        </w:rPr>
        <w:t>umj.com.ua</w:t>
      </w:r>
      <w:r>
        <w:rPr>
          <w:spacing w:val="-2"/>
        </w:rPr>
        <w:t>,</w:t>
      </w:r>
      <w:r>
        <w:tab/>
      </w:r>
      <w:r>
        <w:rPr>
          <w:spacing w:val="-4"/>
        </w:rPr>
        <w:t>дата</w:t>
      </w:r>
      <w:r>
        <w:tab/>
      </w:r>
      <w:r>
        <w:rPr>
          <w:spacing w:val="-2"/>
        </w:rPr>
        <w:t>публікації</w:t>
      </w:r>
      <w:r>
        <w:tab/>
      </w:r>
      <w:r>
        <w:rPr>
          <w:spacing w:val="-6"/>
        </w:rPr>
        <w:t>22</w:t>
      </w:r>
      <w:r>
        <w:tab/>
      </w:r>
      <w:r>
        <w:rPr>
          <w:spacing w:val="-2"/>
        </w:rPr>
        <w:t>серпня</w:t>
      </w:r>
      <w:r>
        <w:tab/>
      </w:r>
      <w:r>
        <w:rPr>
          <w:spacing w:val="-2"/>
        </w:rPr>
        <w:t>2023: (</w:t>
      </w:r>
      <w:hyperlink r:id="rId9">
        <w:r>
          <w:rPr>
            <w:color w:val="0000FF"/>
            <w:spacing w:val="-2"/>
            <w:u w:val="single" w:color="0000FF"/>
          </w:rPr>
          <w:t>www.umj.com.ua/uk/publikatsia-245548-novi-pidhodi-do-likuvannya-</w:t>
        </w:r>
      </w:hyperlink>
      <w:r>
        <w:rPr>
          <w:color w:val="0000FF"/>
          <w:spacing w:val="-2"/>
        </w:rPr>
        <w:t xml:space="preserve"> </w:t>
      </w:r>
      <w:r>
        <w:rPr>
          <w:color w:val="0000FF"/>
          <w:spacing w:val="-2"/>
          <w:u w:val="single" w:color="0000FF"/>
        </w:rPr>
        <w:t>sindromu-trivogi-chi-vsi-mozhlivosti-anksiolitikiv-rozkriti-u-klinichnij-</w:t>
      </w:r>
      <w:r>
        <w:rPr>
          <w:color w:val="0000FF"/>
          <w:spacing w:val="-2"/>
        </w:rPr>
        <w:t xml:space="preserve"> </w:t>
      </w:r>
      <w:r>
        <w:rPr>
          <w:color w:val="0000FF"/>
          <w:spacing w:val="-2"/>
          <w:u w:val="single" w:color="0000FF"/>
        </w:rPr>
        <w:t>praktitsi)DOI:10.32471/umj.1680-3051.156.245548</w:t>
      </w:r>
      <w:r>
        <w:rPr>
          <w:spacing w:val="-2"/>
        </w:rPr>
        <w:t>)</w:t>
      </w:r>
    </w:p>
    <w:p w:rsidR="00342919" w:rsidRDefault="00342919" w:rsidP="00342919">
      <w:pPr>
        <w:pStyle w:val="a7"/>
        <w:numPr>
          <w:ilvl w:val="0"/>
          <w:numId w:val="4"/>
        </w:numPr>
        <w:tabs>
          <w:tab w:val="left" w:pos="1382"/>
        </w:tabs>
        <w:spacing w:line="360" w:lineRule="auto"/>
        <w:ind w:right="321"/>
        <w:jc w:val="both"/>
        <w:rPr>
          <w:sz w:val="26"/>
        </w:rPr>
      </w:pPr>
      <w:r>
        <w:rPr>
          <w:color w:val="202020"/>
          <w:sz w:val="28"/>
        </w:rPr>
        <w:t xml:space="preserve">Schmidt H., Zheng S., Gurpinar E. </w:t>
      </w:r>
      <w:r>
        <w:rPr>
          <w:sz w:val="28"/>
        </w:rPr>
        <w:t>et al.</w:t>
      </w:r>
      <w:r>
        <w:rPr>
          <w:color w:val="202020"/>
          <w:sz w:val="28"/>
        </w:rPr>
        <w:t xml:space="preserve">Crystal structure of the human σ1 receptor. </w:t>
      </w:r>
      <w:r>
        <w:rPr>
          <w:i/>
          <w:color w:val="202020"/>
          <w:sz w:val="28"/>
        </w:rPr>
        <w:t>Nature</w:t>
      </w:r>
      <w:r>
        <w:rPr>
          <w:color w:val="202020"/>
          <w:sz w:val="28"/>
        </w:rPr>
        <w:t>. 2016 Apr 28;532(7600).P.527-30. doi: 10.1038/nature17391. Epub 2016 Apr 4.</w:t>
      </w:r>
    </w:p>
    <w:p w:rsidR="00342919" w:rsidRDefault="00342919" w:rsidP="00342919">
      <w:pPr>
        <w:pStyle w:val="a7"/>
        <w:numPr>
          <w:ilvl w:val="0"/>
          <w:numId w:val="4"/>
        </w:numPr>
        <w:tabs>
          <w:tab w:val="left" w:pos="1382"/>
        </w:tabs>
        <w:spacing w:before="1" w:line="360" w:lineRule="auto"/>
        <w:ind w:right="321"/>
        <w:jc w:val="both"/>
        <w:rPr>
          <w:color w:val="202020"/>
          <w:sz w:val="26"/>
        </w:rPr>
      </w:pPr>
      <w:r>
        <w:rPr>
          <w:color w:val="202020"/>
          <w:sz w:val="28"/>
        </w:rPr>
        <w:t xml:space="preserve">Behensky A., Yasny I., Shuster A. </w:t>
      </w:r>
      <w:r>
        <w:rPr>
          <w:sz w:val="28"/>
        </w:rPr>
        <w:t xml:space="preserve">et al. </w:t>
      </w:r>
      <w:r>
        <w:rPr>
          <w:color w:val="202020"/>
          <w:sz w:val="28"/>
        </w:rPr>
        <w:t>Afobazole activation of σ-1 receptors modulates</w:t>
      </w:r>
      <w:r>
        <w:rPr>
          <w:color w:val="202020"/>
          <w:spacing w:val="-4"/>
          <w:sz w:val="28"/>
        </w:rPr>
        <w:t xml:space="preserve"> </w:t>
      </w:r>
      <w:r>
        <w:rPr>
          <w:color w:val="202020"/>
          <w:sz w:val="28"/>
        </w:rPr>
        <w:t>neuronal</w:t>
      </w:r>
      <w:r>
        <w:rPr>
          <w:color w:val="202020"/>
          <w:spacing w:val="-2"/>
          <w:sz w:val="28"/>
        </w:rPr>
        <w:t xml:space="preserve"> </w:t>
      </w:r>
      <w:r>
        <w:rPr>
          <w:color w:val="202020"/>
          <w:sz w:val="28"/>
        </w:rPr>
        <w:t>responses</w:t>
      </w:r>
      <w:r>
        <w:rPr>
          <w:color w:val="202020"/>
          <w:spacing w:val="-3"/>
          <w:sz w:val="28"/>
        </w:rPr>
        <w:t xml:space="preserve"> </w:t>
      </w:r>
      <w:r>
        <w:rPr>
          <w:color w:val="202020"/>
          <w:sz w:val="28"/>
        </w:rPr>
        <w:t>to</w:t>
      </w:r>
      <w:r>
        <w:rPr>
          <w:color w:val="202020"/>
          <w:spacing w:val="-2"/>
          <w:sz w:val="28"/>
        </w:rPr>
        <w:t xml:space="preserve"> </w:t>
      </w:r>
      <w:r>
        <w:rPr>
          <w:color w:val="202020"/>
          <w:sz w:val="28"/>
        </w:rPr>
        <w:t>amyloid-β25-35.</w:t>
      </w:r>
      <w:r>
        <w:rPr>
          <w:color w:val="202020"/>
          <w:spacing w:val="-5"/>
          <w:sz w:val="28"/>
        </w:rPr>
        <w:t xml:space="preserve"> </w:t>
      </w:r>
      <w:r>
        <w:rPr>
          <w:i/>
          <w:color w:val="202020"/>
          <w:sz w:val="28"/>
        </w:rPr>
        <w:t>J</w:t>
      </w:r>
      <w:r>
        <w:rPr>
          <w:i/>
          <w:color w:val="202020"/>
          <w:spacing w:val="-3"/>
          <w:sz w:val="28"/>
        </w:rPr>
        <w:t xml:space="preserve"> </w:t>
      </w:r>
      <w:r>
        <w:rPr>
          <w:i/>
          <w:color w:val="202020"/>
          <w:sz w:val="28"/>
        </w:rPr>
        <w:t>Pharmacol</w:t>
      </w:r>
      <w:r>
        <w:rPr>
          <w:i/>
          <w:color w:val="202020"/>
          <w:spacing w:val="-3"/>
          <w:sz w:val="28"/>
        </w:rPr>
        <w:t xml:space="preserve"> </w:t>
      </w:r>
      <w:r>
        <w:rPr>
          <w:i/>
          <w:color w:val="202020"/>
          <w:sz w:val="28"/>
        </w:rPr>
        <w:t>Exp</w:t>
      </w:r>
      <w:r>
        <w:rPr>
          <w:i/>
          <w:color w:val="202020"/>
          <w:spacing w:val="-2"/>
          <w:sz w:val="28"/>
        </w:rPr>
        <w:t xml:space="preserve"> </w:t>
      </w:r>
      <w:r>
        <w:rPr>
          <w:i/>
          <w:color w:val="202020"/>
          <w:sz w:val="28"/>
        </w:rPr>
        <w:t>Ther.</w:t>
      </w:r>
      <w:r>
        <w:rPr>
          <w:i/>
          <w:color w:val="202020"/>
          <w:spacing w:val="-3"/>
          <w:sz w:val="28"/>
        </w:rPr>
        <w:t xml:space="preserve"> </w:t>
      </w:r>
      <w:r>
        <w:rPr>
          <w:color w:val="202020"/>
          <w:sz w:val="28"/>
        </w:rPr>
        <w:t>2013 Nov;347(2).P.468-77. doi: 10.1124/jpet.113.208330.</w:t>
      </w:r>
    </w:p>
    <w:p w:rsidR="00342919" w:rsidRDefault="00342919" w:rsidP="00342919">
      <w:pPr>
        <w:pStyle w:val="a7"/>
        <w:numPr>
          <w:ilvl w:val="0"/>
          <w:numId w:val="4"/>
        </w:numPr>
        <w:tabs>
          <w:tab w:val="left" w:pos="1382"/>
        </w:tabs>
        <w:spacing w:line="360" w:lineRule="auto"/>
        <w:ind w:right="321"/>
        <w:jc w:val="both"/>
        <w:rPr>
          <w:sz w:val="26"/>
        </w:rPr>
      </w:pPr>
      <w:r>
        <w:rPr>
          <w:color w:val="202020"/>
          <w:sz w:val="28"/>
        </w:rPr>
        <w:t>James</w:t>
      </w:r>
      <w:r>
        <w:rPr>
          <w:color w:val="202020"/>
          <w:spacing w:val="-7"/>
          <w:sz w:val="28"/>
        </w:rPr>
        <w:t xml:space="preserve"> </w:t>
      </w:r>
      <w:r>
        <w:rPr>
          <w:color w:val="202020"/>
          <w:sz w:val="28"/>
        </w:rPr>
        <w:t>M.,</w:t>
      </w:r>
      <w:r>
        <w:rPr>
          <w:color w:val="202020"/>
          <w:spacing w:val="-8"/>
          <w:sz w:val="28"/>
        </w:rPr>
        <w:t xml:space="preserve"> </w:t>
      </w:r>
      <w:r>
        <w:rPr>
          <w:color w:val="202020"/>
          <w:sz w:val="28"/>
        </w:rPr>
        <w:t>Shen</w:t>
      </w:r>
      <w:r>
        <w:rPr>
          <w:color w:val="202020"/>
          <w:spacing w:val="-7"/>
          <w:sz w:val="28"/>
        </w:rPr>
        <w:t xml:space="preserve"> </w:t>
      </w:r>
      <w:r>
        <w:rPr>
          <w:color w:val="202020"/>
          <w:sz w:val="28"/>
        </w:rPr>
        <w:t>B.,</w:t>
      </w:r>
      <w:r>
        <w:rPr>
          <w:color w:val="202020"/>
          <w:spacing w:val="-8"/>
          <w:sz w:val="28"/>
        </w:rPr>
        <w:t xml:space="preserve"> </w:t>
      </w:r>
      <w:r>
        <w:rPr>
          <w:color w:val="202020"/>
          <w:sz w:val="28"/>
        </w:rPr>
        <w:t>Zavaleta</w:t>
      </w:r>
      <w:r>
        <w:rPr>
          <w:color w:val="202020"/>
          <w:spacing w:val="-8"/>
          <w:sz w:val="28"/>
        </w:rPr>
        <w:t xml:space="preserve"> </w:t>
      </w:r>
      <w:r>
        <w:rPr>
          <w:color w:val="202020"/>
          <w:sz w:val="28"/>
        </w:rPr>
        <w:t>C.</w:t>
      </w:r>
      <w:r>
        <w:rPr>
          <w:color w:val="202020"/>
          <w:spacing w:val="-8"/>
          <w:sz w:val="28"/>
        </w:rPr>
        <w:t xml:space="preserve"> </w:t>
      </w:r>
      <w:r>
        <w:rPr>
          <w:sz w:val="28"/>
        </w:rPr>
        <w:t>et</w:t>
      </w:r>
      <w:r>
        <w:rPr>
          <w:spacing w:val="-7"/>
          <w:sz w:val="28"/>
        </w:rPr>
        <w:t xml:space="preserve"> </w:t>
      </w:r>
      <w:r>
        <w:rPr>
          <w:sz w:val="28"/>
        </w:rPr>
        <w:t>al.</w:t>
      </w:r>
      <w:r>
        <w:rPr>
          <w:spacing w:val="-8"/>
          <w:sz w:val="28"/>
        </w:rPr>
        <w:t xml:space="preserve"> </w:t>
      </w:r>
      <w:r>
        <w:rPr>
          <w:color w:val="202020"/>
          <w:sz w:val="28"/>
        </w:rPr>
        <w:t>New</w:t>
      </w:r>
      <w:r>
        <w:rPr>
          <w:color w:val="202020"/>
          <w:spacing w:val="-9"/>
          <w:sz w:val="28"/>
        </w:rPr>
        <w:t xml:space="preserve"> </w:t>
      </w:r>
      <w:r>
        <w:rPr>
          <w:color w:val="202020"/>
          <w:sz w:val="28"/>
        </w:rPr>
        <w:t>positron</w:t>
      </w:r>
      <w:r>
        <w:rPr>
          <w:color w:val="202020"/>
          <w:spacing w:val="-7"/>
          <w:sz w:val="28"/>
        </w:rPr>
        <w:t xml:space="preserve"> </w:t>
      </w:r>
      <w:r>
        <w:rPr>
          <w:color w:val="202020"/>
          <w:sz w:val="28"/>
        </w:rPr>
        <w:t>emission</w:t>
      </w:r>
      <w:r>
        <w:rPr>
          <w:color w:val="202020"/>
          <w:spacing w:val="-9"/>
          <w:sz w:val="28"/>
        </w:rPr>
        <w:t xml:space="preserve"> </w:t>
      </w:r>
      <w:r>
        <w:rPr>
          <w:color w:val="202020"/>
          <w:sz w:val="28"/>
        </w:rPr>
        <w:t>tomography</w:t>
      </w:r>
      <w:r>
        <w:rPr>
          <w:color w:val="202020"/>
          <w:spacing w:val="-11"/>
          <w:sz w:val="28"/>
        </w:rPr>
        <w:t xml:space="preserve"> </w:t>
      </w:r>
      <w:r>
        <w:rPr>
          <w:color w:val="202020"/>
          <w:sz w:val="28"/>
        </w:rPr>
        <w:t>(PET) radioligand</w:t>
      </w:r>
      <w:r>
        <w:rPr>
          <w:color w:val="202020"/>
          <w:spacing w:val="-3"/>
          <w:sz w:val="28"/>
        </w:rPr>
        <w:t xml:space="preserve"> </w:t>
      </w:r>
      <w:r>
        <w:rPr>
          <w:color w:val="202020"/>
          <w:sz w:val="28"/>
        </w:rPr>
        <w:t>for</w:t>
      </w:r>
      <w:r>
        <w:rPr>
          <w:color w:val="202020"/>
          <w:spacing w:val="-4"/>
          <w:sz w:val="28"/>
        </w:rPr>
        <w:t xml:space="preserve"> </w:t>
      </w:r>
      <w:r>
        <w:rPr>
          <w:color w:val="202020"/>
          <w:sz w:val="28"/>
        </w:rPr>
        <w:t>imaging</w:t>
      </w:r>
      <w:r>
        <w:rPr>
          <w:color w:val="202020"/>
          <w:spacing w:val="-1"/>
          <w:sz w:val="28"/>
        </w:rPr>
        <w:t xml:space="preserve"> </w:t>
      </w:r>
      <w:r>
        <w:rPr>
          <w:color w:val="202020"/>
          <w:sz w:val="28"/>
        </w:rPr>
        <w:t>σ-1</w:t>
      </w:r>
      <w:r>
        <w:rPr>
          <w:color w:val="202020"/>
          <w:spacing w:val="-3"/>
          <w:sz w:val="28"/>
        </w:rPr>
        <w:t xml:space="preserve"> </w:t>
      </w:r>
      <w:r>
        <w:rPr>
          <w:color w:val="202020"/>
          <w:sz w:val="28"/>
        </w:rPr>
        <w:t>receptors</w:t>
      </w:r>
      <w:r>
        <w:rPr>
          <w:color w:val="202020"/>
          <w:spacing w:val="-3"/>
          <w:sz w:val="28"/>
        </w:rPr>
        <w:t xml:space="preserve"> </w:t>
      </w:r>
      <w:r>
        <w:rPr>
          <w:color w:val="202020"/>
          <w:sz w:val="28"/>
        </w:rPr>
        <w:t>in</w:t>
      </w:r>
      <w:r>
        <w:rPr>
          <w:color w:val="202020"/>
          <w:spacing w:val="-3"/>
          <w:sz w:val="28"/>
        </w:rPr>
        <w:t xml:space="preserve"> </w:t>
      </w:r>
      <w:r>
        <w:rPr>
          <w:color w:val="202020"/>
          <w:sz w:val="28"/>
        </w:rPr>
        <w:t>living</w:t>
      </w:r>
      <w:r>
        <w:rPr>
          <w:color w:val="202020"/>
          <w:spacing w:val="-3"/>
          <w:sz w:val="28"/>
        </w:rPr>
        <w:t xml:space="preserve"> </w:t>
      </w:r>
      <w:r>
        <w:rPr>
          <w:color w:val="202020"/>
          <w:sz w:val="28"/>
        </w:rPr>
        <w:t>subjects.</w:t>
      </w:r>
      <w:r>
        <w:rPr>
          <w:color w:val="202020"/>
          <w:spacing w:val="-2"/>
          <w:sz w:val="28"/>
        </w:rPr>
        <w:t xml:space="preserve"> </w:t>
      </w:r>
      <w:r>
        <w:rPr>
          <w:i/>
          <w:color w:val="202020"/>
          <w:sz w:val="28"/>
        </w:rPr>
        <w:t>J</w:t>
      </w:r>
      <w:r>
        <w:rPr>
          <w:i/>
          <w:color w:val="202020"/>
          <w:spacing w:val="-4"/>
          <w:sz w:val="28"/>
        </w:rPr>
        <w:t xml:space="preserve"> </w:t>
      </w:r>
      <w:r>
        <w:rPr>
          <w:i/>
          <w:color w:val="202020"/>
          <w:sz w:val="28"/>
        </w:rPr>
        <w:t>Med</w:t>
      </w:r>
      <w:r>
        <w:rPr>
          <w:i/>
          <w:color w:val="202020"/>
          <w:spacing w:val="-6"/>
          <w:sz w:val="28"/>
        </w:rPr>
        <w:t xml:space="preserve"> </w:t>
      </w:r>
      <w:r>
        <w:rPr>
          <w:i/>
          <w:color w:val="202020"/>
          <w:sz w:val="28"/>
        </w:rPr>
        <w:t>Chem.</w:t>
      </w:r>
      <w:r>
        <w:rPr>
          <w:i/>
          <w:color w:val="202020"/>
          <w:spacing w:val="-4"/>
          <w:sz w:val="28"/>
        </w:rPr>
        <w:t xml:space="preserve"> </w:t>
      </w:r>
      <w:r>
        <w:rPr>
          <w:color w:val="202020"/>
          <w:sz w:val="28"/>
        </w:rPr>
        <w:t>2012</w:t>
      </w:r>
      <w:r>
        <w:rPr>
          <w:color w:val="202020"/>
          <w:spacing w:val="-3"/>
          <w:sz w:val="28"/>
        </w:rPr>
        <w:t xml:space="preserve"> </w:t>
      </w:r>
      <w:r>
        <w:rPr>
          <w:color w:val="202020"/>
          <w:sz w:val="28"/>
        </w:rPr>
        <w:t>Oct 11;55(19).P.8272-8282. doi: 10.1021/jm300371c.</w:t>
      </w:r>
    </w:p>
    <w:p w:rsidR="00342919" w:rsidRDefault="00342919" w:rsidP="00342919">
      <w:pPr>
        <w:pStyle w:val="a7"/>
        <w:numPr>
          <w:ilvl w:val="0"/>
          <w:numId w:val="4"/>
        </w:numPr>
        <w:tabs>
          <w:tab w:val="left" w:pos="1382"/>
        </w:tabs>
        <w:spacing w:line="360" w:lineRule="auto"/>
        <w:ind w:right="325"/>
        <w:jc w:val="both"/>
        <w:rPr>
          <w:sz w:val="26"/>
        </w:rPr>
      </w:pPr>
      <w:r>
        <w:rPr>
          <w:color w:val="202020"/>
          <w:sz w:val="28"/>
        </w:rPr>
        <w:t xml:space="preserve">Bochkov P., Litvin A., Kolyvanov G. </w:t>
      </w:r>
      <w:r>
        <w:rPr>
          <w:sz w:val="28"/>
        </w:rPr>
        <w:t xml:space="preserve">et al. </w:t>
      </w:r>
      <w:r>
        <w:rPr>
          <w:color w:val="202020"/>
          <w:sz w:val="28"/>
        </w:rPr>
        <w:t>[Pharmacokinetic evaluation of afobazole pharmaceutical composition with modified release]. Eksp Klin Farmakol. 2015;78(3) ).P.27-9.</w:t>
      </w:r>
    </w:p>
    <w:p w:rsidR="00342919" w:rsidRDefault="00342919" w:rsidP="00342919">
      <w:pPr>
        <w:pStyle w:val="a7"/>
        <w:numPr>
          <w:ilvl w:val="0"/>
          <w:numId w:val="4"/>
        </w:numPr>
        <w:tabs>
          <w:tab w:val="left" w:pos="1382"/>
        </w:tabs>
        <w:spacing w:line="360" w:lineRule="auto"/>
        <w:ind w:right="329"/>
        <w:jc w:val="both"/>
        <w:rPr>
          <w:sz w:val="26"/>
        </w:rPr>
      </w:pPr>
      <w:r>
        <w:rPr>
          <w:sz w:val="28"/>
        </w:rPr>
        <w:t>Impurities in New Drug Substances Q3A(R2). ICH Harmonised Tripartite Guideline. ICH, 25 October 2006.</w:t>
      </w:r>
    </w:p>
    <w:p w:rsidR="00342919" w:rsidRDefault="00342919" w:rsidP="00342919">
      <w:pPr>
        <w:pStyle w:val="a7"/>
        <w:numPr>
          <w:ilvl w:val="0"/>
          <w:numId w:val="4"/>
        </w:numPr>
        <w:tabs>
          <w:tab w:val="left" w:pos="1382"/>
        </w:tabs>
        <w:spacing w:before="1" w:line="360" w:lineRule="auto"/>
        <w:ind w:right="321"/>
        <w:jc w:val="both"/>
        <w:rPr>
          <w:sz w:val="26"/>
        </w:rPr>
      </w:pPr>
      <w:r>
        <w:rPr>
          <w:sz w:val="28"/>
        </w:rPr>
        <w:t>Rossotti</w:t>
      </w:r>
      <w:r>
        <w:rPr>
          <w:spacing w:val="40"/>
          <w:sz w:val="28"/>
        </w:rPr>
        <w:t xml:space="preserve"> </w:t>
      </w:r>
      <w:r>
        <w:rPr>
          <w:sz w:val="28"/>
        </w:rPr>
        <w:t>F., Rossoti H. The Determination of Stability Constants: and Other Equilibrium</w:t>
      </w:r>
      <w:r>
        <w:rPr>
          <w:spacing w:val="-18"/>
          <w:sz w:val="28"/>
        </w:rPr>
        <w:t xml:space="preserve"> </w:t>
      </w:r>
      <w:r>
        <w:rPr>
          <w:sz w:val="28"/>
        </w:rPr>
        <w:t>Constants</w:t>
      </w:r>
      <w:r>
        <w:rPr>
          <w:spacing w:val="-15"/>
          <w:sz w:val="28"/>
        </w:rPr>
        <w:t xml:space="preserve"> </w:t>
      </w:r>
      <w:r>
        <w:rPr>
          <w:sz w:val="28"/>
        </w:rPr>
        <w:t>in</w:t>
      </w:r>
      <w:r>
        <w:rPr>
          <w:spacing w:val="-14"/>
          <w:sz w:val="28"/>
        </w:rPr>
        <w:t xml:space="preserve"> </w:t>
      </w:r>
      <w:r>
        <w:rPr>
          <w:sz w:val="28"/>
        </w:rPr>
        <w:t>Solution.</w:t>
      </w:r>
      <w:r>
        <w:rPr>
          <w:spacing w:val="-15"/>
          <w:sz w:val="28"/>
        </w:rPr>
        <w:t xml:space="preserve"> </w:t>
      </w:r>
      <w:r>
        <w:rPr>
          <w:sz w:val="28"/>
        </w:rPr>
        <w:t>McGraw-Hill</w:t>
      </w:r>
      <w:r>
        <w:rPr>
          <w:spacing w:val="-14"/>
          <w:sz w:val="28"/>
        </w:rPr>
        <w:t xml:space="preserve"> </w:t>
      </w:r>
      <w:r>
        <w:rPr>
          <w:sz w:val="28"/>
        </w:rPr>
        <w:t>Book</w:t>
      </w:r>
      <w:r>
        <w:rPr>
          <w:spacing w:val="-14"/>
          <w:sz w:val="28"/>
        </w:rPr>
        <w:t xml:space="preserve"> </w:t>
      </w:r>
      <w:r>
        <w:rPr>
          <w:sz w:val="28"/>
        </w:rPr>
        <w:t>Company</w:t>
      </w:r>
      <w:r>
        <w:rPr>
          <w:spacing w:val="-16"/>
          <w:sz w:val="28"/>
        </w:rPr>
        <w:t xml:space="preserve"> </w:t>
      </w:r>
      <w:r>
        <w:rPr>
          <w:sz w:val="28"/>
        </w:rPr>
        <w:t>Inc,</w:t>
      </w:r>
      <w:r>
        <w:rPr>
          <w:spacing w:val="-15"/>
          <w:sz w:val="28"/>
        </w:rPr>
        <w:t xml:space="preserve"> </w:t>
      </w:r>
      <w:r>
        <w:rPr>
          <w:sz w:val="28"/>
        </w:rPr>
        <w:t>1961,</w:t>
      </w:r>
      <w:r>
        <w:rPr>
          <w:spacing w:val="-18"/>
          <w:sz w:val="28"/>
        </w:rPr>
        <w:t xml:space="preserve"> </w:t>
      </w:r>
      <w:r>
        <w:rPr>
          <w:sz w:val="28"/>
        </w:rPr>
        <w:t xml:space="preserve">425 </w:t>
      </w:r>
      <w:r>
        <w:rPr>
          <w:spacing w:val="-4"/>
          <w:sz w:val="28"/>
        </w:rPr>
        <w:t>pp.</w:t>
      </w:r>
    </w:p>
    <w:p w:rsidR="00342919" w:rsidRDefault="00342919" w:rsidP="00342919">
      <w:pPr>
        <w:pStyle w:val="a7"/>
        <w:numPr>
          <w:ilvl w:val="0"/>
          <w:numId w:val="4"/>
        </w:numPr>
        <w:tabs>
          <w:tab w:val="left" w:pos="1382"/>
        </w:tabs>
        <w:spacing w:line="362" w:lineRule="auto"/>
        <w:ind w:right="330"/>
        <w:jc w:val="both"/>
        <w:rPr>
          <w:sz w:val="26"/>
        </w:rPr>
      </w:pPr>
      <w:hyperlink r:id="rId10">
        <w:r>
          <w:rPr>
            <w:sz w:val="28"/>
          </w:rPr>
          <w:t>Bjerrum</w:t>
        </w:r>
      </w:hyperlink>
      <w:r>
        <w:rPr>
          <w:sz w:val="28"/>
        </w:rPr>
        <w:t xml:space="preserve"> J. Metal Ammine Formation in Aqueous Solution: Theory of the Reversible Step Reactions. P. Haase, 1957. 296 p.</w:t>
      </w:r>
    </w:p>
    <w:p w:rsidR="00342919" w:rsidRDefault="00342919" w:rsidP="00342919">
      <w:pPr>
        <w:spacing w:line="362" w:lineRule="auto"/>
        <w:jc w:val="both"/>
        <w:rPr>
          <w:sz w:val="26"/>
        </w:rPr>
        <w:sectPr w:rsidR="00342919">
          <w:pgSz w:w="11910" w:h="16840"/>
          <w:pgMar w:top="1040" w:right="240" w:bottom="280" w:left="1040" w:header="710" w:footer="0" w:gutter="0"/>
          <w:cols w:space="720"/>
        </w:sectPr>
      </w:pPr>
    </w:p>
    <w:p w:rsidR="00342919" w:rsidRDefault="00342919" w:rsidP="00342919">
      <w:pPr>
        <w:pStyle w:val="a7"/>
        <w:numPr>
          <w:ilvl w:val="0"/>
          <w:numId w:val="4"/>
        </w:numPr>
        <w:tabs>
          <w:tab w:val="left" w:pos="1382"/>
        </w:tabs>
        <w:spacing w:before="175" w:line="360" w:lineRule="auto"/>
        <w:ind w:right="321"/>
        <w:jc w:val="both"/>
        <w:rPr>
          <w:sz w:val="26"/>
        </w:rPr>
      </w:pPr>
      <w:r>
        <w:rPr>
          <w:sz w:val="28"/>
        </w:rPr>
        <w:lastRenderedPageBreak/>
        <w:t xml:space="preserve">Скрипинець Ю., Федосенко Г., Мальцев Г., та ін. Константи іонізації АФІ Фавпіправіру. Вісник ОНУ. Хімія. 2023. Том 28, вип. 2(85), с.52-59. DOI: </w:t>
      </w:r>
      <w:hyperlink r:id="rId11">
        <w:r>
          <w:rPr>
            <w:color w:val="0000FF"/>
            <w:spacing w:val="-2"/>
            <w:sz w:val="28"/>
            <w:u w:val="single" w:color="0000FF"/>
          </w:rPr>
          <w:t>https://doi.org/10.18524/2304-0947.2023.2(85).286603</w:t>
        </w:r>
      </w:hyperlink>
    </w:p>
    <w:p w:rsidR="00342919" w:rsidRDefault="00342919" w:rsidP="00342919">
      <w:pPr>
        <w:pStyle w:val="a7"/>
        <w:numPr>
          <w:ilvl w:val="0"/>
          <w:numId w:val="4"/>
        </w:numPr>
        <w:tabs>
          <w:tab w:val="left" w:pos="1382"/>
        </w:tabs>
        <w:spacing w:before="1" w:line="360" w:lineRule="auto"/>
        <w:ind w:right="326"/>
        <w:jc w:val="both"/>
        <w:rPr>
          <w:sz w:val="26"/>
        </w:rPr>
      </w:pPr>
      <w:r>
        <w:rPr>
          <w:sz w:val="28"/>
        </w:rPr>
        <w:t>Hartley F., Burgess C., and Alcock R, Solution Equilibria. Ellis Horwood Ltd., England, 1980, 361 pp.</w:t>
      </w:r>
    </w:p>
    <w:p w:rsidR="00342919" w:rsidRDefault="00342919" w:rsidP="00342919">
      <w:pPr>
        <w:pStyle w:val="a7"/>
        <w:numPr>
          <w:ilvl w:val="0"/>
          <w:numId w:val="4"/>
        </w:numPr>
        <w:tabs>
          <w:tab w:val="left" w:pos="1382"/>
        </w:tabs>
        <w:spacing w:line="360" w:lineRule="auto"/>
        <w:ind w:right="321"/>
        <w:jc w:val="both"/>
        <w:rPr>
          <w:sz w:val="26"/>
        </w:rPr>
      </w:pPr>
      <w:r>
        <w:rPr>
          <w:sz w:val="28"/>
        </w:rPr>
        <w:t>Мілкіна С. та ін. Аналіз та стандартизація нового вітчизняного анксіолітичного засобу Фабомотизол. Хіміко-фармацевтичний журнал. 2006. Т. 40, № 7. С. 55–56</w:t>
      </w:r>
    </w:p>
    <w:p w:rsidR="00B50363" w:rsidRDefault="00B50363">
      <w:bookmarkStart w:id="0" w:name="_GoBack"/>
      <w:bookmarkEnd w:id="0"/>
    </w:p>
    <w:sectPr w:rsidR="00B503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5AFE" w:rsidRDefault="00342919">
    <w:pPr>
      <w:pStyle w:val="a3"/>
      <w:spacing w:line="14" w:lineRule="auto"/>
      <w:ind w:left="0"/>
      <w:rPr>
        <w:sz w:val="20"/>
      </w:rPr>
    </w:pPr>
    <w:r>
      <w:rPr>
        <w:noProof/>
        <w:lang w:val="ru-RU" w:eastAsia="ru-RU"/>
      </w:rPr>
      <mc:AlternateContent>
        <mc:Choice Requires="wps">
          <w:drawing>
            <wp:anchor distT="0" distB="0" distL="0" distR="0" simplePos="0" relativeHeight="251659264" behindDoc="1" locked="0" layoutInCell="1" allowOverlap="1" wp14:anchorId="4D2CDD69" wp14:editId="4D36D923">
              <wp:simplePos x="0" y="0"/>
              <wp:positionH relativeFrom="page">
                <wp:posOffset>7011669</wp:posOffset>
              </wp:positionH>
              <wp:positionV relativeFrom="page">
                <wp:posOffset>438234</wp:posOffset>
              </wp:positionV>
              <wp:extent cx="241300" cy="1943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rsidR="00D35AFE" w:rsidRDefault="00342919">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wps:txbx>
                    <wps:bodyPr wrap="square" lIns="0" tIns="0" rIns="0" bIns="0" rtlCol="0">
                      <a:noAutofit/>
                    </wps:bodyPr>
                  </wps:wsp>
                </a:graphicData>
              </a:graphic>
            </wp:anchor>
          </w:drawing>
        </mc:Choice>
        <mc:Fallback>
          <w:pict>
            <v:shapetype w14:anchorId="4D2CDD69" id="_x0000_t202" coordsize="21600,21600" o:spt="202" path="m,l,21600r21600,l21600,xe">
              <v:stroke joinstyle="miter"/>
              <v:path gradientshapeok="t" o:connecttype="rect"/>
            </v:shapetype>
            <v:shape id="Textbox 1" o:spid="_x0000_s1026" type="#_x0000_t202" style="position:absolute;margin-left:552.1pt;margin-top:34.5pt;width:19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" filled="f" stroked="f">
              <v:path arrowok="t"/>
              <v:textbox inset="0,0,0,0">
                <w:txbxContent>
                  <w:p w:rsidR="00D35AFE" w:rsidRDefault="00342919">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noProof/>
                        <w:spacing w:val="-5"/>
                        <w:sz w:val="24"/>
                      </w:rPr>
                      <w:t>13</w:t>
                    </w:r>
                    <w:r>
                      <w:rPr>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813E3"/>
    <w:multiLevelType w:val="hybridMultilevel"/>
    <w:tmpl w:val="2A186138"/>
    <w:lvl w:ilvl="0" w:tplc="0F301EE6">
      <w:start w:val="1"/>
      <w:numFmt w:val="decimal"/>
      <w:lvlText w:val="%1."/>
      <w:lvlJc w:val="left"/>
      <w:pPr>
        <w:ind w:left="945" w:hanging="41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7FA681C">
      <w:start w:val="1"/>
      <w:numFmt w:val="decimal"/>
      <w:lvlText w:val="%2."/>
      <w:lvlJc w:val="left"/>
      <w:pPr>
        <w:ind w:left="1382" w:hanging="360"/>
        <w:jc w:val="left"/>
      </w:pPr>
      <w:rPr>
        <w:rFonts w:hint="default"/>
        <w:spacing w:val="0"/>
        <w:w w:val="96"/>
        <w:lang w:val="uk-UA" w:eastAsia="en-US" w:bidi="ar-SA"/>
      </w:rPr>
    </w:lvl>
    <w:lvl w:ilvl="2" w:tplc="87DA41D8">
      <w:numFmt w:val="bullet"/>
      <w:lvlText w:val="•"/>
      <w:lvlJc w:val="left"/>
      <w:pPr>
        <w:ind w:left="2407" w:hanging="360"/>
      </w:pPr>
      <w:rPr>
        <w:rFonts w:hint="default"/>
        <w:lang w:val="uk-UA" w:eastAsia="en-US" w:bidi="ar-SA"/>
      </w:rPr>
    </w:lvl>
    <w:lvl w:ilvl="3" w:tplc="8A3EECFC">
      <w:numFmt w:val="bullet"/>
      <w:lvlText w:val="•"/>
      <w:lvlJc w:val="left"/>
      <w:pPr>
        <w:ind w:left="3434" w:hanging="360"/>
      </w:pPr>
      <w:rPr>
        <w:rFonts w:hint="default"/>
        <w:lang w:val="uk-UA" w:eastAsia="en-US" w:bidi="ar-SA"/>
      </w:rPr>
    </w:lvl>
    <w:lvl w:ilvl="4" w:tplc="2A1E2E30">
      <w:numFmt w:val="bullet"/>
      <w:lvlText w:val="•"/>
      <w:lvlJc w:val="left"/>
      <w:pPr>
        <w:ind w:left="4462" w:hanging="360"/>
      </w:pPr>
      <w:rPr>
        <w:rFonts w:hint="default"/>
        <w:lang w:val="uk-UA" w:eastAsia="en-US" w:bidi="ar-SA"/>
      </w:rPr>
    </w:lvl>
    <w:lvl w:ilvl="5" w:tplc="4C3280C6">
      <w:numFmt w:val="bullet"/>
      <w:lvlText w:val="•"/>
      <w:lvlJc w:val="left"/>
      <w:pPr>
        <w:ind w:left="5489" w:hanging="360"/>
      </w:pPr>
      <w:rPr>
        <w:rFonts w:hint="default"/>
        <w:lang w:val="uk-UA" w:eastAsia="en-US" w:bidi="ar-SA"/>
      </w:rPr>
    </w:lvl>
    <w:lvl w:ilvl="6" w:tplc="AEF0D0D2">
      <w:numFmt w:val="bullet"/>
      <w:lvlText w:val="•"/>
      <w:lvlJc w:val="left"/>
      <w:pPr>
        <w:ind w:left="6516" w:hanging="360"/>
      </w:pPr>
      <w:rPr>
        <w:rFonts w:hint="default"/>
        <w:lang w:val="uk-UA" w:eastAsia="en-US" w:bidi="ar-SA"/>
      </w:rPr>
    </w:lvl>
    <w:lvl w:ilvl="7" w:tplc="A41C3F0A">
      <w:numFmt w:val="bullet"/>
      <w:lvlText w:val="•"/>
      <w:lvlJc w:val="left"/>
      <w:pPr>
        <w:ind w:left="7544" w:hanging="360"/>
      </w:pPr>
      <w:rPr>
        <w:rFonts w:hint="default"/>
        <w:lang w:val="uk-UA" w:eastAsia="en-US" w:bidi="ar-SA"/>
      </w:rPr>
    </w:lvl>
    <w:lvl w:ilvl="8" w:tplc="ADF8AE80">
      <w:numFmt w:val="bullet"/>
      <w:lvlText w:val="•"/>
      <w:lvlJc w:val="left"/>
      <w:pPr>
        <w:ind w:left="8571" w:hanging="360"/>
      </w:pPr>
      <w:rPr>
        <w:rFonts w:hint="default"/>
        <w:lang w:val="uk-UA" w:eastAsia="en-US" w:bidi="ar-SA"/>
      </w:rPr>
    </w:lvl>
  </w:abstractNum>
  <w:abstractNum w:abstractNumId="1">
    <w:nsid w:val="20B16AEE"/>
    <w:multiLevelType w:val="hybridMultilevel"/>
    <w:tmpl w:val="D0EA4178"/>
    <w:lvl w:ilvl="0" w:tplc="F8F0B578">
      <w:start w:val="27"/>
      <w:numFmt w:val="decimal"/>
      <w:lvlText w:val="%1."/>
      <w:lvlJc w:val="left"/>
      <w:pPr>
        <w:ind w:left="1382" w:hanging="360"/>
        <w:jc w:val="left"/>
      </w:pPr>
      <w:rPr>
        <w:rFonts w:hint="default"/>
        <w:spacing w:val="1"/>
        <w:w w:val="95"/>
        <w:lang w:val="uk-UA" w:eastAsia="en-US" w:bidi="ar-SA"/>
      </w:rPr>
    </w:lvl>
    <w:lvl w:ilvl="1" w:tplc="2CD0A988">
      <w:numFmt w:val="bullet"/>
      <w:lvlText w:val="•"/>
      <w:lvlJc w:val="left"/>
      <w:pPr>
        <w:ind w:left="2304" w:hanging="360"/>
      </w:pPr>
      <w:rPr>
        <w:rFonts w:hint="default"/>
        <w:lang w:val="uk-UA" w:eastAsia="en-US" w:bidi="ar-SA"/>
      </w:rPr>
    </w:lvl>
    <w:lvl w:ilvl="2" w:tplc="4774BC54">
      <w:numFmt w:val="bullet"/>
      <w:lvlText w:val="•"/>
      <w:lvlJc w:val="left"/>
      <w:pPr>
        <w:ind w:left="3229" w:hanging="360"/>
      </w:pPr>
      <w:rPr>
        <w:rFonts w:hint="default"/>
        <w:lang w:val="uk-UA" w:eastAsia="en-US" w:bidi="ar-SA"/>
      </w:rPr>
    </w:lvl>
    <w:lvl w:ilvl="3" w:tplc="9618B77E">
      <w:numFmt w:val="bullet"/>
      <w:lvlText w:val="•"/>
      <w:lvlJc w:val="left"/>
      <w:pPr>
        <w:ind w:left="4153" w:hanging="360"/>
      </w:pPr>
      <w:rPr>
        <w:rFonts w:hint="default"/>
        <w:lang w:val="uk-UA" w:eastAsia="en-US" w:bidi="ar-SA"/>
      </w:rPr>
    </w:lvl>
    <w:lvl w:ilvl="4" w:tplc="F2F2DDBA">
      <w:numFmt w:val="bullet"/>
      <w:lvlText w:val="•"/>
      <w:lvlJc w:val="left"/>
      <w:pPr>
        <w:ind w:left="5078" w:hanging="360"/>
      </w:pPr>
      <w:rPr>
        <w:rFonts w:hint="default"/>
        <w:lang w:val="uk-UA" w:eastAsia="en-US" w:bidi="ar-SA"/>
      </w:rPr>
    </w:lvl>
    <w:lvl w:ilvl="5" w:tplc="C3320D60">
      <w:numFmt w:val="bullet"/>
      <w:lvlText w:val="•"/>
      <w:lvlJc w:val="left"/>
      <w:pPr>
        <w:ind w:left="6003" w:hanging="360"/>
      </w:pPr>
      <w:rPr>
        <w:rFonts w:hint="default"/>
        <w:lang w:val="uk-UA" w:eastAsia="en-US" w:bidi="ar-SA"/>
      </w:rPr>
    </w:lvl>
    <w:lvl w:ilvl="6" w:tplc="8FB0FC00">
      <w:numFmt w:val="bullet"/>
      <w:lvlText w:val="•"/>
      <w:lvlJc w:val="left"/>
      <w:pPr>
        <w:ind w:left="6927" w:hanging="360"/>
      </w:pPr>
      <w:rPr>
        <w:rFonts w:hint="default"/>
        <w:lang w:val="uk-UA" w:eastAsia="en-US" w:bidi="ar-SA"/>
      </w:rPr>
    </w:lvl>
    <w:lvl w:ilvl="7" w:tplc="0FF21A54">
      <w:numFmt w:val="bullet"/>
      <w:lvlText w:val="•"/>
      <w:lvlJc w:val="left"/>
      <w:pPr>
        <w:ind w:left="7852" w:hanging="360"/>
      </w:pPr>
      <w:rPr>
        <w:rFonts w:hint="default"/>
        <w:lang w:val="uk-UA" w:eastAsia="en-US" w:bidi="ar-SA"/>
      </w:rPr>
    </w:lvl>
    <w:lvl w:ilvl="8" w:tplc="4A368280">
      <w:numFmt w:val="bullet"/>
      <w:lvlText w:val="•"/>
      <w:lvlJc w:val="left"/>
      <w:pPr>
        <w:ind w:left="8777" w:hanging="360"/>
      </w:pPr>
      <w:rPr>
        <w:rFonts w:hint="default"/>
        <w:lang w:val="uk-UA" w:eastAsia="en-US" w:bidi="ar-SA"/>
      </w:rPr>
    </w:lvl>
  </w:abstractNum>
  <w:abstractNum w:abstractNumId="2">
    <w:nsid w:val="41F5047B"/>
    <w:multiLevelType w:val="multilevel"/>
    <w:tmpl w:val="628A9EA4"/>
    <w:lvl w:ilvl="0">
      <w:start w:val="3"/>
      <w:numFmt w:val="decimal"/>
      <w:lvlText w:val="%1"/>
      <w:lvlJc w:val="left"/>
      <w:pPr>
        <w:ind w:left="1579" w:hanging="493"/>
        <w:jc w:val="left"/>
      </w:pPr>
      <w:rPr>
        <w:rFonts w:hint="default"/>
        <w:lang w:val="uk-UA" w:eastAsia="en-US" w:bidi="ar-SA"/>
      </w:rPr>
    </w:lvl>
    <w:lvl w:ilvl="1">
      <w:start w:val="1"/>
      <w:numFmt w:val="decimal"/>
      <w:lvlText w:val="%1.%2."/>
      <w:lvlJc w:val="left"/>
      <w:pPr>
        <w:ind w:left="1579"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389" w:hanging="493"/>
      </w:pPr>
      <w:rPr>
        <w:rFonts w:hint="default"/>
        <w:lang w:val="uk-UA" w:eastAsia="en-US" w:bidi="ar-SA"/>
      </w:rPr>
    </w:lvl>
    <w:lvl w:ilvl="3">
      <w:numFmt w:val="bullet"/>
      <w:lvlText w:val="•"/>
      <w:lvlJc w:val="left"/>
      <w:pPr>
        <w:ind w:left="4293" w:hanging="493"/>
      </w:pPr>
      <w:rPr>
        <w:rFonts w:hint="default"/>
        <w:lang w:val="uk-UA" w:eastAsia="en-US" w:bidi="ar-SA"/>
      </w:rPr>
    </w:lvl>
    <w:lvl w:ilvl="4">
      <w:numFmt w:val="bullet"/>
      <w:lvlText w:val="•"/>
      <w:lvlJc w:val="left"/>
      <w:pPr>
        <w:ind w:left="5198" w:hanging="493"/>
      </w:pPr>
      <w:rPr>
        <w:rFonts w:hint="default"/>
        <w:lang w:val="uk-UA" w:eastAsia="en-US" w:bidi="ar-SA"/>
      </w:rPr>
    </w:lvl>
    <w:lvl w:ilvl="5">
      <w:numFmt w:val="bullet"/>
      <w:lvlText w:val="•"/>
      <w:lvlJc w:val="left"/>
      <w:pPr>
        <w:ind w:left="6103" w:hanging="493"/>
      </w:pPr>
      <w:rPr>
        <w:rFonts w:hint="default"/>
        <w:lang w:val="uk-UA" w:eastAsia="en-US" w:bidi="ar-SA"/>
      </w:rPr>
    </w:lvl>
    <w:lvl w:ilvl="6">
      <w:numFmt w:val="bullet"/>
      <w:lvlText w:val="•"/>
      <w:lvlJc w:val="left"/>
      <w:pPr>
        <w:ind w:left="7007" w:hanging="493"/>
      </w:pPr>
      <w:rPr>
        <w:rFonts w:hint="default"/>
        <w:lang w:val="uk-UA" w:eastAsia="en-US" w:bidi="ar-SA"/>
      </w:rPr>
    </w:lvl>
    <w:lvl w:ilvl="7">
      <w:numFmt w:val="bullet"/>
      <w:lvlText w:val="•"/>
      <w:lvlJc w:val="left"/>
      <w:pPr>
        <w:ind w:left="7912" w:hanging="493"/>
      </w:pPr>
      <w:rPr>
        <w:rFonts w:hint="default"/>
        <w:lang w:val="uk-UA" w:eastAsia="en-US" w:bidi="ar-SA"/>
      </w:rPr>
    </w:lvl>
    <w:lvl w:ilvl="8">
      <w:numFmt w:val="bullet"/>
      <w:lvlText w:val="•"/>
      <w:lvlJc w:val="left"/>
      <w:pPr>
        <w:ind w:left="8817" w:hanging="493"/>
      </w:pPr>
      <w:rPr>
        <w:rFonts w:hint="default"/>
        <w:lang w:val="uk-UA" w:eastAsia="en-US" w:bidi="ar-SA"/>
      </w:rPr>
    </w:lvl>
  </w:abstractNum>
  <w:abstractNum w:abstractNumId="3">
    <w:nsid w:val="50CB491B"/>
    <w:multiLevelType w:val="multilevel"/>
    <w:tmpl w:val="77A8E63E"/>
    <w:lvl w:ilvl="0">
      <w:start w:val="1"/>
      <w:numFmt w:val="decimal"/>
      <w:lvlText w:val="%1"/>
      <w:lvlJc w:val="left"/>
      <w:pPr>
        <w:ind w:left="1574" w:hanging="492"/>
        <w:jc w:val="left"/>
      </w:pPr>
      <w:rPr>
        <w:rFonts w:hint="default"/>
        <w:lang w:val="uk-UA" w:eastAsia="en-US" w:bidi="ar-SA"/>
      </w:rPr>
    </w:lvl>
    <w:lvl w:ilvl="1">
      <w:start w:val="1"/>
      <w:numFmt w:val="decimal"/>
      <w:lvlText w:val="%1.%2."/>
      <w:lvlJc w:val="left"/>
      <w:pPr>
        <w:ind w:left="1574" w:hanging="492"/>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2">
      <w:numFmt w:val="bullet"/>
      <w:lvlText w:val="•"/>
      <w:lvlJc w:val="left"/>
      <w:pPr>
        <w:ind w:left="3389" w:hanging="492"/>
      </w:pPr>
      <w:rPr>
        <w:rFonts w:hint="default"/>
        <w:lang w:val="uk-UA" w:eastAsia="en-US" w:bidi="ar-SA"/>
      </w:rPr>
    </w:lvl>
    <w:lvl w:ilvl="3">
      <w:numFmt w:val="bullet"/>
      <w:lvlText w:val="•"/>
      <w:lvlJc w:val="left"/>
      <w:pPr>
        <w:ind w:left="4293" w:hanging="492"/>
      </w:pPr>
      <w:rPr>
        <w:rFonts w:hint="default"/>
        <w:lang w:val="uk-UA" w:eastAsia="en-US" w:bidi="ar-SA"/>
      </w:rPr>
    </w:lvl>
    <w:lvl w:ilvl="4">
      <w:numFmt w:val="bullet"/>
      <w:lvlText w:val="•"/>
      <w:lvlJc w:val="left"/>
      <w:pPr>
        <w:ind w:left="5198" w:hanging="492"/>
      </w:pPr>
      <w:rPr>
        <w:rFonts w:hint="default"/>
        <w:lang w:val="uk-UA" w:eastAsia="en-US" w:bidi="ar-SA"/>
      </w:rPr>
    </w:lvl>
    <w:lvl w:ilvl="5">
      <w:numFmt w:val="bullet"/>
      <w:lvlText w:val="•"/>
      <w:lvlJc w:val="left"/>
      <w:pPr>
        <w:ind w:left="6103" w:hanging="492"/>
      </w:pPr>
      <w:rPr>
        <w:rFonts w:hint="default"/>
        <w:lang w:val="uk-UA" w:eastAsia="en-US" w:bidi="ar-SA"/>
      </w:rPr>
    </w:lvl>
    <w:lvl w:ilvl="6">
      <w:numFmt w:val="bullet"/>
      <w:lvlText w:val="•"/>
      <w:lvlJc w:val="left"/>
      <w:pPr>
        <w:ind w:left="7007" w:hanging="492"/>
      </w:pPr>
      <w:rPr>
        <w:rFonts w:hint="default"/>
        <w:lang w:val="uk-UA" w:eastAsia="en-US" w:bidi="ar-SA"/>
      </w:rPr>
    </w:lvl>
    <w:lvl w:ilvl="7">
      <w:numFmt w:val="bullet"/>
      <w:lvlText w:val="•"/>
      <w:lvlJc w:val="left"/>
      <w:pPr>
        <w:ind w:left="7912" w:hanging="492"/>
      </w:pPr>
      <w:rPr>
        <w:rFonts w:hint="default"/>
        <w:lang w:val="uk-UA" w:eastAsia="en-US" w:bidi="ar-SA"/>
      </w:rPr>
    </w:lvl>
    <w:lvl w:ilvl="8">
      <w:numFmt w:val="bullet"/>
      <w:lvlText w:val="•"/>
      <w:lvlJc w:val="left"/>
      <w:pPr>
        <w:ind w:left="8817" w:hanging="492"/>
      </w:pPr>
      <w:rPr>
        <w:rFonts w:hint="default"/>
        <w:lang w:val="uk-UA" w:eastAsia="en-US" w:bidi="ar-SA"/>
      </w:rPr>
    </w:lvl>
  </w:abstractNum>
  <w:abstractNum w:abstractNumId="4">
    <w:nsid w:val="589F04C1"/>
    <w:multiLevelType w:val="multilevel"/>
    <w:tmpl w:val="A00EE484"/>
    <w:lvl w:ilvl="0">
      <w:start w:val="2"/>
      <w:numFmt w:val="decimal"/>
      <w:lvlText w:val="%1"/>
      <w:lvlJc w:val="left"/>
      <w:pPr>
        <w:ind w:left="1579" w:hanging="493"/>
        <w:jc w:val="left"/>
      </w:pPr>
      <w:rPr>
        <w:rFonts w:hint="default"/>
        <w:lang w:val="uk-UA" w:eastAsia="en-US" w:bidi="ar-SA"/>
      </w:rPr>
    </w:lvl>
    <w:lvl w:ilvl="1">
      <w:start w:val="1"/>
      <w:numFmt w:val="decimal"/>
      <w:lvlText w:val="%1.%2."/>
      <w:lvlJc w:val="left"/>
      <w:pPr>
        <w:ind w:left="1579"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786" w:hanging="701"/>
        <w:jc w:val="left"/>
      </w:pPr>
      <w:rPr>
        <w:rFonts w:ascii="Times New Roman" w:eastAsia="Times New Roman" w:hAnsi="Times New Roman" w:cs="Times New Roman" w:hint="default"/>
        <w:b w:val="0"/>
        <w:bCs w:val="0"/>
        <w:i/>
        <w:iCs/>
        <w:spacing w:val="-3"/>
        <w:w w:val="100"/>
        <w:sz w:val="28"/>
        <w:szCs w:val="28"/>
        <w:lang w:val="uk-UA" w:eastAsia="en-US" w:bidi="ar-SA"/>
      </w:rPr>
    </w:lvl>
    <w:lvl w:ilvl="3">
      <w:numFmt w:val="bullet"/>
      <w:lvlText w:val="•"/>
      <w:lvlJc w:val="left"/>
      <w:pPr>
        <w:ind w:left="3745" w:hanging="701"/>
      </w:pPr>
      <w:rPr>
        <w:rFonts w:hint="default"/>
        <w:lang w:val="uk-UA" w:eastAsia="en-US" w:bidi="ar-SA"/>
      </w:rPr>
    </w:lvl>
    <w:lvl w:ilvl="4">
      <w:numFmt w:val="bullet"/>
      <w:lvlText w:val="•"/>
      <w:lvlJc w:val="left"/>
      <w:pPr>
        <w:ind w:left="4728" w:hanging="701"/>
      </w:pPr>
      <w:rPr>
        <w:rFonts w:hint="default"/>
        <w:lang w:val="uk-UA" w:eastAsia="en-US" w:bidi="ar-SA"/>
      </w:rPr>
    </w:lvl>
    <w:lvl w:ilvl="5">
      <w:numFmt w:val="bullet"/>
      <w:lvlText w:val="•"/>
      <w:lvlJc w:val="left"/>
      <w:pPr>
        <w:ind w:left="5711" w:hanging="701"/>
      </w:pPr>
      <w:rPr>
        <w:rFonts w:hint="default"/>
        <w:lang w:val="uk-UA" w:eastAsia="en-US" w:bidi="ar-SA"/>
      </w:rPr>
    </w:lvl>
    <w:lvl w:ilvl="6">
      <w:numFmt w:val="bullet"/>
      <w:lvlText w:val="•"/>
      <w:lvlJc w:val="left"/>
      <w:pPr>
        <w:ind w:left="6694" w:hanging="701"/>
      </w:pPr>
      <w:rPr>
        <w:rFonts w:hint="default"/>
        <w:lang w:val="uk-UA" w:eastAsia="en-US" w:bidi="ar-SA"/>
      </w:rPr>
    </w:lvl>
    <w:lvl w:ilvl="7">
      <w:numFmt w:val="bullet"/>
      <w:lvlText w:val="•"/>
      <w:lvlJc w:val="left"/>
      <w:pPr>
        <w:ind w:left="7677" w:hanging="701"/>
      </w:pPr>
      <w:rPr>
        <w:rFonts w:hint="default"/>
        <w:lang w:val="uk-UA" w:eastAsia="en-US" w:bidi="ar-SA"/>
      </w:rPr>
    </w:lvl>
    <w:lvl w:ilvl="8">
      <w:numFmt w:val="bullet"/>
      <w:lvlText w:val="•"/>
      <w:lvlJc w:val="left"/>
      <w:pPr>
        <w:ind w:left="8660" w:hanging="701"/>
      </w:pPr>
      <w:rPr>
        <w:rFonts w:hint="default"/>
        <w:lang w:val="uk-UA" w:eastAsia="en-US" w:bidi="ar-SA"/>
      </w:rPr>
    </w:lvl>
  </w:abstractNum>
  <w:abstractNum w:abstractNumId="5">
    <w:nsid w:val="597B00FA"/>
    <w:multiLevelType w:val="hybridMultilevel"/>
    <w:tmpl w:val="511AB03E"/>
    <w:lvl w:ilvl="0" w:tplc="CDE8E888">
      <w:start w:val="38"/>
      <w:numFmt w:val="decimal"/>
      <w:lvlText w:val="%1."/>
      <w:lvlJc w:val="left"/>
      <w:pPr>
        <w:ind w:left="1382" w:hanging="360"/>
        <w:jc w:val="left"/>
      </w:pPr>
      <w:rPr>
        <w:rFonts w:hint="default"/>
        <w:spacing w:val="1"/>
        <w:w w:val="95"/>
        <w:lang w:val="uk-UA" w:eastAsia="en-US" w:bidi="ar-SA"/>
      </w:rPr>
    </w:lvl>
    <w:lvl w:ilvl="1" w:tplc="41C243C6">
      <w:numFmt w:val="bullet"/>
      <w:lvlText w:val="•"/>
      <w:lvlJc w:val="left"/>
      <w:pPr>
        <w:ind w:left="2304" w:hanging="360"/>
      </w:pPr>
      <w:rPr>
        <w:rFonts w:hint="default"/>
        <w:lang w:val="uk-UA" w:eastAsia="en-US" w:bidi="ar-SA"/>
      </w:rPr>
    </w:lvl>
    <w:lvl w:ilvl="2" w:tplc="6922BCBA">
      <w:numFmt w:val="bullet"/>
      <w:lvlText w:val="•"/>
      <w:lvlJc w:val="left"/>
      <w:pPr>
        <w:ind w:left="3229" w:hanging="360"/>
      </w:pPr>
      <w:rPr>
        <w:rFonts w:hint="default"/>
        <w:lang w:val="uk-UA" w:eastAsia="en-US" w:bidi="ar-SA"/>
      </w:rPr>
    </w:lvl>
    <w:lvl w:ilvl="3" w:tplc="CC04671A">
      <w:numFmt w:val="bullet"/>
      <w:lvlText w:val="•"/>
      <w:lvlJc w:val="left"/>
      <w:pPr>
        <w:ind w:left="4153" w:hanging="360"/>
      </w:pPr>
      <w:rPr>
        <w:rFonts w:hint="default"/>
        <w:lang w:val="uk-UA" w:eastAsia="en-US" w:bidi="ar-SA"/>
      </w:rPr>
    </w:lvl>
    <w:lvl w:ilvl="4" w:tplc="BD0A980A">
      <w:numFmt w:val="bullet"/>
      <w:lvlText w:val="•"/>
      <w:lvlJc w:val="left"/>
      <w:pPr>
        <w:ind w:left="5078" w:hanging="360"/>
      </w:pPr>
      <w:rPr>
        <w:rFonts w:hint="default"/>
        <w:lang w:val="uk-UA" w:eastAsia="en-US" w:bidi="ar-SA"/>
      </w:rPr>
    </w:lvl>
    <w:lvl w:ilvl="5" w:tplc="57B41B4C">
      <w:numFmt w:val="bullet"/>
      <w:lvlText w:val="•"/>
      <w:lvlJc w:val="left"/>
      <w:pPr>
        <w:ind w:left="6003" w:hanging="360"/>
      </w:pPr>
      <w:rPr>
        <w:rFonts w:hint="default"/>
        <w:lang w:val="uk-UA" w:eastAsia="en-US" w:bidi="ar-SA"/>
      </w:rPr>
    </w:lvl>
    <w:lvl w:ilvl="6" w:tplc="B6EC2F2E">
      <w:numFmt w:val="bullet"/>
      <w:lvlText w:val="•"/>
      <w:lvlJc w:val="left"/>
      <w:pPr>
        <w:ind w:left="6927" w:hanging="360"/>
      </w:pPr>
      <w:rPr>
        <w:rFonts w:hint="default"/>
        <w:lang w:val="uk-UA" w:eastAsia="en-US" w:bidi="ar-SA"/>
      </w:rPr>
    </w:lvl>
    <w:lvl w:ilvl="7" w:tplc="3F6209D0">
      <w:numFmt w:val="bullet"/>
      <w:lvlText w:val="•"/>
      <w:lvlJc w:val="left"/>
      <w:pPr>
        <w:ind w:left="7852" w:hanging="360"/>
      </w:pPr>
      <w:rPr>
        <w:rFonts w:hint="default"/>
        <w:lang w:val="uk-UA" w:eastAsia="en-US" w:bidi="ar-SA"/>
      </w:rPr>
    </w:lvl>
    <w:lvl w:ilvl="8" w:tplc="CDC23798">
      <w:numFmt w:val="bullet"/>
      <w:lvlText w:val="•"/>
      <w:lvlJc w:val="left"/>
      <w:pPr>
        <w:ind w:left="8777" w:hanging="360"/>
      </w:pPr>
      <w:rPr>
        <w:rFonts w:hint="default"/>
        <w:lang w:val="uk-UA" w:eastAsia="en-US" w:bidi="ar-SA"/>
      </w:rPr>
    </w:lvl>
  </w:abstractNum>
  <w:num w:numId="1">
    <w:abstractNumId w:val="2"/>
  </w:num>
  <w:num w:numId="2">
    <w:abstractNumId w:val="4"/>
  </w:num>
  <w:num w:numId="3">
    <w:abstractNumId w:val="3"/>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673"/>
    <w:rsid w:val="00342919"/>
    <w:rsid w:val="00B50363"/>
    <w:rsid w:val="00D606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C06D95-3B3A-47AD-805A-5398A0BDA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6067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next w:val="a"/>
    <w:link w:val="10"/>
    <w:uiPriority w:val="9"/>
    <w:qFormat/>
    <w:rsid w:val="0034291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1"/>
    <w:qFormat/>
    <w:rsid w:val="00D60673"/>
    <w:pPr>
      <w:ind w:left="1081" w:hanging="491"/>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D60673"/>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D6067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D60673"/>
    <w:pPr>
      <w:spacing w:before="170"/>
      <w:ind w:left="1086"/>
    </w:pPr>
    <w:rPr>
      <w:b/>
      <w:bCs/>
      <w:sz w:val="28"/>
      <w:szCs w:val="28"/>
    </w:rPr>
  </w:style>
  <w:style w:type="paragraph" w:styleId="21">
    <w:name w:val="toc 2"/>
    <w:basedOn w:val="a"/>
    <w:uiPriority w:val="1"/>
    <w:qFormat/>
    <w:rsid w:val="00D60673"/>
    <w:pPr>
      <w:spacing w:before="165"/>
      <w:ind w:left="1577" w:hanging="492"/>
    </w:pPr>
    <w:rPr>
      <w:sz w:val="28"/>
      <w:szCs w:val="28"/>
    </w:rPr>
  </w:style>
  <w:style w:type="paragraph" w:styleId="3">
    <w:name w:val="toc 3"/>
    <w:basedOn w:val="a"/>
    <w:uiPriority w:val="1"/>
    <w:qFormat/>
    <w:rsid w:val="00D60673"/>
    <w:pPr>
      <w:spacing w:before="165"/>
      <w:ind w:left="1784" w:hanging="698"/>
    </w:pPr>
    <w:rPr>
      <w:i/>
      <w:iCs/>
      <w:sz w:val="28"/>
      <w:szCs w:val="28"/>
    </w:rPr>
  </w:style>
  <w:style w:type="paragraph" w:styleId="4">
    <w:name w:val="toc 4"/>
    <w:basedOn w:val="a"/>
    <w:uiPriority w:val="1"/>
    <w:qFormat/>
    <w:rsid w:val="00D60673"/>
    <w:pPr>
      <w:spacing w:before="261"/>
      <w:ind w:left="1081"/>
    </w:pPr>
    <w:rPr>
      <w:b/>
      <w:bCs/>
      <w:i/>
      <w:iCs/>
    </w:rPr>
  </w:style>
  <w:style w:type="paragraph" w:styleId="5">
    <w:name w:val="toc 5"/>
    <w:basedOn w:val="a"/>
    <w:uiPriority w:val="1"/>
    <w:qFormat/>
    <w:rsid w:val="00D60673"/>
    <w:pPr>
      <w:spacing w:before="65"/>
      <w:ind w:left="1655"/>
    </w:pPr>
    <w:rPr>
      <w:sz w:val="28"/>
      <w:szCs w:val="28"/>
    </w:rPr>
  </w:style>
  <w:style w:type="paragraph" w:styleId="a3">
    <w:name w:val="Body Text"/>
    <w:basedOn w:val="a"/>
    <w:link w:val="a4"/>
    <w:uiPriority w:val="1"/>
    <w:qFormat/>
    <w:rsid w:val="00D60673"/>
    <w:pPr>
      <w:ind w:left="662"/>
    </w:pPr>
    <w:rPr>
      <w:sz w:val="28"/>
      <w:szCs w:val="28"/>
    </w:rPr>
  </w:style>
  <w:style w:type="character" w:customStyle="1" w:styleId="a4">
    <w:name w:val="Основной текст Знак"/>
    <w:basedOn w:val="a0"/>
    <w:link w:val="a3"/>
    <w:uiPriority w:val="1"/>
    <w:rsid w:val="00D60673"/>
    <w:rPr>
      <w:rFonts w:ascii="Times New Roman" w:eastAsia="Times New Roman" w:hAnsi="Times New Roman" w:cs="Times New Roman"/>
      <w:sz w:val="28"/>
      <w:szCs w:val="28"/>
      <w:lang w:val="uk-UA"/>
    </w:rPr>
  </w:style>
  <w:style w:type="paragraph" w:styleId="a5">
    <w:name w:val="Title"/>
    <w:basedOn w:val="a"/>
    <w:link w:val="a6"/>
    <w:uiPriority w:val="1"/>
    <w:qFormat/>
    <w:rsid w:val="00D60673"/>
    <w:pPr>
      <w:ind w:left="749" w:hanging="1674"/>
    </w:pPr>
    <w:rPr>
      <w:b/>
      <w:bCs/>
      <w:sz w:val="32"/>
      <w:szCs w:val="32"/>
    </w:rPr>
  </w:style>
  <w:style w:type="character" w:customStyle="1" w:styleId="a6">
    <w:name w:val="Название Знак"/>
    <w:basedOn w:val="a0"/>
    <w:link w:val="a5"/>
    <w:uiPriority w:val="1"/>
    <w:rsid w:val="00D60673"/>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D60673"/>
  </w:style>
  <w:style w:type="character" w:customStyle="1" w:styleId="10">
    <w:name w:val="Заголовок 1 Знак"/>
    <w:basedOn w:val="a0"/>
    <w:link w:val="1"/>
    <w:uiPriority w:val="9"/>
    <w:rsid w:val="00342919"/>
    <w:rPr>
      <w:rFonts w:asciiTheme="majorHAnsi" w:eastAsiaTheme="majorEastAsia" w:hAnsiTheme="majorHAnsi" w:cstheme="majorBidi"/>
      <w:color w:val="2E74B5" w:themeColor="accent1" w:themeShade="BF"/>
      <w:sz w:val="32"/>
      <w:szCs w:val="32"/>
      <w:lang w:val="uk-UA"/>
    </w:rPr>
  </w:style>
  <w:style w:type="paragraph" w:styleId="a7">
    <w:name w:val="List Paragraph"/>
    <w:basedOn w:val="a"/>
    <w:uiPriority w:val="1"/>
    <w:qFormat/>
    <w:rsid w:val="00342919"/>
    <w:pPr>
      <w:ind w:left="1382" w:hanging="36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otropicology.com/afobazol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drlz.com.ua/ibp/ddsite.nsf/all/shlz1?opendocument&amp;stype=2E06BB1A327AFB79C2258A84002DF9F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rlz.com.ua/ibp/ddsite.nsf/all/shlz1?opendocument&amp;stype=2E06BB1A327AFB79C2258A84002DF9FE" TargetMode="External"/><Relationship Id="rId11" Type="http://schemas.openxmlformats.org/officeDocument/2006/relationships/hyperlink" Target="https://doi.org/10.18524/2304-0947.2023.2(85).286603" TargetMode="External"/><Relationship Id="rId5" Type="http://schemas.openxmlformats.org/officeDocument/2006/relationships/header" Target="header1.xml"/><Relationship Id="rId10" Type="http://schemas.openxmlformats.org/officeDocument/2006/relationships/hyperlink" Target="https://www.google.com.ua/search?tbo=p&amp;tbm=bks&amp;q=inauthor%3A%22Jannik%2BBjerrum%22&amp;source=gbs_metadata_r&amp;cad=4" TargetMode="External"/><Relationship Id="rId4" Type="http://schemas.openxmlformats.org/officeDocument/2006/relationships/webSettings" Target="webSettings.xml"/><Relationship Id="rId9" Type="http://schemas.openxmlformats.org/officeDocument/2006/relationships/hyperlink" Target="http://www.umj.com.ua/uk/publikatsia-245548-novi-pidhodi-do-likuvann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3007</Words>
  <Characters>17144</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2024-11-01T09:59:00Z</dcterms:created>
  <dcterms:modified xsi:type="dcterms:W3CDTF">2024-11-01T10:01:00Z</dcterms:modified>
</cp:coreProperties>
</file>