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4D752">
      <w:pPr>
        <w:pBdr>
          <w:bottom w:val="single" w:color="000000" w:sz="4" w:space="1"/>
        </w:pBd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  ОДЕСЬКИЙ НАЦІОНАЛЬНИЙ УНІВЕРСИТЕТ ІМЕНІ І. І. МЕЧНИКОВА</w:t>
      </w:r>
    </w:p>
    <w:p w14:paraId="0B51EE89">
      <w:pPr>
        <w:spacing w:after="0" w:line="240" w:lineRule="auto"/>
        <w:jc w:val="center"/>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lang w:val="uk-UA"/>
        </w:rPr>
        <w:t>(повне найменування закладу вищої освіти)</w:t>
      </w:r>
    </w:p>
    <w:p w14:paraId="16BDD3EF">
      <w:pPr>
        <w:pBdr>
          <w:bottom w:val="single" w:color="000000" w:sz="4" w:space="1"/>
        </w:pBdr>
        <w:tabs>
          <w:tab w:val="center" w:pos="4677"/>
        </w:tabs>
        <w:spacing w:before="240"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ab/>
      </w:r>
      <w:r>
        <w:rPr>
          <w:rFonts w:ascii="Times New Roman" w:hAnsi="Times New Roman" w:eastAsia="Times New Roman" w:cs="Times New Roman"/>
          <w:sz w:val="28"/>
          <w:szCs w:val="28"/>
          <w:lang w:val="uk-UA"/>
        </w:rPr>
        <w:t>Факультет міжнародних відносин, політології та соціології</w:t>
      </w:r>
    </w:p>
    <w:p w14:paraId="206FE474">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(повне найменування факультету)</w:t>
      </w:r>
    </w:p>
    <w:p w14:paraId="4CDAD9B5">
      <w:pPr>
        <w:pBdr>
          <w:bottom w:val="single" w:color="000000" w:sz="4" w:space="1"/>
        </w:pBdr>
        <w:spacing w:before="240" w:after="0" w:line="240" w:lineRule="auto"/>
        <w:jc w:val="cente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Кафедра міжнародних відносин</w:t>
      </w:r>
    </w:p>
    <w:p w14:paraId="2B8597D2">
      <w:pPr>
        <w:spacing w:after="0" w:line="240" w:lineRule="auto"/>
        <w:jc w:val="center"/>
        <w:rPr>
          <w:rFonts w:ascii="Times New Roman" w:hAnsi="Times New Roman" w:eastAsia="Times New Roman" w:cs="Times New Roman"/>
          <w:sz w:val="18"/>
          <w:szCs w:val="18"/>
          <w:lang w:val="uk-UA"/>
        </w:rPr>
      </w:pPr>
      <w:r>
        <w:rPr>
          <w:rFonts w:ascii="Times New Roman" w:hAnsi="Times New Roman" w:eastAsia="Times New Roman" w:cs="Times New Roman"/>
          <w:sz w:val="18"/>
          <w:szCs w:val="18"/>
          <w:lang w:val="uk-UA"/>
        </w:rPr>
        <w:t>(повна назва кафедри)</w:t>
      </w:r>
    </w:p>
    <w:p w14:paraId="264F3DBD">
      <w:pPr>
        <w:spacing w:after="0" w:line="240" w:lineRule="auto"/>
        <w:jc w:val="both"/>
        <w:rPr>
          <w:rFonts w:ascii="Times New Roman" w:hAnsi="Times New Roman" w:eastAsia="Times New Roman" w:cs="Times New Roman"/>
          <w:b/>
          <w:sz w:val="28"/>
          <w:szCs w:val="40"/>
          <w:lang w:val="uk-UA"/>
        </w:rPr>
      </w:pPr>
    </w:p>
    <w:p w14:paraId="46A83795">
      <w:pPr>
        <w:spacing w:after="0" w:line="240" w:lineRule="auto"/>
        <w:jc w:val="center"/>
        <w:rPr>
          <w:rFonts w:ascii="Times New Roman" w:hAnsi="Times New Roman" w:eastAsia="Times New Roman" w:cs="Times New Roman"/>
          <w:b/>
          <w:sz w:val="32"/>
          <w:szCs w:val="32"/>
          <w:lang w:val="uk-UA"/>
        </w:rPr>
      </w:pPr>
      <w:r>
        <w:rPr>
          <w:rFonts w:ascii="Times New Roman" w:hAnsi="Times New Roman" w:eastAsia="Times New Roman" w:cs="Times New Roman"/>
          <w:b/>
          <w:sz w:val="32"/>
          <w:szCs w:val="32"/>
          <w:lang w:val="uk-UA"/>
        </w:rPr>
        <w:t>Кваліфікаційна робота</w:t>
      </w:r>
    </w:p>
    <w:p w14:paraId="1A716038">
      <w:pPr>
        <w:pBdr>
          <w:bottom w:val="single" w:color="000000" w:sz="4" w:space="1"/>
        </w:pBdr>
        <w:tabs>
          <w:tab w:val="center" w:pos="4819"/>
          <w:tab w:val="right" w:pos="8505"/>
        </w:tabs>
        <w:spacing w:before="240" w:after="0" w:line="240" w:lineRule="auto"/>
        <w:ind w:left="1134" w:right="850"/>
        <w:jc w:val="cente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на здобуття ступеня вищої освіти «магістр»</w:t>
      </w:r>
    </w:p>
    <w:p w14:paraId="4B96747D">
      <w:pPr>
        <w:tabs>
          <w:tab w:val="right" w:pos="9355"/>
        </w:tabs>
        <w:spacing w:after="0" w:line="240" w:lineRule="auto"/>
        <w:jc w:val="center"/>
        <w:rPr>
          <w:rFonts w:ascii="Times New Roman" w:hAnsi="Times New Roman" w:eastAsia="Times New Roman" w:cs="Times New Roman"/>
          <w:b/>
          <w:sz w:val="28"/>
          <w:szCs w:val="28"/>
          <w:lang w:val="uk-UA"/>
        </w:rPr>
      </w:pPr>
    </w:p>
    <w:p w14:paraId="749F00AE">
      <w:pPr>
        <w:tabs>
          <w:tab w:val="right" w:pos="9355"/>
        </w:tabs>
        <w:spacing w:after="0" w:line="240" w:lineRule="auto"/>
        <w:jc w:val="center"/>
        <w:rPr>
          <w:rFonts w:ascii="Times New Roman" w:hAnsi="Times New Roman" w:eastAsia="Times New Roman" w:cs="Times New Roman"/>
          <w:b/>
          <w:sz w:val="28"/>
          <w:szCs w:val="28"/>
          <w:lang w:val="uk-UA"/>
        </w:rPr>
      </w:pPr>
      <w:r>
        <w:rPr>
          <w:rFonts w:ascii="Times New Roman" w:hAnsi="Times New Roman" w:eastAsia="Times New Roman" w:cs="Times New Roman"/>
          <w:b/>
          <w:sz w:val="28"/>
          <w:szCs w:val="28"/>
          <w:lang w:val="uk-UA"/>
        </w:rPr>
        <w:t xml:space="preserve">  «ІНФОРМАЦІЙНІ СТРАТЕГІЇ УКРАЇНИ ТА РОСІЇ В УМОВАХ ГІБРИДНОЇ ВІЙНИ»</w:t>
      </w:r>
    </w:p>
    <w:p w14:paraId="30272600">
      <w:pPr>
        <w:tabs>
          <w:tab w:val="right" w:pos="9355"/>
        </w:tabs>
        <w:spacing w:after="0" w:line="240" w:lineRule="auto"/>
        <w:jc w:val="center"/>
        <w:rPr>
          <w:rFonts w:ascii="Times New Roman" w:hAnsi="Times New Roman" w:eastAsia="Times New Roman" w:cs="Times New Roman"/>
          <w:b/>
          <w:sz w:val="28"/>
          <w:szCs w:val="28"/>
          <w:lang w:val="uk-UA"/>
        </w:rPr>
      </w:pPr>
    </w:p>
    <w:p w14:paraId="1EF53D6B">
      <w:pPr>
        <w:tabs>
          <w:tab w:val="right" w:pos="9355"/>
        </w:tabs>
        <w:spacing w:after="0" w:line="240" w:lineRule="auto"/>
        <w:jc w:val="center"/>
        <w:rPr>
          <w:rFonts w:ascii="Times New Roman" w:hAnsi="Times New Roman" w:eastAsia="Times New Roman" w:cs="Times New Roman"/>
          <w:sz w:val="24"/>
          <w:szCs w:val="24"/>
          <w:lang w:val="uk-UA"/>
        </w:rPr>
      </w:pPr>
      <w:r>
        <w:rPr>
          <w:rFonts w:ascii="Times New Roman" w:hAnsi="Times New Roman" w:eastAsia="Times New Roman" w:cs="Times New Roman"/>
          <w:b/>
          <w:sz w:val="28"/>
          <w:szCs w:val="28"/>
          <w:lang w:val="uk-UA"/>
        </w:rPr>
        <w:t>«</w:t>
      </w:r>
      <w:r>
        <w:rPr>
          <w:rFonts w:hint="default" w:ascii="Times New Roman" w:hAnsi="Times New Roman" w:eastAsia="Times New Roman"/>
          <w:b/>
          <w:sz w:val="28"/>
          <w:szCs w:val="28"/>
          <w:lang w:val="uk-UA"/>
        </w:rPr>
        <w:t>Information strategies of Ukraine and Russia in conditions of hybrid war</w:t>
      </w:r>
      <w:r>
        <w:rPr>
          <w:rFonts w:ascii="Times New Roman" w:hAnsi="Times New Roman" w:eastAsia="Times New Roman" w:cs="Times New Roman"/>
          <w:sz w:val="24"/>
          <w:szCs w:val="24"/>
          <w:lang w:val="uk-UA"/>
        </w:rPr>
        <w:t>»</w:t>
      </w:r>
    </w:p>
    <w:p w14:paraId="300CC1B6">
      <w:pPr>
        <w:tabs>
          <w:tab w:val="right" w:pos="9355"/>
        </w:tabs>
        <w:spacing w:after="0" w:line="240" w:lineRule="auto"/>
        <w:jc w:val="both"/>
        <w:rPr>
          <w:rFonts w:ascii="Times New Roman" w:hAnsi="Times New Roman" w:eastAsia="Times New Roman" w:cs="Times New Roman"/>
          <w:sz w:val="20"/>
          <w:szCs w:val="28"/>
          <w:u w:val="single"/>
          <w:lang w:val="uk-UA"/>
        </w:rPr>
      </w:pPr>
    </w:p>
    <w:p w14:paraId="664386BB">
      <w:pPr>
        <w:spacing w:after="0" w:line="240" w:lineRule="auto"/>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                                 Виконав(ла): здобувач(ка) денної форми навчання</w:t>
      </w:r>
    </w:p>
    <w:p w14:paraId="3160D574">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lang w:val="uk-UA"/>
        </w:rPr>
        <w:t xml:space="preserve">спеціальності </w:t>
      </w:r>
      <w:r>
        <w:rPr>
          <w:rFonts w:ascii="Times New Roman" w:hAnsi="Times New Roman" w:eastAsia="Times New Roman" w:cs="Times New Roman"/>
          <w:sz w:val="28"/>
          <w:szCs w:val="28"/>
          <w:u w:val="single"/>
          <w:lang w:val="uk-UA"/>
        </w:rPr>
        <w:t>291Міжнародні відносини, суспільні</w:t>
      </w:r>
      <w:r>
        <w:rPr>
          <w:rFonts w:ascii="Times New Roman" w:hAnsi="Times New Roman" w:eastAsia="Times New Roman" w:cs="Times New Roman"/>
          <w:sz w:val="18"/>
          <w:szCs w:val="18"/>
          <w:lang w:val="uk-UA"/>
        </w:rPr>
        <w:t>_____</w:t>
      </w:r>
    </w:p>
    <w:p w14:paraId="20A21DC0">
      <w:pPr>
        <w:spacing w:after="0" w:line="240" w:lineRule="auto"/>
        <w:rPr>
          <w:rFonts w:ascii="Times New Roman" w:hAnsi="Times New Roman" w:eastAsia="Times New Roman" w:cs="Times New Roman"/>
          <w:sz w:val="16"/>
          <w:szCs w:val="16"/>
          <w:lang w:val="uk-UA"/>
        </w:rPr>
      </w:pPr>
      <w:r>
        <w:rPr>
          <w:rFonts w:ascii="Times New Roman" w:hAnsi="Times New Roman" w:eastAsia="Times New Roman" w:cs="Times New Roman"/>
          <w:sz w:val="28"/>
          <w:szCs w:val="28"/>
          <w:lang w:val="uk-UA"/>
        </w:rPr>
        <w:tab/>
      </w:r>
      <w:r>
        <w:rPr>
          <w:rFonts w:ascii="Times New Roman" w:hAnsi="Times New Roman" w:eastAsia="Times New Roman" w:cs="Times New Roman"/>
          <w:sz w:val="28"/>
          <w:szCs w:val="28"/>
          <w:lang w:val="uk-UA"/>
        </w:rPr>
        <w:tab/>
      </w:r>
      <w:r>
        <w:rPr>
          <w:rFonts w:ascii="Times New Roman" w:hAnsi="Times New Roman" w:eastAsia="Times New Roman" w:cs="Times New Roman"/>
          <w:sz w:val="28"/>
          <w:szCs w:val="28"/>
          <w:lang w:val="uk-UA"/>
        </w:rPr>
        <w:tab/>
      </w:r>
      <w:r>
        <w:rPr>
          <w:rFonts w:ascii="Times New Roman" w:hAnsi="Times New Roman" w:eastAsia="Times New Roman" w:cs="Times New Roman"/>
          <w:sz w:val="28"/>
          <w:szCs w:val="28"/>
          <w:u w:val="single"/>
          <w:lang w:val="uk-UA"/>
        </w:rPr>
        <w:t>комунікації та регіональні студії</w:t>
      </w:r>
      <w:r>
        <w:rPr>
          <w:rFonts w:ascii="Times New Roman" w:hAnsi="Times New Roman" w:eastAsia="Times New Roman" w:cs="Times New Roman"/>
          <w:sz w:val="18"/>
          <w:szCs w:val="18"/>
          <w:lang w:val="uk-UA"/>
        </w:rPr>
        <w:t>______________________________</w:t>
      </w:r>
    </w:p>
    <w:p w14:paraId="77E019BF">
      <w:pPr>
        <w:spacing w:after="0" w:line="240" w:lineRule="auto"/>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lang w:val="uk-UA"/>
        </w:rPr>
        <w:tab/>
      </w:r>
      <w:r>
        <w:rPr>
          <w:rFonts w:ascii="Times New Roman" w:hAnsi="Times New Roman" w:eastAsia="Times New Roman" w:cs="Times New Roman"/>
          <w:sz w:val="20"/>
          <w:szCs w:val="20"/>
          <w:lang w:val="uk-UA"/>
        </w:rPr>
        <w:tab/>
      </w:r>
      <w:r>
        <w:rPr>
          <w:rFonts w:ascii="Times New Roman" w:hAnsi="Times New Roman" w:eastAsia="Times New Roman" w:cs="Times New Roman"/>
          <w:sz w:val="20"/>
          <w:szCs w:val="20"/>
          <w:lang w:val="uk-UA"/>
        </w:rPr>
        <w:t xml:space="preserve">       (код, назва спеціальності)</w:t>
      </w:r>
    </w:p>
    <w:p w14:paraId="55571A6C">
      <w:pPr>
        <w:spacing w:after="0" w:line="240" w:lineRule="auto"/>
        <w:ind w:left="2325"/>
        <w:rPr>
          <w:rFonts w:ascii="Times New Roman" w:hAnsi="Times New Roman" w:eastAsia="Times New Roman" w:cs="Times New Roman"/>
          <w:sz w:val="24"/>
          <w:szCs w:val="24"/>
          <w:u w:val="single"/>
          <w:lang w:val="uk-UA"/>
        </w:rPr>
      </w:pPr>
      <w:r>
        <w:rPr>
          <w:rFonts w:ascii="Times New Roman" w:hAnsi="Times New Roman" w:eastAsia="Times New Roman" w:cs="Times New Roman"/>
          <w:sz w:val="24"/>
          <w:szCs w:val="24"/>
          <w:lang w:val="uk-UA"/>
        </w:rPr>
        <w:t xml:space="preserve">Освітня програма </w:t>
      </w:r>
      <w:r>
        <w:rPr>
          <w:rFonts w:ascii="Times New Roman" w:hAnsi="Times New Roman" w:eastAsia="Times New Roman" w:cs="Times New Roman"/>
          <w:sz w:val="24"/>
          <w:szCs w:val="24"/>
          <w:u w:val="single"/>
          <w:lang w:val="uk-UA"/>
        </w:rPr>
        <w:t>Міжнародні відносини, суспільні комунікації</w:t>
      </w:r>
    </w:p>
    <w:p w14:paraId="2F117534">
      <w:pPr>
        <w:spacing w:after="0" w:line="240" w:lineRule="auto"/>
        <w:ind w:left="2325"/>
        <w:rPr>
          <w:rFonts w:ascii="Times New Roman" w:hAnsi="Times New Roman" w:eastAsia="Times New Roman" w:cs="Times New Roman"/>
          <w:sz w:val="20"/>
          <w:szCs w:val="20"/>
          <w:lang w:val="uk-UA"/>
        </w:rPr>
      </w:pPr>
      <w:r>
        <w:rPr>
          <w:rFonts w:ascii="Times New Roman" w:hAnsi="Times New Roman" w:eastAsia="Times New Roman" w:cs="Times New Roman"/>
          <w:sz w:val="24"/>
          <w:szCs w:val="24"/>
          <w:u w:val="single"/>
          <w:lang w:val="uk-UA"/>
        </w:rPr>
        <w:t xml:space="preserve"> та регіональні студії</w:t>
      </w:r>
      <w:r>
        <w:rPr>
          <w:rFonts w:ascii="Times New Roman" w:hAnsi="Times New Roman" w:eastAsia="Times New Roman" w:cs="Times New Roman"/>
          <w:sz w:val="16"/>
          <w:szCs w:val="16"/>
          <w:lang w:val="uk-UA"/>
        </w:rPr>
        <w:t>______________________________________________________</w:t>
      </w:r>
    </w:p>
    <w:p w14:paraId="3A0D0D5A">
      <w:pPr>
        <w:spacing w:after="0" w:line="240" w:lineRule="auto"/>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lang w:val="uk-UA"/>
        </w:rPr>
        <w:tab/>
      </w:r>
      <w:r>
        <w:rPr>
          <w:rFonts w:ascii="Times New Roman" w:hAnsi="Times New Roman" w:eastAsia="Times New Roman" w:cs="Times New Roman"/>
          <w:sz w:val="20"/>
          <w:szCs w:val="20"/>
          <w:lang w:val="uk-UA"/>
        </w:rPr>
        <w:tab/>
      </w:r>
      <w:r>
        <w:rPr>
          <w:rFonts w:ascii="Times New Roman" w:hAnsi="Times New Roman" w:eastAsia="Times New Roman" w:cs="Times New Roman"/>
          <w:sz w:val="20"/>
          <w:szCs w:val="20"/>
          <w:lang w:val="uk-UA"/>
        </w:rPr>
        <w:tab/>
      </w:r>
      <w:r>
        <w:rPr>
          <w:rFonts w:ascii="Times New Roman" w:hAnsi="Times New Roman" w:eastAsia="Times New Roman" w:cs="Times New Roman"/>
          <w:sz w:val="20"/>
          <w:szCs w:val="20"/>
          <w:lang w:val="uk-UA"/>
        </w:rPr>
        <w:tab/>
      </w:r>
      <w:r>
        <w:rPr>
          <w:rFonts w:ascii="Times New Roman" w:hAnsi="Times New Roman" w:eastAsia="Times New Roman" w:cs="Times New Roman"/>
          <w:sz w:val="20"/>
          <w:szCs w:val="20"/>
          <w:lang w:val="uk-UA"/>
        </w:rPr>
        <w:t xml:space="preserve"> (назва)            </w:t>
      </w:r>
    </w:p>
    <w:p w14:paraId="05FDB29F">
      <w:pPr>
        <w:spacing w:after="0" w:line="240" w:lineRule="auto"/>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                     __________</w:t>
      </w:r>
      <w:r>
        <w:rPr>
          <w:rFonts w:hint="default" w:ascii="Times New Roman" w:hAnsi="Times New Roman" w:eastAsia="Times New Roman"/>
          <w:sz w:val="28"/>
          <w:szCs w:val="28"/>
          <w:lang w:val="uk-UA"/>
        </w:rPr>
        <w:t>Черниченко Діана Григорівна</w:t>
      </w:r>
      <w:r>
        <w:rPr>
          <w:rFonts w:ascii="Times New Roman" w:hAnsi="Times New Roman" w:eastAsia="Times New Roman" w:cs="Times New Roman"/>
          <w:sz w:val="28"/>
          <w:szCs w:val="28"/>
          <w:lang w:val="uk-UA"/>
        </w:rPr>
        <w:t>_____________</w:t>
      </w:r>
    </w:p>
    <w:p w14:paraId="5E8E2135">
      <w:pPr>
        <w:spacing w:after="0" w:line="240" w:lineRule="auto"/>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rPr>
        <w:tab/>
      </w:r>
      <w:r>
        <w:rPr>
          <w:rFonts w:ascii="Times New Roman" w:hAnsi="Times New Roman" w:eastAsia="Times New Roman" w:cs="Times New Roman"/>
          <w:sz w:val="20"/>
          <w:szCs w:val="20"/>
        </w:rPr>
        <w:tab/>
      </w:r>
      <w:r>
        <w:rPr>
          <w:rFonts w:ascii="Times New Roman" w:hAnsi="Times New Roman" w:eastAsia="Times New Roman" w:cs="Times New Roman"/>
          <w:sz w:val="20"/>
          <w:szCs w:val="20"/>
        </w:rPr>
        <w:tab/>
      </w:r>
      <w:r>
        <w:rPr>
          <w:rFonts w:ascii="Times New Roman" w:hAnsi="Times New Roman" w:eastAsia="Times New Roman" w:cs="Times New Roman"/>
          <w:sz w:val="20"/>
          <w:szCs w:val="20"/>
        </w:rPr>
        <w:tab/>
      </w:r>
      <w:r>
        <w:rPr>
          <w:rFonts w:ascii="Times New Roman" w:hAnsi="Times New Roman" w:eastAsia="Times New Roman" w:cs="Times New Roman"/>
          <w:sz w:val="20"/>
          <w:szCs w:val="20"/>
          <w:lang w:val="uk-UA"/>
        </w:rPr>
        <w:t xml:space="preserve"> (прізвище, ім’я, по-батькові здобувача)</w:t>
      </w:r>
    </w:p>
    <w:p w14:paraId="7CF51483">
      <w:pPr>
        <w:tabs>
          <w:tab w:val="left" w:pos="5245"/>
          <w:tab w:val="right" w:pos="9355"/>
        </w:tabs>
        <w:spacing w:before="120" w:after="0" w:line="240" w:lineRule="auto"/>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Керівник      __</w:t>
      </w:r>
      <w:r>
        <w:rPr>
          <w:rFonts w:hint="default" w:ascii="Times New Roman" w:hAnsi="Times New Roman" w:eastAsia="Times New Roman"/>
          <w:color w:val="auto"/>
          <w:sz w:val="28"/>
          <w:szCs w:val="28"/>
          <w:highlight w:val="none"/>
          <w:lang w:val="uk-UA"/>
        </w:rPr>
        <w:t>кандидат політичних наук, доцент кафедри міжнародних відносин, Грабіна Г. В.</w:t>
      </w:r>
      <w:r>
        <w:rPr>
          <w:rFonts w:ascii="Times New Roman" w:hAnsi="Times New Roman" w:eastAsia="Times New Roman" w:cs="Times New Roman"/>
          <w:sz w:val="28"/>
          <w:szCs w:val="28"/>
          <w:lang w:val="uk-UA"/>
        </w:rPr>
        <w:t>______________________      _________</w:t>
      </w:r>
    </w:p>
    <w:p w14:paraId="7AAA2E50">
      <w:pPr>
        <w:tabs>
          <w:tab w:val="left" w:pos="5245"/>
          <w:tab w:val="right" w:pos="9355"/>
        </w:tabs>
        <w:spacing w:before="120" w:after="0" w:line="240" w:lineRule="auto"/>
        <w:ind w:firstLine="2160"/>
        <w:jc w:val="both"/>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lang w:val="uk-UA"/>
        </w:rPr>
        <w:t>(науковий ступінь, вчене звання, прізвище, ініціали)  (підпис)</w:t>
      </w:r>
    </w:p>
    <w:p w14:paraId="1C0E4E35">
      <w:pPr>
        <w:tabs>
          <w:tab w:val="left" w:pos="5245"/>
          <w:tab w:val="right" w:pos="9355"/>
        </w:tabs>
        <w:spacing w:before="120" w:after="0" w:line="240" w:lineRule="auto"/>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 Рецензент    ___</w:t>
      </w:r>
      <w:r>
        <w:rPr>
          <w:rFonts w:hint="default" w:ascii="Times New Roman" w:hAnsi="Times New Roman" w:eastAsia="Times New Roman"/>
          <w:color w:val="auto"/>
          <w:sz w:val="28"/>
          <w:szCs w:val="28"/>
          <w:highlight w:val="none"/>
          <w:lang w:val="uk-UA"/>
        </w:rPr>
        <w:t>доктор політичних наук, професор по кафедрі міжнародних відносин</w:t>
      </w:r>
      <w:r>
        <w:rPr>
          <w:rFonts w:hint="default" w:ascii="Times New Roman" w:hAnsi="Times New Roman" w:eastAsia="Times New Roman"/>
          <w:color w:val="auto"/>
          <w:sz w:val="28"/>
          <w:szCs w:val="28"/>
          <w:highlight w:val="none"/>
          <w:lang w:val="ru-RU"/>
        </w:rPr>
        <w:t xml:space="preserve">, </w:t>
      </w:r>
      <w:r>
        <w:rPr>
          <w:rFonts w:hint="default" w:ascii="Times New Roman" w:hAnsi="Times New Roman" w:eastAsia="Times New Roman"/>
          <w:color w:val="auto"/>
          <w:sz w:val="28"/>
          <w:szCs w:val="28"/>
          <w:highlight w:val="none"/>
          <w:lang w:val="uk-UA"/>
        </w:rPr>
        <w:t>зав. кафедри міжнародних відносин</w:t>
      </w:r>
      <w:r>
        <w:rPr>
          <w:rFonts w:hint="default" w:ascii="Times New Roman" w:hAnsi="Times New Roman" w:eastAsia="Times New Roman"/>
          <w:color w:val="auto"/>
          <w:sz w:val="28"/>
          <w:szCs w:val="28"/>
          <w:highlight w:val="none"/>
          <w:lang w:val="ru-RU"/>
        </w:rPr>
        <w:t xml:space="preserve">, </w:t>
      </w:r>
      <w:r>
        <w:rPr>
          <w:rFonts w:hint="default" w:ascii="Times New Roman" w:hAnsi="Times New Roman" w:eastAsia="Times New Roman"/>
          <w:color w:val="auto"/>
          <w:sz w:val="28"/>
          <w:szCs w:val="28"/>
          <w:highlight w:val="none"/>
          <w:lang w:val="uk-UA"/>
        </w:rPr>
        <w:t>Брусиловська О</w:t>
      </w:r>
      <w:r>
        <w:rPr>
          <w:rFonts w:hint="default" w:ascii="Times New Roman" w:hAnsi="Times New Roman" w:eastAsia="Times New Roman"/>
          <w:color w:val="auto"/>
          <w:sz w:val="28"/>
          <w:szCs w:val="28"/>
          <w:highlight w:val="none"/>
          <w:lang w:val="ru-RU"/>
        </w:rPr>
        <w:t>.</w:t>
      </w:r>
      <w:r>
        <w:rPr>
          <w:rFonts w:hint="default" w:ascii="Times New Roman" w:hAnsi="Times New Roman" w:eastAsia="Times New Roman"/>
          <w:color w:val="auto"/>
          <w:sz w:val="28"/>
          <w:szCs w:val="28"/>
          <w:highlight w:val="none"/>
          <w:lang w:val="uk-UA"/>
        </w:rPr>
        <w:t>І</w:t>
      </w:r>
      <w:r>
        <w:rPr>
          <w:rFonts w:hint="default" w:ascii="Times New Roman" w:hAnsi="Times New Roman" w:eastAsia="Times New Roman"/>
          <w:color w:val="auto"/>
          <w:sz w:val="28"/>
          <w:szCs w:val="28"/>
          <w:highlight w:val="none"/>
          <w:lang w:val="ru-RU"/>
        </w:rPr>
        <w:t>.</w:t>
      </w:r>
      <w:r>
        <w:rPr>
          <w:rFonts w:ascii="Times New Roman" w:hAnsi="Times New Roman" w:eastAsia="Times New Roman" w:cs="Times New Roman"/>
          <w:sz w:val="28"/>
          <w:szCs w:val="28"/>
          <w:lang w:val="uk-UA"/>
        </w:rPr>
        <w:t>___</w:t>
      </w:r>
    </w:p>
    <w:p w14:paraId="43533D28">
      <w:pPr>
        <w:tabs>
          <w:tab w:val="left" w:pos="5245"/>
          <w:tab w:val="right" w:pos="9355"/>
        </w:tabs>
        <w:spacing w:before="120"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uk-UA"/>
        </w:rPr>
        <w:t>(науковий ступінь, вчене звання, прізвище, ініціали)</w:t>
      </w:r>
    </w:p>
    <w:p w14:paraId="3DCECEF7">
      <w:pPr>
        <w:tabs>
          <w:tab w:val="left" w:pos="5245"/>
          <w:tab w:val="right" w:pos="9355"/>
        </w:tabs>
        <w:spacing w:before="120" w:after="0" w:line="240" w:lineRule="auto"/>
        <w:jc w:val="both"/>
        <w:rPr>
          <w:rFonts w:ascii="Times New Roman" w:hAnsi="Times New Roman" w:eastAsia="Times New Roman" w:cs="Times New Roman"/>
          <w:sz w:val="20"/>
          <w:szCs w:val="20"/>
          <w:lang w:val="uk-UA"/>
        </w:rPr>
      </w:pPr>
    </w:p>
    <w:tbl>
      <w:tblPr>
        <w:tblStyle w:val="5"/>
        <w:tblW w:w="9868" w:type="dxa"/>
        <w:tblInd w:w="0" w:type="dxa"/>
        <w:tblLayout w:type="fixed"/>
        <w:tblCellMar>
          <w:top w:w="0" w:type="dxa"/>
          <w:left w:w="108" w:type="dxa"/>
          <w:bottom w:w="0" w:type="dxa"/>
          <w:right w:w="108" w:type="dxa"/>
        </w:tblCellMar>
      </w:tblPr>
      <w:tblGrid>
        <w:gridCol w:w="5082"/>
        <w:gridCol w:w="4786"/>
      </w:tblGrid>
      <w:tr w14:paraId="032E9756">
        <w:tblPrEx>
          <w:tblCellMar>
            <w:top w:w="0" w:type="dxa"/>
            <w:left w:w="108" w:type="dxa"/>
            <w:bottom w:w="0" w:type="dxa"/>
            <w:right w:w="108" w:type="dxa"/>
          </w:tblCellMar>
        </w:tblPrEx>
        <w:tc>
          <w:tcPr>
            <w:tcW w:w="5082" w:type="dxa"/>
          </w:tcPr>
          <w:p w14:paraId="537E94F9">
            <w:pPr>
              <w:spacing w:after="0" w:line="240" w:lineRule="auto"/>
              <w:jc w:val="both"/>
              <w:rPr>
                <w:rFonts w:ascii="Times New Roman" w:hAnsi="Times New Roman" w:eastAsia="Times New Roman" w:cs="Times New Roman"/>
                <w:sz w:val="28"/>
                <w:szCs w:val="28"/>
                <w:lang w:val="uk-UA"/>
              </w:rPr>
            </w:pPr>
            <w:bookmarkStart w:id="0" w:name="_heading=h.gjdgxs" w:colFirst="0" w:colLast="0"/>
            <w:bookmarkEnd w:id="0"/>
            <w:r>
              <w:rPr>
                <w:rFonts w:ascii="Times New Roman" w:hAnsi="Times New Roman" w:eastAsia="Times New Roman" w:cs="Times New Roman"/>
                <w:sz w:val="28"/>
                <w:szCs w:val="28"/>
                <w:lang w:val="uk-UA"/>
              </w:rPr>
              <w:t>Рекомендовано до захисту:</w:t>
            </w:r>
          </w:p>
          <w:p w14:paraId="50CC90D7">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Протокол засідання кафедри</w:t>
            </w:r>
          </w:p>
          <w:p w14:paraId="3442E832">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__________________________</w:t>
            </w:r>
          </w:p>
          <w:p w14:paraId="2EDD318C">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 ___   від ____.____. 20___ р. </w:t>
            </w:r>
          </w:p>
          <w:p w14:paraId="5FD70121">
            <w:pPr>
              <w:spacing w:after="0" w:line="240" w:lineRule="auto"/>
              <w:jc w:val="both"/>
              <w:rPr>
                <w:rFonts w:ascii="Times New Roman" w:hAnsi="Times New Roman" w:eastAsia="Times New Roman" w:cs="Times New Roman"/>
                <w:sz w:val="28"/>
                <w:szCs w:val="28"/>
                <w:lang w:val="uk-UA"/>
              </w:rPr>
            </w:pPr>
          </w:p>
          <w:p w14:paraId="7ED6D7BC">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Завідувач(ка) кафедри</w:t>
            </w:r>
          </w:p>
          <w:p w14:paraId="75154809">
            <w:pPr>
              <w:tabs>
                <w:tab w:val="left" w:pos="1168"/>
                <w:tab w:val="left" w:pos="3861"/>
              </w:tabs>
              <w:spacing w:after="0" w:line="240" w:lineRule="auto"/>
              <w:jc w:val="both"/>
              <w:rPr>
                <w:rFonts w:ascii="Times New Roman" w:hAnsi="Times New Roman" w:eastAsia="Times New Roman" w:cs="Times New Roman"/>
                <w:sz w:val="28"/>
                <w:szCs w:val="28"/>
                <w:u w:val="single"/>
                <w:lang w:val="uk-UA"/>
              </w:rPr>
            </w:pPr>
            <w:r>
              <w:rPr>
                <w:rFonts w:ascii="Times New Roman" w:hAnsi="Times New Roman" w:eastAsia="Times New Roman" w:cs="Times New Roman"/>
                <w:sz w:val="28"/>
                <w:szCs w:val="28"/>
                <w:u w:val="single"/>
                <w:lang w:val="uk-UA"/>
              </w:rPr>
              <w:tab/>
            </w:r>
            <w:r>
              <w:rPr>
                <w:rFonts w:ascii="Times New Roman" w:hAnsi="Times New Roman" w:eastAsia="Times New Roman" w:cs="Times New Roman"/>
                <w:sz w:val="28"/>
                <w:szCs w:val="28"/>
                <w:lang w:val="uk-UA"/>
              </w:rPr>
              <w:t xml:space="preserve">       _</w:t>
            </w:r>
            <w:r>
              <w:rPr>
                <w:rFonts w:hint="default" w:ascii="Times New Roman" w:hAnsi="Times New Roman" w:eastAsia="Times New Roman"/>
                <w:color w:val="auto"/>
                <w:sz w:val="28"/>
                <w:szCs w:val="28"/>
                <w:highlight w:val="none"/>
                <w:lang w:val="uk-UA"/>
              </w:rPr>
              <w:t>Брусиловська О</w:t>
            </w:r>
            <w:r>
              <w:rPr>
                <w:rFonts w:hint="default" w:ascii="Times New Roman" w:hAnsi="Times New Roman" w:eastAsia="Times New Roman"/>
                <w:color w:val="auto"/>
                <w:sz w:val="28"/>
                <w:szCs w:val="28"/>
                <w:highlight w:val="none"/>
                <w:lang w:val="ru-RU"/>
              </w:rPr>
              <w:t>.</w:t>
            </w:r>
            <w:r>
              <w:rPr>
                <w:rFonts w:hint="default" w:ascii="Times New Roman" w:hAnsi="Times New Roman" w:eastAsia="Times New Roman"/>
                <w:color w:val="auto"/>
                <w:sz w:val="28"/>
                <w:szCs w:val="28"/>
                <w:highlight w:val="none"/>
                <w:lang w:val="uk-UA"/>
              </w:rPr>
              <w:t>І</w:t>
            </w:r>
            <w:r>
              <w:rPr>
                <w:rFonts w:hint="default" w:ascii="Times New Roman" w:hAnsi="Times New Roman" w:eastAsia="Times New Roman"/>
                <w:color w:val="auto"/>
                <w:sz w:val="28"/>
                <w:szCs w:val="28"/>
                <w:highlight w:val="none"/>
                <w:lang w:val="ru-RU"/>
              </w:rPr>
              <w:t>.</w:t>
            </w:r>
            <w:r>
              <w:rPr>
                <w:rFonts w:ascii="Times New Roman" w:hAnsi="Times New Roman" w:eastAsia="Times New Roman" w:cs="Times New Roman"/>
                <w:sz w:val="28"/>
                <w:szCs w:val="28"/>
                <w:lang w:val="uk-UA"/>
              </w:rPr>
              <w:t>_</w:t>
            </w:r>
          </w:p>
          <w:p w14:paraId="5180A081">
            <w:pPr>
              <w:tabs>
                <w:tab w:val="left" w:pos="284"/>
                <w:tab w:val="left" w:pos="1767"/>
              </w:tabs>
              <w:spacing w:after="0" w:line="240" w:lineRule="auto"/>
              <w:jc w:val="both"/>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lang w:val="uk-UA"/>
              </w:rPr>
              <w:t xml:space="preserve">     (підпис)</w:t>
            </w:r>
            <w:r>
              <w:rPr>
                <w:rFonts w:ascii="Times New Roman" w:hAnsi="Times New Roman" w:eastAsia="Times New Roman" w:cs="Times New Roman"/>
                <w:sz w:val="20"/>
                <w:szCs w:val="20"/>
                <w:lang w:val="uk-UA"/>
              </w:rPr>
              <w:tab/>
            </w:r>
            <w:r>
              <w:rPr>
                <w:rFonts w:ascii="Times New Roman" w:hAnsi="Times New Roman" w:eastAsia="Times New Roman" w:cs="Times New Roman"/>
                <w:sz w:val="20"/>
                <w:szCs w:val="20"/>
                <w:lang w:val="uk-UA"/>
              </w:rPr>
              <w:t xml:space="preserve"> (</w:t>
            </w:r>
            <w:r>
              <w:rPr>
                <w:rFonts w:ascii="Times New Roman" w:hAnsi="Times New Roman" w:eastAsia="Times New Roman" w:cs="Times New Roman"/>
                <w:sz w:val="24"/>
                <w:szCs w:val="24"/>
                <w:lang w:val="uk-UA"/>
              </w:rPr>
              <w:t>прізвище, ім’я</w:t>
            </w:r>
            <w:r>
              <w:rPr>
                <w:rFonts w:ascii="Times New Roman" w:hAnsi="Times New Roman" w:eastAsia="Times New Roman" w:cs="Times New Roman"/>
                <w:sz w:val="20"/>
                <w:szCs w:val="20"/>
                <w:lang w:val="uk-UA"/>
              </w:rPr>
              <w:t>)</w:t>
            </w:r>
          </w:p>
        </w:tc>
        <w:tc>
          <w:tcPr>
            <w:tcW w:w="4786" w:type="dxa"/>
          </w:tcPr>
          <w:p w14:paraId="7C5332A1">
            <w:pPr>
              <w:tabs>
                <w:tab w:val="right" w:pos="4462"/>
              </w:tabs>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Захищено на засіданні ЕК № _____</w:t>
            </w:r>
          </w:p>
          <w:p w14:paraId="00C0F347">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протокол № __від ____.____.20___ р.</w:t>
            </w:r>
          </w:p>
          <w:p w14:paraId="0D4841DE">
            <w:pPr>
              <w:spacing w:after="0" w:line="240" w:lineRule="auto"/>
              <w:jc w:val="both"/>
              <w:rPr>
                <w:rFonts w:ascii="Times New Roman" w:hAnsi="Times New Roman" w:eastAsia="Times New Roman" w:cs="Times New Roman"/>
                <w:sz w:val="28"/>
                <w:szCs w:val="28"/>
                <w:lang w:val="uk-UA"/>
              </w:rPr>
            </w:pPr>
          </w:p>
          <w:p w14:paraId="27606573">
            <w:pPr>
              <w:tabs>
                <w:tab w:val="right" w:pos="4462"/>
              </w:tabs>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Оцінка______________/___</w:t>
            </w:r>
            <w:r>
              <w:rPr>
                <w:rFonts w:ascii="Times New Roman" w:hAnsi="Times New Roman" w:eastAsia="Times New Roman" w:cs="Times New Roman"/>
                <w:sz w:val="20"/>
                <w:szCs w:val="20"/>
                <w:lang w:val="uk-UA"/>
              </w:rPr>
              <w:tab/>
            </w:r>
            <w:r>
              <w:rPr>
                <w:rFonts w:ascii="Times New Roman" w:hAnsi="Times New Roman" w:eastAsia="Times New Roman" w:cs="Times New Roman"/>
                <w:sz w:val="28"/>
                <w:szCs w:val="28"/>
                <w:lang w:val="uk-UA"/>
              </w:rPr>
              <w:t>___/_____</w:t>
            </w:r>
          </w:p>
          <w:p w14:paraId="7FB01621">
            <w:pPr>
              <w:spacing w:after="0" w:line="240" w:lineRule="auto"/>
              <w:jc w:val="center"/>
              <w:rPr>
                <w:rFonts w:ascii="Times New Roman" w:hAnsi="Times New Roman" w:eastAsia="Times New Roman" w:cs="Times New Roman"/>
                <w:sz w:val="20"/>
                <w:szCs w:val="20"/>
                <w:lang w:val="uk-UA"/>
              </w:rPr>
            </w:pPr>
            <w:r>
              <w:rPr>
                <w:rFonts w:ascii="Times New Roman" w:hAnsi="Times New Roman" w:eastAsia="Times New Roman" w:cs="Times New Roman"/>
                <w:sz w:val="20"/>
                <w:szCs w:val="20"/>
                <w:lang w:val="uk-UA"/>
              </w:rPr>
              <w:t>(за національною шкалою/шкалою ЕСТS/ бали)</w:t>
            </w:r>
          </w:p>
          <w:p w14:paraId="20AC4C41">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Голова ЕК</w:t>
            </w:r>
          </w:p>
          <w:p w14:paraId="5342B3E8">
            <w:pPr>
              <w:spacing w:after="0" w:line="240" w:lineRule="auto"/>
              <w:jc w:val="both"/>
              <w:rPr>
                <w:rFonts w:ascii="Times New Roman" w:hAnsi="Times New Roman" w:eastAsia="Times New Roman" w:cs="Times New Roman"/>
                <w:sz w:val="28"/>
                <w:szCs w:val="28"/>
                <w:u w:val="single"/>
                <w:lang w:val="uk-UA"/>
              </w:rPr>
            </w:pPr>
            <w:r>
              <w:rPr>
                <w:rFonts w:ascii="Times New Roman" w:hAnsi="Times New Roman" w:eastAsia="Times New Roman" w:cs="Times New Roman"/>
                <w:sz w:val="28"/>
                <w:szCs w:val="28"/>
                <w:u w:val="single"/>
                <w:lang w:val="uk-UA"/>
              </w:rPr>
              <w:tab/>
            </w:r>
            <w:r>
              <w:rPr>
                <w:rFonts w:ascii="Times New Roman" w:hAnsi="Times New Roman" w:eastAsia="Times New Roman" w:cs="Times New Roman"/>
                <w:sz w:val="28"/>
                <w:szCs w:val="28"/>
                <w:lang w:val="uk-UA"/>
              </w:rPr>
              <w:t xml:space="preserve">              __</w:t>
            </w:r>
            <w:r>
              <w:rPr>
                <w:rFonts w:hint="default" w:ascii="Times New Roman" w:hAnsi="Times New Roman" w:eastAsia="Times New Roman"/>
                <w:sz w:val="28"/>
                <w:szCs w:val="28"/>
                <w:lang w:val="uk-UA"/>
              </w:rPr>
              <w:t>Глебов В.В.</w:t>
            </w:r>
            <w:r>
              <w:rPr>
                <w:rFonts w:ascii="Times New Roman" w:hAnsi="Times New Roman" w:eastAsia="Times New Roman" w:cs="Times New Roman"/>
                <w:sz w:val="28"/>
                <w:szCs w:val="28"/>
                <w:lang w:val="uk-UA"/>
              </w:rPr>
              <w:t>__</w:t>
            </w:r>
          </w:p>
          <w:p w14:paraId="54BFCE84">
            <w:pPr>
              <w:tabs>
                <w:tab w:val="left" w:pos="454"/>
                <w:tab w:val="left" w:pos="2155"/>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0"/>
                <w:szCs w:val="20"/>
                <w:lang w:val="uk-UA"/>
              </w:rPr>
              <w:t xml:space="preserve"> (підпис)                   (</w:t>
            </w:r>
            <w:r>
              <w:rPr>
                <w:rFonts w:ascii="Times New Roman" w:hAnsi="Times New Roman" w:eastAsia="Times New Roman" w:cs="Times New Roman"/>
                <w:sz w:val="24"/>
                <w:szCs w:val="24"/>
                <w:lang w:val="uk-UA"/>
              </w:rPr>
              <w:t>прізвище, ім’я</w:t>
            </w:r>
            <w:r>
              <w:rPr>
                <w:rFonts w:ascii="Times New Roman" w:hAnsi="Times New Roman" w:eastAsia="Times New Roman" w:cs="Times New Roman"/>
                <w:sz w:val="20"/>
                <w:szCs w:val="20"/>
              </w:rPr>
              <w:t>)</w:t>
            </w:r>
          </w:p>
        </w:tc>
      </w:tr>
      <w:tr w14:paraId="74238931">
        <w:tblPrEx>
          <w:tblCellMar>
            <w:top w:w="0" w:type="dxa"/>
            <w:left w:w="108" w:type="dxa"/>
            <w:bottom w:w="0" w:type="dxa"/>
            <w:right w:w="108" w:type="dxa"/>
          </w:tblCellMar>
        </w:tblPrEx>
        <w:tc>
          <w:tcPr>
            <w:tcW w:w="5082" w:type="dxa"/>
          </w:tcPr>
          <w:p w14:paraId="7C9676F9">
            <w:pPr>
              <w:spacing w:after="0" w:line="240" w:lineRule="auto"/>
              <w:jc w:val="both"/>
              <w:rPr>
                <w:rFonts w:ascii="Times New Roman" w:hAnsi="Times New Roman" w:eastAsia="Times New Roman" w:cs="Times New Roman"/>
                <w:sz w:val="28"/>
                <w:szCs w:val="28"/>
                <w:lang w:val="uk-UA"/>
              </w:rPr>
            </w:pPr>
          </w:p>
        </w:tc>
        <w:tc>
          <w:tcPr>
            <w:tcW w:w="4786" w:type="dxa"/>
          </w:tcPr>
          <w:p w14:paraId="676D27C2">
            <w:pPr>
              <w:spacing w:after="0" w:line="240" w:lineRule="auto"/>
              <w:jc w:val="both"/>
              <w:rPr>
                <w:rFonts w:ascii="Times New Roman" w:hAnsi="Times New Roman" w:eastAsia="Times New Roman" w:cs="Times New Roman"/>
                <w:sz w:val="28"/>
                <w:szCs w:val="28"/>
                <w:lang w:val="uk-UA"/>
              </w:rPr>
            </w:pPr>
          </w:p>
        </w:tc>
      </w:tr>
    </w:tbl>
    <w:p w14:paraId="19C496CE">
      <w:pPr>
        <w:spacing w:after="0" w:line="240" w:lineRule="auto"/>
        <w:jc w:val="center"/>
        <w:rPr>
          <w:rFonts w:ascii="Times New Roman" w:hAnsi="Times New Roman" w:eastAsia="Times New Roman" w:cs="Times New Roman"/>
          <w:b/>
          <w:sz w:val="28"/>
          <w:szCs w:val="28"/>
          <w:lang w:val="en-US"/>
        </w:rPr>
      </w:pPr>
      <w:r>
        <w:rPr>
          <w:rFonts w:ascii="Times New Roman" w:hAnsi="Times New Roman" w:eastAsia="Times New Roman" w:cs="Times New Roman"/>
          <w:b/>
          <w:sz w:val="28"/>
          <w:szCs w:val="28"/>
          <w:lang w:val="uk-UA"/>
        </w:rPr>
        <w:t>Одеса 20</w:t>
      </w:r>
      <w:r>
        <w:rPr>
          <w:rFonts w:ascii="Times New Roman" w:hAnsi="Times New Roman" w:eastAsia="Times New Roman" w:cs="Times New Roman"/>
          <w:b/>
          <w:sz w:val="28"/>
          <w:szCs w:val="28"/>
        </w:rPr>
        <w:t>2</w:t>
      </w:r>
      <w:r>
        <w:rPr>
          <w:rFonts w:ascii="Times New Roman" w:hAnsi="Times New Roman" w:eastAsia="Times New Roman" w:cs="Times New Roman"/>
          <w:b/>
          <w:sz w:val="28"/>
          <w:szCs w:val="28"/>
          <w:lang w:val="en-US"/>
        </w:rPr>
        <w:t>5</w:t>
      </w:r>
    </w:p>
    <w:p w14:paraId="305678A9">
      <w:pPr>
        <w:spacing w:after="0" w:line="360" w:lineRule="auto"/>
        <w:jc w:val="both"/>
        <w:rPr>
          <w:lang w:val="uk-UA"/>
        </w:rPr>
      </w:pPr>
    </w:p>
    <w:p w14:paraId="400BC477">
      <w:pPr>
        <w:spacing w:after="0" w:line="360" w:lineRule="auto"/>
        <w:ind w:firstLine="709"/>
        <w:jc w:val="both"/>
        <w:rPr>
          <w:lang w:val="uk-UA"/>
        </w:rPr>
        <w:sectPr>
          <w:headerReference r:id="rId5" w:type="default"/>
          <w:pgSz w:w="11906" w:h="16838"/>
          <w:pgMar w:top="1134" w:right="851" w:bottom="1134" w:left="1701" w:header="709" w:footer="709" w:gutter="0"/>
          <w:cols w:space="708" w:num="1"/>
          <w:titlePg/>
          <w:docGrid w:linePitch="360" w:charSpace="0"/>
        </w:sectPr>
      </w:pPr>
    </w:p>
    <w:sdt>
      <w:sdtPr>
        <w:rPr>
          <w:rFonts w:ascii="Calibri" w:hAnsi="Calibri" w:eastAsia="Calibri" w:cs="Arial"/>
          <w:color w:val="auto"/>
          <w:sz w:val="22"/>
          <w:szCs w:val="22"/>
          <w:lang w:val="ru-RU" w:eastAsia="en-US"/>
        </w:rPr>
        <w:id w:val="-578517576"/>
        <w:docPartObj>
          <w:docPartGallery w:val="Table of Contents"/>
          <w:docPartUnique/>
        </w:docPartObj>
      </w:sdtPr>
      <w:sdtEndPr>
        <w:rPr>
          <w:rFonts w:ascii="Calibri" w:hAnsi="Calibri" w:eastAsia="Calibri" w:cs="Arial"/>
          <w:color w:val="auto"/>
          <w:sz w:val="22"/>
          <w:szCs w:val="22"/>
          <w:lang w:val="ru-RU" w:eastAsia="en-US"/>
        </w:rPr>
      </w:sdtEndPr>
      <w:sdtContent>
        <w:p w14:paraId="1A58F4AE">
          <w:pPr>
            <w:pStyle w:val="16"/>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ЗМІСТ</w:t>
          </w:r>
        </w:p>
        <w:p w14:paraId="4DEDB952">
          <w:pPr>
            <w:rPr>
              <w:lang w:val="uk-UA" w:eastAsia="uk-UA"/>
            </w:rPr>
          </w:pPr>
        </w:p>
        <w:p w14:paraId="022D8D4B">
          <w:pPr>
            <w:pStyle w:val="8"/>
            <w:rPr>
              <w:rFonts w:eastAsiaTheme="minorEastAsia"/>
              <w:lang w:eastAsia="uk-UA"/>
            </w:rPr>
          </w:pPr>
          <w:r>
            <w:fldChar w:fldCharType="begin"/>
          </w:r>
          <w:r>
            <w:instrText xml:space="preserve"> TOC \o "1-3" \h \z \u </w:instrText>
          </w:r>
          <w:r>
            <w:fldChar w:fldCharType="separate"/>
          </w:r>
          <w:r>
            <w:fldChar w:fldCharType="begin"/>
          </w:r>
          <w:r>
            <w:instrText xml:space="preserve"> HYPERLINK \l "_Toc211811227" </w:instrText>
          </w:r>
          <w:r>
            <w:fldChar w:fldCharType="separate"/>
          </w:r>
          <w:r>
            <w:rPr>
              <w:rStyle w:val="6"/>
            </w:rPr>
            <w:t>ВСТУП</w:t>
          </w:r>
          <w:r>
            <w:tab/>
          </w:r>
          <w:r>
            <w:fldChar w:fldCharType="begin"/>
          </w:r>
          <w:r>
            <w:instrText xml:space="preserve"> PAGEREF _Toc211811227 \h </w:instrText>
          </w:r>
          <w:r>
            <w:fldChar w:fldCharType="separate"/>
          </w:r>
          <w:r>
            <w:t>3</w:t>
          </w:r>
          <w:r>
            <w:fldChar w:fldCharType="end"/>
          </w:r>
          <w:r>
            <w:fldChar w:fldCharType="end"/>
          </w:r>
        </w:p>
        <w:p w14:paraId="5CF55B1D">
          <w:pPr>
            <w:pStyle w:val="8"/>
            <w:rPr>
              <w:rFonts w:eastAsiaTheme="minorEastAsia"/>
              <w:lang w:eastAsia="uk-UA"/>
            </w:rPr>
          </w:pPr>
          <w:r>
            <w:fldChar w:fldCharType="begin"/>
          </w:r>
          <w:r>
            <w:instrText xml:space="preserve"> HYPERLINK \l "_Toc211811228" </w:instrText>
          </w:r>
          <w:r>
            <w:fldChar w:fldCharType="separate"/>
          </w:r>
          <w:r>
            <w:rPr>
              <w:rStyle w:val="6"/>
            </w:rPr>
            <w:t>РОЗДІЛ 1.</w:t>
          </w:r>
          <w:r>
            <w:rPr>
              <w:rStyle w:val="6"/>
            </w:rPr>
            <w:fldChar w:fldCharType="end"/>
          </w:r>
          <w:r>
            <w:fldChar w:fldCharType="begin"/>
          </w:r>
          <w:r>
            <w:instrText xml:space="preserve"> HYPERLINK \l "_Toc211811229" </w:instrText>
          </w:r>
          <w:r>
            <w:fldChar w:fldCharType="separate"/>
          </w:r>
          <w:r>
            <w:rPr>
              <w:rStyle w:val="6"/>
            </w:rPr>
            <w:t>ТЕОРЕТИЧНІ ЗАСАДИ  ДОСЛІДЖЕННЯ</w:t>
          </w:r>
          <w:r>
            <w:tab/>
          </w:r>
          <w:r>
            <w:fldChar w:fldCharType="begin"/>
          </w:r>
          <w:r>
            <w:instrText xml:space="preserve"> PAGEREF _Toc211811229 \h </w:instrText>
          </w:r>
          <w:r>
            <w:fldChar w:fldCharType="separate"/>
          </w:r>
          <w:r>
            <w:t>8</w:t>
          </w:r>
          <w:r>
            <w:fldChar w:fldCharType="end"/>
          </w:r>
          <w:r>
            <w:fldChar w:fldCharType="end"/>
          </w:r>
        </w:p>
        <w:p w14:paraId="613ACAAD">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"_Toc211811230" </w:instrText>
          </w:r>
          <w:r>
            <w:fldChar w:fldCharType="separate"/>
          </w:r>
          <w:r>
            <w:rPr>
              <w:rStyle w:val="6"/>
              <w:rFonts w:ascii="Times New Roman" w:hAnsi="Times New Roman" w:eastAsia="Times New Roman" w:cs="Times New Roman"/>
              <w:sz w:val="28"/>
              <w:szCs w:val="28"/>
              <w:lang w:val="uk-UA"/>
            </w:rPr>
            <w:t>1.1. Концептуальні основи школи політичного реалізму: погляд на гібридні війни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_Toc211811230 \h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5C977C0F">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"_Toc211811231" </w:instrText>
          </w:r>
          <w:r>
            <w:fldChar w:fldCharType="separate"/>
          </w:r>
          <w:r>
            <w:rPr>
              <w:rStyle w:val="6"/>
              <w:rFonts w:ascii="Times New Roman" w:hAnsi="Times New Roman" w:eastAsia="Times New Roman" w:cs="Times New Roman"/>
              <w:sz w:val="28"/>
              <w:szCs w:val="28"/>
              <w:lang w:val="uk-UA"/>
            </w:rPr>
            <w:t>1.2. Сучасний стан наукової розробки проблеми інформаційної війни в контексті гібридних конфліктів</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_Toc211811231 \h </w:instrText>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D95C7FA">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"_Toc211811232" </w:instrText>
          </w:r>
          <w:r>
            <w:fldChar w:fldCharType="separate"/>
          </w:r>
          <w:r>
            <w:rPr>
              <w:rStyle w:val="6"/>
              <w:rFonts w:ascii="Times New Roman" w:hAnsi="Times New Roman" w:eastAsia="Times New Roman" w:cs="Times New Roman"/>
              <w:sz w:val="28"/>
              <w:szCs w:val="28"/>
              <w:lang w:val="uk-UA"/>
            </w:rPr>
            <w:t>1.3. Категоріальний апарат дослідження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_Toc211811232 \h </w:instrText>
          </w:r>
          <w:r>
            <w:rPr>
              <w:rFonts w:ascii="Times New Roman" w:hAnsi="Times New Roman" w:cs="Times New Roman"/>
              <w:sz w:val="28"/>
              <w:szCs w:val="28"/>
            </w:rPr>
            <w:fldChar w:fldCharType="separate"/>
          </w:r>
          <w:r>
            <w:rPr>
              <w:rFonts w:ascii="Times New Roman" w:hAnsi="Times New Roman" w:cs="Times New Roman"/>
              <w:sz w:val="28"/>
              <w:szCs w:val="28"/>
            </w:rPr>
            <w:t>25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43703A89">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"_Toc211811233" </w:instrText>
          </w:r>
          <w:r>
            <w:fldChar w:fldCharType="separate"/>
          </w:r>
          <w:r>
            <w:rPr>
              <w:rStyle w:val="6"/>
              <w:rFonts w:ascii="Times New Roman" w:hAnsi="Times New Roman" w:eastAsia="Times New Roman" w:cs="Times New Roman"/>
              <w:sz w:val="28"/>
              <w:szCs w:val="28"/>
              <w:lang w:val="uk-UA"/>
            </w:rPr>
            <w:t>1.4. Джерельна база дослідження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_Toc211811233 \h </w:instrText>
          </w:r>
          <w:r>
            <w:rPr>
              <w:rFonts w:ascii="Times New Roman" w:hAnsi="Times New Roman" w:cs="Times New Roman"/>
              <w:sz w:val="28"/>
              <w:szCs w:val="28"/>
            </w:rPr>
            <w:fldChar w:fldCharType="separate"/>
          </w:r>
          <w:r>
            <w:rPr>
              <w:rFonts w:ascii="Times New Roman" w:hAnsi="Times New Roman" w:cs="Times New Roman"/>
              <w:sz w:val="28"/>
              <w:szCs w:val="28"/>
            </w:rPr>
            <w:t>28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83CD8B1">
          <w:pPr>
            <w:pStyle w:val="8"/>
            <w:rPr>
              <w:rFonts w:eastAsiaTheme="minorEastAsia"/>
              <w:lang w:eastAsia="uk-UA"/>
            </w:rPr>
          </w:pPr>
          <w:r>
            <w:fldChar w:fldCharType="begin"/>
          </w:r>
          <w:r>
            <w:instrText xml:space="preserve"> HYPERLINK \l "_Toc211811234" </w:instrText>
          </w:r>
          <w:r>
            <w:fldChar w:fldCharType="separate"/>
          </w:r>
          <w:r>
            <w:rPr>
              <w:rStyle w:val="6"/>
            </w:rPr>
            <w:t>РОЗДІЛ 2.</w:t>
          </w:r>
          <w:r>
            <w:rPr>
              <w:rStyle w:val="6"/>
            </w:rPr>
            <w:fldChar w:fldCharType="end"/>
          </w:r>
          <w:r>
            <w:fldChar w:fldCharType="begin"/>
          </w:r>
          <w:r>
            <w:instrText xml:space="preserve"> HYPERLINK \l "_Toc211811235" </w:instrText>
          </w:r>
          <w:r>
            <w:fldChar w:fldCharType="separate"/>
          </w:r>
          <w:r>
            <w:rPr>
              <w:rStyle w:val="6"/>
            </w:rPr>
            <w:t>ПРАКТИКА ВЕДЕННЯ ІНФОРМАЦІЙНОЇ ВІЙНИ В КОНТЕКСТІ ГІБРИДНИХ КОНФЛІКТІВ</w:t>
          </w:r>
          <w:r>
            <w:tab/>
          </w:r>
          <w:r>
            <w:fldChar w:fldCharType="begin"/>
          </w:r>
          <w:r>
            <w:instrText xml:space="preserve"> PAGEREF _Toc211811235 \h </w:instrText>
          </w:r>
          <w:r>
            <w:fldChar w:fldCharType="separate"/>
          </w:r>
          <w:r>
            <w:t>34</w:t>
          </w:r>
          <w:r>
            <w:fldChar w:fldCharType="end"/>
          </w:r>
          <w:r>
            <w:fldChar w:fldCharType="end"/>
          </w:r>
        </w:p>
        <w:p w14:paraId="28F2184C">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"_Toc211811236" </w:instrText>
          </w:r>
          <w:r>
            <w:fldChar w:fldCharType="separate"/>
          </w:r>
          <w:r>
            <w:rPr>
              <w:rStyle w:val="6"/>
              <w:rFonts w:ascii="Times New Roman" w:hAnsi="Times New Roman" w:eastAsia="Times New Roman" w:cs="Times New Roman"/>
              <w:sz w:val="28"/>
              <w:szCs w:val="28"/>
              <w:lang w:val="uk-UA"/>
            </w:rPr>
            <w:t>2.1. Еволюція та ключові положення офіційних стратегій і доктрин України та Російської Федерації у сфері інформаційної безпеки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_Toc211811236 \h </w:instrText>
          </w:r>
          <w:r>
            <w:rPr>
              <w:rFonts w:ascii="Times New Roman" w:hAnsi="Times New Roman" w:cs="Times New Roman"/>
              <w:sz w:val="28"/>
              <w:szCs w:val="28"/>
            </w:rPr>
            <w:fldChar w:fldCharType="separate"/>
          </w:r>
          <w:r>
            <w:rPr>
              <w:rFonts w:ascii="Times New Roman" w:hAnsi="Times New Roman" w:cs="Times New Roman"/>
              <w:sz w:val="28"/>
              <w:szCs w:val="28"/>
            </w:rPr>
            <w:t>34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E793095">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"_Toc211811237" </w:instrText>
          </w:r>
          <w:r>
            <w:fldChar w:fldCharType="separate"/>
          </w:r>
          <w:r>
            <w:rPr>
              <w:rStyle w:val="6"/>
              <w:rFonts w:ascii="Times New Roman" w:hAnsi="Times New Roman" w:eastAsia="Times New Roman" w:cs="Times New Roman"/>
              <w:sz w:val="28"/>
              <w:szCs w:val="28"/>
              <w:lang w:val="uk-UA"/>
            </w:rPr>
            <w:t>2.2. Російські інформаційні наративи та механізми дезінформації: цілі, інструменти, аудиторії</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_Toc211811237 \h </w:instrText>
          </w:r>
          <w:r>
            <w:rPr>
              <w:rFonts w:ascii="Times New Roman" w:hAnsi="Times New Roman" w:cs="Times New Roman"/>
              <w:sz w:val="28"/>
              <w:szCs w:val="28"/>
            </w:rPr>
            <w:fldChar w:fldCharType="separate"/>
          </w:r>
          <w:r>
            <w:rPr>
              <w:rFonts w:ascii="Times New Roman" w:hAnsi="Times New Roman" w:cs="Times New Roman"/>
              <w:sz w:val="28"/>
              <w:szCs w:val="28"/>
            </w:rPr>
            <w:t>41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528F8624">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"_Toc211811238" </w:instrText>
          </w:r>
          <w:r>
            <w:fldChar w:fldCharType="separate"/>
          </w:r>
          <w:r>
            <w:rPr>
              <w:rStyle w:val="6"/>
              <w:rFonts w:ascii="Times New Roman" w:hAnsi="Times New Roman" w:eastAsia="Times New Roman" w:cs="Times New Roman"/>
              <w:sz w:val="28"/>
              <w:szCs w:val="28"/>
              <w:lang w:val="uk-UA"/>
            </w:rPr>
            <w:t>2.3. Українські інформаційні наративи: цілі, інструменти, заходи щодо російської аудиторії</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_Toc211811238 \h </w:instrText>
          </w:r>
          <w:r>
            <w:rPr>
              <w:rFonts w:ascii="Times New Roman" w:hAnsi="Times New Roman" w:cs="Times New Roman"/>
              <w:sz w:val="28"/>
              <w:szCs w:val="28"/>
            </w:rPr>
            <w:fldChar w:fldCharType="separate"/>
          </w:r>
          <w:r>
            <w:rPr>
              <w:rFonts w:ascii="Times New Roman" w:hAnsi="Times New Roman" w:cs="Times New Roman"/>
              <w:sz w:val="28"/>
              <w:szCs w:val="28"/>
            </w:rPr>
            <w:t>48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37761920">
          <w:pPr>
            <w:pStyle w:val="8"/>
            <w:rPr>
              <w:rFonts w:eastAsiaTheme="minorEastAsia"/>
              <w:lang w:eastAsia="uk-UA"/>
            </w:rPr>
          </w:pPr>
          <w:r>
            <w:fldChar w:fldCharType="begin"/>
          </w:r>
          <w:r>
            <w:instrText xml:space="preserve"> HYPERLINK \l "_Toc211811239" </w:instrText>
          </w:r>
          <w:r>
            <w:fldChar w:fldCharType="separate"/>
          </w:r>
          <w:r>
            <w:rPr>
              <w:rStyle w:val="6"/>
            </w:rPr>
            <w:t>РОЗДІЛ 3.</w:t>
          </w:r>
          <w:r>
            <w:rPr>
              <w:rStyle w:val="6"/>
            </w:rPr>
            <w:fldChar w:fldCharType="end"/>
          </w:r>
          <w:r>
            <w:fldChar w:fldCharType="begin"/>
          </w:r>
          <w:r>
            <w:instrText xml:space="preserve"> HYPERLINK \l "_Toc211811240" </w:instrText>
          </w:r>
          <w:r>
            <w:fldChar w:fldCharType="separate"/>
          </w:r>
          <w:r>
            <w:rPr>
              <w:rStyle w:val="6"/>
            </w:rPr>
            <w:t>ПЕРСПЕКТИВИ ТА ПІДХОДИ ДО ПРОТИДІЇ ІНФОРМАЦІЙНИМ ЗАГРОЗАМ</w:t>
          </w:r>
          <w:r>
            <w:tab/>
          </w:r>
          <w:r>
            <w:fldChar w:fldCharType="begin"/>
          </w:r>
          <w:r>
            <w:instrText xml:space="preserve"> PAGEREF _Toc211811240 \h </w:instrText>
          </w:r>
          <w:r>
            <w:fldChar w:fldCharType="separate"/>
          </w:r>
          <w:r>
            <w:t>55</w:t>
          </w:r>
          <w:r>
            <w:fldChar w:fldCharType="end"/>
          </w:r>
          <w:r>
            <w:fldChar w:fldCharType="end"/>
          </w:r>
        </w:p>
        <w:p w14:paraId="081093D6">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"_Toc211811241" </w:instrText>
          </w:r>
          <w:r>
            <w:fldChar w:fldCharType="separate"/>
          </w:r>
          <w:r>
            <w:rPr>
              <w:rStyle w:val="6"/>
              <w:rFonts w:ascii="Times New Roman" w:hAnsi="Times New Roman" w:eastAsia="Times New Roman" w:cs="Times New Roman"/>
              <w:sz w:val="28"/>
              <w:szCs w:val="28"/>
              <w:lang w:val="uk-UA"/>
            </w:rPr>
            <w:t>3.1. Еволюція та інституціоналізація кібербезпеки України в умовах військової агресії</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_Toc211811241 \h </w:instrText>
          </w:r>
          <w:r>
            <w:rPr>
              <w:rFonts w:ascii="Times New Roman" w:hAnsi="Times New Roman" w:cs="Times New Roman"/>
              <w:sz w:val="28"/>
              <w:szCs w:val="28"/>
            </w:rPr>
            <w:fldChar w:fldCharType="separate"/>
          </w:r>
          <w:r>
            <w:rPr>
              <w:rFonts w:ascii="Times New Roman" w:hAnsi="Times New Roman" w:cs="Times New Roman"/>
              <w:sz w:val="28"/>
              <w:szCs w:val="28"/>
            </w:rPr>
            <w:t>55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3F0EE7DE">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"_Toc211811242" </w:instrText>
          </w:r>
          <w:r>
            <w:fldChar w:fldCharType="separate"/>
          </w:r>
          <w:r>
            <w:rPr>
              <w:rStyle w:val="6"/>
              <w:rFonts w:ascii="Times New Roman" w:hAnsi="Times New Roman" w:eastAsia="Times New Roman" w:cs="Times New Roman"/>
              <w:sz w:val="28"/>
              <w:szCs w:val="28"/>
              <w:lang w:val="uk-UA"/>
            </w:rPr>
            <w:t>3.2. Система національної стійкості до інформаційних атак: інституції, суспільство, технології</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_Toc211811242 \h </w:instrText>
          </w:r>
          <w:r>
            <w:rPr>
              <w:rFonts w:ascii="Times New Roman" w:hAnsi="Times New Roman" w:cs="Times New Roman"/>
              <w:sz w:val="28"/>
              <w:szCs w:val="28"/>
            </w:rPr>
            <w:fldChar w:fldCharType="separate"/>
          </w:r>
          <w:r>
            <w:rPr>
              <w:rFonts w:ascii="Times New Roman" w:hAnsi="Times New Roman" w:cs="Times New Roman"/>
              <w:sz w:val="28"/>
              <w:szCs w:val="28"/>
            </w:rPr>
            <w:t>60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2260FD2A">
          <w:pPr>
            <w:pStyle w:val="9"/>
            <w:tabs>
              <w:tab w:val="right" w:leader="dot" w:pos="9344"/>
            </w:tabs>
            <w:spacing w:after="0" w:line="360" w:lineRule="auto"/>
            <w:jc w:val="both"/>
            <w:rPr>
              <w:rFonts w:ascii="Times New Roman" w:hAnsi="Times New Roman" w:cs="Times New Roman" w:eastAsiaTheme="minorEastAsia"/>
              <w:sz w:val="28"/>
              <w:szCs w:val="28"/>
              <w:lang w:val="uk-UA" w:eastAsia="uk-UA"/>
            </w:rPr>
          </w:pPr>
          <w:r>
            <w:fldChar w:fldCharType="begin"/>
          </w:r>
          <w:r>
            <w:instrText xml:space="preserve"> HYPERLINK \l "_Toc211811243" </w:instrText>
          </w:r>
          <w:r>
            <w:fldChar w:fldCharType="separate"/>
          </w:r>
          <w:r>
            <w:rPr>
              <w:rStyle w:val="6"/>
              <w:rFonts w:ascii="Times New Roman" w:hAnsi="Times New Roman" w:eastAsia="Times New Roman" w:cs="Times New Roman"/>
              <w:sz w:val="28"/>
              <w:szCs w:val="28"/>
              <w:lang w:val="uk-UA"/>
            </w:rPr>
            <w:t>3.3. Цифрова дипломатія та міжнародне партнерство як інструменти інформаційної політики України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_Toc211811243 \h </w:instrText>
          </w:r>
          <w:r>
            <w:rPr>
              <w:rFonts w:ascii="Times New Roman" w:hAnsi="Times New Roman" w:cs="Times New Roman"/>
              <w:sz w:val="28"/>
              <w:szCs w:val="28"/>
            </w:rPr>
            <w:fldChar w:fldCharType="separate"/>
          </w:r>
          <w:r>
            <w:rPr>
              <w:rFonts w:ascii="Times New Roman" w:hAnsi="Times New Roman" w:cs="Times New Roman"/>
              <w:sz w:val="28"/>
              <w:szCs w:val="28"/>
            </w:rPr>
            <w:t>65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315E4D83">
          <w:pPr>
            <w:pStyle w:val="8"/>
            <w:rPr>
              <w:rFonts w:eastAsiaTheme="minorEastAsia"/>
              <w:lang w:eastAsia="uk-UA"/>
            </w:rPr>
          </w:pPr>
          <w:r>
            <w:fldChar w:fldCharType="begin"/>
          </w:r>
          <w:r>
            <w:instrText xml:space="preserve"> HYPERLINK \l "_Toc211811244" </w:instrText>
          </w:r>
          <w:r>
            <w:fldChar w:fldCharType="separate"/>
          </w:r>
          <w:r>
            <w:rPr>
              <w:rStyle w:val="6"/>
            </w:rPr>
            <w:t>ВИСНОВКИ</w:t>
          </w:r>
          <w:r>
            <w:tab/>
          </w:r>
          <w:r>
            <w:fldChar w:fldCharType="begin"/>
          </w:r>
          <w:r>
            <w:instrText xml:space="preserve"> PAGEREF _Toc211811244 \h </w:instrText>
          </w:r>
          <w:r>
            <w:fldChar w:fldCharType="separate"/>
          </w:r>
          <w:r>
            <w:t>78</w:t>
          </w:r>
          <w:r>
            <w:fldChar w:fldCharType="end"/>
          </w:r>
          <w:r>
            <w:fldChar w:fldCharType="end"/>
          </w:r>
        </w:p>
        <w:p w14:paraId="10BEF61C">
          <w:pPr>
            <w:pStyle w:val="8"/>
            <w:rPr>
              <w:rFonts w:eastAsiaTheme="minorEastAsia"/>
              <w:lang w:eastAsia="uk-UA"/>
            </w:rPr>
          </w:pPr>
          <w:r>
            <w:fldChar w:fldCharType="begin"/>
          </w:r>
          <w:r>
            <w:instrText xml:space="preserve"> HYPERLINK \l "_Toc211811245" </w:instrText>
          </w:r>
          <w:r>
            <w:fldChar w:fldCharType="separate"/>
          </w:r>
          <w:r>
            <w:rPr>
              <w:rStyle w:val="6"/>
            </w:rPr>
            <w:t>СПИСОК ВИКОРИСТАНИХ ДЖЕРЕЛ</w:t>
          </w:r>
          <w:r>
            <w:tab/>
          </w:r>
          <w:r>
            <w:fldChar w:fldCharType="begin"/>
          </w:r>
          <w:r>
            <w:instrText xml:space="preserve"> PAGEREF _Toc211811245 \h </w:instrText>
          </w:r>
          <w:r>
            <w:fldChar w:fldCharType="separate"/>
          </w:r>
          <w:r>
            <w:t>81</w:t>
          </w:r>
          <w:r>
            <w:fldChar w:fldCharType="end"/>
          </w:r>
          <w:r>
            <w:fldChar w:fldCharType="end"/>
          </w:r>
        </w:p>
        <w:p w14:paraId="4E503208">
          <w:pPr>
            <w:spacing w:after="0" w:line="360" w:lineRule="auto"/>
            <w:jc w:val="both"/>
          </w:pPr>
          <w:r>
            <w:rPr>
              <w:rFonts w:ascii="Times New Roman" w:hAnsi="Times New Roman" w:cs="Times New Roman"/>
              <w:b/>
              <w:bCs/>
              <w:sz w:val="28"/>
              <w:szCs w:val="28"/>
            </w:rPr>
            <w:fldChar w:fldCharType="end"/>
          </w:r>
        </w:p>
      </w:sdtContent>
    </w:sdt>
    <w:p w14:paraId="7561E09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3C143AA3">
      <w:pPr>
        <w:spacing w:after="0" w:line="360" w:lineRule="auto"/>
        <w:ind w:firstLine="709"/>
        <w:jc w:val="both"/>
        <w:rPr>
          <w:rFonts w:ascii="Times New Roman" w:hAnsi="Times New Roman" w:cs="Times New Roman"/>
          <w:sz w:val="28"/>
          <w:szCs w:val="28"/>
          <w:lang w:val="uk-UA"/>
        </w:rPr>
        <w:sectPr>
          <w:headerReference r:id="rId6" w:type="default"/>
          <w:pgSz w:w="11906" w:h="16838"/>
          <w:pgMar w:top="1134" w:right="851" w:bottom="1134" w:left="1701" w:header="709" w:footer="709" w:gutter="0"/>
          <w:cols w:space="708" w:num="1"/>
          <w:docGrid w:linePitch="360" w:charSpace="0"/>
        </w:sectPr>
      </w:pPr>
    </w:p>
    <w:p w14:paraId="3109F0C4">
      <w:pPr>
        <w:pStyle w:val="2"/>
        <w:spacing w:before="0" w:line="360" w:lineRule="auto"/>
        <w:jc w:val="center"/>
        <w:rPr>
          <w:lang w:val="uk-UA"/>
        </w:rPr>
      </w:pPr>
      <w:bookmarkStart w:id="1" w:name="_Toc211811227"/>
      <w:r>
        <w:rPr>
          <w:lang w:val="uk-UA"/>
        </w:rPr>
        <w:t>ВСТУП</w:t>
      </w:r>
      <w:bookmarkEnd w:id="1"/>
    </w:p>
    <w:p w14:paraId="2F4316A4">
      <w:pPr>
        <w:spacing w:after="0" w:line="360" w:lineRule="auto"/>
        <w:ind w:firstLine="709"/>
        <w:jc w:val="both"/>
        <w:rPr>
          <w:rFonts w:ascii="Times New Roman" w:hAnsi="Times New Roman" w:cs="Times New Roman"/>
          <w:sz w:val="28"/>
          <w:szCs w:val="28"/>
          <w:lang w:val="uk-UA"/>
        </w:rPr>
      </w:pPr>
    </w:p>
    <w:p w14:paraId="22690E0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Актуальність теми. </w:t>
      </w:r>
      <w:r>
        <w:rPr>
          <w:rFonts w:ascii="Times New Roman" w:hAnsi="Times New Roman" w:cs="Times New Roman"/>
          <w:sz w:val="28"/>
          <w:szCs w:val="28"/>
          <w:lang w:val="uk-UA"/>
        </w:rPr>
        <w:t>В умовах сучасних міжнародних конфліктів інформаційні стратегії трансформувалися у стратегічний інструмент геополітичного впливу, набувши статусу невід’ємного компонента гібридного протиборства. Починаючи з 2014 року, Україна та Російська Федерація перебувають у стані тривалого інформаційно-комунікаційного конфлікту, що функціонує як інтегрований елемент ширшого військово-політичного протистояння. Зацікавленість у зазначеній проблематиці детермінована необхідністю здійснення системно-комплексного аналізу інформаційних стратегій України та Російської Федерації в парадигмі гібридного протистояння, а також потребою у науковій реінтерпретації концептуальних і методологічних підходів до конструювання ефективної державної інформаційної політики та інституціоналізованих механізмів контрдезінформаційного реагування.</w:t>
      </w:r>
    </w:p>
    <w:p w14:paraId="5858918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Практична актуальність роботи </w:t>
      </w:r>
      <w:r>
        <w:rPr>
          <w:rFonts w:ascii="Times New Roman" w:hAnsi="Times New Roman" w:cs="Times New Roman"/>
          <w:sz w:val="28"/>
          <w:szCs w:val="28"/>
          <w:lang w:val="uk-UA"/>
        </w:rPr>
        <w:t>полягає у її значенні для удосконалення державної політики України у сфері кібер- та інформаційної безпеки, а також для підвищення ефективності стратегічних комунікацій у зовнішньополітичній діяльності. Результати дослідження можуть бути використані органами державної влади, аналітичними центрами та дипломатичними установами під час формування комплексних програм протидії інформаційним загрозам, розвитку цифрової дипломатії та зміцнення інформаційної стійкості держави</w:t>
      </w:r>
    </w:p>
    <w:p w14:paraId="67810C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належить до </w:t>
      </w:r>
      <w:r>
        <w:rPr>
          <w:rFonts w:ascii="Times New Roman" w:hAnsi="Times New Roman" w:cs="Times New Roman"/>
          <w:b/>
          <w:sz w:val="28"/>
          <w:szCs w:val="28"/>
          <w:lang w:val="uk-UA"/>
        </w:rPr>
        <w:t>емпіричного типу</w:t>
      </w:r>
      <w:r>
        <w:rPr>
          <w:rFonts w:ascii="Times New Roman" w:hAnsi="Times New Roman" w:cs="Times New Roman"/>
          <w:sz w:val="28"/>
          <w:szCs w:val="28"/>
          <w:lang w:val="uk-UA"/>
        </w:rPr>
        <w:t xml:space="preserve"> наукової рефлексії, оскільки його аналітико-кореляційна логіка зорієнтована на ідентифікацію каузальних детермінацій між феноменом гібридної війни як </w:t>
      </w:r>
      <w:r>
        <w:rPr>
          <w:rFonts w:ascii="Times New Roman" w:hAnsi="Times New Roman" w:cs="Times New Roman"/>
          <w:b/>
          <w:sz w:val="28"/>
          <w:szCs w:val="28"/>
          <w:lang w:val="uk-UA"/>
        </w:rPr>
        <w:t>незалежної змінної</w:t>
      </w:r>
      <w:r>
        <w:rPr>
          <w:rFonts w:ascii="Times New Roman" w:hAnsi="Times New Roman" w:cs="Times New Roman"/>
          <w:sz w:val="28"/>
          <w:szCs w:val="28"/>
          <w:lang w:val="uk-UA"/>
        </w:rPr>
        <w:t xml:space="preserve"> та інформаційними стратегіями України й Російської Федерації як </w:t>
      </w:r>
      <w:r>
        <w:rPr>
          <w:rFonts w:ascii="Times New Roman" w:hAnsi="Times New Roman" w:cs="Times New Roman"/>
          <w:b/>
          <w:sz w:val="28"/>
          <w:szCs w:val="28"/>
          <w:lang w:val="uk-UA"/>
        </w:rPr>
        <w:t xml:space="preserve">залежними змінними. </w:t>
      </w:r>
      <w:r>
        <w:rPr>
          <w:rFonts w:ascii="Times New Roman" w:hAnsi="Times New Roman" w:cs="Times New Roman"/>
          <w:sz w:val="28"/>
          <w:szCs w:val="28"/>
          <w:lang w:val="uk-UA"/>
        </w:rPr>
        <w:t>Вихідне епістемологічне припущення ґрунтується на тезі, що субстанційні параметри досліджуваного феномену мають інституційно-структурну природу. Ідеться не про дискретні або контингентні комунікаційні практики окремих акторів, а про системно репліковані політичні патерни, нормативно верифіковані стратегії державної інформаційної політики та інтерурядові формати стратегічних комунікацій, які функціонують у межах інституціоналізованої архітектоніки інформаційного простору.</w:t>
      </w:r>
    </w:p>
    <w:p w14:paraId="145B4EB4">
      <w:pPr>
        <w:spacing w:after="0" w:line="360" w:lineRule="auto"/>
        <w:ind w:firstLine="709"/>
        <w:jc w:val="both"/>
        <w:rPr>
          <w:rFonts w:ascii="Times New Roman" w:hAnsi="Times New Roman" w:cs="Times New Roman"/>
          <w:bCs/>
          <w:sz w:val="28"/>
          <w:szCs w:val="28"/>
          <w:lang w:val="uk-UA"/>
        </w:rPr>
      </w:pPr>
      <w:r>
        <w:rPr>
          <w:rFonts w:ascii="Times New Roman" w:hAnsi="Times New Roman"/>
          <w:b/>
          <w:sz w:val="28"/>
          <w:szCs w:val="28"/>
          <w:lang w:val="uk-UA"/>
        </w:rPr>
        <w:t>Дослідницьке питання</w:t>
      </w:r>
      <w:r>
        <w:rPr>
          <w:rFonts w:ascii="Times New Roman" w:hAnsi="Times New Roman" w:cs="Times New Roman"/>
          <w:b/>
          <w:sz w:val="28"/>
          <w:szCs w:val="28"/>
          <w:lang w:val="uk-UA"/>
        </w:rPr>
        <w:t>:</w:t>
      </w:r>
      <w:r>
        <w:rPr>
          <w:rFonts w:ascii="Times New Roman" w:hAnsi="Times New Roman" w:cs="Times New Roman"/>
          <w:bCs/>
          <w:sz w:val="28"/>
          <w:szCs w:val="28"/>
          <w:lang w:val="uk-UA"/>
        </w:rPr>
        <w:t xml:space="preserve"> Як гібридна війна впливає на інформаційні стратегії України та Росії?</w:t>
      </w:r>
    </w:p>
    <w:p w14:paraId="1C15D4D3">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sz w:val="28"/>
          <w:szCs w:val="28"/>
          <w:lang w:val="uk-UA"/>
        </w:rPr>
        <w:t>Об’єктом дослідження</w:t>
      </w:r>
      <w:r>
        <w:rPr>
          <w:rFonts w:ascii="Times New Roman" w:hAnsi="Times New Roman" w:cs="Times New Roman"/>
          <w:bCs/>
          <w:sz w:val="28"/>
          <w:szCs w:val="28"/>
          <w:lang w:val="uk-UA"/>
        </w:rPr>
        <w:t xml:space="preserve"> є російсько-українська </w:t>
      </w:r>
      <w:r>
        <w:rPr>
          <w:rFonts w:ascii="Times New Roman" w:hAnsi="Times New Roman"/>
          <w:bCs/>
          <w:sz w:val="28"/>
          <w:szCs w:val="28"/>
          <w:lang w:val="uk-UA"/>
        </w:rPr>
        <w:t>війна.</w:t>
      </w:r>
    </w:p>
    <w:p w14:paraId="67F3814F">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sz w:val="28"/>
          <w:szCs w:val="28"/>
          <w:lang w:val="uk-UA"/>
        </w:rPr>
        <w:t>Предметом дослідження</w:t>
      </w:r>
      <w:r>
        <w:rPr>
          <w:rFonts w:ascii="Times New Roman" w:hAnsi="Times New Roman" w:cs="Times New Roman"/>
          <w:bCs/>
          <w:sz w:val="28"/>
          <w:szCs w:val="28"/>
          <w:lang w:val="uk-UA"/>
        </w:rPr>
        <w:t xml:space="preserve"> є інформаційні стратегії України та Росії в умовах гібридної війни.</w:t>
      </w:r>
      <w:r>
        <w:rPr>
          <w:rFonts w:ascii="Times New Roman" w:hAnsi="Times New Roman" w:cs="Times New Roman"/>
          <w:b/>
          <w:sz w:val="28"/>
          <w:szCs w:val="28"/>
          <w:lang w:val="uk-UA"/>
        </w:rPr>
        <w:t xml:space="preserve"> </w:t>
      </w:r>
    </w:p>
    <w:p w14:paraId="2E65F6F5">
      <w:pPr>
        <w:tabs>
          <w:tab w:val="left" w:pos="1134"/>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Метою дослідження</w:t>
      </w:r>
      <w:r>
        <w:rPr>
          <w:rFonts w:ascii="Times New Roman" w:hAnsi="Times New Roman" w:cs="Times New Roman"/>
          <w:sz w:val="28"/>
          <w:szCs w:val="28"/>
          <w:lang w:val="uk-UA"/>
        </w:rPr>
        <w:t xml:space="preserve"> є комплексне виявлення закономірностей трансформації інформаційних стратегій України та Російської Федерації в умовах гібридного протиборства, а також визначення їхнього впливу на формування інформаційного суверенітету, когнітивної безпеки та міжнародного іміджу держав.</w:t>
      </w:r>
    </w:p>
    <w:p w14:paraId="35DF995F">
      <w:pPr>
        <w:tabs>
          <w:tab w:val="left" w:pos="1134"/>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Відповідно до поставленої мети, у роботі сформульовано такі</w:t>
      </w:r>
      <w:r>
        <w:rPr>
          <w:rFonts w:ascii="Times New Roman" w:hAnsi="Times New Roman" w:cs="Times New Roman"/>
          <w:b/>
          <w:sz w:val="28"/>
          <w:szCs w:val="28"/>
          <w:lang w:val="uk-UA"/>
        </w:rPr>
        <w:t xml:space="preserve"> завдання дослідження:</w:t>
      </w:r>
    </w:p>
    <w:p w14:paraId="2D739DBF">
      <w:pPr>
        <w:pStyle w:val="15"/>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теоретико-методологічні засади аналізу гібридної війни в межах парадигми політичного реалізму та окреслити ключові підходи до вивчення інформаційних стратегій у міжнародних відносинах.</w:t>
      </w:r>
    </w:p>
    <w:p w14:paraId="04976ACE">
      <w:pPr>
        <w:pStyle w:val="15"/>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сучасний стан наукової розробки проблеми інформаційної війни, уточнивши понятійно-категоріальний апарат дослідження та ступінь концептуального опрацювання теми.</w:t>
      </w:r>
    </w:p>
    <w:p w14:paraId="08EA112C">
      <w:pPr>
        <w:pStyle w:val="15"/>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еволюцію офіційних стратегій і доктрин України та Російської Федерації у сфері інформаційної безпеки, визначивши їхні структурні особливості, стратегічні пріоритети та принципи реалізації.</w:t>
      </w:r>
    </w:p>
    <w:p w14:paraId="5C7F901A">
      <w:pPr>
        <w:pStyle w:val="15"/>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Виявити цілі, інструменти, механізми та аудиторії російських інформаційних кампаній, а також форми когнітивного впливу на зовнішню і внутрішню аудиторії.</w:t>
      </w:r>
    </w:p>
    <w:p w14:paraId="54513AAC">
      <w:pPr>
        <w:pStyle w:val="15"/>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інформаційні наративи України, їхню динаміку, комунікаційні канали та форми міжнародного позиціонування в умовах гібридної війни.</w:t>
      </w:r>
    </w:p>
    <w:p w14:paraId="08EF7232">
      <w:pPr>
        <w:pStyle w:val="15"/>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Порівняти моделі протидії інформаційним загрозам у міжнародній практиці з акцентом на досвід ЄС, НАТО, США, Естонії та Польщі, визначивши можливості їх адаптації до українських реалій.</w:t>
      </w:r>
    </w:p>
    <w:p w14:paraId="1B64368C">
      <w:pPr>
        <w:pStyle w:val="15"/>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архітектоніку системи національної стійкості України до інформаційних атак, зокрема інституційний, суспільний та технологічний виміри.</w:t>
      </w:r>
    </w:p>
    <w:p w14:paraId="60BFFA7B">
      <w:pPr>
        <w:pStyle w:val="15"/>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Оцінити роль цифрової дипломатії, міжнародного партнерства та стратегічних комунікацій у забезпеченні інформаційної безпеки України й формуванні її позитивного міжнародного іміджу.</w:t>
      </w:r>
    </w:p>
    <w:p w14:paraId="2421938D">
      <w:pPr>
        <w:tabs>
          <w:tab w:val="left" w:pos="1134"/>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Гіпотези дослідження:</w:t>
      </w:r>
    </w:p>
    <w:p w14:paraId="759208ED">
      <w:pPr>
        <w:pStyle w:val="15"/>
        <w:numPr>
          <w:ilvl w:val="0"/>
          <w:numId w:val="2"/>
        </w:numPr>
        <w:tabs>
          <w:tab w:val="left" w:pos="1134"/>
        </w:tabs>
        <w:spacing w:after="0" w:line="360" w:lineRule="auto"/>
        <w:ind w:left="0" w:firstLine="709"/>
        <w:jc w:val="both"/>
        <w:rPr>
          <w:rFonts w:ascii="Times New Roman" w:hAnsi="Times New Roman" w:cs="Times New Roman"/>
          <w:bCs/>
          <w:sz w:val="28"/>
          <w:szCs w:val="28"/>
        </w:rPr>
      </w:pPr>
      <w:r>
        <w:rPr>
          <w:rFonts w:ascii="Times New Roman" w:hAnsi="Times New Roman"/>
          <w:sz w:val="28"/>
          <w:szCs w:val="28"/>
        </w:rPr>
        <w:t>Інформаційні стратегії</w:t>
      </w:r>
      <w:r>
        <w:rPr>
          <w:rFonts w:ascii="Times New Roman" w:hAnsi="Times New Roman"/>
          <w:bCs/>
          <w:sz w:val="28"/>
          <w:szCs w:val="28"/>
        </w:rPr>
        <w:t xml:space="preserve"> Росії та України змінилися під впливом російсько-української війни.</w:t>
      </w:r>
    </w:p>
    <w:p w14:paraId="27964EE9">
      <w:pPr>
        <w:pStyle w:val="15"/>
        <w:numPr>
          <w:ilvl w:val="0"/>
          <w:numId w:val="2"/>
        </w:numPr>
        <w:tabs>
          <w:tab w:val="left" w:pos="1134"/>
        </w:tabs>
        <w:spacing w:after="0" w:line="360" w:lineRule="auto"/>
        <w:ind w:left="0" w:firstLine="709"/>
        <w:jc w:val="both"/>
        <w:rPr>
          <w:rFonts w:ascii="Times New Roman" w:hAnsi="Times New Roman" w:cs="Times New Roman"/>
          <w:bCs/>
          <w:sz w:val="28"/>
          <w:szCs w:val="28"/>
        </w:rPr>
      </w:pPr>
      <w:r>
        <w:rPr>
          <w:rFonts w:ascii="Times New Roman" w:hAnsi="Times New Roman"/>
          <w:sz w:val="28"/>
          <w:szCs w:val="28"/>
        </w:rPr>
        <w:t>Інформаційні стратегії</w:t>
      </w:r>
      <w:r>
        <w:rPr>
          <w:rFonts w:ascii="Times New Roman" w:hAnsi="Times New Roman"/>
          <w:bCs/>
          <w:sz w:val="28"/>
          <w:szCs w:val="28"/>
        </w:rPr>
        <w:t xml:space="preserve"> Росії та України не змінилися під впливом російсько-української війни.</w:t>
      </w:r>
    </w:p>
    <w:p w14:paraId="5A412E34">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sz w:val="28"/>
          <w:szCs w:val="28"/>
          <w:lang w:val="uk-UA"/>
        </w:rPr>
        <w:t>Хронологічні рамки дослідження</w:t>
      </w:r>
      <w:r>
        <w:rPr>
          <w:rFonts w:ascii="Times New Roman" w:hAnsi="Times New Roman" w:cs="Times New Roman"/>
          <w:sz w:val="28"/>
          <w:szCs w:val="28"/>
          <w:lang w:val="uk-UA"/>
        </w:rPr>
        <w:t xml:space="preserve"> охоплюють період з 2014 року по сьогодення. Початкова дата зумовлена початком активної фази російсько-українського конфлікту, анексією Криму та розгортанням системних інформаційних операцій, які ознаменували якісно новий етап у застосуванні гібридних стратегій впливу. Адже, саме з цього часу інформаційна складова перетворюється на ключовий інструмент зовнішньополітичного та безпекового протиборства. Кінцева межа – сучасний етап у 2025 р., який визначається триваючою динамікою війни та еволюцією цифрових технологій, що формують нові моделі стратегічних комунікацій, кібербезпеки та державної інформаційної політики України.</w:t>
      </w:r>
    </w:p>
    <w:p w14:paraId="453A600F">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Застосування зазначених методів забезпечує тріангуляцію дослідження, у межах якої результати, отримані за допомогою кейс-стаді, системного, компаративного та історичного підходів, взаємно перевіряються й уточнюються, що підвищує достовірність висновків і дозволяє представити еволюцію інформаційних стратегій у цілісному, багатовимірному контексті.</w:t>
      </w:r>
    </w:p>
    <w:p w14:paraId="5C9EA167">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Методи дослідження.</w:t>
      </w:r>
      <w:r>
        <w:rPr>
          <w:rFonts w:ascii="Times New Roman" w:hAnsi="Times New Roman" w:cs="Times New Roman"/>
          <w:bCs/>
          <w:sz w:val="28"/>
          <w:szCs w:val="28"/>
          <w:lang w:val="uk-UA"/>
        </w:rPr>
        <w:t xml:space="preserve"> Для досягнення поставленої мети застосовано комплекс методів, що поєднують теоретичний та емпіричний підходи. Основним методом виступає метод кейс-стаді, який забезпечує детальний аналіз окремих інформаційних кампаній України та Росії, дозволяючи виявити причинно-наслідкові зв’язки між гібридною війною та трансформацією інформаційних стратегій. Додатково використано системний підхід, що дав змогу розглядати інформаційні стратегії як елементи цілісної структури міжнародних комунікацій, та компаративний метод, який уможливив порівняння підходів двох держав до формування й реалізації інформаційної політики. Для збору даних застосовано аналіз офіційних документів, моніторинг матеріалів провідних медіа, а також узагальнення напрацювань наукових центрів і міжнародних організацій. У процесі дослідження застосовано історичний метод, який дав змогу простежити еволюцію інформаційних стратегій у часовій динаміці від початку російсько-українського конфлікту 2014 року до сучасного етапу цифрової трансформації державної політики безпеки. Використання цього методу дозволило виявити послідовність етапів формування, зміну змістових акцентів та інституційне закріплення інформаційних стратегій обох держав.</w:t>
      </w:r>
    </w:p>
    <w:p w14:paraId="4D58F135">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Наукова актуальність роботи </w:t>
      </w:r>
      <w:r>
        <w:rPr>
          <w:rFonts w:ascii="Times New Roman" w:hAnsi="Times New Roman" w:cs="Times New Roman"/>
          <w:bCs/>
          <w:sz w:val="28"/>
          <w:szCs w:val="28"/>
          <w:lang w:val="uk-UA"/>
        </w:rPr>
        <w:t>зумовлена недостатньою концептуальною розробленістю проблеми інформаційних стратегій у контексті гібридних війн, потребою критичного переосмислення існуючих наукових підходів до аналізу цифрової комунікації та політичних технологій впливу. У сучасній науковій думці бракує системного, міждисциплінарного дослідження, яке б інтегрувало теоретичні підходи політології, міжнародних відносин та кібербезпеки.</w:t>
      </w:r>
    </w:p>
    <w:p w14:paraId="2BD3254C">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Апробація результатів дослідження. </w:t>
      </w:r>
      <w:r>
        <w:rPr>
          <w:rFonts w:ascii="Times New Roman" w:hAnsi="Times New Roman" w:cs="Times New Roman"/>
          <w:sz w:val="28"/>
          <w:szCs w:val="28"/>
          <w:lang w:val="uk-UA"/>
        </w:rPr>
        <w:t>О</w:t>
      </w:r>
      <w:r>
        <w:rPr>
          <w:rFonts w:ascii="Times New Roman" w:hAnsi="Times New Roman"/>
          <w:sz w:val="28"/>
          <w:szCs w:val="28"/>
          <w:lang w:val="uk-UA"/>
        </w:rPr>
        <w:t>сновні положення та висновки роботи були апробовані у рамках VIІ наукової конференції «Політичні проблеми міжнародних систем та глобального розвитку» (28 травня 2025 р., ОНУ імені І. І. Мечникова, м. Одеса), та тез «Зовнішньополітичні наративи України та Росії у контексті інформаційного протистояння в умовах війни»</w:t>
      </w:r>
      <w:r>
        <w:rPr>
          <w:rFonts w:ascii="Times New Roman" w:hAnsi="Times New Roman" w:cs="Times New Roman"/>
          <w:sz w:val="28"/>
          <w:szCs w:val="28"/>
          <w:lang w:val="uk-UA"/>
        </w:rPr>
        <w:t>.</w:t>
      </w:r>
    </w:p>
    <w:p w14:paraId="63F8A94C">
      <w:pPr>
        <w:spacing w:after="0" w:line="360" w:lineRule="auto"/>
        <w:ind w:firstLine="709"/>
        <w:jc w:val="both"/>
        <w:rPr>
          <w:rFonts w:ascii="Times New Roman" w:hAnsi="Times New Roman"/>
          <w:bCs/>
          <w:sz w:val="28"/>
          <w:szCs w:val="28"/>
          <w:lang w:val="uk-UA"/>
        </w:rPr>
      </w:pPr>
      <w:r>
        <w:rPr>
          <w:rFonts w:ascii="Times New Roman" w:hAnsi="Times New Roman" w:cs="Times New Roman"/>
          <w:b/>
          <w:sz w:val="28"/>
          <w:szCs w:val="28"/>
          <w:lang w:val="uk-UA"/>
        </w:rPr>
        <w:t>Структура роботи.</w:t>
      </w:r>
      <w:r>
        <w:rPr>
          <w:rFonts w:ascii="Times New Roman" w:hAnsi="Times New Roman" w:cs="Times New Roman"/>
          <w:bCs/>
          <w:sz w:val="28"/>
          <w:szCs w:val="28"/>
          <w:lang w:val="uk-UA"/>
        </w:rPr>
        <w:t xml:space="preserve"> Дослідження складається </w:t>
      </w:r>
      <w:r>
        <w:rPr>
          <w:rFonts w:ascii="Times New Roman" w:hAnsi="Times New Roman"/>
          <w:bCs/>
          <w:sz w:val="28"/>
          <w:szCs w:val="28"/>
          <w:lang w:val="uk-UA"/>
        </w:rPr>
        <w:t>зі вступу, трьох розділів та висновків. У першому розділі викладено теоретичні засади інформаційної війни та проаналізовано можливості застосування концепції політичного реалізму для її дослідження. Другий розділ присвячено практичному аналізу інформаційних стратегій України та Росії, зокрема розглянуто інструменти їх реалізації та механізми впливу на суспільство. У третьому розділі проведено оцінку ефективності інформаційної політики України й визначено перспективи протидії інформаційним загрозам у контексті сучасної міжнародної безпеки.</w:t>
      </w:r>
    </w:p>
    <w:p w14:paraId="7AEBEFAB">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Обсяг роботи. </w:t>
      </w:r>
      <w:r>
        <w:rPr>
          <w:rFonts w:ascii="Times New Roman" w:hAnsi="Times New Roman" w:cs="Times New Roman"/>
          <w:bCs/>
          <w:sz w:val="28"/>
          <w:szCs w:val="28"/>
          <w:lang w:val="uk-UA"/>
        </w:rPr>
        <w:t xml:space="preserve">Загальний обсяг роботи складає </w:t>
      </w:r>
      <w:r>
        <w:rPr>
          <w:rFonts w:hint="default" w:ascii="Times New Roman" w:hAnsi="Times New Roman" w:cs="Times New Roman"/>
          <w:bCs/>
          <w:sz w:val="28"/>
          <w:szCs w:val="28"/>
          <w:lang w:val="uk-UA"/>
        </w:rPr>
        <w:t>78</w:t>
      </w:r>
      <w:bookmarkStart w:id="20" w:name="_GoBack"/>
      <w:bookmarkEnd w:id="20"/>
      <w:r>
        <w:rPr>
          <w:rFonts w:ascii="Times New Roman" w:hAnsi="Times New Roman" w:cs="Times New Roman"/>
          <w:bCs/>
          <w:sz w:val="28"/>
          <w:szCs w:val="28"/>
          <w:lang w:val="uk-UA"/>
        </w:rPr>
        <w:t xml:space="preserve"> сторінок тексту без урахування списку посилань.</w:t>
      </w:r>
    </w:p>
    <w:p w14:paraId="6C6EEFE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2B5BF889">
      <w:pPr>
        <w:spacing w:after="0" w:line="360" w:lineRule="auto"/>
        <w:ind w:firstLine="709"/>
        <w:jc w:val="both"/>
        <w:rPr>
          <w:rFonts w:ascii="Times New Roman" w:hAnsi="Times New Roman" w:cs="Times New Roman"/>
          <w:sz w:val="28"/>
          <w:szCs w:val="28"/>
          <w:lang w:val="uk-UA"/>
        </w:rPr>
        <w:sectPr>
          <w:headerReference r:id="rId7" w:type="default"/>
          <w:pgSz w:w="11906" w:h="16838"/>
          <w:pgMar w:top="1134" w:right="851" w:bottom="1134" w:left="1701" w:header="709" w:footer="709" w:gutter="0"/>
          <w:cols w:space="708" w:num="1"/>
          <w:docGrid w:linePitch="360" w:charSpace="0"/>
        </w:sectPr>
      </w:pPr>
    </w:p>
    <w:p w14:paraId="173B64CE">
      <w:pPr>
        <w:pStyle w:val="2"/>
        <w:spacing w:before="0" w:line="360" w:lineRule="auto"/>
        <w:jc w:val="center"/>
        <w:rPr>
          <w:rFonts w:cs="Times New Roman"/>
          <w:szCs w:val="28"/>
          <w:lang w:val="uk-UA"/>
        </w:rPr>
      </w:pPr>
      <w:bookmarkStart w:id="2" w:name="_Toc211811228"/>
      <w:r>
        <w:rPr>
          <w:rFonts w:cs="Times New Roman"/>
          <w:szCs w:val="28"/>
          <w:lang w:val="uk-UA"/>
        </w:rPr>
        <w:t>РОЗДІЛ 1.</w:t>
      </w:r>
      <w:bookmarkEnd w:id="2"/>
      <w:r>
        <w:rPr>
          <w:rFonts w:cs="Times New Roman"/>
          <w:szCs w:val="28"/>
          <w:lang w:val="uk-UA"/>
        </w:rPr>
        <w:t xml:space="preserve"> </w:t>
      </w:r>
    </w:p>
    <w:p w14:paraId="2554463D">
      <w:pPr>
        <w:pStyle w:val="2"/>
        <w:spacing w:before="0" w:line="360" w:lineRule="auto"/>
        <w:jc w:val="center"/>
        <w:rPr>
          <w:rFonts w:cs="Times New Roman"/>
          <w:szCs w:val="28"/>
          <w:lang w:val="uk-UA"/>
        </w:rPr>
      </w:pPr>
      <w:bookmarkStart w:id="3" w:name="_Toc211811229"/>
      <w:r>
        <w:rPr>
          <w:rFonts w:cs="Times New Roman"/>
          <w:szCs w:val="28"/>
          <w:lang w:val="uk-UA"/>
        </w:rPr>
        <w:t>ТЕОРЕТИЧНІ ЗАСАДИ  ДОСЛІДЖЕННЯ</w:t>
      </w:r>
      <w:bookmarkEnd w:id="3"/>
    </w:p>
    <w:p w14:paraId="0E135D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1AED385">
      <w:pPr>
        <w:pStyle w:val="3"/>
        <w:spacing w:line="360" w:lineRule="auto"/>
        <w:ind w:firstLine="709"/>
        <w:jc w:val="both"/>
        <w:rPr>
          <w:rFonts w:eastAsia="Times New Roman" w:cs="Times New Roman"/>
          <w:szCs w:val="28"/>
          <w:lang w:val="uk-UA"/>
        </w:rPr>
      </w:pPr>
      <w:bookmarkStart w:id="4" w:name="_Toc211811230"/>
      <w:r>
        <w:rPr>
          <w:rFonts w:eastAsia="Times New Roman" w:cs="Times New Roman"/>
          <w:szCs w:val="28"/>
          <w:lang w:val="uk-UA"/>
        </w:rPr>
        <w:t>1.1. Концептуальні основи школи політичного реалізму: погляд на гібридні війни</w:t>
      </w:r>
      <w:bookmarkEnd w:id="4"/>
    </w:p>
    <w:p w14:paraId="7DBBE99A">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трансверсальній конфігурації сучасних конфліктів, які характеризуються поліструктурною інтеграцією військово-силових, інформаційно-комунікаційних, економічних, когнітивно-психологічних та технолого-кібернетичних інструментів впливу, формується потреба у реконцептуалізації теоретико-методологічного апарату дослідження міжнародної безпеки. Гібридні війни, що функціонують як поліінструментальні режими прихованого та експліцитного політичного примусу, продукують нову стратегічну матрицю, у межах якої державні актори здійснюють застосування сили, інформаційного впливу, маніпулятивних технологій та економічного тиску в синергетично інтегрованому форматі. У такій парадигмі школа політичного реалізму реінституціоналізується як центральний епістемологічний вектор наукового дискурсу, оскільки забезпечує раціоналістичні, прагматично калібровані та емпірично верифіковані механізми інтерпретації поведінкових стратегій держав у полікомпонентному середовищі геополітичної конкуренції.</w:t>
      </w:r>
    </w:p>
    <w:p w14:paraId="44EEBD2B">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Сучасна парадигма політичного реалізму, репрезентована інтелектуальними концептами Стівена Волта, Баррі Позена та Чарльза Глейзера, формує багатовимірну концептуальну рамку, що забезпечує високий рівень аналітичної пояснювальної здатності щодо стратегічної раціональності держав у режимах гібридної взаємодії. На відміну від класичного реалізму, орієнтованого переважно на матеріальний потенціал, силову проєкцію та механізми балансу потужностей, неореалістичні та посткласичні модифікації реалізму акцентують на структурних інформаційних асиметріях, стратегічній сигнальності, раціональному стримуванні, контролі ескалаційних параметрів та оптимізації ризик-профілю зовнішньополітичних дій.</w:t>
      </w:r>
    </w:p>
    <w:p w14:paraId="10D60E14">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Стівен Волт, один із ключових інтелектуальних центрів сучасного неореалістичного дискурсу, у своїй концепції balance of threat аргументує, що держави калібрують власні зовнішньополітичні стратегії не лише відповідно до матеріального силового потенціалу опонента, але й щодо його інтенцій, поведінкових патернів, рівня агресивності та здатності до застосування опосередкованих, непрямих і нелінійних інструментів примусу. У структурі гібридних воєн, де ворожий актор функціонує через проксі-інфраструктури, анонімізовані інформаційні кластери або асиметричні моделі тиску, загроза набуває полікомпонентного, розмитого та високоеванесцентного характеру, що ускладнює її ідентифікацію та нейтралізацію традиційними механізмами</w:t>
      </w:r>
      <w:r>
        <w:t xml:space="preserve"> </w:t>
      </w:r>
      <w:r>
        <w:rPr>
          <w:rFonts w:ascii="Times New Roman" w:hAnsi="Times New Roman" w:eastAsia="Times New Roman" w:cs="Times New Roman"/>
          <w:color w:val="000000"/>
          <w:sz w:val="28"/>
          <w:szCs w:val="28"/>
          <w:lang w:val="uk-UA"/>
        </w:rPr>
        <w:t>(Tsebenko et al., 2024).</w:t>
      </w:r>
    </w:p>
    <w:p w14:paraId="37251517">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Модель Волта забезпечує релевантний аналітичний інструментарій для пояснення логіки формування розширених коаліцій стримування та протидії. Держави інтегруються не лише як реакція на ризики прямої військової конфронтації, але й у відповідь на ескалацію інформаційно-комунікаційних, когнітивно-психологічних та кібернетичних загроз, які стають структурно визначальними у сучасному конфліктному середовищі. </w:t>
      </w:r>
    </w:p>
    <w:p w14:paraId="4ACF16E1">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контексті російсько-української війни західні держави продемонстрували саме balance of threat, реалізувавши багатокомпонентну стратегію нейтралізації ризиків, що включає комплексні економічні рестрикції, інформаційно-комунікаційні контроперації, інституційну підтримку кіберсек’юризації, постачання високотехнологічних оборонних систем та нарощення операційної спроможності Сил оборони України. Попри значний матеріальний силовий ресурс Російської Федерації, визначальними тригерами міжнародної консолідації стали не стільки її військові можливості, скільки агресивні інтенції, системне застосування дезінформаційних інтервенцій та перманентний історичний патерн ревізіоністської, експансіоністсько орієнтованої поведінки. Вони, до речі, сформували високий рівень сприйнятої загрози, що й активувало широку коаліцію міжнародного стримування.</w:t>
      </w:r>
    </w:p>
    <w:p w14:paraId="6090E8C0">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 Баррі Позен, один із провідних теоретиків оборонного реалізму, акцентує, що держави в анархічній міжнародній системі орієнтуються не на максимізацію сили як такої, а на досягнення безпекової стійкості та стратегічної стабілізації. Центральним елементом його концептуального корпусу постає принцип ескалаційної обмежувальності та раціоналізованої алокації ресурсів, що передбачає пріоритет мінімізації витрат над експансіоністськими амбіціями. Його підхід має особливу аналітичну релевантність для інтерпретації гібридних воєн, у межах яких держави прагнуть реалізувати політичні цілі, уникаючи висококінетичних зіткнень, що створюють ризики масштабних людських і матеріальних втрат. Б. Позен доводить, що у сучасній стратегічній екосистемі найбільш ефективними є такі формати протиборства, які демонструють низьку імовірність неконтрольованої ескалації та дозволяють утримувати конфлікт у зоні «керованої напруги». Гібридна війна, як комплекс кібероперацій, інформаційно-психологічних впливів, інструменталізації політичних процесів, підтримки сепаратистських утворень та економічного тиску – повністю корелює з цією логікою. Він вказує, що подібний інструментарій системно застосовується Російською Федерацією щодо України з 2014 року від непрямих операцій і дезінформаційних кампаній до кібератак і провокування внутрішньополітичної дестабілізації. Обрана стратегія забезпечує Кремлю можливість реалізовувати ревізіоністські цілі за умов мінімізованих прямих витрат і збереження режиму правдоподібного заперечення власної причетності до окремих операцій (Posen, 2025).</w:t>
      </w:r>
    </w:p>
    <w:p w14:paraId="2144E6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Чарльз Глейзер, творець теорії раціонального реалізму, формує іншу концептуально значущу аналітичну рамку, особливо релевантну для дослідження гібридних конфліктів. У центр його підходу покладено тезу про те, що поведінкові стратегії держав детермінуються тим, як вони інтерпретують стратегічну сигналізацію, наміри та інформаційно-комунікаційні дії інших акторів міжнародної системи. В умовах гібридних воєн, де інформація набуває статусу базового ресурсного активу, а цифрові технології забезпечують можливість масштабної когнітивної маніпуляції, глейзерівська концепція дозволяє аналітично реконструювати механізми оцінювання ризиків, ідентифікації ворожих чи оборонних дій та процес прийняття рішень щодо формату відповіді (Glaser, 2010). У контексті російської агресії проти України дезінформаційні інтервенції, пропагандистські конструкції, генерування псевдоісторичних міфологем, спроби делегітимації української державності та інструменталізація культурно-ідентифікаційних категорій функціонують як інструменти стратегічної сигналізації, спрямовані на формування викривлених когнітивних карт реальності. З позиції глейзерівського раціонального реалізму такі практики розглядаються як раціонально обрані інструменти політичного примусу, що забезпечують можливість трансформації стратегічного середовища без прямого залучення висококінетичної військової сили.</w:t>
      </w:r>
    </w:p>
    <w:p w14:paraId="798E25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Політичний реалізм, у його сучасних модифікаціях, формує багаторівневу теоретико-методологічну матрицю, що забезпечує пояснювальну потужність щодо природи й динаміки гібридних конфліктів. Неореалістична школа підкреслює, що держави функціонують у системі структурної анархії, перманентної стратегічної невизначеності та дефіциту довіри, що зумовлює еволюцію навіть класичних форм воєнного протиборства в полікомпонентні режими тиску та маніпулятивного впливу. У цьому розумінні гібридна війна не є девіацією від канону міжнародної політики, а навпаки – її технологічно адаптованим продовженням, сформованим у відповідь на нові параметри інформаційної, когнітивної та цифрової взаємодії.</w:t>
      </w:r>
    </w:p>
    <w:p w14:paraId="585AEE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розглянуті вище концептуальні підходи Ст. Волта, Б. Позена та Ч. Глейзера забезпечують розширений епістемологічний інструментарій для реконструкції стратегічної поведінки держав у середовищі, де інформація, комунікаційні інтервенції, кібернетичні технології та когнітивні впливи набули статусу повноцінних ресурсів сили.</w:t>
      </w:r>
    </w:p>
    <w:p w14:paraId="080525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дослідницька традиція трактує гібридну війну не як специфічний тип ведення бойових дій, а як стратегічну логіку, орієнтовану на інтеграцію кінетичних і некінетичних інструментів впливу задля досягнення політичних цілей за мінімальної вартості та з максимальною багатозначністю сигналів. У межах цієї логіки Ст. Волт наголошує, що оцінювання рівня загрози детермінується не тільки матеріальним потенціалом, але й здатністю держави застосовувати непрямі, латентні та асиметричні інструменти впливу, які дозволяють підривати стабільність опонента, не перетинаючи формальних «червоних ліній». Використання кібератак, інформаційних інжекцій, інструментів політичної поляризації та деструкції соціальної довіри формує те, що Ст. Волт визначає як коефіцієнт загрози (Tsebenko et al., 2024).</w:t>
      </w:r>
    </w:p>
    <w:p w14:paraId="6F0BFC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парадигмі Чарльза Глейзера інформація постає не вторинним чинником, а автономним стратегічним ресурсом міжнародної конкуренції. Гібридні конфлікти характеризуються тим, що контроль над потоками інформації перетворюється на форму влади, здатну компенсувати або посилювати традиційні воєнні спроможності. Маніпулювання фактами, конструювання альтернативних наративів і моделювання когнітивного поля масової свідомості відповідає реалістичному уявленню про прагнення держав до домінування й експансії власних інтересів (Glaser, 2010). Глейзерова концепція раціонального реалізму демонструє, що держави вдаються до інформаційних операцій не через нестачу матеріальних ресурсів, а завдяки їхній вищій ефективності та нижчій ескалаційній чутливості. Інформаційна агресія знижує ймовірність прямої військової відповіді та забезпечує значні політичні дивіденди. Він наголошує, що інформаційно-психологічний компонент є базовим елементом російської стратегії проти України.</w:t>
      </w:r>
    </w:p>
    <w:p w14:paraId="7CF4B5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межах оборонного реалізму Б. Позен акцентує, що стратегічна функція держави в умовах анархії – зниження вразливості та захист стратегічної автономії. Гібридні інструменти ведення війни постають оптимальною формою впливу для акторів, які прагнуть уникати прямої ескалації, але мають на меті суттєве ослаблення супротивника. Гібридна війна стає механізмом мінімізації витрат і максимізації політичної ефективності, що дозволяє впливати на політичні структури, соціально-економічні процеси та внутрішню когезію держави-жертви без масштабних фронтових операцій (Posen, 2025).</w:t>
      </w:r>
    </w:p>
    <w:p w14:paraId="487F6E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компонентом сучасної гібридної війни є появa нових технологічних інструментів, таких як соціальних мереж, цифрових платформ, алгоритмічних систем контентного впливу, штучного інтелекту та автоматизованих мережевих механізмів розповсюдження інформації. Подібні інструменти можуть бути інтерпретовані як структурні елементи політичної влади, що використовуються державами для посилення власного позиційного потенціалу та підриву стійкості опонентів (Kuchmii, O., Frolova, O., 2023). У цьому сенсі гібридна війна постає еволюціонованою формою політичного примусу, адаптованою до можливостей сучасної техносоціальної інфраструктури. З погляду політичного реалізму інформаційні атаки, кібернетичні операції й кампанії маніпулювання суспільними настроями функціонують як форми стратегічного впливу, що модифікують структуру міжнародної конкуренції. Замість домінування матеріальної сили, держави прагнуть контролювати інформаційний простір, нав’язувати інтерпретаційні рамки, підривати легітимність опонента та деконструювати його політичну суб’єктність у міжнародному дискурсі.</w:t>
      </w:r>
    </w:p>
    <w:p w14:paraId="597737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російсько-українській війні гібридні стратегії проявляються у вигляді системного поєднання кінетичних і некінетичних інструментів, спрямованих на багатовимірний вплив на Україну та європейську архітектоніку безпеки. До цього комплексу належать кібератаки, масштабні дезінформаційні операції, формування антизахідних наративів у країнах ЄС, підтримка проросійських політичних акторів, використання енергетичних ресурсів як інструменту шантажу та маніпуляція інформаційними просторами інших держав. Такі дії є операціоналізацією логіки раціонального застосування сили, яку концептуалізують Волт, Позен і Глейзер.</w:t>
      </w:r>
    </w:p>
    <w:p w14:paraId="3D22EE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Підхід Волта дозволяє пояснити, чому Росія пріоритезує гібридні методи, вони мінімізують ймовірність швидкої коаліційної реакції та ускладнюють ідентифікацію агресора. Як відповідь, держави НАТО, інтерпретуючи російську поведінку як системну загрозу, посилили стратегічну підтримку України. У рамках глейзерівської парадигми гібридна війна розглядається як інструмент стратегічного маскування намірів, що ускладнює процес ідентифікації джерела загрози та затягує ухвалення колективних рішень. Росія використовує його, конструюючи альтернативні інтерпретаційні моделі реальності й легітимуючи власну агресію через псевдозахисні наративи. У логіці позенівського оборонного реалізму гібридні методи відповідають принципу мінімізації витрат і максимізації політичного ефекту. Енергетичний шантаж, інформаційна дестабілізація та маніпулятивні залежності стають формами «економії сили», що дозволяють виснажувати Україну та знижувати готовність її союзників до тривалої підтримки.</w:t>
      </w:r>
    </w:p>
    <w:p w14:paraId="61CC71E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вище розглянуті підходи, гібридна війна постає еволюційною конфігурацією реалізації національних інтересів, у межах якої держави досягають стратегічних цілей через контроль над інформаційним полем, маніпуляцію політичними процесами та формування вигідних когнітивно-наративних рамок. Підтверджується, це не лише стабільністю політичного реалізму як теоретичної парадигми, але й трансформацією інструментів, через які реалізується боротьба за владу, вплив і стратегічну перевагу в умовах цифрової епохи.</w:t>
      </w:r>
    </w:p>
    <w:p w14:paraId="612D8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12DB678">
      <w:pPr>
        <w:pStyle w:val="3"/>
        <w:spacing w:line="360" w:lineRule="auto"/>
        <w:ind w:firstLine="709"/>
        <w:jc w:val="both"/>
        <w:rPr>
          <w:rFonts w:eastAsia="Times New Roman" w:cs="Times New Roman"/>
          <w:szCs w:val="28"/>
          <w:lang w:val="uk-UA"/>
        </w:rPr>
      </w:pPr>
      <w:bookmarkStart w:id="5" w:name="_Toc211811231"/>
      <w:r>
        <w:rPr>
          <w:rFonts w:eastAsia="Times New Roman" w:cs="Times New Roman"/>
          <w:szCs w:val="28"/>
          <w:lang w:val="uk-UA"/>
        </w:rPr>
        <w:t>1.2. Сучасний стан наукової розробки проблеми інформаційної війни в контексті гібридних конфліктів</w:t>
      </w:r>
      <w:bookmarkEnd w:id="5"/>
    </w:p>
    <w:p w14:paraId="2C8D0EF1">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сучасному етапі еволюції інформаційно-комунікаційних технологій воєнні конфлікти набули якісно нових параметрів, поєднуючи класичні кінетичні форми протиборства з політичними, економічними, соціальними та, передусім, інформаційними інструментами впливу. Дані трансформації зумовили появу феномену гібридної війни – багатовимірного процесу, у якому військова сила інтегрується з когнітивно-комунікативними механізмами контролю над масовою свідомістю.</w:t>
      </w:r>
    </w:p>
    <w:p w14:paraId="3599969B">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Теоретичне осмислення феномену гібридної війни та її інформаційної складової активно розвивається в сучасному науковому дискурсі. Значна увага дослідників зосереджується на визначенні сутності, структурних елементів і механізмів реалізації гібридних стратегій у політичній практиці держав. Так, М. Глух і М. Гончаренко (2024) , Т. Андрієвський (2018), Ф. Гофман (2007) аналізують концептуально-методологічні основи гібридної війни, зокрема її інформаційно-психологічну компоненту як ключовий інструмент впливу на масову свідомість. У працях В. Череватюк та О. Бойко (2021), О. Щурко (2017), М.О. Поправка (2024) акцентується роль наративів і комунікативних стратегій у формуванні публічного сприйняття конфліктів, тоді як дослідження А. Баумгартнер (2023) і Дж. Алмонда (2019) пропонують методологічні підходи до аналізу інформаційних операцій у системі сучасної міжнародної безпеки.</w:t>
      </w:r>
    </w:p>
    <w:p w14:paraId="291FDAB9">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М. Глух і М. Гончаренко визначають «гібридну війну» як багатовимірне та синергетичне явище, що поєднує кінетичні та некінетичні засоби впливу – військові операції, інформаційні кампанії, кібератаки, економічний тиск і субверсивні дії, які спрямовані на досягнення політичних і стратегічних цілей без формального оголошення війни. Вони наголошують на відсутності єдиної дефініції, що ускладнює кваліфікацію агресії й встановлення відповідальності, і підкреслюють, що ефективне ведення гібридної війни вимагає значних ресурсів, інтегрованих політичних інструментів та здатності координувати державні й недержавні суб’єкти. Особливо актуальним є інформаційний компонент, який включає контроль над наративами, дезінформація й маніпуляція суспільною думкою стають ключовими механізмами підриву суверенітету та легітимності противника (Глух &amp; Гончаренко, 2024). Отже, гібридна війна постає не як суто військове протистояння, а як комплекс стратегій, що розмивають межі між миром і війною та потребують комплексної правової й превентивної відповіді. </w:t>
      </w:r>
    </w:p>
    <w:p w14:paraId="10B5B69B">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політологічній інтерпретації Т. Г. Андрієвського, гібридна війна – це новий тип збройного конфлікту ХХІ століття, який поєднує військові та невійськові засоби боротьби, включно з дипломатичними, економічними, інформаційними та підривними технологіями. Дослідник наголошує, що концепт гібридної війни остаточно сформувався під впливом російсько-української війни, яку він визначає як «точку відліку» у розвитку конфліктів нового покоління (Андрієвський, 2018). На його думку, цей феномен відображає конвергенцію мілітарних і квазімілітарних стратегій, де інформаційні впливи, пропаганда, дезінформація та використання протестного потенціалу населення стають рівнозначними військовим діям. Г. Андрієвський підкреслює, що після 2014 року гібридна війна вийшла за межі суто військової теорії, перетворившись на структурний елемент міжнародної політики та оборонного планування, зокрема в країнах НАТО.</w:t>
      </w:r>
    </w:p>
    <w:p w14:paraId="6BFD6C60">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Ф. Гоффман має суміжний із Г. Андрієвським підхід, проте більш стратегічно-операційний. Він стверджує, що війна ХХІ століття характеризується «злиттям форм насильства», коли традиційні (регулярні) та нетрадиційні (нерегулярні, терористичні, кримінальні) методи ведення війни поєднуються в єдиному операційному просторі. На відміну від класичних воєн, сучасні конфлікти мають «гібридний» характер, адже супротивники одночасно використовують кінетичні дії, інформаційні кампанії, економічний тиск, кібератаки та пропаганду. Ф. Гоффман визначає гібридні війни як конфлікти, у яких державні й недержавні актори комбінують традиційні та іррегулярні інструменти з метою створення асиметричної переваги (Hoffman, 2007).</w:t>
      </w:r>
    </w:p>
    <w:p w14:paraId="67049576">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Гібридна війна характеризується маніпуляцією масовою свідомістю, дезінформацією, підривом довіри до державних інституцій та активізацією протестного потенціалу суспільства, що фактично прирівнюється до ведення бойових дій у нематеріальному вимірі. З наведених наукових позицій логічно випливає, що інформаційна війна є невід’ємною складовою гібридних конфліктів, оскільки саме вона забезпечує їхню ефективність і стратегічну глибину.</w:t>
      </w:r>
    </w:p>
    <w:p w14:paraId="366D85CB">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працях В. Череватюк та О. Бойко інформаційна війна трактується як специфічна форма протиборства, що здійснюється виключно інформаційними засобами. Автори визначають її як процес, який реалізується «через створення, поширення та нав’язування певних смислів, що впливають на свідомість населення, моральний дух суспільства та легітимність державної влади». На відміну від класичних форм збройних конфліктів, така війна «не спрямована на фізичне знищення супротивника, а має на меті руйнування державного механізму шляхом дестабілізації політичної, економічної й ціннісної систем» (Череватюк &amp; Бойко, 2021). Також, вони підкреслюють, що інформаційна війна є ключовим інструментом гібридних конфліктів, у межах яких інформаційний простір виступає «полем бою», а головною зброєю стають маніпуляція свідомістю, дезінформація та створення «самовтілюваних пророцтв», коли суспільство починає самостійно реалізовувати нав’язані йому ідеї, сприяючи реалізації стратегічних задумів агресора. Особливу роль у цьому процесі відіграє наратив, який автори визначають як «смисловий каркас інформаційної війни». Через нього конструюється «правильна» картина світу, формуються образи «ворогів» і «героїв», легітимізується агресія та вибудовуються нові політичні ідентичності. Їхнє бачення доповнює напрацювання О. М. Щурко, який стверджував, що (Щурко, 2017):</w:t>
      </w:r>
    </w:p>
    <w:p w14:paraId="3E72409F">
      <w:pPr>
        <w:pStyle w:val="15"/>
        <w:numPr>
          <w:ilvl w:val="0"/>
          <w:numId w:val="3"/>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наратив як інструмент «м’якої сили», він розглядається як базовий механізм гібридних конфліктів, що забезпечує вплив не на матеріальні ресурси, а на когнітивно-психологічну сферу суспільства – ідентичність, цінності та поведінкові моделі;</w:t>
      </w:r>
    </w:p>
    <w:p w14:paraId="389BB76E">
      <w:pPr>
        <w:pStyle w:val="15"/>
        <w:numPr>
          <w:ilvl w:val="0"/>
          <w:numId w:val="3"/>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наративи формують альтернативну реальність, підмінюють факти, створюють «контрольований хаос» і запускають процеси внутрішньої дестабілізації держави;</w:t>
      </w:r>
    </w:p>
    <w:p w14:paraId="40531DB4">
      <w:pPr>
        <w:pStyle w:val="15"/>
        <w:numPr>
          <w:ilvl w:val="0"/>
          <w:numId w:val="3"/>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поширюються за вірусоподібним принципом через медіа, соціальні мережі та рекламно-комунікаційні платформи; адаптуються до аудиторій, утворюючи соціальні міфи, стереотипи та фрейми сприйняття;</w:t>
      </w:r>
    </w:p>
    <w:p w14:paraId="7F6970DB">
      <w:pPr>
        <w:pStyle w:val="15"/>
        <w:numPr>
          <w:ilvl w:val="0"/>
          <w:numId w:val="3"/>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ефективність наративів полягає у впливі на підсвідомість, у конструюванні образу «ворога» та експлуатації етнокультурних, історичних і релігійних суперечностей;</w:t>
      </w:r>
    </w:p>
    <w:p w14:paraId="0A43DA45">
      <w:pPr>
        <w:pStyle w:val="15"/>
        <w:numPr>
          <w:ilvl w:val="0"/>
          <w:numId w:val="3"/>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використання концептів «Русскій мір», «боротьба з фашизмом», «захист співвітчизників» спрямоване на формування ворожого образу України, делегітимацію її державності та дискредитацію на міжнародній арені.</w:t>
      </w:r>
    </w:p>
    <w:p w14:paraId="51EA567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контексті повномасштабної російсько-української війни М.  О.  Поправка розглядає інформаційну війну як системоутворюючий елемент гібридного конфлікту, який інтегрує інформаційні, політичні, економічні, кібернетичні та військові інструменти впливу. Вона, на думку дослідниці, спрямована на досягнення стратегічних цілей без прямого застосування сили, що відображає трансформацію сучасної парадигми безпекових загроз. Авторка підкреслює, що головною метою інформаційної війни є модифікація поведінкових моделей цільової аудиторії шляхом маніпулювання фактами, конструювання вигідних для агресора наративів та підриву морально-психологічного й політичного потенціалу держави-жертв (Поправка, 2024). У межах сучасних досліджень інформаційних конфліктів М.  О.  Поправка виокремлює низку принципових характеристик, що визначають нову якість гібридної війни як політичного та комунікативного феномену (табл.1.1):</w:t>
      </w:r>
    </w:p>
    <w:p w14:paraId="7E074A2F">
      <w:pPr>
        <w:tabs>
          <w:tab w:val="left" w:pos="1134"/>
        </w:tabs>
        <w:spacing w:after="0" w:line="360" w:lineRule="auto"/>
        <w:ind w:firstLine="709"/>
        <w:jc w:val="right"/>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Таблиця 1.1</w:t>
      </w:r>
    </w:p>
    <w:p w14:paraId="43363F56">
      <w:pPr>
        <w:tabs>
          <w:tab w:val="left" w:pos="1134"/>
        </w:tabs>
        <w:spacing w:after="0" w:line="360" w:lineRule="auto"/>
        <w:ind w:firstLine="709"/>
        <w:jc w:val="center"/>
        <w:rPr>
          <w:rFonts w:ascii="Times New Roman" w:hAnsi="Times New Roman" w:eastAsia="Times New Roman" w:cs="Times New Roman"/>
          <w:b/>
          <w:color w:val="000000"/>
          <w:sz w:val="28"/>
          <w:szCs w:val="28"/>
          <w:lang w:val="uk-UA"/>
        </w:rPr>
      </w:pPr>
      <w:r>
        <w:rPr>
          <w:rFonts w:ascii="Times New Roman" w:hAnsi="Times New Roman" w:eastAsia="Times New Roman" w:cs="Times New Roman"/>
          <w:b/>
          <w:color w:val="000000"/>
          <w:sz w:val="28"/>
          <w:szCs w:val="28"/>
          <w:lang w:val="uk-UA"/>
        </w:rPr>
        <w:t>Основні особливості інформаційної війни у гібридному контексті (за М. О. Поправкою, 2024)</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0"/>
        <w:gridCol w:w="4051"/>
        <w:gridCol w:w="3293"/>
      </w:tblGrid>
      <w:tr w14:paraId="13DA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00" w:type="dxa"/>
            <w:shd w:val="clear" w:color="auto" w:fill="auto"/>
            <w:noWrap/>
            <w:vAlign w:val="center"/>
          </w:tcPr>
          <w:p w14:paraId="5490DD2E">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Ключова характеристика</w:t>
            </w:r>
          </w:p>
        </w:tc>
        <w:tc>
          <w:tcPr>
            <w:tcW w:w="4051" w:type="dxa"/>
            <w:shd w:val="clear" w:color="auto" w:fill="auto"/>
            <w:noWrap/>
            <w:vAlign w:val="center"/>
          </w:tcPr>
          <w:p w14:paraId="19EEDB02">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Зміст та прояв у сучасних конфліктах</w:t>
            </w:r>
          </w:p>
        </w:tc>
        <w:tc>
          <w:tcPr>
            <w:tcW w:w="3293" w:type="dxa"/>
            <w:shd w:val="clear" w:color="auto" w:fill="auto"/>
            <w:noWrap/>
            <w:vAlign w:val="center"/>
          </w:tcPr>
          <w:p w14:paraId="0C9055A9">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Аналітичне значення у структурі гібридної війни</w:t>
            </w:r>
          </w:p>
        </w:tc>
      </w:tr>
      <w:tr w14:paraId="5A02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00" w:type="dxa"/>
            <w:shd w:val="clear" w:color="auto" w:fill="auto"/>
            <w:noWrap/>
            <w:vAlign w:val="center"/>
          </w:tcPr>
          <w:p w14:paraId="183883B6">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Нелінійність і багатовимірність впливу</w:t>
            </w:r>
          </w:p>
        </w:tc>
        <w:tc>
          <w:tcPr>
            <w:tcW w:w="4051" w:type="dxa"/>
            <w:shd w:val="clear" w:color="auto" w:fill="auto"/>
            <w:noWrap/>
            <w:vAlign w:val="center"/>
          </w:tcPr>
          <w:p w14:paraId="0ECB6AED">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Інформаційна війна поєднується з економічним тиском, політичними провокаціями, кібератаками та пропагандою, утворюючи комплексну систему взаємопов’язаних дій.</w:t>
            </w:r>
          </w:p>
        </w:tc>
        <w:tc>
          <w:tcPr>
            <w:tcW w:w="3293" w:type="dxa"/>
            <w:shd w:val="clear" w:color="auto" w:fill="auto"/>
            <w:noWrap/>
            <w:vAlign w:val="center"/>
          </w:tcPr>
          <w:p w14:paraId="50684E90">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Забезпечує «ефект синергії» гібридного нападу, коли інформаційні дії підсилюють ефект військових і політичних операцій.</w:t>
            </w:r>
          </w:p>
        </w:tc>
      </w:tr>
      <w:tr w14:paraId="1B4C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00" w:type="dxa"/>
            <w:shd w:val="clear" w:color="auto" w:fill="auto"/>
            <w:noWrap/>
            <w:vAlign w:val="center"/>
          </w:tcPr>
          <w:p w14:paraId="6D4056B5">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Цифровізація конфлікту</w:t>
            </w:r>
          </w:p>
        </w:tc>
        <w:tc>
          <w:tcPr>
            <w:tcW w:w="4051" w:type="dxa"/>
            <w:shd w:val="clear" w:color="auto" w:fill="auto"/>
            <w:noWrap/>
            <w:vAlign w:val="center"/>
          </w:tcPr>
          <w:p w14:paraId="24611FE2">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Використання соціальних мереж, бот-мереж, фейкових новин та ІПСО як основних каналів впливу на свідомість і поведінку масової аудиторії.</w:t>
            </w:r>
          </w:p>
        </w:tc>
        <w:tc>
          <w:tcPr>
            <w:tcW w:w="3293" w:type="dxa"/>
            <w:shd w:val="clear" w:color="auto" w:fill="auto"/>
            <w:noWrap/>
            <w:vAlign w:val="center"/>
          </w:tcPr>
          <w:p w14:paraId="54B2A4EA">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Демонструє перехід від класичних форм інформаційної війни до повністю цифрових технологічних платформ.</w:t>
            </w:r>
          </w:p>
        </w:tc>
      </w:tr>
    </w:tbl>
    <w:p w14:paraId="4DFF772C">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табл.1.1</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3"/>
        <w:gridCol w:w="3955"/>
        <w:gridCol w:w="3216"/>
      </w:tblGrid>
      <w:tr w14:paraId="19B4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73" w:type="dxa"/>
            <w:shd w:val="clear" w:color="auto" w:fill="auto"/>
            <w:noWrap/>
            <w:vAlign w:val="center"/>
          </w:tcPr>
          <w:p w14:paraId="2BD812D7">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Транснаціональний характер</w:t>
            </w:r>
          </w:p>
        </w:tc>
        <w:tc>
          <w:tcPr>
            <w:tcW w:w="3955" w:type="dxa"/>
            <w:shd w:val="clear" w:color="auto" w:fill="auto"/>
            <w:noWrap/>
            <w:vAlign w:val="center"/>
          </w:tcPr>
          <w:p w14:paraId="544E6B33">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Інформаційні атаки спрямовані не лише на національні системи, а й на міжнародні політичні процеси, дипломатичні структури та світову громадську думку.</w:t>
            </w:r>
          </w:p>
        </w:tc>
        <w:tc>
          <w:tcPr>
            <w:tcW w:w="3216" w:type="dxa"/>
            <w:shd w:val="clear" w:color="auto" w:fill="auto"/>
            <w:noWrap/>
            <w:vAlign w:val="center"/>
          </w:tcPr>
          <w:p w14:paraId="644A921D">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Відображає глобалізацію інформаційного простору, де локальний конфлікт стає елементом світової інформаційної боротьби.</w:t>
            </w:r>
          </w:p>
        </w:tc>
      </w:tr>
      <w:tr w14:paraId="06FD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73" w:type="dxa"/>
            <w:shd w:val="clear" w:color="auto" w:fill="auto"/>
            <w:noWrap/>
            <w:vAlign w:val="center"/>
          </w:tcPr>
          <w:p w14:paraId="559DE482">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Інтеграція технологій ШІ, блокчейну та кібербезпеки</w:t>
            </w:r>
          </w:p>
        </w:tc>
        <w:tc>
          <w:tcPr>
            <w:tcW w:w="3955" w:type="dxa"/>
            <w:shd w:val="clear" w:color="auto" w:fill="auto"/>
            <w:noWrap/>
            <w:vAlign w:val="center"/>
          </w:tcPr>
          <w:p w14:paraId="18CB78BC">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Використання штучного інтелекту, аналітики великих даних і блокчейн-технологій як інструментів і агресії (фейки, хакерські атаки), і захисту (виявлення ботів, перевірка достовірності контенту).</w:t>
            </w:r>
          </w:p>
        </w:tc>
        <w:tc>
          <w:tcPr>
            <w:tcW w:w="3216" w:type="dxa"/>
            <w:shd w:val="clear" w:color="auto" w:fill="auto"/>
            <w:noWrap/>
            <w:vAlign w:val="center"/>
          </w:tcPr>
          <w:p w14:paraId="1C8C4EEA">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Підкреслює технологічну еволюцію інформаційних війн і формування нового етапу “інтелектуальної” безпеки.</w:t>
            </w:r>
          </w:p>
        </w:tc>
      </w:tr>
    </w:tbl>
    <w:p w14:paraId="345BE610">
      <w:pPr>
        <w:tabs>
          <w:tab w:val="left" w:pos="1134"/>
        </w:tabs>
        <w:spacing w:after="0" w:line="360" w:lineRule="auto"/>
        <w:ind w:firstLine="709"/>
        <w:rPr>
          <w:rFonts w:ascii="Times New Roman" w:hAnsi="Times New Roman" w:eastAsia="Times New Roman" w:cs="Times New Roman"/>
          <w:color w:val="000000"/>
          <w:sz w:val="24"/>
          <w:szCs w:val="24"/>
          <w:lang w:val="uk-UA"/>
        </w:rPr>
      </w:pPr>
      <w:r>
        <w:rPr>
          <w:rFonts w:ascii="Times New Roman" w:hAnsi="Times New Roman" w:eastAsia="Times New Roman" w:cs="Times New Roman"/>
          <w:color w:val="000000"/>
          <w:sz w:val="24"/>
          <w:szCs w:val="24"/>
          <w:lang w:val="uk-UA"/>
        </w:rPr>
        <w:t>Джерело: систематизовано автором на основі (Поправка, 2024)</w:t>
      </w:r>
    </w:p>
    <w:p w14:paraId="7119582B">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p>
    <w:p w14:paraId="5B8BBAF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сучасній науковій дискусії пропонуються різноманітні методологічні підходи до вивчення інформаційної війни, що зумовлено її багатовимірною та міждисциплінарною природою. А. Баумгартнер у своїх роботах застосовує міждисциплінарну методологію, розглядаючи інформаційну війну не лише як компонент гібридних конфліктів, а й як автономний феномен, що потребує інтерпретації через синтез соціологічних, психологічних, медіа- і політичних студій (Baumgartner, 2023). На його думку, адекватне розуміння інформаційних війн має включати аналіз їхнього впливу на масову культуру, формування політичних ідентичностей та трансформацію суспільних інституцій, тобто вивчення має виходити за межі традиційного трактування у межах міжнародних відносин.</w:t>
      </w:r>
    </w:p>
    <w:p w14:paraId="0B3C83C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Дж. Алмонд фокусує методологічну увагу на феномені невизначеності та амбівалентності інформаційного поля. Він підкреслює розмитість кордону між правдою і маніпуляцією як ключову характеристику інформаційної війни, що створює сприятливе середовище для оперування дезінформацією та модифікації громадської думки (Almäng, 2019). Він акцентує потребу розробки нових інструментів ідентифікації дезінформаційних практик, зокрема через дискурсивний аналіз наративів, їхньої семантичної структури та контекстуальної репліки в медіа-екосистемі.</w:t>
      </w:r>
    </w:p>
    <w:p w14:paraId="47DB3FB5">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практичній площині методологічний арсенал досліджень інформаційної війни включає: структурний аналіз інформаційних кампаній, дискурсивний і наративний аналіз як способи виявлення смислових фреймів; контент-аналіз медіа для кількісної і якісної оцінки інформаційних потоків; психологічні експерименти та опитування для дослідження когнітивної вразливості аудиторій; а також застосування комп’ютерної лінгвістики та інструментів великої даних для виявлення бот-мереж і автоматизованих кампаній. Слід констатувати, що інформаційна війна як компонент гібридних конфліктів оперує широким спектром інструментів (дезінформація, пропаганда, кібератаки, операції в соціальних мережах, інформаційно-психологічні операції) і вимагає комплексного методологічного підходу, який поєднує теоретичну інтерпретацію, емпіричну верифікацію та технологічні засоби моніторингу й протидії. Основними інструментами інформаційної війни, зазвичай виступають (табл.1.2):</w:t>
      </w:r>
    </w:p>
    <w:p w14:paraId="6A454114">
      <w:pPr>
        <w:tabs>
          <w:tab w:val="left" w:pos="1134"/>
        </w:tabs>
        <w:spacing w:after="0" w:line="360" w:lineRule="auto"/>
        <w:ind w:firstLine="709"/>
        <w:jc w:val="right"/>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Таблиця 1.2</w:t>
      </w:r>
    </w:p>
    <w:p w14:paraId="6628C2EE">
      <w:pPr>
        <w:tabs>
          <w:tab w:val="left" w:pos="1134"/>
        </w:tabs>
        <w:spacing w:after="0" w:line="360" w:lineRule="auto"/>
        <w:ind w:firstLine="709"/>
        <w:jc w:val="center"/>
        <w:rPr>
          <w:rFonts w:ascii="Times New Roman" w:hAnsi="Times New Roman" w:eastAsia="Times New Roman" w:cs="Times New Roman"/>
          <w:b/>
          <w:color w:val="000000"/>
          <w:sz w:val="28"/>
          <w:szCs w:val="28"/>
          <w:lang w:val="uk-UA"/>
        </w:rPr>
      </w:pPr>
      <w:r>
        <w:rPr>
          <w:rFonts w:ascii="Times New Roman" w:hAnsi="Times New Roman" w:eastAsia="Times New Roman" w:cs="Times New Roman"/>
          <w:b/>
          <w:color w:val="000000"/>
          <w:sz w:val="28"/>
          <w:szCs w:val="28"/>
          <w:lang w:val="uk-UA"/>
        </w:rPr>
        <w:t>Інструментарій інформаційно-психологічних операцій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277"/>
        <w:gridCol w:w="3254"/>
        <w:gridCol w:w="3251"/>
      </w:tblGrid>
      <w:tr w14:paraId="79BB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4828F149">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w:t>
            </w:r>
          </w:p>
        </w:tc>
        <w:tc>
          <w:tcPr>
            <w:tcW w:w="2277" w:type="dxa"/>
            <w:shd w:val="clear" w:color="auto" w:fill="auto"/>
            <w:noWrap/>
            <w:vAlign w:val="center"/>
          </w:tcPr>
          <w:p w14:paraId="6368BD0B">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Інструмент</w:t>
            </w:r>
          </w:p>
        </w:tc>
        <w:tc>
          <w:tcPr>
            <w:tcW w:w="3254" w:type="dxa"/>
            <w:shd w:val="clear" w:color="auto" w:fill="auto"/>
            <w:noWrap/>
            <w:vAlign w:val="center"/>
          </w:tcPr>
          <w:p w14:paraId="3253DF56">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Короткий опис</w:t>
            </w:r>
          </w:p>
        </w:tc>
        <w:tc>
          <w:tcPr>
            <w:tcW w:w="3251" w:type="dxa"/>
            <w:shd w:val="clear" w:color="auto" w:fill="auto"/>
            <w:noWrap/>
            <w:vAlign w:val="center"/>
          </w:tcPr>
          <w:p w14:paraId="685EFCDB">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Методи / приклади</w:t>
            </w:r>
          </w:p>
        </w:tc>
      </w:tr>
      <w:tr w14:paraId="3F2A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0969398D">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1</w:t>
            </w:r>
          </w:p>
        </w:tc>
        <w:tc>
          <w:tcPr>
            <w:tcW w:w="2277" w:type="dxa"/>
            <w:shd w:val="clear" w:color="auto" w:fill="auto"/>
            <w:noWrap/>
            <w:vAlign w:val="center"/>
          </w:tcPr>
          <w:p w14:paraId="18EB9E96">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Пропаганда</w:t>
            </w:r>
          </w:p>
        </w:tc>
        <w:tc>
          <w:tcPr>
            <w:tcW w:w="3254" w:type="dxa"/>
            <w:shd w:val="clear" w:color="auto" w:fill="auto"/>
            <w:noWrap/>
            <w:vAlign w:val="center"/>
          </w:tcPr>
          <w:p w14:paraId="5AF761FA">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Систематичне формування вигідних для агресора меседжів</w:t>
            </w:r>
          </w:p>
        </w:tc>
        <w:tc>
          <w:tcPr>
            <w:tcW w:w="3251" w:type="dxa"/>
            <w:shd w:val="clear" w:color="auto" w:fill="auto"/>
            <w:noWrap/>
            <w:vAlign w:val="center"/>
          </w:tcPr>
          <w:p w14:paraId="29F5C1DA">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Довготривалі кампанії в ЗМІ, державні мовники, PR-проєкти</w:t>
            </w:r>
          </w:p>
        </w:tc>
      </w:tr>
      <w:tr w14:paraId="34F5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69778460">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2</w:t>
            </w:r>
          </w:p>
        </w:tc>
        <w:tc>
          <w:tcPr>
            <w:tcW w:w="2277" w:type="dxa"/>
            <w:shd w:val="clear" w:color="auto" w:fill="auto"/>
            <w:noWrap/>
            <w:vAlign w:val="center"/>
          </w:tcPr>
          <w:p w14:paraId="04A120CF">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Дезінформація / фейки</w:t>
            </w:r>
          </w:p>
        </w:tc>
        <w:tc>
          <w:tcPr>
            <w:tcW w:w="3254" w:type="dxa"/>
            <w:shd w:val="clear" w:color="auto" w:fill="auto"/>
            <w:noWrap/>
            <w:vAlign w:val="center"/>
          </w:tcPr>
          <w:p w14:paraId="576A1776">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Навмисне розповсюдження неправди або викривлених фактів</w:t>
            </w:r>
          </w:p>
        </w:tc>
        <w:tc>
          <w:tcPr>
            <w:tcW w:w="3251" w:type="dxa"/>
            <w:shd w:val="clear" w:color="auto" w:fill="auto"/>
            <w:noWrap/>
            <w:vAlign w:val="center"/>
          </w:tcPr>
          <w:p w14:paraId="2D146E93">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Підроблені сюжети, фотомонтажі, «лжевикриття»</w:t>
            </w:r>
          </w:p>
        </w:tc>
      </w:tr>
      <w:tr w14:paraId="5497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6216D9FC">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3</w:t>
            </w:r>
          </w:p>
        </w:tc>
        <w:tc>
          <w:tcPr>
            <w:tcW w:w="2277" w:type="dxa"/>
            <w:shd w:val="clear" w:color="auto" w:fill="auto"/>
            <w:noWrap/>
            <w:vAlign w:val="center"/>
          </w:tcPr>
          <w:p w14:paraId="0B52C2C8">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Наративи / «збройні наративи»</w:t>
            </w:r>
          </w:p>
        </w:tc>
        <w:tc>
          <w:tcPr>
            <w:tcW w:w="3254" w:type="dxa"/>
            <w:shd w:val="clear" w:color="auto" w:fill="auto"/>
            <w:noWrap/>
            <w:vAlign w:val="center"/>
          </w:tcPr>
          <w:p w14:paraId="79930498">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Структуровані історії, що створюють смисли й ідентичності</w:t>
            </w:r>
          </w:p>
        </w:tc>
        <w:tc>
          <w:tcPr>
            <w:tcW w:w="3251" w:type="dxa"/>
            <w:shd w:val="clear" w:color="auto" w:fill="auto"/>
            <w:noWrap/>
            <w:vAlign w:val="center"/>
          </w:tcPr>
          <w:p w14:paraId="39463162">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«Русский мир», «ворог», «герой-рятівник»</w:t>
            </w:r>
          </w:p>
        </w:tc>
      </w:tr>
      <w:tr w14:paraId="1042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552C584C">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4</w:t>
            </w:r>
          </w:p>
        </w:tc>
        <w:tc>
          <w:tcPr>
            <w:tcW w:w="2277" w:type="dxa"/>
            <w:shd w:val="clear" w:color="auto" w:fill="auto"/>
            <w:noWrap/>
            <w:vAlign w:val="center"/>
          </w:tcPr>
          <w:p w14:paraId="4CE0DD85">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Інформаційно-психологічні операції (ІПСО)</w:t>
            </w:r>
          </w:p>
        </w:tc>
        <w:tc>
          <w:tcPr>
            <w:tcW w:w="3254" w:type="dxa"/>
            <w:shd w:val="clear" w:color="auto" w:fill="auto"/>
            <w:noWrap/>
            <w:vAlign w:val="center"/>
          </w:tcPr>
          <w:p w14:paraId="3413EFE2">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Планований поетапний вплив на емоції та переконання</w:t>
            </w:r>
          </w:p>
        </w:tc>
        <w:tc>
          <w:tcPr>
            <w:tcW w:w="3251" w:type="dxa"/>
            <w:shd w:val="clear" w:color="auto" w:fill="auto"/>
            <w:noWrap/>
            <w:vAlign w:val="center"/>
          </w:tcPr>
          <w:p w14:paraId="255C8E41">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Цілеспрямовані кампанії, емоційні меседжі, маніпуляції страхом</w:t>
            </w:r>
          </w:p>
        </w:tc>
      </w:tr>
      <w:tr w14:paraId="41ED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5D1FFF79">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5</w:t>
            </w:r>
          </w:p>
        </w:tc>
        <w:tc>
          <w:tcPr>
            <w:tcW w:w="2277" w:type="dxa"/>
            <w:shd w:val="clear" w:color="auto" w:fill="auto"/>
            <w:noWrap/>
            <w:vAlign w:val="center"/>
          </w:tcPr>
          <w:p w14:paraId="7DA88C9A">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Соціальні мережі, боти, тролі</w:t>
            </w:r>
          </w:p>
        </w:tc>
        <w:tc>
          <w:tcPr>
            <w:tcW w:w="3254" w:type="dxa"/>
            <w:shd w:val="clear" w:color="auto" w:fill="auto"/>
            <w:noWrap/>
            <w:vAlign w:val="center"/>
          </w:tcPr>
          <w:p w14:paraId="4760B68B">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Масове/цілеспрямоване поширення контенту з використанням мереж</w:t>
            </w:r>
          </w:p>
        </w:tc>
        <w:tc>
          <w:tcPr>
            <w:tcW w:w="3251" w:type="dxa"/>
            <w:shd w:val="clear" w:color="auto" w:fill="auto"/>
            <w:noWrap/>
            <w:vAlign w:val="center"/>
          </w:tcPr>
          <w:p w14:paraId="5939FA91">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Фарм ботів, скоординовані хвилі, таргетована реклама</w:t>
            </w:r>
          </w:p>
        </w:tc>
      </w:tr>
      <w:tr w14:paraId="5F4F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6B311CAC">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6</w:t>
            </w:r>
          </w:p>
        </w:tc>
        <w:tc>
          <w:tcPr>
            <w:tcW w:w="2277" w:type="dxa"/>
            <w:shd w:val="clear" w:color="auto" w:fill="auto"/>
            <w:noWrap/>
            <w:vAlign w:val="center"/>
          </w:tcPr>
          <w:p w14:paraId="76110A91">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Симулякри/ культурні продукти</w:t>
            </w:r>
          </w:p>
        </w:tc>
        <w:tc>
          <w:tcPr>
            <w:tcW w:w="3254" w:type="dxa"/>
            <w:shd w:val="clear" w:color="auto" w:fill="auto"/>
            <w:noWrap/>
            <w:vAlign w:val="center"/>
          </w:tcPr>
          <w:p w14:paraId="52737F1A">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Створення «реальностей» через культуру та мистецтво</w:t>
            </w:r>
          </w:p>
        </w:tc>
        <w:tc>
          <w:tcPr>
            <w:tcW w:w="3251" w:type="dxa"/>
            <w:shd w:val="clear" w:color="auto" w:fill="auto"/>
            <w:noWrap/>
            <w:vAlign w:val="center"/>
          </w:tcPr>
          <w:p w14:paraId="632F7E07">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Фільми, книги, серіали, культурні проєкти з пропагандою</w:t>
            </w:r>
          </w:p>
        </w:tc>
      </w:tr>
      <w:tr w14:paraId="75D1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5F425825">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7</w:t>
            </w:r>
          </w:p>
        </w:tc>
        <w:tc>
          <w:tcPr>
            <w:tcW w:w="2277" w:type="dxa"/>
            <w:shd w:val="clear" w:color="auto" w:fill="auto"/>
            <w:noWrap/>
            <w:vAlign w:val="center"/>
          </w:tcPr>
          <w:p w14:paraId="5F07648E">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Кібероперації (злами, витоки)</w:t>
            </w:r>
          </w:p>
        </w:tc>
        <w:tc>
          <w:tcPr>
            <w:tcW w:w="3254" w:type="dxa"/>
            <w:shd w:val="clear" w:color="auto" w:fill="auto"/>
            <w:noWrap/>
            <w:vAlign w:val="center"/>
          </w:tcPr>
          <w:p w14:paraId="782CA4AD">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Компрометація та поширення інформації через ІТ-атаки</w:t>
            </w:r>
          </w:p>
        </w:tc>
        <w:tc>
          <w:tcPr>
            <w:tcW w:w="3251" w:type="dxa"/>
            <w:shd w:val="clear" w:color="auto" w:fill="auto"/>
            <w:noWrap/>
            <w:vAlign w:val="center"/>
          </w:tcPr>
          <w:p w14:paraId="43EAC16D">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Підрив довіри до інститутів через зливи, фейкові «витоки»</w:t>
            </w:r>
          </w:p>
        </w:tc>
      </w:tr>
    </w:tbl>
    <w:p w14:paraId="46562F62">
      <w:pPr>
        <w:jc w:val="right"/>
        <w:rPr>
          <w:rFonts w:ascii="Times New Roman" w:hAnsi="Times New Roman" w:cs="Times New Roman"/>
          <w:sz w:val="28"/>
          <w:szCs w:val="28"/>
          <w:lang w:val="uk-UA"/>
        </w:rPr>
      </w:pPr>
    </w:p>
    <w:p w14:paraId="549B5184">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табл.1.2</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277"/>
        <w:gridCol w:w="3254"/>
        <w:gridCol w:w="3251"/>
      </w:tblGrid>
      <w:tr w14:paraId="2C71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2DB8A1C7">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8</w:t>
            </w:r>
          </w:p>
        </w:tc>
        <w:tc>
          <w:tcPr>
            <w:tcW w:w="2277" w:type="dxa"/>
            <w:shd w:val="clear" w:color="auto" w:fill="auto"/>
            <w:noWrap/>
            <w:vAlign w:val="center"/>
          </w:tcPr>
          <w:p w14:paraId="411264F2">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Контроль/ блокування ЗМІ</w:t>
            </w:r>
          </w:p>
        </w:tc>
        <w:tc>
          <w:tcPr>
            <w:tcW w:w="3254" w:type="dxa"/>
            <w:shd w:val="clear" w:color="auto" w:fill="auto"/>
            <w:noWrap/>
            <w:vAlign w:val="center"/>
          </w:tcPr>
          <w:p w14:paraId="6A0058B3">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Маніпуляція доступом до інформації</w:t>
            </w:r>
          </w:p>
        </w:tc>
        <w:tc>
          <w:tcPr>
            <w:tcW w:w="3251" w:type="dxa"/>
            <w:shd w:val="clear" w:color="auto" w:fill="auto"/>
            <w:noWrap/>
            <w:vAlign w:val="center"/>
          </w:tcPr>
          <w:p w14:paraId="500EDC3B">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Блокування, цензура, тиск на журналістів</w:t>
            </w:r>
          </w:p>
        </w:tc>
      </w:tr>
      <w:tr w14:paraId="0710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4AA860DA">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9</w:t>
            </w:r>
          </w:p>
        </w:tc>
        <w:tc>
          <w:tcPr>
            <w:tcW w:w="2277" w:type="dxa"/>
            <w:shd w:val="clear" w:color="auto" w:fill="auto"/>
            <w:noWrap/>
            <w:vAlign w:val="center"/>
          </w:tcPr>
          <w:p w14:paraId="11A95043">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Підкуп, шантаж, підтримка «фіктивної опозиції»</w:t>
            </w:r>
          </w:p>
        </w:tc>
        <w:tc>
          <w:tcPr>
            <w:tcW w:w="3254" w:type="dxa"/>
            <w:shd w:val="clear" w:color="auto" w:fill="auto"/>
            <w:noWrap/>
            <w:vAlign w:val="center"/>
          </w:tcPr>
          <w:p w14:paraId="342CE576">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Використання людей як агентів впливу</w:t>
            </w:r>
          </w:p>
        </w:tc>
        <w:tc>
          <w:tcPr>
            <w:tcW w:w="3251" w:type="dxa"/>
            <w:shd w:val="clear" w:color="auto" w:fill="auto"/>
            <w:noWrap/>
            <w:vAlign w:val="center"/>
          </w:tcPr>
          <w:p w14:paraId="57CB896D">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Фінансова підтримка, компромат, створення «опозиційних» структур</w:t>
            </w:r>
          </w:p>
        </w:tc>
      </w:tr>
      <w:tr w14:paraId="1A4C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257E4B79">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10</w:t>
            </w:r>
          </w:p>
        </w:tc>
        <w:tc>
          <w:tcPr>
            <w:tcW w:w="2277" w:type="dxa"/>
            <w:shd w:val="clear" w:color="auto" w:fill="auto"/>
            <w:noWrap/>
            <w:vAlign w:val="center"/>
          </w:tcPr>
          <w:p w14:paraId="6D7EE0BD">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Маніпулювання історією/ псевдоісторичні наративи</w:t>
            </w:r>
          </w:p>
        </w:tc>
        <w:tc>
          <w:tcPr>
            <w:tcW w:w="3254" w:type="dxa"/>
            <w:shd w:val="clear" w:color="auto" w:fill="auto"/>
            <w:noWrap/>
            <w:vAlign w:val="center"/>
          </w:tcPr>
          <w:p w14:paraId="159E4A19">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Конструювання міфологізованого минулого</w:t>
            </w:r>
          </w:p>
        </w:tc>
        <w:tc>
          <w:tcPr>
            <w:tcW w:w="3251" w:type="dxa"/>
            <w:shd w:val="clear" w:color="auto" w:fill="auto"/>
            <w:noWrap/>
            <w:vAlign w:val="center"/>
          </w:tcPr>
          <w:p w14:paraId="3389C6BB">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Переписування/фальсифікація історії в школах, медіа</w:t>
            </w:r>
          </w:p>
        </w:tc>
      </w:tr>
      <w:tr w14:paraId="3C56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646BE3B7">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11</w:t>
            </w:r>
          </w:p>
        </w:tc>
        <w:tc>
          <w:tcPr>
            <w:tcW w:w="2277" w:type="dxa"/>
            <w:shd w:val="clear" w:color="auto" w:fill="auto"/>
            <w:noWrap/>
            <w:vAlign w:val="center"/>
          </w:tcPr>
          <w:p w14:paraId="111EC3F5">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Кібер- і технічна дезінформація</w:t>
            </w:r>
          </w:p>
        </w:tc>
        <w:tc>
          <w:tcPr>
            <w:tcW w:w="3254" w:type="dxa"/>
            <w:shd w:val="clear" w:color="auto" w:fill="auto"/>
            <w:noWrap/>
            <w:vAlign w:val="center"/>
          </w:tcPr>
          <w:p w14:paraId="3E1CE210">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Технічні засоби для фальсифікації контенту</w:t>
            </w:r>
          </w:p>
        </w:tc>
        <w:tc>
          <w:tcPr>
            <w:tcW w:w="3251" w:type="dxa"/>
            <w:shd w:val="clear" w:color="auto" w:fill="auto"/>
            <w:noWrap/>
            <w:vAlign w:val="center"/>
          </w:tcPr>
          <w:p w14:paraId="02D05688">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Deepfake відео, змонтовані аудіозаписи</w:t>
            </w:r>
          </w:p>
        </w:tc>
      </w:tr>
      <w:tr w14:paraId="19F5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shd w:val="clear" w:color="auto" w:fill="auto"/>
            <w:noWrap/>
            <w:vAlign w:val="center"/>
          </w:tcPr>
          <w:p w14:paraId="0ABF8888">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12</w:t>
            </w:r>
          </w:p>
        </w:tc>
        <w:tc>
          <w:tcPr>
            <w:tcW w:w="2277" w:type="dxa"/>
            <w:shd w:val="clear" w:color="auto" w:fill="auto"/>
            <w:noWrap/>
            <w:vAlign w:val="center"/>
          </w:tcPr>
          <w:p w14:paraId="5262D817">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Лоуфейр/ правова інформаційна війна</w:t>
            </w:r>
          </w:p>
        </w:tc>
        <w:tc>
          <w:tcPr>
            <w:tcW w:w="3254" w:type="dxa"/>
            <w:shd w:val="clear" w:color="auto" w:fill="auto"/>
            <w:noWrap/>
            <w:vAlign w:val="center"/>
          </w:tcPr>
          <w:p w14:paraId="4E37FE18">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Використання права і юриспруденції як інструменту дискурсу</w:t>
            </w:r>
          </w:p>
        </w:tc>
        <w:tc>
          <w:tcPr>
            <w:tcW w:w="3251" w:type="dxa"/>
            <w:shd w:val="clear" w:color="auto" w:fill="auto"/>
            <w:noWrap/>
            <w:vAlign w:val="center"/>
          </w:tcPr>
          <w:p w14:paraId="4632D5A6">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Судові процеси, фальшиві звинувачення, міжнародні скарги</w:t>
            </w:r>
          </w:p>
        </w:tc>
      </w:tr>
    </w:tbl>
    <w:p w14:paraId="248FED9A">
      <w:pPr>
        <w:tabs>
          <w:tab w:val="left" w:pos="1134"/>
        </w:tabs>
        <w:spacing w:after="0" w:line="360" w:lineRule="auto"/>
        <w:ind w:firstLine="709"/>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uk-UA"/>
        </w:rPr>
        <w:t>Джерело: систематизовано автором на основі (Щурко, 2017</w:t>
      </w:r>
      <w:r>
        <w:rPr>
          <w:rFonts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lang w:val="uk-UA"/>
        </w:rPr>
        <w:t>Поправка, 2024</w:t>
      </w:r>
      <w:r>
        <w:rPr>
          <w:rFonts w:ascii="Times New Roman" w:hAnsi="Times New Roman" w:eastAsia="Times New Roman" w:cs="Times New Roman"/>
          <w:color w:val="000000"/>
          <w:sz w:val="24"/>
          <w:szCs w:val="24"/>
          <w:lang w:val="en-US"/>
        </w:rPr>
        <w:t>; Курбан, 2016; Горбулін, 2017)</w:t>
      </w:r>
    </w:p>
    <w:p w14:paraId="655E4DA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p>
    <w:p w14:paraId="7BEF7F9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Інформаційні війни становлять складний соціально-комунікативний феномен, що чинить трансверсальний вплив на суспільну свідомість, трансформуючи не лише поточне сприйняття подій, але й довгострокові політичні траєкторії та динаміку соціальних процесів. Емпіричні дослідження доводять, що пролонговане перебування індивідів у полі інформаційного впливу детермінує зміну колективних наративів, сприяє когнітивній радикалізації, поляризації суспільства та ерозії соціальної довіри.</w:t>
      </w:r>
    </w:p>
    <w:p w14:paraId="4008CA1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Науковець В. Галіпчак акцентує, що одним із найбільш деструктивних наслідків інформаційних війн є формування так званих інформаційних гетто – ізольованих комунікативних сегментів, у межах яких індивіди споживають контент, що лише підтверджує їхні попередні переконання. Його епістемічна сегментація суспільства призводить до фрагментації єдиного інформаційного простору та утворення взаємоворожих дискурсивних полів, що унеможливлюють консолідацію суспільної думки (Галіпчак, 2023).</w:t>
      </w:r>
    </w:p>
    <w:p w14:paraId="02626C6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свою чергу, В. Чалапко розглядає інформаційні війни крізь призму політичних процесів і визначає їх як інструмент цілеспрямованого підриву легітимності державних інституцій, делегітимації демократичних процедур і стимулювання соціально-політичної турбулентності. Учений зазначає, що інформаційні атаки дедалі частіше реалізуються через маніпуляцію громадською думкою в цифрових комунікативних середовищах, зокрема під час виборчих кампаній, коли технології мікротаргетингу та алгоритмічної дистрибуції контенту формують у виборців викривлену реальність (Чалапко, 2021).</w:t>
      </w:r>
    </w:p>
    <w:p w14:paraId="27B9DC3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Згідно з концепцією Б. Парахонського та Г. Яворської, викладеною в монографії «Онтологія війни і миру», інформаційна війна є не лише різновидом військової стратегії, але й формою реалізації стратегічного домінування без застосування фізичної сили. Науковці підкреслюють, що ключовими механізмами цього типу протиборства виступають пропагандистська інженерія, дискурсивна маніпуляція, психологічний тиск і використання цифрових технологій для генерування та циркуляції дезінформації. У сукупності вони формують інфраструктуру когнітивного контролю, що здатна змінювати політичну поведінку мас і створювати ефект соціально-політичного резонансу (Парахонський &amp; Яворська, 2019).</w:t>
      </w:r>
    </w:p>
    <w:p w14:paraId="0DFAA7C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Альтернативну інтерпретацію феномену інформаційного протиборства подає S. Naseeb, який аналізує взаємозв’язок між традиційними та нетрадиційними формами війни у контексті глобалізованого інформаційного середовища. Учений обґрунтовує тезу про розмиття меж між кінетичними та некінетичними засобами ведення конфліктів у XXI столітті, коли інформаційні операції набувають статусу самодостатнього інструменту досягнення стратегічних цілей. Вони не передбачають фізичного зіткнення сторін, проте здатні забезпечувати політичний, економічний і соціальний ефект, порівняний із результатами традиційних воєнних дій. Відповідно, це створює новий формат конфронтації, у межах якого держави застосовують інформаційну зброю як механізм досягнення геополітичних результатів без прямої військової відповідальності (Naseeb, 2024).</w:t>
      </w:r>
    </w:p>
    <w:p w14:paraId="17C6B71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К. Семчинський у своїх дослідженнях розкриває архітектоніку російської інформаційної агресії, виокремлюючи її ключові вектори: масштабне поширення фейкових наративів, експлуатацію соціальних мереж як каналів пропаганди, системну дискредитацію українських військових і політичних лідерів, а також маніпуляцію історичною пам’яттю та символічними кодами. Вони формують альтернативну реальність, у межах якої відбувається підміна понять «агресор» і «жертва», що є типовим проявом інформаційно-психологічної інженерії (Семчинський, 2020).</w:t>
      </w:r>
    </w:p>
    <w:p w14:paraId="70AB850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цьому контексті О. Буряченко у праці «Гібридна війна як нова форма глобального протистояння» наголошує, що інформаційна війна є одним із центральних інструментів російської геостратегічної експансії. Її деструктивний потенціал спрямований не лише проти України, але й проти західних демократій, де за допомогою дезінформаційних кампаній та керованих медіанаративів Кремль намагається впливати на громадську думку, підривати політичну єдність та легітимність демократичних урядів. Однією з ключових тактик інформаційного втручання є індукція і підтримка радикальних рухів у державах, що підтримують Україну, задля посилення внутрішньої соціальної фрагментації (Буряченко, 2024).</w:t>
      </w:r>
    </w:p>
    <w:p w14:paraId="6DBDCF3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Україна, своєю чергою, поступово формує власну інфраструктуру інформаційної резильєнтності, що поєднує механізми державного, громадянського та цифрового реагування. До основних елементів цієї системи належать створення незалежних фактчекінгових платформ, підвищення рівня медіаграмотності населення, нормативне регулювання діяльності медіа та блокування ворожих інформаційних ресурсів.</w:t>
      </w:r>
    </w:p>
    <w:p w14:paraId="4161606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Інформаційні війни посідають дедалі вагоміше місце в системі сучасних міжнародних відносин, перетворюючись на провідний інструмент некінетичного впливу. Зростання масштабів інформаційних атак та інтенсивності когнітивного маніпулювання суспільною свідомістю актуалізує потребу у подальшому розвитку теоретико-методологічних підходів до вивчення цього феномена. Помітною залишається прогалина у сфері міжнародно-правового регулювання інформаційної безпеки. На сьогодні існують лише рекомендаційні документи (наприклад, резолюції ООН і Ради Європи), які декларують засади боротьби з дезінформацією, однак відсутній дієвий механізм юридичної відповідальності за ведення інформаційної війни. Такий стан формує правовий вакуум, який дозволяє агресорам здійснювати інформаційно-психологічні атаки без ризику міжнародних санкцій, що підриває основи колективної безпеки у глобальному вимірі.</w:t>
      </w:r>
    </w:p>
    <w:p w14:paraId="7B92159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Паралельно дослідження концентруються на питаннях інформаційної резильєнтності суспільства, тобто його здатності протистояти маніпулятивним впливам і відновлювати когнітивну цілісність після інформаційних атак. Вагомими чинниками цього процесу є розвиток медіаграмотності, критичного мислення та цифрової культури громадян, а також функціонування незалежних фактчекінгових організацій і систем раннього виявлення дезінформації. У межах цього підходу важливим завданням постає створення алгоритмів моніторингу інформаційного середовища, здатних виявляти індикатори когнітивних атак у режимі реального часу.</w:t>
      </w:r>
    </w:p>
    <w:p w14:paraId="48CB87C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Окрему наукову нішу формують дослідження впливу інформаційних воєн на політичні процеси. Зафіксовані випадки втручання у виборчі кампанії через маніпуляцію цифровими платформами й кібератаки свідчать про еволюцію інформаційної війни у напрямі підриву демократичної легітимності. Очевидно, що це вимагає розробки комплексних контрінформаційних стратегій, що поєднують інструменти кіберзахисту, публічної дипломатії та стратегічних комунікацій.</w:t>
      </w:r>
    </w:p>
    <w:p w14:paraId="4C2C4B2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Аналіз сучасних наукових джерел дозволяє стверджувати, що інформаційна війна розглядається як ключовий елемент гібридних конфліктів, який функціонує у взаємозв’язку з військовими, економічними, дипломатичними та соціотехнологічними інструментами впливу. Дослідники зосереджують увагу на таких напрямах, як маніпуляція наративами, генерація фейкових контентів, алгоритмічне управління масовими емоціями, руйнування довіри до інституцій влади та конструювання альтернативної реальності. У центрі уваги залишається також використання цифрових платформ як середовища для дестабілізації політичних процесів і поширення дезінформації.</w:t>
      </w:r>
    </w:p>
    <w:p w14:paraId="1AE63F0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Особливе значення мають дослідження інформаційного компоненту російської агресії проти України, які заклали методологічну основу для формування системи державної та громадянської протидії дезінформації. Саме український досвід став одним із базових прикладів для осмислення механізмів гібридної війни нового покоління, що поєднує інформаційно-психологічні, кібернетичні та пропагандистські складові.</w:t>
      </w:r>
    </w:p>
    <w:p w14:paraId="0ED0AFA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Отже, попри досягнення, у науковому полі залишаються відкритими питання концептуальної уніфікації поняття «інформаційна війна», розроблення системних індикаторів ефективності протидії дезінформації та міжнародних механізмів відповідальності за інформаційну агресію. Подальші дослідження мають зосереджуватись на міждисциплінарному синтезі політичної комунікативістики, кібербезпеки, міжнародного права та когнітивної психології.</w:t>
      </w:r>
    </w:p>
    <w:p w14:paraId="19AA8450">
      <w:pPr>
        <w:spacing w:after="0" w:line="360" w:lineRule="auto"/>
        <w:ind w:firstLine="709"/>
        <w:jc w:val="both"/>
        <w:rPr>
          <w:rFonts w:ascii="Times New Roman" w:hAnsi="Times New Roman" w:cs="Times New Roman"/>
          <w:sz w:val="28"/>
          <w:szCs w:val="28"/>
          <w:lang w:val="uk-UA"/>
        </w:rPr>
      </w:pPr>
    </w:p>
    <w:p w14:paraId="7D0243DF">
      <w:pPr>
        <w:pStyle w:val="3"/>
        <w:spacing w:line="360" w:lineRule="auto"/>
        <w:ind w:firstLine="709"/>
        <w:jc w:val="both"/>
        <w:rPr>
          <w:rFonts w:eastAsia="Times New Roman" w:cs="Times New Roman"/>
          <w:szCs w:val="28"/>
          <w:lang w:val="uk-UA"/>
        </w:rPr>
      </w:pPr>
      <w:bookmarkStart w:id="6" w:name="_Toc211811232"/>
      <w:r>
        <w:rPr>
          <w:rFonts w:eastAsia="Times New Roman" w:cs="Times New Roman"/>
          <w:szCs w:val="28"/>
          <w:lang w:val="uk-UA"/>
        </w:rPr>
        <w:t>1.3. Категоріальний апарат дослідження</w:t>
      </w:r>
      <w:bookmarkEnd w:id="6"/>
    </w:p>
    <w:p w14:paraId="7B4886F9">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З огляду на складність, полісемантичність і багатовимірність феномену гібридної війни, що інтегрує військові, інформаційні, економічні, когнітивні та політичні компоненти, виникає об’єктивна потреба у створенні структурованої дефінітивної системи понять, які слугують аналітичними орієнтирами дослідження.</w:t>
      </w:r>
    </w:p>
    <w:p w14:paraId="31CFCED0">
      <w:pPr>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Системне визначення понять, таких як гібридна війна, інформаційна війна, інформаційна безпека, когнітивна агресія, стратегічна комунікація тощо, надає можливість сформувати аналітичні рамки для подальшого вивчення досліджуваного явища, закріпити термінологічну точність і забезпечити методологічну узгодженість між теоретичним та емпіричним рівнями аналізу.</w:t>
      </w:r>
    </w:p>
    <w:p w14:paraId="3CAF8FD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Гібридна війна – це інтегрований тип багаторівневого протиборства, у якому класичні військові дії поєднуються з некінетичними засобами впливу – політичними, економічними, інформаційними, психологічними та кібернетичними. Вона характеризується синергетичною взаємодією збройних та незбройних інструментів, що створює ефект стратегічної непередбачуваності та асиметричності. Основними її рисами є багатовекторність, маніпулятивна інфраструктурність і поєднання видимих та латентних форм агресії, включно з використанням дезінформаційних кампаній, політичного тиску, економічного шантажу та діяльності нерегулярних збройних формувань (Bialoskórski, 2023).</w:t>
      </w:r>
    </w:p>
    <w:p w14:paraId="30EA6F0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Інформаційна війна визначається як цілеспрямований процес когнітивно-комунікативного впливу на інформаційне середовище держави, соціальні групи чи індивідуальних суб’єктів з метою трансформації їхніх уявлень, поведінкових моделей і політичних орієнтацій. Вона реалізується через системне застосування засобів масової комунікації, цифрових платформ, соціальних мереж та кібероперацій, спрямованих на формування вигідного агресору політичного та соціального дискурсу (Mumford &amp; Carlucci, 2023).</w:t>
      </w:r>
    </w:p>
    <w:p w14:paraId="1A8957E5">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Дезінформація – це інструмент когнітивної агресії, що полягає у навмисному поширенні маніпулятивних або неправдивих повідомлень для введення аудиторії в оману, делегітимації державних і міжнародних інституцій та руйнування довіри до офіційних джерел інформації. Її основним завданням є створення псевдореальності, у межах якої формується спотворене уявлення про політичну чи воєнну ситуацію. Каналами дезінформації виступають як традиційні медіа, так і алгоритмічно керовані цифрові екосистеми (бот-мережі, тролінгові фабрики, анонімні платформи) (Стьопкін, 2024).</w:t>
      </w:r>
    </w:p>
    <w:p w14:paraId="394D99C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Пропаганда трактується як систематизований комунікативний процес, спрямований на стратегічне формування суспільної свідомості, підтримку ідеологічних установок і політичних інтересів суб’єкта конфлікту. Вона може ґрунтуватися як на достовірних фактах, так і на частково спотворених чи емоційно забарвлених даних, виконуючи функцію психологічного закріплення потрібних моделей мислення та поведінки. У межах гібридних конфліктів пропаганда є базовим елементом інформаційно-психологічних операцій, що забезпечують стійкий вплив на аудиторію (Драбюк, 2022).</w:t>
      </w:r>
    </w:p>
    <w:p w14:paraId="4ED5C0E3">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Кібероперації – це комплекс дій у кіберпросторі, спрямований на досягнення інформаційно-стратегічних переваг через дестабілізацію критичної інфраструктури, несанкціонований доступ до інформаційних систем або проведення психологічних атак у цифровому середовищі. Вони поєднують елементи технічного і когнітивного впливу, утворюючи високоефективний некінетичний інструмент гібридної війни, що дозволяє здійснювати деструктивні дії без фізичної присутності в зоні конфлікту (Каравацька, Маник та Яремчук, 2025).</w:t>
      </w:r>
    </w:p>
    <w:p w14:paraId="77FDFBD2">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Медіаманіпуляція визначається як свідоме використання медійних ресурсів і цифрових платформ з метою викривлення об’єктивної реальності, зміни суспільного дискурсу та генерування соціально-політичних ефектів, вигідних для певного суб’єкта впливу. Основними її механізмами є контекстуальне перекручення фактів, статистична маніпуляція, селективний добір інформації та створення симулякрів – фальшивих джерел, що імітують достовірність (Швець, 2024).</w:t>
      </w:r>
    </w:p>
    <w:p w14:paraId="5C280128">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Наратив у сучасному науковому розумінні – це семіотично структурована історія або послідовність подій, через яку суб’єкт комунікації формує інтерпретаційну модель реальності. У межах інформаційної війни наративи виконують когнітивно-емоційну функцію: вони спрямовують увагу аудиторії, створюють ідентичності та легітимізують певні політичні дії. Наративи є інструментом конструювання колективної пам’яті й формування уявлень про «своїх» і «чужих» (Dennison, 2021).</w:t>
      </w:r>
    </w:p>
    <w:p w14:paraId="1ED0DE1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Дискурс – це система комунікативних і смислових практик, що функціонує у взаємодії з позамовними (соціальними, політичними, культурними, історичними) чинниками. Він визначає рамки допустимого тлумачення подій, задає ідеологічні координати сприйняття та формує «мову» соціальної реальності (Купін, 2022).</w:t>
      </w:r>
    </w:p>
    <w:p w14:paraId="62DC28D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Взаємозв’язок між дискурсом і наративом полягає у різному рівні узагальнення. Дискурс – це структура смислів, тоді як наратив – це інструмент їхньої реалізації. У межах інформаційних війн дискурс задає ідеологічну рамку («захист національних цінностей», «боротьба з агресором»), а наративи конкретизують її через сюжетні конструкції наприклад, «Росія бореться з фашизмом» або «Україна захищає свободу Європи». Отож, дискурс виконує нормативно-смислотворчу функцію, а наратив – операціонально-комунікативну, спрямовану на когнітивне засвоєння смислів суспільством.</w:t>
      </w:r>
    </w:p>
    <w:p w14:paraId="47AFDD3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Підсумовуючи, категоріальний апарат дослідження охоплює сукупність ключових понять, що забезпечують когерентність теоретичного осмислення феномену гібридної війни, її інформаційної складової та механізмів когнітивного впливу. Чітке визначення цих категорій створює основу для подальшого аналізу стратегій, тактик і технологій інформаційної боротьби у контексті сучасних міжнародних конфліктів.</w:t>
      </w:r>
    </w:p>
    <w:p w14:paraId="78CBA5F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p>
    <w:p w14:paraId="7046F492">
      <w:pPr>
        <w:pStyle w:val="3"/>
        <w:spacing w:line="360" w:lineRule="auto"/>
        <w:ind w:firstLine="709"/>
        <w:jc w:val="both"/>
        <w:rPr>
          <w:rFonts w:eastAsia="Times New Roman" w:cs="Times New Roman"/>
          <w:szCs w:val="28"/>
          <w:lang w:val="uk-UA"/>
        </w:rPr>
      </w:pPr>
      <w:bookmarkStart w:id="7" w:name="_Toc211811233"/>
      <w:r>
        <w:rPr>
          <w:rFonts w:eastAsia="Times New Roman" w:cs="Times New Roman"/>
          <w:szCs w:val="28"/>
          <w:lang w:val="uk-UA"/>
        </w:rPr>
        <w:t>1.4. Джерельна база дослідження</w:t>
      </w:r>
      <w:bookmarkEnd w:id="7"/>
    </w:p>
    <w:p w14:paraId="0C76066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Документальна база, представлена матеріалами NATO Review, має офіційно-стратегічний характер і становить один із ключових елементів джерельного корпусу дослідження феномену гібридної війни в сучасній системі міжнародних відносин. Публікації цього видання поєднують риси інституційно санкціонованого джерела та аналітичного коментаря, що відображає офіційну позицію Північноатлантичного альянсу щодо концепції гібридних загроз і механізмів їх нейтралізації.</w:t>
      </w:r>
    </w:p>
    <w:p w14:paraId="0E361DBB">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Особливої уваги заслуговують статті А.Білала «Russia’s Hybrid War Against the West» (2024) та «Hybrid Warfare – New Threats, Complexity, and ‘Trust’ as the Antidote» (2024). Обидва матеріали мають подвійний статус: </w:t>
      </w:r>
    </w:p>
    <w:p w14:paraId="3E0E1691">
      <w:pPr>
        <w:pStyle w:val="15"/>
        <w:numPr>
          <w:ilvl w:val="0"/>
          <w:numId w:val="4"/>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вони виступають первинним джерелом, тому що репрезентують офіційну комунікативну позицію НАТО;</w:t>
      </w:r>
    </w:p>
    <w:p w14:paraId="2BFFC524">
      <w:pPr>
        <w:pStyle w:val="15"/>
        <w:numPr>
          <w:ilvl w:val="0"/>
          <w:numId w:val="4"/>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вторинним аналітичним документом, який систематизує накопичений досвід Альянсу у сфері протидії гібридним загрозам.</w:t>
      </w:r>
    </w:p>
    <w:p w14:paraId="52326C5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першій публікації автор розкриває структурну логіку російської гібридної агресії проти Заходу, спираючись на стратегічні положення НАТО та підтверджені емпіричні факти – кібератаки, інформаційно-психологічні операції, енергетичний шантаж, використання «невизначених військових формувань» та агентів впливу. Матеріал виконує функцію нормативно-аналітичного документа, що інституціоналізує розуміння гібридної війни як комплексного багатовимірного явища, у якому синхронізовано військові та невійськові інструменти. У цьому контексті текст Білала репрезентує стратегічну парадигму «comprehensive security», що є базовою для концептуального арсеналу НАТО (NATO Review, 2024).</w:t>
      </w:r>
    </w:p>
    <w:p w14:paraId="5AF8036B">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Друга публікація має теоретико-методологічне спрямування. Вона узагальнює еволюцію поняття hybrid warfare, окреслюючи його ключові характеристики «змішану природу», існування «сірих зон», проблеми атрибуції та розмиття межі між війною і миром. Автор наголошує, що центральним об’єктом гібридних атак є суспільна довіра, а її руйнування розглядається як головна мета інформаційно-когнітивних операцій. У такий спосіб А. Білал визначає «довіру» як стратегічний елемент резильєнтності демократичних суспільств, що протистоять інформаційно-психологічному тиску. Документ має значення аналітико-концептуальної основи, оскільки формує понятійно-категоріальний апарат дослідження сучасних гібридних конфліктів (NATO Review, 2021). З наукової точки зору, документи НАТО поєднують описову (фіксацію фактів), діагностичну (аналіз механізмів) та прогностичну (визначення тенденцій) функції, що робить їх методологічно значущими орієнтирами у формуванні сучасної парадигми дослідження гібридних загроз.</w:t>
      </w:r>
    </w:p>
    <w:p w14:paraId="2A46C188">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Аналітичний документ «The Future of Hybrid Warfare», опублікований Центром стратегічних і міжнародних досліджень, належить до офіційних експертно-аналітичних джерел, що мають високий рівень достовірності та відображають позицію провідного американського аналітичного центру у сфері безпеки (Center for Strategic and International Studies, 2023). Матеріал представляє собою вторинне, але концептуально-нормативне джерело, побудоване на синтезі військово-політичного аналізу, стратегічного прогнозування та міждисциплінарних досліджень майбутніх форм війни. Документ містить системне бачення еволюції гібридної війни в контексті трансформації стратегічної культури НАТО. Автори Ф. Гоффман, М. Ноймаєр і Б. Дженсен – розглядають гібридне протиборство не як виняткову форму сучасного конфлікту, а як безперервний спектр воєнних та невійськових дій, у якому поєднуються кібероперації, дезінформація, використання проксі-сил, економічний тиск і «lawfare» (Center for Strategic and International Studies, 2023). Особливу аналітичну вагу документу надає його футурологічний аспект CSIS прогнозує, що у XXI столітті головною загрозою для НАТО стане не пряма війна, а гібридне втручання у політичні системи союзників, зокрема через проксі-конфлікти, кібератаки та маніпулювання громадською думкою. Зазначається, що Росія та Китай активно розширюють свої «тіньові» операції, тоді як НАТО має розвивати стратегічну стійкість і соціальну довіру як першу лінію оборони.</w:t>
      </w:r>
    </w:p>
    <w:p w14:paraId="205B84E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Пресреліз Ради ЄС від 20 травня 2025 року є первинним офіційним джерелом нормативно-правового характеру, що фіксує рішення Європейського Союзу щодо посилення санкційної політики у відповідь на гібридні загрози Російської Федерації. Документ має високу юридичну силу, оскільки супроводжується трьома актами Спільної зовнішньої та безпекової політики – Council Decision (CFSP) 2025/963, 2025/966, 2024/2643. Вона відображає інституційно-правову позицію ЄС щодо протидії дестабілізуючим діям Росії, які включають кібератаки, дезінформацію, фінансування пропагандистських структур, втручання у виборчі процеси та саботаж критичної інфраструктури. У документі вперше представлено розширену концепцію гібридних загроз, яка охоплює не лише військові, але й економічні, інформаційні та технологічні інструменти впливу, зокрема активи у сфері криптовалют, цифрових мереж і медіа. Пресреліз також має доказово-аналітичне значення, оскільки конкретизує механізми реалізації обмежувальних заходів – замороження активів, заборону фінансових операцій, блокування трансляцій проросійських ЗМІ та заборону в’їзду осіб, причетних до гібридної діяльності (Council of the European Union, 2025).</w:t>
      </w:r>
    </w:p>
    <w:p w14:paraId="395F3FB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Юридичний аспект інформаційних стратегій розкривається через систему нормативно-правових актів України, а також міжнародно-правових документів, що визначають принципи регулювання інформаційної безпеки, цифрового суверенітету та протидії дезінформації в умовах гібридних конфліктів. У межах цього дослідження правове поле аналізу охоплює комплекс національних, міжнародних і наднаціональних актів, які формують інституційно-юридичну основу реалізації державної інформаційної політики.</w:t>
      </w:r>
    </w:p>
    <w:p w14:paraId="7FA0FEAB">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Використані нормативні джерела репрезентують три взаємопов’язані рівні регулювання (національний, регіональний та глобальний):</w:t>
      </w:r>
    </w:p>
    <w:p w14:paraId="1D096E6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1. Указ Президента України № 243/2022 «Про відзначення державними нагородами України» (16.04.2022) – це нормативно-індивідуальний акт Президента України. Документ має відомчо-морально-мотиваційний характер і належить до системи актів державної нагородної політики, що виконує функцію морального підкріплення оборонної спроможності суспільства. Указ установлює присвоєння державних нагород ордена Данила Галицького, медалей «За військову службу Україні» та «За бездоганну службу», що є формою символічного державного визнання героїзму в умовах російської збройної агресії (Президент України, 2022).</w:t>
      </w:r>
    </w:p>
    <w:p w14:paraId="0873AED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2. Закон України № 2163-VIII «Про основні засади забезпечення кібербезпеки України» (ред. 19.10.2025) – є базовим галузевим нормативно-правовим актом у сфері національної безпеки, який формує правові, інституційні та організаційні засади кіберзахисту держави. Він визначає ключові поняття, принципи, суб’єктів і механізми реалізації політики кібербезпеки. Закон розмежовує компетенцію Президента України, РНБО, Кабінету Міністрів, НБУ, СБУ, Збройних сил, а також операторів критичної інфраструктури. Його положення охоплюють питання реагування на кіберінциденти, координації дій у сфері кібероборони, а також інтеграції національного законодавства з європейськими стандартами, передусім положеннями Директиви (EU) 2022/2555 – NIS 2 Directive, що забезпечує адаптацію України до норм ЄС у сфері цифрової безпеки ((Верховна Рада України, 2025).</w:t>
      </w:r>
    </w:p>
    <w:p w14:paraId="292D0F7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3. Указ Президента України № 685/2021 «Про рішення РНБО від 15.10.2021 “Про Стратегію інформаційної безпеки”». Документ має стратегічно-програмний характер і визначає державну політику у с. фері інформаційної безпеки до 2025 року. У ньому зафіксовано основні виклики, пов’язані з гібридною агресією Російської Федерації, дезінформацією, пропагандою та підривом суспільної довіри. Стратегія формує сім ключових стратегічних цілей: протидію дезінформації, розвиток української мови й культури, підвищення рівня медіаграмотності, захист прав журналістів, інформаційну реінтеграцію тимчасово окупованих територій, розвиток стратегічних комунікацій і формування інформаційного суспільства. Її реалізація координується РНБО та Центром протидії дезінформації, а практичні заходи здійснюються відповідно до плану дій Кабінету Міністрів України (Президент України, 2021).</w:t>
      </w:r>
    </w:p>
    <w:p w14:paraId="291D52D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4. Указ Президента України № 151/2022 «Про рішення РНБО від 18.03.2022 “Про нейтралізацію загроз інформаційній безпеці держави”» - акт є оперативно-стратегічним документом кризового реагування, ухваленим у перші тижні повномасштабної агресії РФ. Його метою стало забезпечення стабільності національного інформаційного простору, нейтралізація ворожих інформаційних потоків, блокування проросійських медіаресурсів і протидія інформаційно-психологічним операціям противника. Документ має оборонно-комунікаційний характер і виступає практичною імплементацією Стратегії інформаційної безпеки (Президент України, 2022).</w:t>
      </w:r>
    </w:p>
    <w:p w14:paraId="21F3E56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5. Регламент Європейського Парламенту і Ради (ЄС) № 2019/881 від 17 квітня 2019 року, відомий як Акт про кібербезпеку (Cybersecurity Act), є базовим нормативним документом ЄС у сфері формування політики цифрової та інформаційної безпеки. Ним було оновлено мандат Агентства ЄС з питань мережевої та інформаційної безпеки (ENISA), надавши йому постійний статус і розширені повноваження у сфері кіберзахисту. Регламент має інституційно-програмний характер, спрямований на посилення кіберстійкості держав-членів, розвиток єдиного цифрового ринку та підвищення довіри користувачів до цифрових технологій. Він також акцентує важливість освіти, кібергігієни й міжнародного співробітництва у сфері кібербезпеки (ЄС, 2019).</w:t>
      </w:r>
    </w:p>
    <w:p w14:paraId="62A4242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Для емпіричного аналізу інформаційних стратегій використано статистичні матеріали провідних фактчекінгових і дослідницьких платформ, що забезпечують достовірність і доказовість отриманих результатів. Зокрема, StopFake надає систематизовані дані про дезінформаційні наративи російської пропаганди та механізми їхнього поширення (StopFake.org, 2025). Bellingcat проводить незалежні розслідування, що висвітлюють роль фейкових новин у сучасних гібридних конфліктах (Bellingcat, 2025).</w:t>
      </w:r>
    </w:p>
    <w:p w14:paraId="0B601109">
      <w:pPr>
        <w:tabs>
          <w:tab w:val="left" w:pos="1134"/>
        </w:tabs>
        <w:spacing w:after="0" w:line="360" w:lineRule="auto"/>
        <w:ind w:firstLine="709"/>
        <w:jc w:val="both"/>
        <w:rPr>
          <w:rFonts w:ascii="Times New Roman" w:hAnsi="Times New Roman" w:eastAsia="Times New Roman" w:cs="Times New Roman"/>
          <w:color w:val="000000"/>
          <w:sz w:val="28"/>
          <w:szCs w:val="28"/>
          <w:lang w:val="uk-UA"/>
        </w:rPr>
        <w:sectPr>
          <w:pgSz w:w="11906" w:h="16838"/>
          <w:pgMar w:top="1134" w:right="851" w:bottom="1134" w:left="1701" w:header="709" w:footer="709" w:gutter="0"/>
          <w:cols w:space="708" w:num="1"/>
          <w:docGrid w:linePitch="360" w:charSpace="0"/>
        </w:sectPr>
      </w:pPr>
      <w:r>
        <w:rPr>
          <w:rFonts w:ascii="Times New Roman" w:hAnsi="Times New Roman" w:eastAsia="Times New Roman" w:cs="Times New Roman"/>
          <w:color w:val="000000"/>
          <w:sz w:val="28"/>
          <w:szCs w:val="28"/>
          <w:lang w:val="uk-UA"/>
        </w:rPr>
        <w:t xml:space="preserve">Отже, джерельна база дослідження демонструє комплексний і багаторівневий характер, поєднуючи офіційно-стратегічні документи НАТО, аналітичні матеріали провідних західних центрів безпекових досліджень та нормативно-правові акти України й ЄС. Сукупність обраних нами джерел забезпечує можливість інтерпретації гібридної війни як багатовимірного феномену, що охоплює політичні, інформаційні, кібернетичні та соціально-психологічні аспекти. Поєднання емпіричних даних, стратегічних концепцій та юридичних норм дозволяє сформувати цілісний методологічний базис для аналізу механізмів гібридного впливу та моделей протидії йому. </w:t>
      </w:r>
    </w:p>
    <w:p w14:paraId="0EA180E1">
      <w:pPr>
        <w:pStyle w:val="2"/>
        <w:spacing w:before="0" w:line="360" w:lineRule="auto"/>
        <w:jc w:val="center"/>
        <w:rPr>
          <w:rFonts w:cs="Times New Roman"/>
          <w:b w:val="0"/>
          <w:szCs w:val="28"/>
          <w:lang w:val="uk-UA"/>
        </w:rPr>
      </w:pPr>
      <w:bookmarkStart w:id="8" w:name="_Toc211811234"/>
      <w:r>
        <w:rPr>
          <w:rFonts w:cs="Times New Roman"/>
          <w:szCs w:val="28"/>
          <w:lang w:val="uk-UA"/>
        </w:rPr>
        <w:t>РОЗДІЛ 2.</w:t>
      </w:r>
      <w:bookmarkEnd w:id="8"/>
      <w:r>
        <w:rPr>
          <w:rFonts w:cs="Times New Roman"/>
          <w:szCs w:val="28"/>
          <w:lang w:val="uk-UA"/>
        </w:rPr>
        <w:t xml:space="preserve"> </w:t>
      </w:r>
    </w:p>
    <w:p w14:paraId="2D055EDE">
      <w:pPr>
        <w:pStyle w:val="2"/>
        <w:spacing w:before="0" w:line="360" w:lineRule="auto"/>
        <w:jc w:val="center"/>
        <w:rPr>
          <w:rFonts w:cs="Times New Roman"/>
          <w:szCs w:val="28"/>
          <w:lang w:val="uk-UA"/>
        </w:rPr>
      </w:pPr>
      <w:bookmarkStart w:id="9" w:name="_Toc211811235"/>
      <w:r>
        <w:rPr>
          <w:rFonts w:cs="Times New Roman"/>
          <w:szCs w:val="28"/>
          <w:lang w:val="uk-UA"/>
        </w:rPr>
        <w:t>ПРАКТИКА ВЕДЕННЯ ІНФОРМАЦІЙНОЇ ВІЙНИ В КОНТЕКСТІ ГІБРИДНИХ КОНФЛІКТІВ</w:t>
      </w:r>
      <w:bookmarkEnd w:id="9"/>
    </w:p>
    <w:p w14:paraId="39C55C8A">
      <w:pPr>
        <w:spacing w:after="0" w:line="360" w:lineRule="auto"/>
        <w:ind w:firstLine="709"/>
        <w:jc w:val="center"/>
        <w:rPr>
          <w:rFonts w:ascii="Times New Roman" w:hAnsi="Times New Roman" w:cs="Times New Roman"/>
          <w:sz w:val="28"/>
          <w:szCs w:val="28"/>
          <w:lang w:val="uk-UA"/>
        </w:rPr>
      </w:pPr>
    </w:p>
    <w:p w14:paraId="3DB353BA">
      <w:pPr>
        <w:pStyle w:val="3"/>
        <w:spacing w:line="360" w:lineRule="auto"/>
        <w:ind w:firstLine="709"/>
        <w:jc w:val="both"/>
        <w:rPr>
          <w:rFonts w:eastAsia="Times New Roman" w:cs="Times New Roman"/>
          <w:szCs w:val="28"/>
          <w:lang w:val="uk-UA"/>
        </w:rPr>
      </w:pPr>
      <w:bookmarkStart w:id="10" w:name="_Toc211811236"/>
      <w:r>
        <w:rPr>
          <w:rFonts w:eastAsia="Times New Roman" w:cs="Times New Roman"/>
          <w:szCs w:val="28"/>
          <w:lang w:val="uk-UA"/>
        </w:rPr>
        <w:t>2.1. Еволюція та ключові положення офіційних стратегій і доктрин України та Російської Федерації у сфері інформаційної безпеки</w:t>
      </w:r>
      <w:bookmarkEnd w:id="10"/>
    </w:p>
    <w:p w14:paraId="7DA6219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Останнє десятиліття позначене глибокими трансформаціями у формуванні офіційних доктринальних підходів України та Російської Федерації до забезпечення інформаційної безпеки. Зміни зумовлені, перш за все, експоненціальним зростанням ролі цифрових технологій, інтенсифікацією гібридних загроз і використанням інформації як інструменту політичного, психологічного та когнітивного впливу у міжнародних відносинах.</w:t>
      </w:r>
    </w:p>
    <w:p w14:paraId="073007B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Зазначені документи не лише відображають еволюцію національних пріоритетів у сфері інформаційного захисту, але й виступають індикаторами ширшого геополітичного протистояння, у якому інформація функціонує як ресурс влади, впливу та легітимації. Аналіз цих стратегій дає змогу простежити, як упродовж останніх років концептуалізувалися нові типи загроз, як змінювалося розуміння ролі інформаційної безпеки у структурі національної безпеки, а також яким чином офіційні доктрини адаптувалися до умов цифрової глобалізації, гібридної війни та регіональної конкуренції за інформаційну перевагу.</w:t>
      </w:r>
    </w:p>
    <w:p w14:paraId="26589C9A">
      <w:pPr>
        <w:tabs>
          <w:tab w:val="left" w:pos="1134"/>
          <w:tab w:val="left" w:pos="1276"/>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Огляд офіційних документів України бере свій початок із формування нормативно-правових засад у 1990-х роках і поступово переходить до сучасних комплексних стратегій. Чинні закони та підзаконні акти сформували інституційно-правове поле діяльності державних органів у сфері захисту інформації та кіберпростору, серед яких визначальне значення мають два акти останнього десятиліття. Першим ключовим документом є Закон України «Про основні засади забезпечення кібербезпеки України» (№ 2163-VIII) від 5 жовтня 2017 р., який заклав інституційну модель національної системи кібербезпеки, визначив її суб’єктів, принципи координації та механізми захисту критичної інфраструктури (Верховна Рада України, 2025), надалі закон уточнювався у підзаконних актах. Другим фундаментальним документом стала Стратегія інформаційної безпеки, затверджена Указом Президента № 685/2021 від 28 грудня 2021 р., що сформувала сучасне бачення загроз в інформаційній сфері, окреслила стратегічні цілі держави у протидії дезінформації, захисті цифрових прав громадян і розвитку стратегічних комунікацій (Президент України, 2021). Паралельно у 2021 р. було затверджено Кіберстратегію України, яка деталізувала технічні й організаційні аспекти функціонування кіберзахисту (Президент України, 2021). У сукупності вони інтегрують правові, організаційні та комунікаційні виміри безпеки:</w:t>
      </w:r>
    </w:p>
    <w:p w14:paraId="6E1AAFA0">
      <w:pPr>
        <w:pStyle w:val="15"/>
        <w:numPr>
          <w:ilvl w:val="0"/>
          <w:numId w:val="5"/>
        </w:numPr>
        <w:tabs>
          <w:tab w:val="left" w:pos="1134"/>
          <w:tab w:val="left" w:pos="1276"/>
        </w:tabs>
        <w:spacing w:after="0" w:line="360" w:lineRule="auto"/>
        <w:ind w:left="0" w:firstLine="709"/>
        <w:jc w:val="both"/>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lang w:val="uk-UA"/>
        </w:rPr>
        <w:t>законодавство визначає компетенції й рамки</w:t>
      </w:r>
      <w:r>
        <w:rPr>
          <w:rFonts w:ascii="Times New Roman" w:hAnsi="Times New Roman" w:eastAsia="Times New Roman" w:cs="Times New Roman"/>
          <w:color w:val="000000"/>
          <w:sz w:val="28"/>
          <w:szCs w:val="28"/>
          <w:lang w:val="en-US"/>
        </w:rPr>
        <w:t>;</w:t>
      </w:r>
    </w:p>
    <w:p w14:paraId="73E6A00C">
      <w:pPr>
        <w:pStyle w:val="15"/>
        <w:numPr>
          <w:ilvl w:val="0"/>
          <w:numId w:val="5"/>
        </w:numPr>
        <w:tabs>
          <w:tab w:val="left" w:pos="1134"/>
          <w:tab w:val="left" w:pos="1276"/>
        </w:tabs>
        <w:spacing w:after="0" w:line="360" w:lineRule="auto"/>
        <w:ind w:left="0" w:firstLine="709"/>
        <w:jc w:val="both"/>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lang w:val="uk-UA"/>
        </w:rPr>
        <w:t>стратегічні документи – пріоритети та цілі</w:t>
      </w:r>
      <w:r>
        <w:rPr>
          <w:rFonts w:ascii="Times New Roman" w:hAnsi="Times New Roman" w:eastAsia="Times New Roman" w:cs="Times New Roman"/>
          <w:color w:val="000000"/>
          <w:sz w:val="28"/>
          <w:szCs w:val="28"/>
          <w:lang w:val="en-US"/>
        </w:rPr>
        <w:t>;</w:t>
      </w:r>
    </w:p>
    <w:p w14:paraId="3962FA24">
      <w:pPr>
        <w:pStyle w:val="15"/>
        <w:numPr>
          <w:ilvl w:val="0"/>
          <w:numId w:val="5"/>
        </w:numPr>
        <w:tabs>
          <w:tab w:val="left" w:pos="1134"/>
          <w:tab w:val="left" w:pos="1276"/>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практичні механізми забезпечують реагування, обмін інформацією та міжнародну координацію. </w:t>
      </w:r>
    </w:p>
    <w:p w14:paraId="683516B2">
      <w:pPr>
        <w:tabs>
          <w:tab w:val="left" w:pos="1134"/>
          <w:tab w:val="left" w:pos="1276"/>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текстах українських стратегій простежується акцент на захисті суверенітету, протидії дезінформації та зміцненні євроатлантичної інтеграції у сфері безпеки.</w:t>
      </w:r>
    </w:p>
    <w:p w14:paraId="16BB5D75">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випадку Російської Федерації ключовим офіційним документом виступає Доктрина інформаційної безпеки, оновлена у 2016 році та офіційно оприлюднена державними органами. Доктрина містить розширене визначення поняття «інформаційна сфера», визначає систему загроз, завдання та пріоритети державної політики у сфері інформаційної безпеки, а також окреслює механізми захисту національного інформаційного простору.</w:t>
      </w:r>
    </w:p>
    <w:p w14:paraId="4A33944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Після її ухвалення було запроваджено низку нормативно-правових актів, які розширили інструментарій державного контролю над інтернетом, посилили повноваження регуляторних органів і заклали технічні та юридичні засади реалізації концепції «інформаційного суверенітету». У тексті самої Доктрини та супутніх документів простежується чіткий акцент на протидії зовнішнім інформаційним впливам і закріплення за державою права на активні заходи контролю над національним сегментом мережі, що відображає авторитарно-централізовану модель інформаційної політики Росії. Таблиця  2.1 узагальнює структурні, змістові та концептуальні відмінності між двома державами, демонструючи контраст між євроінтеграційною моделлю інформаційної стійкості України та централізовано-контрольованою моделлю інформаційного суверенітету Росії.</w:t>
      </w:r>
    </w:p>
    <w:p w14:paraId="74911B26">
      <w:pPr>
        <w:tabs>
          <w:tab w:val="left" w:pos="1134"/>
        </w:tabs>
        <w:spacing w:after="0" w:line="360" w:lineRule="auto"/>
        <w:ind w:firstLine="709"/>
        <w:jc w:val="right"/>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Таблиця 2.1</w:t>
      </w:r>
    </w:p>
    <w:p w14:paraId="2171489A">
      <w:pPr>
        <w:tabs>
          <w:tab w:val="left" w:pos="1134"/>
        </w:tabs>
        <w:spacing w:after="0" w:line="360" w:lineRule="auto"/>
        <w:ind w:firstLine="709"/>
        <w:jc w:val="center"/>
        <w:rPr>
          <w:rFonts w:ascii="Times New Roman" w:hAnsi="Times New Roman" w:eastAsia="Times New Roman" w:cs="Times New Roman"/>
          <w:b/>
          <w:color w:val="000000"/>
          <w:sz w:val="28"/>
          <w:szCs w:val="28"/>
          <w:lang w:val="uk-UA"/>
        </w:rPr>
      </w:pPr>
      <w:r>
        <w:rPr>
          <w:rFonts w:ascii="Times New Roman" w:hAnsi="Times New Roman" w:eastAsia="Times New Roman" w:cs="Times New Roman"/>
          <w:b/>
          <w:color w:val="000000"/>
          <w:sz w:val="28"/>
          <w:szCs w:val="28"/>
          <w:lang w:val="uk-UA"/>
        </w:rPr>
        <w:t>Порівняльна характеристика підходів України та Російської Федерації до інформаційної безпеки</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3969"/>
        <w:gridCol w:w="3679"/>
      </w:tblGrid>
      <w:tr w14:paraId="33D1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10D2C9AB">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Критерій порівняння</w:t>
            </w:r>
          </w:p>
        </w:tc>
        <w:tc>
          <w:tcPr>
            <w:tcW w:w="3969" w:type="dxa"/>
            <w:shd w:val="clear" w:color="auto" w:fill="auto"/>
            <w:noWrap/>
            <w:vAlign w:val="center"/>
          </w:tcPr>
          <w:p w14:paraId="5831B05D">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Україна</w:t>
            </w:r>
          </w:p>
        </w:tc>
        <w:tc>
          <w:tcPr>
            <w:tcW w:w="3679" w:type="dxa"/>
            <w:shd w:val="clear" w:color="auto" w:fill="auto"/>
            <w:noWrap/>
            <w:vAlign w:val="center"/>
          </w:tcPr>
          <w:p w14:paraId="222295D1">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Російська Федерація</w:t>
            </w:r>
          </w:p>
        </w:tc>
      </w:tr>
      <w:tr w14:paraId="02D2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2E7E32BA">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Базові документи</w:t>
            </w:r>
          </w:p>
        </w:tc>
        <w:tc>
          <w:tcPr>
            <w:tcW w:w="3969" w:type="dxa"/>
            <w:shd w:val="clear" w:color="auto" w:fill="auto"/>
            <w:noWrap/>
            <w:vAlign w:val="center"/>
          </w:tcPr>
          <w:p w14:paraId="56BE88FF">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Закон «Про основні засади забезпечення кібербезпеки України» (2017); Стратегія інформаційної безпеки (2021); Кіберстратегія (2021)</w:t>
            </w:r>
          </w:p>
        </w:tc>
        <w:tc>
          <w:tcPr>
            <w:tcW w:w="3679" w:type="dxa"/>
            <w:shd w:val="clear" w:color="auto" w:fill="auto"/>
            <w:noWrap/>
            <w:vAlign w:val="center"/>
          </w:tcPr>
          <w:p w14:paraId="294EFBDF">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Доктрина інформаційної безпеки РФ (2016); Федеральний закон «Про інформацію, інформаційні технології та захист інформації» (ред. 2022)</w:t>
            </w:r>
          </w:p>
        </w:tc>
      </w:tr>
      <w:tr w14:paraId="3CF3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2212E894">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Концептуальна основа</w:t>
            </w:r>
          </w:p>
        </w:tc>
        <w:tc>
          <w:tcPr>
            <w:tcW w:w="3969" w:type="dxa"/>
            <w:shd w:val="clear" w:color="auto" w:fill="auto"/>
            <w:noWrap/>
            <w:vAlign w:val="center"/>
          </w:tcPr>
          <w:p w14:paraId="3928449B">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Інформаційна безпека як елемент демократичної стійкості та захисту прав громадян</w:t>
            </w:r>
          </w:p>
        </w:tc>
        <w:tc>
          <w:tcPr>
            <w:tcW w:w="3679" w:type="dxa"/>
            <w:shd w:val="clear" w:color="auto" w:fill="auto"/>
            <w:noWrap/>
            <w:vAlign w:val="center"/>
          </w:tcPr>
          <w:p w14:paraId="7CEA7CE5">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Інформаційна безпека як інструмент державного контролю та захисту «інформаційного суверенітету»</w:t>
            </w:r>
          </w:p>
        </w:tc>
      </w:tr>
      <w:tr w14:paraId="09A2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199D2036">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Ключові цілі</w:t>
            </w:r>
          </w:p>
        </w:tc>
        <w:tc>
          <w:tcPr>
            <w:tcW w:w="3969" w:type="dxa"/>
            <w:shd w:val="clear" w:color="auto" w:fill="auto"/>
            <w:noWrap/>
            <w:vAlign w:val="center"/>
          </w:tcPr>
          <w:p w14:paraId="7352ABC5">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Протидія дезінформації, розвиток медіаграмотності, захист критичної інфраструктури, міжнародна інтеграція</w:t>
            </w:r>
          </w:p>
        </w:tc>
        <w:tc>
          <w:tcPr>
            <w:tcW w:w="3679" w:type="dxa"/>
            <w:shd w:val="clear" w:color="auto" w:fill="auto"/>
            <w:noWrap/>
            <w:vAlign w:val="center"/>
          </w:tcPr>
          <w:p w14:paraId="7638B320">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Контроль національного інформаційного простору, протидія «зовнішнім впливам», легітимація державного моніторингу</w:t>
            </w:r>
          </w:p>
        </w:tc>
      </w:tr>
      <w:tr w14:paraId="150A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29F04652">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Інституційна структура</w:t>
            </w:r>
          </w:p>
        </w:tc>
        <w:tc>
          <w:tcPr>
            <w:tcW w:w="3969" w:type="dxa"/>
            <w:shd w:val="clear" w:color="auto" w:fill="auto"/>
            <w:noWrap/>
            <w:vAlign w:val="center"/>
          </w:tcPr>
          <w:p w14:paraId="01483DD1">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Координація через РНБО, Центр протидії дезінформації, Держспецзв’язку; партнерство з НАТО та ЄС</w:t>
            </w:r>
          </w:p>
        </w:tc>
        <w:tc>
          <w:tcPr>
            <w:tcW w:w="3679" w:type="dxa"/>
            <w:shd w:val="clear" w:color="auto" w:fill="auto"/>
            <w:noWrap/>
            <w:vAlign w:val="center"/>
          </w:tcPr>
          <w:p w14:paraId="06F6A599">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Централізоване управління через ФСБ, Роскомнагляд, Мінцифри; обмежена міжвідомча взаємодія</w:t>
            </w:r>
          </w:p>
        </w:tc>
      </w:tr>
      <w:tr w14:paraId="230A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1B2A857A">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Нормативна спрямованість</w:t>
            </w:r>
          </w:p>
        </w:tc>
        <w:tc>
          <w:tcPr>
            <w:tcW w:w="3969" w:type="dxa"/>
            <w:shd w:val="clear" w:color="auto" w:fill="auto"/>
            <w:noWrap/>
            <w:vAlign w:val="center"/>
          </w:tcPr>
          <w:p w14:paraId="7C2A6795">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Орієнтація на міжнародні стандарти (NIS 2 Directive, Будапештська конвенція, Стратегії НАТО)</w:t>
            </w:r>
          </w:p>
        </w:tc>
        <w:tc>
          <w:tcPr>
            <w:tcW w:w="3679" w:type="dxa"/>
            <w:shd w:val="clear" w:color="auto" w:fill="auto"/>
            <w:noWrap/>
            <w:vAlign w:val="center"/>
          </w:tcPr>
          <w:p w14:paraId="319B519B">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Пріоритет внутрішнього законодавства, мінімальна участь у міжнародних ініціативах</w:t>
            </w:r>
          </w:p>
        </w:tc>
      </w:tr>
      <w:tr w14:paraId="3090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5C3BBCEC">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Комунікаційна політика</w:t>
            </w:r>
          </w:p>
        </w:tc>
        <w:tc>
          <w:tcPr>
            <w:tcW w:w="3969" w:type="dxa"/>
            <w:shd w:val="clear" w:color="auto" w:fill="auto"/>
            <w:noWrap/>
            <w:vAlign w:val="center"/>
          </w:tcPr>
          <w:p w14:paraId="592AFF49">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Відкритість, стратегічні комунікації, публічна звітність</w:t>
            </w:r>
          </w:p>
        </w:tc>
        <w:tc>
          <w:tcPr>
            <w:tcW w:w="3679" w:type="dxa"/>
            <w:shd w:val="clear" w:color="auto" w:fill="auto"/>
            <w:noWrap/>
            <w:vAlign w:val="center"/>
          </w:tcPr>
          <w:p w14:paraId="455C1BAD">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Закритість, цензура, державне домінування в інформаційному просторі</w:t>
            </w:r>
          </w:p>
        </w:tc>
      </w:tr>
      <w:tr w14:paraId="061D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01F9FCAF">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Ключові акценти</w:t>
            </w:r>
          </w:p>
        </w:tc>
        <w:tc>
          <w:tcPr>
            <w:tcW w:w="3969" w:type="dxa"/>
            <w:shd w:val="clear" w:color="auto" w:fill="auto"/>
            <w:noWrap/>
            <w:vAlign w:val="center"/>
          </w:tcPr>
          <w:p w14:paraId="15A6E541">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Євроатлантична інтеграція, прозорість, партнерство</w:t>
            </w:r>
          </w:p>
        </w:tc>
        <w:tc>
          <w:tcPr>
            <w:tcW w:w="3679" w:type="dxa"/>
            <w:shd w:val="clear" w:color="auto" w:fill="auto"/>
            <w:noWrap/>
            <w:vAlign w:val="center"/>
          </w:tcPr>
          <w:p w14:paraId="5C554BEF">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Суверенізація інформаційного простору, оборонна цензура, превентивний контроль</w:t>
            </w:r>
          </w:p>
        </w:tc>
      </w:tr>
      <w:tr w14:paraId="7846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696" w:type="dxa"/>
            <w:shd w:val="clear" w:color="auto" w:fill="auto"/>
            <w:noWrap/>
            <w:vAlign w:val="center"/>
          </w:tcPr>
          <w:p w14:paraId="0189E675">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Загальна характеристика моделі</w:t>
            </w:r>
          </w:p>
        </w:tc>
        <w:tc>
          <w:tcPr>
            <w:tcW w:w="3969" w:type="dxa"/>
            <w:shd w:val="clear" w:color="auto" w:fill="auto"/>
            <w:noWrap/>
            <w:vAlign w:val="center"/>
          </w:tcPr>
          <w:p w14:paraId="0883396A">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Модель інформаційної резильєнтності та відкритої безпеки</w:t>
            </w:r>
          </w:p>
        </w:tc>
        <w:tc>
          <w:tcPr>
            <w:tcW w:w="3679" w:type="dxa"/>
            <w:shd w:val="clear" w:color="auto" w:fill="auto"/>
            <w:noWrap/>
            <w:vAlign w:val="center"/>
          </w:tcPr>
          <w:p w14:paraId="0CADBEFC">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Модель інформаційного протекціонізму та централізованого контролю</w:t>
            </w:r>
          </w:p>
        </w:tc>
      </w:tr>
    </w:tbl>
    <w:p w14:paraId="4610C319">
      <w:pPr>
        <w:tabs>
          <w:tab w:val="left" w:pos="1134"/>
        </w:tabs>
        <w:spacing w:after="0" w:line="360" w:lineRule="auto"/>
        <w:ind w:firstLine="709"/>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uk-UA"/>
        </w:rPr>
        <w:t xml:space="preserve">Джерело: систематизовано автором на основі </w:t>
      </w:r>
      <w:r>
        <w:rPr>
          <w:rFonts w:ascii="Times New Roman" w:hAnsi="Times New Roman" w:eastAsia="Times New Roman" w:cs="Times New Roman"/>
          <w:color w:val="000000"/>
          <w:sz w:val="24"/>
          <w:szCs w:val="24"/>
          <w:lang w:val="en-US"/>
        </w:rPr>
        <w:t>(Верховна Рада України, 2025; Президент України, 2021; Президент України, 2021; Тихомирова, 2020; Президент РФ, 2016; NATO StratCom COE, 2021)</w:t>
      </w:r>
    </w:p>
    <w:p w14:paraId="43CEA2E2">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Стратегії інформаційної безпеки України від 2021 року головними загрозами визначено інформаційно-психологічні операції, спрямовані на підрив державності, дестабілізацію політичної системи та послаблення демократичних інститутів. Значна увага приділяється діяльності Російської Федерації, яка у стратегії прямо названа головним джерелом інформаційної агресії проти України. До загроз віднесено також спроби маніпуляції суспільною свідомістю, поширення дезінформації, втручання у виборчі процеси та послаблення довіри громадян до органів влади. У сфері кібербезпеки виділяються ризики кібератак на об’єкти критичної інфраструктури, на банківську систему, транспорт, енергетику та урядові інформаційні ресурси. Пріоритетами визначено розвиток системи стратегічних комунікацій, підвищення стійкості суспільства до ворожих інформаційних впливів, інтеграцію до євроатлантичного простору безпеки, а також удосконалення державної системи реагування на кіберінциденти.</w:t>
      </w:r>
    </w:p>
    <w:p w14:paraId="6C8B47B3">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Стратегії інформаційної безпеки України загрози інтерпретуються у розширеному, гібридному вимірі, що інтегрує військово-кібернетичні, політико-інформаційні та культурно-гуманітарні компоненти. Використаний концептуальний підхід репрезентує усвідомлення інформаційного простору як стратегічного інструмента агресії, одночасно корелюючи систему безпеки з нормативними гарантіями прав людини, свободою вираження поглядів та інституційним розвитком незалежних медіа. У результаті формується збалансована парадигма, у межах якої забезпечується синергія оборонної стійкості держави та збереження демократичних цінностей суспільства.</w:t>
      </w:r>
    </w:p>
    <w:p w14:paraId="6BD0C63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Доктрині інформаційної безпеки Російської Федерації 2016 року картина загроз має інший характер. У тексті документу відзначено, що головними небезпеками для інформаційної безпеки є діяльність іноземних держав, міжнародних організацій і компаній, які нібито здійснюють інформаційний вплив на Росію. Значна увага приділяється спробам «дестабілізації внутрішньополітичної і соціально-економічної ситуації», «руйнуванню традиційних духовних цінностей» та «підриву культурної ідентичності». Особливе місце займають інформаційні загрози, що, як зазначено у доктрині, виходять із боку західних держав і міжнародних структур.</w:t>
      </w:r>
    </w:p>
    <w:p w14:paraId="5E5CAEB3">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Пріоритети, визначені в Доктрині 2016 року, передбачають зміцнення державного контролю над інформаційним простором, створення національної інфраструктури інтернету, розвиток власних інформаційних ресурсів і технологій, а також протидію зовнішньому втручанню. Центральним елементом є концепція «інформаційного суверенітету», яка передбачає, що держава повинна мати повний контроль над національним сегментом мережі та над усіма інформаційними потоками.</w:t>
      </w:r>
    </w:p>
    <w:p w14:paraId="35FB731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Варто підкреслити, що якщо в українських стратегічних документах наголос робиться на захисті громадян, суспільства і демократичних інститутів від зовнішньої агресії, то в російській доктрині головним пріоритетом є захист державної влади та «традиційних цінностей» від впливу зовнішніх сил. Така різниця формує дві відмінні парадигми інформаційної безпеки: у першій вона розглядається як засіб стійкості демократичної держави, у другій - як інструмент збереження політичного контролю та суверенітету над інформаційним простором.</w:t>
      </w:r>
    </w:p>
    <w:p w14:paraId="3981E46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Еволюція державних підходів України та Росії засвідчила трансформацію від технократичних моделей кіберзахисту до комплексних концепцій, що інтегрують інформаційну безпеку, стратегічні комунікації та політичне управління. В Україні цей перехід закріплено Законом «Про основні засади забезпечення кібербезпеки» (Верховна Рада України, 2025), який сформував інституційну архітектоніку реагування на кіберінциденти та захист критичної інфраструктури. Наступні стратегії 2020–2021 рр. концептуалізували інформаційну безпеку як складову національної стійкості. Законодавчі оновлення доповнилися розвитком сервісів реагування, встановленням стандартів кіберзахищеності, створенням механізмів обміну даними про інциденти та посиленням міжнародної кооперації у сфері кібербезпеки й стратегічних комунікацій. Зміни, актуалізовані під час повномасштабної війни 2022 р., відображають зсув до проактивної моделі інформаційного захисту, орієнтованої на стійкість і партнерство.</w:t>
      </w:r>
    </w:p>
    <w:p w14:paraId="4172F7B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Оновлена Доктрина інформаційної безпеки Російської Федерації (2016) заклала ідеологічний та нормативний фундамент для посилення державного контролю над інформаційним простором. Її реалізація була розширена ухваленням «закону про суверенний інтернет» (2019), який інституціоналізував принцип технологічної ізоляції мережі й делегував Роскомнагляду розширені повноваження щодо моніторингу та фільтрації трафіку (Internet Society, 2023). Починаючи з 2022 року, у контексті війни проти України, правова система РФ отримала додаткові репресивні механізми – криміналізацію «фейків» про армію, блокування незалежних медіа та посилення покарань за відхилення від офіційного дискурсу. Відбувається трансформація від доктринальної парадигми «інформаційного суверенітету» до режиму інституціоналізованої цензури, що передбачає централізований контроль над інформаційно-комунікативними потоками та управління суспільними наративами в межах державної пропагандистської стратегії </w:t>
      </w:r>
      <w:r>
        <w:rPr>
          <w:rFonts w:ascii="Times New Roman" w:hAnsi="Times New Roman" w:eastAsia="Times New Roman" w:cs="Times New Roman"/>
          <w:color w:val="000000"/>
          <w:sz w:val="28"/>
          <w:szCs w:val="28"/>
          <w:lang w:val="en-US"/>
        </w:rPr>
        <w:t>(Soldatov &amp; Borogan, 2022).</w:t>
      </w:r>
    </w:p>
    <w:p w14:paraId="06D615F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На відміну від цього, українська модель прагне синтезувати безпекові та правозахисні підходи, поєднуючи централізоване реагування з принципами відкритості та міжнародного партнерства. Для України це означає акцент на розвитку кіберінфраструктури, підвищенні кваліфікації кадрів, інтеграції приватного сектору та просуванні медіаграмотності. Для Росії ж – це посилення техно-правових бар’єрів, локалізація даних і використання інформаційної політики як інструмента політичної репресії.</w:t>
      </w:r>
    </w:p>
    <w:p w14:paraId="16A130F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Політичне та міжнародне значення цих змін полягає в тому, що інформаційна політика більше не є винятково технічною або внутрішньою справою. Вона стала елементом зовнішньої політики і геостратегічної конкуренції. Українські стратегії використовуються як аргумент для посилення міжнародної підтримки, координації з партнерами і застосування механізмів колективної протидії інформаційним операціям; це відкриває можливості як для міжнародної технічної допомоги, так і для дипломатичних висловлювань проти інформаційних атак. У випадку Росії офіційні документи слугують підґрунтям для просування альтернативних міжнародних підходів до «регулювання інтернету» і для виправдання жорстких національних заходів як нібито суверенних засобів захисту від зовнішньої агресії.</w:t>
      </w:r>
    </w:p>
    <w:p w14:paraId="15E88E1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Після початку повномасштабної агресії Російської Федерації у 2022 році проблематика інформаційної безпеки набула для України стратегічного значення. Доктринальні документи, ухвалені до війни, виконали роль концептуальних рамок, які в умовах воєнного стану зазнали адаптації. У 2022–2023 роках держава розширила нормативне поле протидії дезінформації, пропаганді та кібератакам, через оновлення закону «Про медіа» та впровадження регуляторних механізмів контролю цифрових платформ (Верховна Рада України, 2025).</w:t>
      </w:r>
    </w:p>
    <w:p w14:paraId="206026D8">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Росії ж після 2022 року відбувся якісний зсув до репресивної моделі інформаційної політики – посилено кримінальну відповідальність за «дискредитацію» армії, обмежено доступ до незалежних медіа, а з 2024 року реалізується повномасштабна концепція «суверенного інтернету» (NATO ACT, 2021). Її складові – технологічна ізоляція, імпортозаміщення, перехід на національні операційні системи та хмарні сервіси. У результаті російська модель інформаційної безпеки дедалі більше трансформується в закриту «інформаційну фортецю», спрямовану на контроль комунікаційного простору та обмеження глобальної інтеграції.</w:t>
      </w:r>
    </w:p>
    <w:p w14:paraId="66230D3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Міжнародний вимір сучасних трансформацій інформаційної політики має принципове значення. У 2023–2024 роках Україна активно долучилася до європейської архітектоніки кіберзахисту, інтегрувавшись у програми ЄС, зокрема до Європейського центру компетенцій з кібербезпеки, та отримавши підтримку НАТО в межах ініціативи Cyber Defence Pledge (NATO, 2016). Інтеграція у європейські програми кіберзахисту підвищила техноінституційну спроможність України до реагування на кіберзагрози та водночас закріпила її позицію як повноправного актора демократичного й відкритого інформаційно-комунікативного простору.</w:t>
      </w:r>
    </w:p>
    <w:p w14:paraId="2DCDBB43">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eastAsia="Times New Roman" w:cs="Times New Roman"/>
          <w:color w:val="000000"/>
          <w:sz w:val="28"/>
          <w:szCs w:val="28"/>
          <w:lang w:val="uk-UA"/>
        </w:rPr>
        <w:t>Отже, бачимо, що Російська Федерація, навпаки, після 2022 року переорієнтувалася на просування концепції «міжнародної інформаційної безпеки» через ООН та інші міжурядові платформи, обґрунтовуючи «цифровий суверенітет» як право держави на самоізоляцію від «інформаційної агресії». У 2025 році чітко окреслюється глибинна дивергенція двох парадигм українська модель постає як інтеграційна, ліберально-демократична та орієнтована на партнерську взаємодію й інформаційну прозорість, тоді як російська еволюціонує в авторитарно-ізоляціоністську систему, що інструменталізує інформаційну політику для централізованого контролю й репресивного впливу на суспільний дискурс.</w:t>
      </w:r>
    </w:p>
    <w:p w14:paraId="694426C4">
      <w:pPr>
        <w:spacing w:after="0" w:line="360" w:lineRule="auto"/>
        <w:ind w:firstLine="709"/>
        <w:jc w:val="center"/>
        <w:rPr>
          <w:rFonts w:ascii="Times New Roman" w:hAnsi="Times New Roman" w:cs="Times New Roman"/>
          <w:sz w:val="28"/>
          <w:szCs w:val="28"/>
          <w:lang w:val="uk-UA"/>
        </w:rPr>
      </w:pPr>
    </w:p>
    <w:p w14:paraId="55733900">
      <w:pPr>
        <w:pStyle w:val="3"/>
        <w:spacing w:line="360" w:lineRule="auto"/>
        <w:ind w:firstLine="709"/>
        <w:jc w:val="both"/>
        <w:rPr>
          <w:rFonts w:eastAsia="Times New Roman" w:cs="Times New Roman"/>
          <w:color w:val="000000"/>
          <w:szCs w:val="28"/>
          <w:lang w:val="uk-UA"/>
        </w:rPr>
      </w:pPr>
      <w:bookmarkStart w:id="11" w:name="_Toc211811237"/>
      <w:r>
        <w:rPr>
          <w:rFonts w:eastAsia="Times New Roman" w:cs="Times New Roman"/>
          <w:szCs w:val="28"/>
          <w:lang w:val="uk-UA"/>
        </w:rPr>
        <w:t>2.2. Російські інформаційні наративи та механізми дезінформації: цілі, інструменти, аудиторії</w:t>
      </w:r>
      <w:bookmarkEnd w:id="11"/>
    </w:p>
    <w:p w14:paraId="7AAAE06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межах цього війни РФ проти України інформаційні кампанії перетворилися на системний засіб впливу, вони формують суспільну свідомість, легітимізують політичні рішення та моделюють міжнародне сприйняття конфлікту. Російська Федерація активно використовує дезінформаційні та пропагандистські технології для раціоналізації власної агресії, тоді як Україна вибудовує стратегії інформаційного спротиву, спрямовані на консолідацію суспільства й просування національних наративів у глобальному медіапросторі. Аналіз зазначених процесів дозволяє глибше інтерпретувати динаміку сучасних інформаційних війн, оцінити їхній соціально-політичний резонанс та ідентифікувати ефективні механізми протидії дезінформаційним впливам у межах системи державної інформаційної безпеки (табл.2.2).</w:t>
      </w:r>
    </w:p>
    <w:p w14:paraId="1E4DA6F6">
      <w:pPr>
        <w:tabs>
          <w:tab w:val="left" w:pos="1134"/>
        </w:tabs>
        <w:spacing w:after="0" w:line="360" w:lineRule="auto"/>
        <w:ind w:firstLine="709"/>
        <w:jc w:val="right"/>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Таблиця 2.2</w:t>
      </w:r>
    </w:p>
    <w:p w14:paraId="645790B1">
      <w:pPr>
        <w:tabs>
          <w:tab w:val="left" w:pos="1134"/>
        </w:tabs>
        <w:spacing w:after="0" w:line="360" w:lineRule="auto"/>
        <w:ind w:firstLine="709"/>
        <w:jc w:val="center"/>
        <w:rPr>
          <w:rFonts w:ascii="Times New Roman" w:hAnsi="Times New Roman" w:eastAsia="Times New Roman" w:cs="Times New Roman"/>
          <w:b/>
          <w:color w:val="000000"/>
          <w:sz w:val="28"/>
          <w:szCs w:val="28"/>
          <w:lang w:val="uk-UA"/>
        </w:rPr>
      </w:pPr>
      <w:r>
        <w:rPr>
          <w:rFonts w:ascii="Times New Roman" w:hAnsi="Times New Roman" w:eastAsia="Times New Roman" w:cs="Times New Roman"/>
          <w:b/>
          <w:color w:val="000000"/>
          <w:sz w:val="28"/>
          <w:szCs w:val="28"/>
          <w:lang w:val="uk-UA"/>
        </w:rPr>
        <w:t>Етапи розвитку російських інформаційних операцій проти України, за період 2014–2024 рр.</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9"/>
        <w:gridCol w:w="1475"/>
        <w:gridCol w:w="1962"/>
        <w:gridCol w:w="1804"/>
        <w:gridCol w:w="1950"/>
      </w:tblGrid>
      <w:tr w14:paraId="0901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14" w:type="dxa"/>
            <w:shd w:val="clear" w:color="auto" w:fill="auto"/>
            <w:noWrap/>
            <w:vAlign w:val="center"/>
          </w:tcPr>
          <w:p w14:paraId="6B372611">
            <w:pPr>
              <w:spacing w:after="0" w:line="240" w:lineRule="auto"/>
              <w:jc w:val="center"/>
              <w:rPr>
                <w:rFonts w:ascii="Times New Roman" w:hAnsi="Times New Roman" w:eastAsia="Times New Roman" w:cs="Times New Roman"/>
                <w:b/>
                <w:color w:val="000000"/>
                <w:sz w:val="20"/>
                <w:szCs w:val="20"/>
                <w:lang w:val="uk-UA" w:eastAsia="uk-UA"/>
              </w:rPr>
            </w:pPr>
            <w:r>
              <w:rPr>
                <w:rFonts w:ascii="Times New Roman" w:hAnsi="Times New Roman" w:eastAsia="Times New Roman" w:cs="Times New Roman"/>
                <w:b/>
                <w:color w:val="000000"/>
                <w:sz w:val="20"/>
                <w:szCs w:val="20"/>
                <w:lang w:val="uk-UA" w:eastAsia="uk-UA"/>
              </w:rPr>
              <w:t>Етап</w:t>
            </w:r>
          </w:p>
        </w:tc>
        <w:tc>
          <w:tcPr>
            <w:tcW w:w="1496" w:type="dxa"/>
            <w:shd w:val="clear" w:color="auto" w:fill="auto"/>
            <w:noWrap/>
            <w:vAlign w:val="center"/>
          </w:tcPr>
          <w:p w14:paraId="01EEF85B">
            <w:pPr>
              <w:spacing w:after="0" w:line="240" w:lineRule="auto"/>
              <w:jc w:val="center"/>
              <w:rPr>
                <w:rFonts w:ascii="Times New Roman" w:hAnsi="Times New Roman" w:eastAsia="Times New Roman" w:cs="Times New Roman"/>
                <w:b/>
                <w:color w:val="000000"/>
                <w:sz w:val="20"/>
                <w:szCs w:val="20"/>
                <w:lang w:val="uk-UA" w:eastAsia="uk-UA"/>
              </w:rPr>
            </w:pPr>
            <w:r>
              <w:rPr>
                <w:rFonts w:ascii="Times New Roman" w:hAnsi="Times New Roman" w:eastAsia="Times New Roman" w:cs="Times New Roman"/>
                <w:b/>
                <w:color w:val="000000"/>
                <w:sz w:val="20"/>
                <w:szCs w:val="20"/>
                <w:lang w:val="uk-UA" w:eastAsia="uk-UA"/>
              </w:rPr>
              <w:t>Хронологічні межі</w:t>
            </w:r>
          </w:p>
        </w:tc>
        <w:tc>
          <w:tcPr>
            <w:tcW w:w="1991" w:type="dxa"/>
            <w:shd w:val="clear" w:color="auto" w:fill="auto"/>
            <w:noWrap/>
            <w:vAlign w:val="center"/>
          </w:tcPr>
          <w:p w14:paraId="3AF018AC">
            <w:pPr>
              <w:spacing w:after="0" w:line="240" w:lineRule="auto"/>
              <w:jc w:val="center"/>
              <w:rPr>
                <w:rFonts w:ascii="Times New Roman" w:hAnsi="Times New Roman" w:eastAsia="Times New Roman" w:cs="Times New Roman"/>
                <w:b/>
                <w:color w:val="000000"/>
                <w:sz w:val="20"/>
                <w:szCs w:val="20"/>
                <w:lang w:val="uk-UA" w:eastAsia="uk-UA"/>
              </w:rPr>
            </w:pPr>
            <w:r>
              <w:rPr>
                <w:rFonts w:ascii="Times New Roman" w:hAnsi="Times New Roman" w:eastAsia="Times New Roman" w:cs="Times New Roman"/>
                <w:b/>
                <w:color w:val="000000"/>
                <w:sz w:val="20"/>
                <w:szCs w:val="20"/>
                <w:lang w:val="uk-UA" w:eastAsia="uk-UA"/>
              </w:rPr>
              <w:t>Ключові цілі</w:t>
            </w:r>
          </w:p>
        </w:tc>
        <w:tc>
          <w:tcPr>
            <w:tcW w:w="1465" w:type="dxa"/>
            <w:shd w:val="clear" w:color="auto" w:fill="auto"/>
            <w:noWrap/>
            <w:vAlign w:val="center"/>
          </w:tcPr>
          <w:p w14:paraId="6EF6DE03">
            <w:pPr>
              <w:spacing w:after="0" w:line="240" w:lineRule="auto"/>
              <w:jc w:val="center"/>
              <w:rPr>
                <w:rFonts w:ascii="Times New Roman" w:hAnsi="Times New Roman" w:eastAsia="Times New Roman" w:cs="Times New Roman"/>
                <w:b/>
                <w:color w:val="000000"/>
                <w:sz w:val="20"/>
                <w:szCs w:val="20"/>
                <w:lang w:val="uk-UA" w:eastAsia="uk-UA"/>
              </w:rPr>
            </w:pPr>
            <w:r>
              <w:rPr>
                <w:rFonts w:ascii="Times New Roman" w:hAnsi="Times New Roman" w:eastAsia="Times New Roman" w:cs="Times New Roman"/>
                <w:b/>
                <w:color w:val="000000"/>
                <w:sz w:val="20"/>
                <w:szCs w:val="20"/>
                <w:lang w:val="uk-UA" w:eastAsia="uk-UA"/>
              </w:rPr>
              <w:t>Основні наративи</w:t>
            </w:r>
          </w:p>
        </w:tc>
        <w:tc>
          <w:tcPr>
            <w:tcW w:w="1978" w:type="dxa"/>
            <w:shd w:val="clear" w:color="auto" w:fill="auto"/>
            <w:noWrap/>
            <w:vAlign w:val="center"/>
          </w:tcPr>
          <w:p w14:paraId="4357E95B">
            <w:pPr>
              <w:spacing w:after="0" w:line="240" w:lineRule="auto"/>
              <w:jc w:val="center"/>
              <w:rPr>
                <w:rFonts w:ascii="Times New Roman" w:hAnsi="Times New Roman" w:eastAsia="Times New Roman" w:cs="Times New Roman"/>
                <w:b/>
                <w:color w:val="000000"/>
                <w:sz w:val="20"/>
                <w:szCs w:val="20"/>
                <w:lang w:val="uk-UA" w:eastAsia="uk-UA"/>
              </w:rPr>
            </w:pPr>
            <w:r>
              <w:rPr>
                <w:rFonts w:ascii="Times New Roman" w:hAnsi="Times New Roman" w:eastAsia="Times New Roman" w:cs="Times New Roman"/>
                <w:b/>
                <w:color w:val="000000"/>
                <w:sz w:val="20"/>
                <w:szCs w:val="20"/>
                <w:lang w:val="uk-UA" w:eastAsia="uk-UA"/>
              </w:rPr>
              <w:t>Інструменти та методи</w:t>
            </w:r>
          </w:p>
        </w:tc>
      </w:tr>
      <w:tr w14:paraId="4E04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14" w:type="dxa"/>
            <w:shd w:val="clear" w:color="auto" w:fill="auto"/>
            <w:noWrap/>
            <w:vAlign w:val="center"/>
          </w:tcPr>
          <w:p w14:paraId="44B1A622">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I етап – легітимізаційний</w:t>
            </w:r>
          </w:p>
        </w:tc>
        <w:tc>
          <w:tcPr>
            <w:tcW w:w="1496" w:type="dxa"/>
            <w:shd w:val="clear" w:color="auto" w:fill="auto"/>
            <w:noWrap/>
            <w:vAlign w:val="center"/>
          </w:tcPr>
          <w:p w14:paraId="7962E603">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2014–2015 рр.</w:t>
            </w:r>
          </w:p>
        </w:tc>
        <w:tc>
          <w:tcPr>
            <w:tcW w:w="1991" w:type="dxa"/>
            <w:shd w:val="clear" w:color="auto" w:fill="auto"/>
            <w:noWrap/>
            <w:vAlign w:val="center"/>
          </w:tcPr>
          <w:p w14:paraId="6DBCF081">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Обґрунтування анексії Криму та початку війни на Донбасі</w:t>
            </w:r>
          </w:p>
        </w:tc>
        <w:tc>
          <w:tcPr>
            <w:tcW w:w="1465" w:type="dxa"/>
            <w:shd w:val="clear" w:color="auto" w:fill="auto"/>
            <w:noWrap/>
            <w:vAlign w:val="center"/>
          </w:tcPr>
          <w:p w14:paraId="718C7478">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«Захист російськомовних», «боротьба з неонацистами», «повернення Криму додому»</w:t>
            </w:r>
          </w:p>
        </w:tc>
        <w:tc>
          <w:tcPr>
            <w:tcW w:w="1978" w:type="dxa"/>
            <w:shd w:val="clear" w:color="auto" w:fill="auto"/>
            <w:noWrap/>
            <w:vAlign w:val="center"/>
          </w:tcPr>
          <w:p w14:paraId="526049B1">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Телебачення, фейкові новини, фабрики тролів, маніпуляція історичними образами</w:t>
            </w:r>
          </w:p>
        </w:tc>
      </w:tr>
      <w:tr w14:paraId="217A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14" w:type="dxa"/>
            <w:shd w:val="clear" w:color="auto" w:fill="auto"/>
            <w:noWrap/>
            <w:vAlign w:val="center"/>
          </w:tcPr>
          <w:p w14:paraId="7AF5BF9C">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II етап – дестабілізаційний</w:t>
            </w:r>
          </w:p>
        </w:tc>
        <w:tc>
          <w:tcPr>
            <w:tcW w:w="1496" w:type="dxa"/>
            <w:shd w:val="clear" w:color="auto" w:fill="auto"/>
            <w:noWrap/>
            <w:vAlign w:val="center"/>
          </w:tcPr>
          <w:p w14:paraId="21735D24">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2016–2019 рр.</w:t>
            </w:r>
          </w:p>
        </w:tc>
        <w:tc>
          <w:tcPr>
            <w:tcW w:w="1991" w:type="dxa"/>
            <w:shd w:val="clear" w:color="auto" w:fill="auto"/>
            <w:noWrap/>
            <w:vAlign w:val="center"/>
          </w:tcPr>
          <w:p w14:paraId="196BEEE1">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Дискредитація України на міжнародній арені, підрив довіри до влади</w:t>
            </w:r>
          </w:p>
        </w:tc>
        <w:tc>
          <w:tcPr>
            <w:tcW w:w="1465" w:type="dxa"/>
            <w:shd w:val="clear" w:color="auto" w:fill="auto"/>
            <w:noWrap/>
            <w:vAlign w:val="center"/>
          </w:tcPr>
          <w:p w14:paraId="1FFAFBD4">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«Зовнішнє управління», «корумпований режим», «розкол суспільства»</w:t>
            </w:r>
          </w:p>
        </w:tc>
        <w:tc>
          <w:tcPr>
            <w:tcW w:w="1978" w:type="dxa"/>
            <w:shd w:val="clear" w:color="auto" w:fill="auto"/>
            <w:noWrap/>
            <w:vAlign w:val="center"/>
          </w:tcPr>
          <w:p w14:paraId="42EF1CD9">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Соціальні мережі, ботоферми, фейкові аналітичні матеріали, втручання у вибори</w:t>
            </w:r>
          </w:p>
        </w:tc>
      </w:tr>
      <w:tr w14:paraId="48D6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14" w:type="dxa"/>
            <w:shd w:val="clear" w:color="auto" w:fill="auto"/>
            <w:noWrap/>
            <w:vAlign w:val="center"/>
          </w:tcPr>
          <w:p w14:paraId="611ECC11">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III етап – мобілізаційний</w:t>
            </w:r>
          </w:p>
        </w:tc>
        <w:tc>
          <w:tcPr>
            <w:tcW w:w="1496" w:type="dxa"/>
            <w:shd w:val="clear" w:color="auto" w:fill="auto"/>
            <w:noWrap/>
            <w:vAlign w:val="center"/>
          </w:tcPr>
          <w:p w14:paraId="02B09134">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2020–2022 рр.</w:t>
            </w:r>
          </w:p>
        </w:tc>
        <w:tc>
          <w:tcPr>
            <w:tcW w:w="1991" w:type="dxa"/>
            <w:shd w:val="clear" w:color="auto" w:fill="auto"/>
            <w:noWrap/>
            <w:vAlign w:val="center"/>
          </w:tcPr>
          <w:p w14:paraId="0942EA33">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Підготовка до повномасштабної агресії, мобілізація внутрішньої підтримки</w:t>
            </w:r>
          </w:p>
        </w:tc>
        <w:tc>
          <w:tcPr>
            <w:tcW w:w="1465" w:type="dxa"/>
            <w:shd w:val="clear" w:color="auto" w:fill="auto"/>
            <w:noWrap/>
            <w:vAlign w:val="center"/>
          </w:tcPr>
          <w:p w14:paraId="43110816">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«Загроза НАТО», «захист братніх народів», «антифашистська місія»</w:t>
            </w:r>
          </w:p>
        </w:tc>
        <w:tc>
          <w:tcPr>
            <w:tcW w:w="1978" w:type="dxa"/>
            <w:shd w:val="clear" w:color="auto" w:fill="auto"/>
            <w:noWrap/>
            <w:vAlign w:val="center"/>
          </w:tcPr>
          <w:p w14:paraId="511B9A99">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Дезінформаційні кампанії, теорії змови (COVID-19), псевдоекспертні медіа</w:t>
            </w:r>
          </w:p>
        </w:tc>
      </w:tr>
      <w:tr w14:paraId="4343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14" w:type="dxa"/>
            <w:shd w:val="clear" w:color="auto" w:fill="auto"/>
            <w:noWrap/>
            <w:vAlign w:val="center"/>
          </w:tcPr>
          <w:p w14:paraId="7D528362">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IV етап – ізоляційно-глобалізаційний</w:t>
            </w:r>
          </w:p>
        </w:tc>
        <w:tc>
          <w:tcPr>
            <w:tcW w:w="1496" w:type="dxa"/>
            <w:shd w:val="clear" w:color="auto" w:fill="auto"/>
            <w:noWrap/>
            <w:vAlign w:val="center"/>
          </w:tcPr>
          <w:p w14:paraId="3EEF3748">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2022–2024 рр.</w:t>
            </w:r>
          </w:p>
        </w:tc>
        <w:tc>
          <w:tcPr>
            <w:tcW w:w="1991" w:type="dxa"/>
            <w:shd w:val="clear" w:color="auto" w:fill="auto"/>
            <w:noWrap/>
            <w:vAlign w:val="center"/>
          </w:tcPr>
          <w:p w14:paraId="1647B5F9">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Виправдання війни, контроль внутрішнього дискурсу, протидія Заходу</w:t>
            </w:r>
          </w:p>
        </w:tc>
        <w:tc>
          <w:tcPr>
            <w:tcW w:w="1465" w:type="dxa"/>
            <w:shd w:val="clear" w:color="auto" w:fill="auto"/>
            <w:noWrap/>
            <w:vAlign w:val="center"/>
          </w:tcPr>
          <w:p w14:paraId="334E8737">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«Священна війна», «боротьба з колективним Заходом», «антинацистська операція»</w:t>
            </w:r>
          </w:p>
        </w:tc>
        <w:tc>
          <w:tcPr>
            <w:tcW w:w="1978" w:type="dxa"/>
            <w:shd w:val="clear" w:color="auto" w:fill="auto"/>
            <w:noWrap/>
            <w:vAlign w:val="center"/>
          </w:tcPr>
          <w:p w14:paraId="5181FCE5">
            <w:pPr>
              <w:spacing w:after="0" w:line="240" w:lineRule="auto"/>
              <w:jc w:val="both"/>
              <w:rPr>
                <w:rFonts w:ascii="Times New Roman" w:hAnsi="Times New Roman" w:eastAsia="Times New Roman" w:cs="Times New Roman"/>
                <w:color w:val="000000"/>
                <w:sz w:val="20"/>
                <w:szCs w:val="20"/>
                <w:lang w:val="uk-UA" w:eastAsia="uk-UA"/>
              </w:rPr>
            </w:pPr>
            <w:r>
              <w:rPr>
                <w:rFonts w:ascii="Times New Roman" w:hAnsi="Times New Roman" w:eastAsia="Times New Roman" w:cs="Times New Roman"/>
                <w:color w:val="000000"/>
                <w:sz w:val="20"/>
                <w:szCs w:val="20"/>
                <w:lang w:val="uk-UA" w:eastAsia="uk-UA"/>
              </w:rPr>
              <w:t>Цензура, блокування медіа й соцмереж, антиукраїнські кампанії в країнах Глобального Півдня</w:t>
            </w:r>
          </w:p>
        </w:tc>
      </w:tr>
    </w:tbl>
    <w:p w14:paraId="2B068832">
      <w:pPr>
        <w:tabs>
          <w:tab w:val="left" w:pos="1134"/>
        </w:tabs>
        <w:spacing w:after="0" w:line="360" w:lineRule="auto"/>
        <w:ind w:firstLine="709"/>
        <w:jc w:val="both"/>
        <w:rPr>
          <w:rFonts w:ascii="Times New Roman" w:hAnsi="Times New Roman" w:eastAsia="Times New Roman" w:cs="Times New Roman"/>
          <w:color w:val="000000"/>
          <w:sz w:val="24"/>
          <w:szCs w:val="24"/>
          <w:lang w:val="uk-UA"/>
        </w:rPr>
      </w:pPr>
      <w:r>
        <w:rPr>
          <w:rFonts w:ascii="Times New Roman" w:hAnsi="Times New Roman" w:eastAsia="Times New Roman" w:cs="Times New Roman"/>
          <w:color w:val="000000"/>
          <w:sz w:val="24"/>
          <w:szCs w:val="24"/>
          <w:lang w:val="uk-UA"/>
        </w:rPr>
        <w:t>Джерело: укладено автором</w:t>
      </w:r>
    </w:p>
    <w:p w14:paraId="5B05B5E2">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p>
    <w:p w14:paraId="61887A53">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Російська пропагандистська система побудована на поєднанні державних медіа, контрольованих приватних ресурсів і мережевих інформаційних майданчиків. Основну роль відіграють такі державні ЗМІ, як RT (Russia Today), Sputnik, «Перший канал», «Росія 24», НТВ, ТАСС, які працюють як на внутрішню, так і на зовнішню аудиторію.</w:t>
      </w:r>
    </w:p>
    <w:p w14:paraId="3931CEB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Медіаструктури RT та Sputnik виступають ключовими інструментами транснаціональної інформаційної експансії Російської Федерації, адаптуючи західні журналістські стандарти до пропагандистського формату. Їхня діяльність ґрунтується на технології семантичної дезінтерпретації – викривленому відтворенні фактів через селективне подання інформації, фреймінг подій у потрібному ідеологічному контексті та симуляцію експертного дискурсу за участі лояльних до Кремля аналітиків. Для внутрішньої аудиторії функціонує система федерального телемовлення, що діє в режимі тотальної пропагандистської мобілізації. Політичні ток-шоу, структуровані як контрольовані псевдодискусії, використовуються як інструмент емоційно-когнітивного впливу – опозиційні думки маргіналізуються, а «ворожі» позиції демонізуються або піддаються сатиричній девальвації.</w:t>
      </w:r>
    </w:p>
    <w:p w14:paraId="7C4B58B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цифровому середовищі інформаційна політика Росії спирається на мережеву маніпуляцію – системне використання бот-мереж, фабрик тролів і Telegram-каналів як елементів гібридної кіберпропаганди. Найвідоміша структура Агентство інтернет-досліджень у Санкт-Петербурзі – координує масове виробництво дезінформаційного контенту, спрямованого на підрив довіри до українських інституцій і західних демократій. Telegram-платформи («Резидент», «Легітимний», «Рибар» тощо) виконують роль аутсорсингових каналів впливу, через які поширюються фейки, провокаційні меседжі та квазіаналітичні «інсайди», що легітимізують кремлівські наративи під виглядом незалежної експертності.</w:t>
      </w:r>
    </w:p>
    <w:p w14:paraId="6739563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Починаючи з 2014 року, російська пропагандистська система вибудовує стійкий набір базових наративів, що зазнають адаптивної трансформації відповідно до поточних політичних цілей та стратегічних комунікативних пріоритетів Кремля:</w:t>
      </w:r>
    </w:p>
    <w:p w14:paraId="62B5E827">
      <w:pPr>
        <w:numPr>
          <w:ilvl w:val="0"/>
          <w:numId w:val="6"/>
        </w:numPr>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«Україна – це штучна держава» – теза, що заперечує існування української нації, історії та культури.</w:t>
      </w:r>
    </w:p>
    <w:p w14:paraId="6077FF92">
      <w:pPr>
        <w:numPr>
          <w:ilvl w:val="0"/>
          <w:numId w:val="6"/>
        </w:numPr>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«Україна під зовнішнім управлінням Заходу» – твердження про те, що всі рішення в Києві ухвалюються США та ЄС.</w:t>
      </w:r>
    </w:p>
    <w:p w14:paraId="3FBD0825">
      <w:pPr>
        <w:numPr>
          <w:ilvl w:val="0"/>
          <w:numId w:val="6"/>
        </w:numPr>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«Українці – нацисти» – нав'язування образу українців як нащадків фашистів, що виправдовує російську агресію.</w:t>
      </w:r>
    </w:p>
    <w:p w14:paraId="78749BE0">
      <w:pPr>
        <w:numPr>
          <w:ilvl w:val="0"/>
          <w:numId w:val="6"/>
        </w:numPr>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«Росія бореться з НАТО, а не з Україною» – наратив, що виправдовує війну як "захист" від Заходу.</w:t>
      </w:r>
    </w:p>
    <w:p w14:paraId="302D69B4">
      <w:pPr>
        <w:numPr>
          <w:ilvl w:val="0"/>
          <w:numId w:val="6"/>
        </w:numPr>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«Росія – жертва» – ідея про те, що світ несправедливо ставиться до РФ, а санкції – це «західна агресія».</w:t>
      </w:r>
    </w:p>
    <w:p w14:paraId="462E999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Російська Федерація системно використовує кібератаки як інструмент стратегічного впливу та дестабілізації інформаційного середовища противників. Найвідоміші операції включають масштабні хакерські втручання у діяльність державних інституцій України, маніпуляції під час президентських виборів у США та кібератаки на критичну інфраструктуру країн Європи. У межах гібридної війни кібероперації інтегруються з інформаційно-психологічними засобами впливу, формуючи мультивекторну архітектоніку дезінформаційного впливу. Серед основних технологій застосовуються фейкові новини, deepfake-контент, алгоритмічно згенеровані повідомлення, а також використання штучного інтелекту для масштабної автоматизації створення й поширення дезінформації</w:t>
      </w:r>
      <w:r>
        <w:rPr>
          <w:rFonts w:ascii="Times New Roman" w:hAnsi="Times New Roman" w:eastAsia="Times New Roman" w:cs="Times New Roman"/>
          <w:color w:val="000000"/>
          <w:sz w:val="28"/>
          <w:szCs w:val="28"/>
          <w:lang w:val="en-US"/>
        </w:rPr>
        <w:t xml:space="preserve"> (NATO Review, 2025; Canadian Centre for Cyber Security, 2023; Wolf, 2024; Gale, 2023)</w:t>
      </w:r>
      <w:r>
        <w:rPr>
          <w:rFonts w:ascii="Times New Roman" w:hAnsi="Times New Roman" w:eastAsia="Times New Roman" w:cs="Times New Roman"/>
          <w:color w:val="000000"/>
          <w:sz w:val="28"/>
          <w:szCs w:val="28"/>
          <w:lang w:val="uk-UA"/>
        </w:rPr>
        <w:t>. Пропагандистські меседжі адаптуються під динаміку соціальних мереж, персоналізуються відповідно до алгоритмів рекомендацій і занурюють користувачів у контрольовані інформаційні бульбашки.</w:t>
      </w:r>
    </w:p>
    <w:p w14:paraId="3C370A9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Після початку російської збройної агресії у 2014 році Україна кардинально переосмислила концепцію інформаційної безпеки, визнавши інформаційний вимір війни рівнозначним традиційному воєнному протистоянню. Російська Федерація цілеспрямовано використовувала медіапростір як інструмент когнітивно-психологічного впливу, спрямований на маніпулювання суспільною свідомістю, ерозію довіри до українських державних інституцій та легітимізацію власних агресивних дій. У відповідь Україна поступово сформувала інституціоналізований, системний підхід до протидії дезінформації, який знайшов відображення в ухваленні Доктрини інформаційної безпеки України у 2017 р. та низці наступних стратегічних актів. Вони заклали нормативно-правовий і концептуальний фундамент нової моделі інформаційної політики держави. Основні завдання Доктрини зосереджувалися на формуванні стійкої інформаційної інфраструктури, захисті національного інформаційного простору від зовнішніх впливів, зміцненні стратегічних комунікацій, підвищенні медіаграмотності населення та забезпеченні балансу між безпековими пріоритетами й дотриманням демократичних свобод (Верховна Рада України, 2025):</w:t>
      </w:r>
    </w:p>
    <w:p w14:paraId="25B92288">
      <w:pPr>
        <w:pStyle w:val="15"/>
        <w:numPr>
          <w:ilvl w:val="0"/>
          <w:numId w:val="7"/>
        </w:numPr>
        <w:tabs>
          <w:tab w:val="left" w:pos="1134"/>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протидія ворожій пропаганді через державні й незалежні інформаційні платформи</w:t>
      </w:r>
      <w:r>
        <w:rPr>
          <w:rFonts w:ascii="Times New Roman" w:hAnsi="Times New Roman" w:cs="Times New Roman"/>
          <w:sz w:val="28"/>
          <w:szCs w:val="28"/>
          <w:lang w:val="en-US"/>
        </w:rPr>
        <w:t>;</w:t>
      </w:r>
    </w:p>
    <w:p w14:paraId="524D19D5">
      <w:pPr>
        <w:pStyle w:val="15"/>
        <w:numPr>
          <w:ilvl w:val="0"/>
          <w:numId w:val="7"/>
        </w:numPr>
        <w:tabs>
          <w:tab w:val="left" w:pos="1134"/>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популяризація української культури, історії та мови як елемента національної ідентичності;</w:t>
      </w:r>
    </w:p>
    <w:p w14:paraId="76AAD650">
      <w:pPr>
        <w:pStyle w:val="15"/>
        <w:numPr>
          <w:ilvl w:val="0"/>
          <w:numId w:val="7"/>
        </w:numPr>
        <w:tabs>
          <w:tab w:val="left" w:pos="1134"/>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захист інформаційного простору шляхом блокування ворожих медіаресурсів, що поширюють пропаганду;</w:t>
      </w:r>
    </w:p>
    <w:p w14:paraId="2AF22A65">
      <w:pPr>
        <w:pStyle w:val="15"/>
        <w:numPr>
          <w:ilvl w:val="0"/>
          <w:numId w:val="7"/>
        </w:numPr>
        <w:tabs>
          <w:tab w:val="left" w:pos="1134"/>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міжнародна комунікація, спрямована на донесення правди про події в Україні до світової спільноти.</w:t>
      </w:r>
    </w:p>
    <w:p w14:paraId="2810A5A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 У відповідь на масштабну російську дезінформаційну агресію Україна перейшла до системної моделі інформаційної протидії, що включала обмежувально-санкційні, комунікаційні та інституційні заходи. Починаючи з 2017 року держава ініціювала блокування російських медіаресурсів, які функціонували як інструменти когнітивного впливу та гібридної експансії. Санкційні рішення щодо платформ «ВКонтакте» та «Однокласники» стали прецедентом формування кіберсуверенітету в межах українського інформаційного простору.</w:t>
      </w:r>
    </w:p>
    <w:p w14:paraId="17FC8DB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2021 році під санкційні обмеження потрапили проросійські телеканали «112 Україна», NewsOne та ZIK, які системно ретранслювали кремлівські наративи та виконували функцію внутрішніх медіа-провідників російської пропаганди.</w:t>
      </w:r>
    </w:p>
    <w:p w14:paraId="68F6CC2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Після початку повномасштабного вторгнення у 2022 році інформаційна політика України набула рис кризової комунікаційної мобілізації. Створення Об’єднаного телемарафону «Єдині новини» забезпечило централізовану координацію інформаційних потоків, оперативне інформування громадян, протидію панічним настроям та зміцнення суспільної єдності в умовах війни.</w:t>
      </w:r>
    </w:p>
    <w:p w14:paraId="28CD0F9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Державні інституції України формують багаторівневу систему інформаційної безпеки, орієнтовану на стратегічну комунікацію, контрдезінформацію та кіберзахист. Міністерство оборони України виконує функцію офіційного джерела достовірної інформації про перебіг воєнних дій, здійснюючи оперативне інформування через брифінги та соціальні мережі. Служба безпеки України (СБУ) системно викриває агентів впливу, бот-мережі та канали російської пропаганди, забезпечуючи кіберконтррозвідку.</w:t>
      </w:r>
    </w:p>
    <w:p w14:paraId="6F684AE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Аналітичним центром став Центр протидії дезінформації при РНБО, який створений у 2021 р., він здійснює моніторинг інформаційного простору, ідентифікує фейки, проводить роз’яснювальні кампанії та комунікує з міжнародними партнерами. Важливу роль у зовнішній інформаційній політиці відіграє Міністерство закордонних справ, яке реалізує публічну дипломатію через соціальні мережі, інтерв’ю міжнародним медіа та комунікацію з журналістськими спільнотами.</w:t>
      </w:r>
    </w:p>
    <w:p w14:paraId="6F90569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З 2017 року Україна впровадила санкційні механізми інформаційної безпеки – блокування російських соціальних мереж («ВКонтакте», «Однокласники») та проросійських телеканалів («112 Україна», NewsOne, ZIK). Після 2022 року заходи трансформувалися у кризову модель стратегічних комунікацій – створення телемарафону «Єдині новини», який забезпечив інформаційну консолідацію, зниження панічних настроїв і підвищення довіри до офіційних джерел.</w:t>
      </w:r>
    </w:p>
    <w:p w14:paraId="014663C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Вагомим елементом української інформаційної стійкості стала активність громадянського суспільства. Волонтерські та журналістські проєкти, такі як InformNapalm, StopFake і VoxCheck, здійснюють фактчекінг, OSINT-розслідування та просвітницькі кампанії, спрямовані на підвищення медіаграмотності населення.</w:t>
      </w:r>
    </w:p>
    <w:p w14:paraId="48EA37B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Україна активно використовує соціальні мережі як канал стратегічних комунікацій. Платформи Twitter (X), Telegram, TikTok і Facebook виконують функції публічної дипломатії, координації волонтерських ініціатив та інформаційного контрнаступу. Telegram-канали («Труха», «Оперативний ЗСУ», «Резюме») забезпечують оперативність подачі новин, тоді як TikTok- та YouTube-контент сприяють формуванню молодіжного проукраїнського наративу.</w:t>
      </w:r>
    </w:p>
    <w:p w14:paraId="310983F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На рівні кіберзахисту сформувалася мережа кіберрезистентності, що поєднує державні структури та волонтерські угруповання – Ukrainian Cyber Alliance, Кіберпартизани, а також міжнародні хактивістські об’єднання Anonymous, які здійснюють контратаки на російські інформаційні ресурси.</w:t>
      </w:r>
    </w:p>
    <w:p w14:paraId="414AF07B">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Українська інформаційна політика є оборонно-проактивною, заснованою на принципах достовірності, прозорості та партнерської комунікації. Її мета – захист інформаційного простору, мобілізація суспільства та здобуття міжнародної підтримки. На противагу цьому, російська стратегія має наступально-маніпулятивний характер, орієнтований на масову дезінформацію, підрив довіри до демократичних інститутів і створення паралельної реальності для внутрішнього та зовнішнього споживача. Основна тактична відмінність полягає в тому, що Росія застосовує централізовану модель медіаконтролю та кількісне перевантаження інформаційного простору, тоді як Україна використовує децентралізовану комунікаційну мережу, яка поєднує державні структури, громадські ініціативи та волонтерські ресурси. РФ спирається на емоційно-деструктивні меседжі – страх, ненависть, образ «зовнішнього ворога», тоді як українська модель базується на фактологічній аргументації, аналітичності та міжнародній легітимності. Результатом стало формування в Україні високого рівня національної інформаційної самосвідомості та довіри до офіційних джерел. Росія ж, навпаки, занурила власне суспільство в стан інформаційної ізоляції, де медіа стали інструментом внутрішньої пропаганди. У глобальному контексті Україна здобула стратегічну підтримку Заходу, тоді як Росія зберегла обмежений вплив лише в окремих регіонах Глобального Півдня, використовуючи антизахідні наративи.</w:t>
      </w:r>
    </w:p>
    <w:p w14:paraId="1ECFA23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Отже, проведений аналіз інформаційних кампаній України та Російської Федерації в умовах гібридної війни виявляє системні відмінності у їхніх стратегічних підходах, інструментарії та цільових орієнтирах. Російська модель ґрунтується на наступально-агресивній парадигмі, спрямованій на підрив легітимності демократичних інститутів, дестабілізацію політичних систем інших держав і легітимізацію власної експансії. Ключовими засобами впливу виступають державні медіа, бот-мережі, Telegram-канали та соціальні платформи, що використовуються для масового поширення фейків, когнітивних маніпуляцій та цілеспрямованого спотворення фактів.</w:t>
      </w:r>
    </w:p>
    <w:p w14:paraId="5B575AD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Україна, навпаки, розвиває оборонно-проактивну модель інформаційної політики, засновану на прозорості, достовірності та багаторівневій координації між державними структурами, волонтерськими спільнотами й фактчекінговими ініціативами. Інтеграція OSINT-технологій, кібероперацій, цифрової дипломатії та громадянської активності забезпечила ефективне нейтралізування російських інформаційних атак і формування позитивного міжнародного іміджу держави.</w:t>
      </w:r>
    </w:p>
    <w:p w14:paraId="4B6074D7">
      <w:pPr>
        <w:spacing w:after="0" w:line="360" w:lineRule="auto"/>
        <w:ind w:firstLine="709"/>
        <w:jc w:val="center"/>
        <w:rPr>
          <w:rFonts w:ascii="Times New Roman" w:hAnsi="Times New Roman" w:cs="Times New Roman"/>
          <w:sz w:val="28"/>
          <w:szCs w:val="28"/>
          <w:lang w:val="uk-UA"/>
        </w:rPr>
      </w:pPr>
    </w:p>
    <w:p w14:paraId="3FC7C5D5">
      <w:pPr>
        <w:pStyle w:val="3"/>
        <w:spacing w:line="360" w:lineRule="auto"/>
        <w:ind w:firstLine="709"/>
        <w:jc w:val="both"/>
        <w:rPr>
          <w:rFonts w:eastAsia="Times New Roman" w:cs="Times New Roman"/>
          <w:color w:val="000000"/>
          <w:szCs w:val="28"/>
          <w:lang w:val="uk-UA"/>
        </w:rPr>
      </w:pPr>
      <w:bookmarkStart w:id="12" w:name="_Toc211811238"/>
      <w:r>
        <w:rPr>
          <w:rFonts w:eastAsia="Times New Roman" w:cs="Times New Roman"/>
          <w:szCs w:val="28"/>
          <w:lang w:val="uk-UA"/>
        </w:rPr>
        <w:t>2.3. Українські інформаційні наративи: цілі, інструменти, заходи щодо російської аудиторії</w:t>
      </w:r>
      <w:bookmarkEnd w:id="12"/>
    </w:p>
    <w:p w14:paraId="36A1D74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Інформаційна війна, ініційована Російською Федерацією проти України, детермінувала для української держави завдання не лише фізичної оборони територіальної цілісності, але й епістемологічного захисту власної інтерпретації реальності. У цьому контексті українські інформаційні наративи функціонують як когерентні системи семіотичних конструкцій, дискурсивних кодів і символічних репрезентацій, що формують національну позицію, протистоять деструктивним інформаційним впливам супротивника та спрямовані на багаторівневі аудиторії від внутрішньої до зовнішньої, включно з російською. Їхня ключова функція полягає у відновленні паритетності комунікативного простору, де український дискурс здатен нівелювати монополізацію істини кремлівськими пропагандистськими структурами.</w:t>
      </w:r>
    </w:p>
    <w:p w14:paraId="4F2AA6C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Цілі цих наративів у межах комунікативної взаємодії з російською аудиторією мають поліструктурний характер:</w:t>
      </w:r>
    </w:p>
    <w:p w14:paraId="44A0A4C0">
      <w:pPr>
        <w:pStyle w:val="15"/>
        <w:numPr>
          <w:ilvl w:val="0"/>
          <w:numId w:val="8"/>
        </w:numPr>
        <w:tabs>
          <w:tab w:val="left" w:pos="1134"/>
        </w:tabs>
        <w:spacing w:after="0" w:line="360" w:lineRule="auto"/>
        <w:ind w:left="0" w:firstLine="709"/>
        <w:jc w:val="both"/>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lang w:val="uk-UA"/>
        </w:rPr>
        <w:t>стратегічним завданням є делегітимізація російської інформаційної екосистеми шляхом деконструкції фейкових повідомлень, викриття маніпулятивних технік і дискредитації токсичних джерел, що продукують агресивні ідеологеми. Процес реалізується через інструменти фактчекінгу, верифікаційні публікації документів, візуально-комунікативні артефакти, які нейтралізують дезінформаційні наративи</w:t>
      </w:r>
      <w:r>
        <w:rPr>
          <w:rFonts w:ascii="Times New Roman" w:hAnsi="Times New Roman" w:eastAsia="Times New Roman" w:cs="Times New Roman"/>
          <w:color w:val="000000"/>
          <w:sz w:val="28"/>
          <w:szCs w:val="28"/>
          <w:lang w:val="en-US"/>
        </w:rPr>
        <w:t>;</w:t>
      </w:r>
    </w:p>
    <w:p w14:paraId="5F0FC777">
      <w:pPr>
        <w:pStyle w:val="15"/>
        <w:numPr>
          <w:ilvl w:val="0"/>
          <w:numId w:val="8"/>
        </w:numPr>
        <w:tabs>
          <w:tab w:val="left" w:pos="1134"/>
        </w:tabs>
        <w:spacing w:after="0" w:line="360" w:lineRule="auto"/>
        <w:ind w:left="0" w:firstLine="709"/>
        <w:jc w:val="both"/>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lang w:val="uk-UA"/>
        </w:rPr>
        <w:t>українські дискурси конструюють альтернативну когнітивну рамку, де акцентується суб’єктність України як автономного актора міжнародної системи, її право на самовизначення та цивілізаційна спадковість. У цій парадигмі Україна репрезентується не як периферійний «проєкт Заходу», а як самодостатня політична й культурна одиниця, спроможна до самостійної стратегічної траєкторії розвитку</w:t>
      </w:r>
      <w:r>
        <w:rPr>
          <w:rFonts w:ascii="Times New Roman" w:hAnsi="Times New Roman" w:eastAsia="Times New Roman" w:cs="Times New Roman"/>
          <w:color w:val="000000"/>
          <w:sz w:val="28"/>
          <w:szCs w:val="28"/>
          <w:lang w:val="en-US"/>
        </w:rPr>
        <w:t>;</w:t>
      </w:r>
    </w:p>
    <w:p w14:paraId="246E5B4B">
      <w:pPr>
        <w:pStyle w:val="15"/>
        <w:numPr>
          <w:ilvl w:val="0"/>
          <w:numId w:val="8"/>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вагомим елементом української інформаційної стратегії є гуманітарно-емпатійний вектор, що реалізується через наративи про індивідуальні долі, досвіди цивільного населення, життя під обстрілами або в умовах окупації. Він має афективний потенціал, який долає когнітивні бар’єри аудиторії, апелює до емпатії та формує етичне співпереживання, перетворюючи інформаційний простір на поле моральної відповідальності.</w:t>
      </w:r>
    </w:p>
    <w:p w14:paraId="4EC920A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Наративи, спрямовані на російську аудиторію, мають враховувати особливості інформаційного середовища Росії: цензуру, монополію державних медіа, обмежений доступ до незалежної інформації. У відповідь на російську інформаційну агресію Україна вибудовує стратегії прориву крізь інформаційну стіну, застосовуючи поліінструментальний підхід: залучає закордонні медіа, соціальні мережі, месенджери, VPN-технології, а також потенціал громадянського суспільства й незалежної журналістики. За даними аналітичного центру RAND, ще до повномасштабного вторгнення Україна реалізовувала prebunking-кампанії – превентивні інформаційні операції, покликані нейтралізувати ефект дезінформації шляхом її завчасного викриття </w:t>
      </w:r>
      <w:r>
        <w:rPr>
          <w:rFonts w:ascii="Times New Roman" w:hAnsi="Times New Roman" w:eastAsia="Times New Roman" w:cs="Times New Roman"/>
          <w:color w:val="000000"/>
          <w:sz w:val="28"/>
          <w:szCs w:val="28"/>
          <w:lang w:val="en-US"/>
        </w:rPr>
        <w:t xml:space="preserve"> </w:t>
      </w:r>
      <w:r>
        <w:rPr>
          <w:rFonts w:ascii="Times New Roman" w:hAnsi="Times New Roman" w:eastAsia="Times New Roman" w:cs="Times New Roman"/>
          <w:color w:val="000000"/>
          <w:sz w:val="28"/>
          <w:szCs w:val="28"/>
          <w:lang w:val="uk-UA"/>
        </w:rPr>
        <w:t>(Зайцева, 2018). Після початку активної фази війни ці інструменти були масштабовані та інституціоналізовані, що забезпечило координацію між державними структурами, громадським сектором, волонтерами й міжнародними партнерами.</w:t>
      </w:r>
    </w:p>
    <w:p w14:paraId="2B1030D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Розглядаючи характерні наративи, які протидіють російській пропаганді, слід врахувати, що Кремль активно використовує штампи наприклад, «Денацифікація», «Бандерівці», «Україна як проєкт Заходу», «Україна - агресор» тощо. Однією з поширених тактик є залучення архетипів Другої світової війни, де українців представляють як «нацистів», яких треба знищити. У відповідь українські наративи ставлять наголос на цінностях свободи, прав людини, кінцевій відповідальності агресора, підкреслюючи, що саме Росія намагається знищити суверенітет і людську гідність.</w:t>
      </w:r>
    </w:p>
    <w:p w14:paraId="39244FB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Серед провідних інструментів реалізації української інформаційної стратегії виокремлюються цифрові комунікаційні екосистеми – Telegram, VK, TikTok, X тощо, а також інтерактивні формати масової комунікації: блоги, відеоконтент, меметичні структури, подкасти, мультимедійні історії. У межах цих платформ здійснюється соціолінгвістична адаптація контенту переклад повідомлень російською мовою та таргетинг на специфічні когнітивно-культурні сегменти російськомовної аудиторії, що підвищує ефективність інформаційного впливу.</w:t>
      </w:r>
    </w:p>
    <w:p w14:paraId="781B48E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Суттєву роль у формуванні інформаційної архітектоніки відіграють OSINT-ініціативи, які через аналітичну обробку відкритих даних здійснюють верифіковане оприлюднення відомостей про військові злочини, дислокацію техніки чи персональні втрати противника. Згадані практики створюють поліцентричний комунікаційний простір, у якому російська пропаганда втрачає монополію на формування смислів і наративів. Репрезентативними прикладами виступають проєкти InformNapalm та Conflict Intelligence Team, що виконують функцію громадянської контррозвідки у відкритому інформаційному полі. Паралельно діють транснаціональні комунікаційні кампанії через західні медіа, в межах яких український дискурс набуває форми наративу спротиву, спрямованого на легітимацію оборонних дій України, засудження агресії та підтримку норм міжнародного права як основи цивілізаційного порядку.</w:t>
      </w:r>
    </w:p>
    <w:p w14:paraId="47030B1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Українські наративи не лише інформують, а й фоормують дискурс війни як зовнішньої агресії, порушення міжнародного права та визвольної боротьби. Вони протистоять російським смисловим конструкціям, зокрема наративу про «Україну як проєкт Заходу», підкреслюючи власну суб’єктність і партнерський характер співпраці із західними країнами. Метою є трансформація когнітивних уявлень російського суспільства про природу війни, її причини й моральну відповідальність громадян за мовчазну згоду з агресією. Найбільш ефективним каналом комунікації стали соціальні мережі (X, Telegram, TikTok), які забезпечують горизонтальну циркуляцію інформації без державного посередництва. Українські користувачі формують цифрові спільноти, що поєднують функції новинного ресурсу, аналітичного осередку та мережі солідарності. Відомі OSINT- і волонтерські ініціативи (InformNapalm, DeepState, Euromaidan Press) стали елементами народної журналістики, які підсилюють офіційні комунікаційні структури. Особливу роль відіграє морально-інформаційний підхід, що апелює до етичної відповідальності російських громадян, стимулюючи рефлексію щодо участі в системі насильства. Водночас громадянське суспільство України (Ukraїner, Russia Will Pay, I Am Ukrainian, Every Person Matters) створює емоційно насичений гуманітарний дискурс, який часто виявляється ефективнішим за офіційну дипломатію (Ekman &amp; Nilsson, 2023).</w:t>
      </w:r>
    </w:p>
    <w:p w14:paraId="649468B8">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Важливим компонентом є діяльність аналітичних центрів (Center for Strategic Communications, Hybrid Warfare Analytical Group), які розробляють контрнаративи та забезпечують наукове підґрунтя державної комунікації. Значний вплив має і візуальний контент – короткі відео, документальні фільми, фоторепортажі, що перекладаються російською та поширюються через незалежні канали.</w:t>
      </w:r>
    </w:p>
    <w:p w14:paraId="5316B14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Фінальний вимір стратегії становить транснаціональна комунікація, що реалізується через проєкти МЗС, Офісу Президента та StratCom Ukraine. Багатомовна модель (українська, англійська, російська) забезпечує інклюзивність і максимальне охоплення аудиторії, перетворюючи український інформаційний фронт на системну й багаторівневу мережу когнітивного спротиву.</w:t>
      </w:r>
    </w:p>
    <w:p w14:paraId="27AEA9B2">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Значну роль у розбудові українського інформаційного опору відіграє українська діаспора, особливо в країнах ЄС, Канаді та США. Діаспорні медіа формують окремі комунікаційні сегменти, спрямовані на деконструкцію російських міфів і трансляцію українських аргументів до російськомовних спільнот за кордоном. Тут прослідковується стратегічне значення, оскільки значна частина російськомовної аудиторії перебуває поза межами Росії й має доступ до неконтрольованих інформаційних каналів. Отже, українські наративи набувають транснаціонального виміру, виходячи за межі власного медіапростору.</w:t>
      </w:r>
    </w:p>
    <w:p w14:paraId="49AF5903">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Українські інформаційні наративи, орієнтовані на російську аудиторію, становлять інтегральний компонент державної та громадянської комунікаційної політики, спрямованої на подолання дезінформаційних бар’єрів і формування альтернативної системи цінностей. Їх ефективність забезпечується синергією трьох чинників:</w:t>
      </w:r>
    </w:p>
    <w:p w14:paraId="1BE225CF">
      <w:pPr>
        <w:pStyle w:val="15"/>
        <w:numPr>
          <w:ilvl w:val="0"/>
          <w:numId w:val="9"/>
        </w:numPr>
        <w:tabs>
          <w:tab w:val="left" w:pos="1134"/>
        </w:tabs>
        <w:spacing w:after="0" w:line="360" w:lineRule="auto"/>
        <w:ind w:left="0" w:firstLine="709"/>
        <w:jc w:val="both"/>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lang w:val="uk-UA"/>
        </w:rPr>
        <w:t>стратегічно визначених цілей</w:t>
      </w:r>
      <w:r>
        <w:rPr>
          <w:rFonts w:ascii="Times New Roman" w:hAnsi="Times New Roman" w:eastAsia="Times New Roman" w:cs="Times New Roman"/>
          <w:color w:val="000000"/>
          <w:sz w:val="28"/>
          <w:szCs w:val="28"/>
          <w:lang w:val="en-US"/>
        </w:rPr>
        <w:t>;</w:t>
      </w:r>
    </w:p>
    <w:p w14:paraId="3AC89015">
      <w:pPr>
        <w:pStyle w:val="15"/>
        <w:numPr>
          <w:ilvl w:val="0"/>
          <w:numId w:val="9"/>
        </w:numPr>
        <w:tabs>
          <w:tab w:val="left" w:pos="1134"/>
        </w:tabs>
        <w:spacing w:after="0" w:line="360" w:lineRule="auto"/>
        <w:ind w:left="0" w:firstLine="709"/>
        <w:jc w:val="both"/>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lang w:val="uk-UA"/>
        </w:rPr>
        <w:t>диверсифікованих комунікаційних інструментів</w:t>
      </w:r>
      <w:r>
        <w:rPr>
          <w:rFonts w:ascii="Times New Roman" w:hAnsi="Times New Roman" w:eastAsia="Times New Roman" w:cs="Times New Roman"/>
          <w:color w:val="000000"/>
          <w:sz w:val="28"/>
          <w:szCs w:val="28"/>
          <w:lang w:val="en-US"/>
        </w:rPr>
        <w:t>;</w:t>
      </w:r>
    </w:p>
    <w:p w14:paraId="1EBD55B2">
      <w:pPr>
        <w:pStyle w:val="15"/>
        <w:numPr>
          <w:ilvl w:val="0"/>
          <w:numId w:val="9"/>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комплексної реалізації заходів, що гарантують сталість впливу.</w:t>
      </w:r>
    </w:p>
    <w:p w14:paraId="00388D2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Мета цих наративів має двофазний характер. У короткостроковій перспективі – це оперативне спростування фейків, деконструкція дезінформаційних схем і нейтралізація спроб дискредитації України. У довгостроковій – трансформація уявлень російської аудиторії про природу війни, зниження толерантності до насильства та розвиток критичного мислення. Українська інформаційна політика реалізується у двох векторах зовнішньому (орієнтованому на міжнародну спільноту) та внутрішньоросійському (націленому на створення альтернативних каналів комунікації).</w:t>
      </w:r>
    </w:p>
    <w:p w14:paraId="2F2A2A1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Основними інструментами є цифрові платформи (Telegram, TikTok, X, Instagram, YouTube), адаптовані під особливості сприйняття російськомовної аудиторії. Через короткі відео, меми, інфографіку й візуальні цитати забезпечується швидке донесення меседжів і стимулюється подальший пошук інформації. Паралельно діють аналітичні ресурси та фактчекінгові платформи (StopFake, VoxCheck, Detector Media), що здійснюють системне викриття фейків, підвищують рівень інформаційної грамотності та формують культуру медіакритичного мислення. </w:t>
      </w:r>
    </w:p>
    <w:p w14:paraId="018AAF7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Важливим напрямом залишаються OSINT-ініціативи (InformNapalm, Bellingcat, DeepState), які документують воєнні злочини й порушення міжнародного права на основі відкритих джерел. Використовуючи методи геолокації, верифікації відео та аналізу зображень, вони створюють доказову інформаційну базу, що має не лише комунікаційну, але й правову вагу. Поширення таких матеріалів серед російськомовної аудиторії руйнує офіційні пропагандистські наративи про «обмежену операцію» та утверджує дискурс відповідальності й правди.</w:t>
      </w:r>
    </w:p>
    <w:p w14:paraId="55448942">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Важливу роль у структурі українського інформаційного спротиву відіграють інформаційно-культурні ініціативи, що підтримують гуманітарний вимір комунікації. Проєкти Ukraїner і CAT-UA формують наратив України як держави, що відстоює демократичні цінності, розвиває громадянське суспільство й зберігає культурну ідентичність попри війну</w:t>
      </w:r>
      <w:r>
        <w:rPr>
          <w:rFonts w:ascii="Times New Roman" w:hAnsi="Times New Roman" w:eastAsia="Times New Roman" w:cs="Times New Roman"/>
          <w:color w:val="000000"/>
          <w:sz w:val="28"/>
          <w:szCs w:val="28"/>
          <w:lang w:val="en-US"/>
        </w:rPr>
        <w:t xml:space="preserve"> </w:t>
      </w:r>
      <w:r>
        <w:rPr>
          <w:rFonts w:ascii="Times New Roman" w:hAnsi="Times New Roman" w:eastAsia="Times New Roman" w:cs="Times New Roman"/>
          <w:color w:val="000000"/>
          <w:sz w:val="28"/>
          <w:szCs w:val="28"/>
          <w:lang w:val="uk-UA"/>
        </w:rPr>
        <w:t>(Makarenko, 2019). Згідно зі звітом CAT-UA, національний наратив вибудовується на трьох векторах – історичному, громадянському та європейському, що контрастує з російським пропагандистським образом «штучної державності» (Communication Analysis Team – Ukraine, 2025).</w:t>
      </w:r>
    </w:p>
    <w:p w14:paraId="47C67585">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Серед ефективних інструментів – таргетовані інформаційні кампанії, зокрема «Повернись живим», адаптована російською мовою. Вони апелюють до емоційного сприйняття, демонструючи людські втрати, долі військових і цивільних. Емоційна автентичність є вагомим чинником впливу на аудиторію, схильну до державного контролю. Домінантною складовою є освітньо-аналітичні програми з медіаграмотності – вебінари, публічні лекції, онлайн-курси для журналістів і блогерів. Їх реалізують українські організації у співпраці з міжнародними партнерами, що сприяє виробленню глобальних стандартів інформаційної безпеки та підготовці фахівців із протидії дезінформації.</w:t>
      </w:r>
    </w:p>
    <w:p w14:paraId="1684DCA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Український інформаційний дискурс орієнтований не на минуле, а на візію майбутнього – відновлення, розвиток і європейську інтеграцію. Даний оптимістичний фрейм протиставляє український наратив російському міфу «втраченої величі» й формує серед російської аудиторії простір для переосмислення реальності. З огляду на інформаційну ізоляцію російського суспільства, українські комунікатори використовують багаторівневі канали: соціальні мережі, YouTube-проєкти, незалежні телеграм-канали, кросплатформені ініціативи, а також таргетовану рекламу із залученням російськомовних журналістів і блогерів. Не менш важливим напрямом є культурна дипломатія, що через мистецтво, освіту й гуманітарні проєкти презентує Україну як суб’єкт глобальної деколонізації пострадянського простору. Такі ініціативи конструюють образ сучасної, відкритої держави, яка відстоює гуманістичні принципи та цивілізаційний вибір</w:t>
      </w:r>
      <w:r>
        <w:rPr>
          <w:rFonts w:ascii="Times New Roman" w:hAnsi="Times New Roman" w:eastAsia="Times New Roman" w:cs="Times New Roman"/>
          <w:color w:val="000000"/>
          <w:sz w:val="28"/>
          <w:szCs w:val="28"/>
          <w:lang w:val="en-US"/>
        </w:rPr>
        <w:t xml:space="preserve"> (Arts, 2024; ODI HPG, 2024) </w:t>
      </w:r>
      <w:r>
        <w:rPr>
          <w:rFonts w:ascii="Times New Roman" w:hAnsi="Times New Roman" w:eastAsia="Times New Roman" w:cs="Times New Roman"/>
          <w:color w:val="000000"/>
          <w:sz w:val="28"/>
          <w:szCs w:val="28"/>
          <w:lang w:val="uk-UA"/>
        </w:rPr>
        <w:t>.</w:t>
      </w:r>
    </w:p>
    <w:p w14:paraId="2E86D30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Загалом, українські інформаційні наративи для російської аудиторії становлять багатовимірну систему комунікаційної політики, спрямовану на руйнування монополії пропаганди, зміцнення гуманістичних цінностей і пробудження критичного мислення. Їхня ефективність ґрунтується на поєднанні державних і громадянських ініціатив, етичності, доказовості та емоційної переконливості, що формують нову парадигму інформаційного опору, де головним інструментом стають правда, цінності та людяність.</w:t>
      </w:r>
    </w:p>
    <w:p w14:paraId="5BF166B0">
      <w:pPr>
        <w:tabs>
          <w:tab w:val="left" w:pos="1134"/>
        </w:tabs>
        <w:spacing w:after="0" w:line="360" w:lineRule="auto"/>
        <w:ind w:firstLine="709"/>
        <w:jc w:val="both"/>
        <w:rPr>
          <w:rFonts w:ascii="Times New Roman" w:hAnsi="Times New Roman" w:eastAsia="Times New Roman" w:cs="Times New Roman"/>
          <w:color w:val="000000"/>
          <w:sz w:val="28"/>
          <w:szCs w:val="28"/>
          <w:lang w:val="uk-UA"/>
        </w:rPr>
        <w:sectPr>
          <w:pgSz w:w="11906" w:h="16838"/>
          <w:pgMar w:top="1134" w:right="851" w:bottom="1134" w:left="1701" w:header="709" w:footer="709" w:gutter="0"/>
          <w:cols w:space="708" w:num="1"/>
          <w:docGrid w:linePitch="360" w:charSpace="0"/>
        </w:sectPr>
      </w:pPr>
    </w:p>
    <w:p w14:paraId="1E00D049">
      <w:pPr>
        <w:pStyle w:val="2"/>
        <w:spacing w:before="0" w:line="360" w:lineRule="auto"/>
        <w:jc w:val="center"/>
        <w:rPr>
          <w:rFonts w:cs="Times New Roman"/>
          <w:b w:val="0"/>
          <w:szCs w:val="28"/>
          <w:lang w:val="uk-UA"/>
        </w:rPr>
      </w:pPr>
      <w:bookmarkStart w:id="13" w:name="_Toc211811239"/>
      <w:r>
        <w:rPr>
          <w:rFonts w:cs="Times New Roman"/>
          <w:szCs w:val="28"/>
          <w:lang w:val="uk-UA"/>
        </w:rPr>
        <w:t>РОЗДІЛ 3.</w:t>
      </w:r>
      <w:bookmarkEnd w:id="13"/>
      <w:r>
        <w:rPr>
          <w:rFonts w:cs="Times New Roman"/>
          <w:szCs w:val="28"/>
          <w:lang w:val="uk-UA"/>
        </w:rPr>
        <w:t xml:space="preserve"> </w:t>
      </w:r>
    </w:p>
    <w:p w14:paraId="51A8275E">
      <w:pPr>
        <w:pStyle w:val="2"/>
        <w:spacing w:before="0" w:line="360" w:lineRule="auto"/>
        <w:jc w:val="center"/>
        <w:rPr>
          <w:rFonts w:cs="Times New Roman"/>
          <w:szCs w:val="28"/>
          <w:lang w:val="uk-UA"/>
        </w:rPr>
      </w:pPr>
      <w:bookmarkStart w:id="14" w:name="_Toc211811240"/>
      <w:r>
        <w:rPr>
          <w:rFonts w:cs="Times New Roman"/>
          <w:szCs w:val="28"/>
          <w:lang w:val="uk-UA"/>
        </w:rPr>
        <w:t>ПЕРСПЕКТИВИ ТА ПІДХОДИ ДО ПРОТИДІЇ ІНФОРМАЦІЙНИМ ЗАГРОЗАМ</w:t>
      </w:r>
      <w:bookmarkEnd w:id="14"/>
    </w:p>
    <w:p w14:paraId="3AE2DED1">
      <w:pPr>
        <w:spacing w:after="0" w:line="360" w:lineRule="auto"/>
        <w:ind w:firstLine="709"/>
        <w:jc w:val="center"/>
        <w:rPr>
          <w:rFonts w:ascii="Times New Roman" w:hAnsi="Times New Roman" w:cs="Times New Roman"/>
          <w:sz w:val="28"/>
          <w:szCs w:val="28"/>
          <w:lang w:val="uk-UA"/>
        </w:rPr>
      </w:pPr>
    </w:p>
    <w:p w14:paraId="707D1055">
      <w:pPr>
        <w:pStyle w:val="3"/>
        <w:spacing w:line="360" w:lineRule="auto"/>
        <w:ind w:firstLine="709"/>
        <w:jc w:val="both"/>
        <w:rPr>
          <w:rFonts w:eastAsia="Times New Roman" w:cs="Times New Roman"/>
          <w:szCs w:val="28"/>
          <w:lang w:val="uk-UA"/>
        </w:rPr>
      </w:pPr>
      <w:bookmarkStart w:id="15" w:name="_Toc211811241"/>
      <w:r>
        <w:rPr>
          <w:rFonts w:eastAsia="Times New Roman" w:cs="Times New Roman"/>
          <w:szCs w:val="28"/>
          <w:lang w:val="uk-UA"/>
        </w:rPr>
        <w:t xml:space="preserve">3.1. </w:t>
      </w:r>
      <w:bookmarkEnd w:id="15"/>
      <w:r>
        <w:rPr>
          <w:rFonts w:eastAsia="Times New Roman" w:cs="Times New Roman"/>
          <w:szCs w:val="28"/>
          <w:lang w:val="uk-UA"/>
        </w:rPr>
        <w:t>Еволюція та інституціоналізація кібербезпеки України в умовах військової агресії</w:t>
      </w:r>
    </w:p>
    <w:p w14:paraId="0F20F3C7">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eastAsia="Times New Roman" w:cs="Times New Roman"/>
          <w:color w:val="000000"/>
          <w:sz w:val="28"/>
          <w:szCs w:val="28"/>
          <w:lang w:val="uk-UA"/>
        </w:rPr>
        <w:t xml:space="preserve">Починаючи з 2017 року, кібератаки проти України набули системного та інституціоналізованого характеру, трансформувавшись у структурний компонент гібридної агресії. Після інциденту NotPetya відбулося суттєве розширення арсеналу деструктивних інструментів агресора, зокрема в сегменті впливу на критичну інформаційну інфраструктуру, проведення кіберрозвідки та порушення цілісності цифрових систем управління. У період 2022-2024 рр. спостерігалася ескалація загроз через інтенсифікацію використання wiper-програм, DDoS-атак, бекдорів та бот-мереж, доповнених технологіями створення синтетичного медіаконтенту з метою інформаційно-психологічного впливу. </w:t>
      </w:r>
    </w:p>
    <w:p w14:paraId="4275D8A9">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відповідь українська держава сформувала комплекс заходів, спрямованих на підвищення стійкості інформаційно-технічних систем і на забезпечення координації між органами влади, приватним сектором та громадянським суспільством. Відповідь включала розвиток національних центрів реагування, посилення обліку та аналізу інцидентів, вдосконалення нормативно-правової бази, впровадження практик обміну розвідувальною інформацією з партнерами та залучення волонтерських експертних груп до оперативного реагування й відновлення. Завдяки цим заходам вдалося зменшити кількість критичних наслідків атак і скоротити час відновлення сервісів.</w:t>
      </w:r>
    </w:p>
    <w:p w14:paraId="2C9C79EC">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Поряд із технічними та операційно-тактичними заходами вирішального значення набуло розгортання міжнародної коопераційної платформи у сфері кібербезпеки. Інтероперабельний обмін розвідувальними даними, спільна ідентифікація та атрибуція кіберзагроз, трансфер аналітичних інструментів, алгоритмів і методологічних протоколів, а також освітньо-тренінгові програми з боку стратегічних партнерів суттєво підвищили інституційну та операційну резильєнтність України у протидії висококомплексним, багаторівневим і скоординованим кіберопераціям. Визе згадані дії, сприяли формуванню мультилатеральної системи кібердетерентності, що поєднує державні, приватні та міжнародні ресурси в єдину архітектоніку стратегічної стійкості.</w:t>
      </w:r>
    </w:p>
    <w:p w14:paraId="2ECA597E">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останні роки в Україні сформована багаторівнева система забезпечення кібербезпеки, що поєднує органи стратегічного управління, виконавчі служби, правоохоронні й оборонні інституції, а також спеціалізовані технічні підрозділи. Центральне місце в цій системі належить Національній раді безпеки і оборони України як органу стратегічного керівництва й координації рішень із захисту держави в інформаційно-кіберній сфері; рішення Ради визначають загальні завдання, стратегії та плани щодо підвищення стійкості критичної інфраструктури. До групи ключових виконавчих органів належать Державна служба спеціального зв’язку та захисту інформації України, Міністерство цифрової трансформації, Міністерство оборони, Служба безпеки України, Національний банк та Кабінет Міністрів як орган, що приймає оперативні нормативні акти й фінансові рішення. У багатьох міністерствах і відомствах створено власні центри або підрозділи кіберзахисту, які відповідають за захист відповідних секторів економіки й адмінсервісів. </w:t>
      </w:r>
    </w:p>
    <w:p w14:paraId="738AC842">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Державна служба спеціального зв’язку та захисту інформації (Держспецзв’язку) виконує методичну, організаційну і технічну роль у побудові національної системи захисту інформації. Держспецзв’язку опікується функціонуванням єдиної системи виявлення вразливостей, координацією реагування на інциденти й підтримкою національного комп’ютерного центру реагування. CERT-UA виступає центром збору й аналізу повідомлень про інциденти, координує технічні заходи захисту та обмін іформацією між державними установами, приватними компаніями й міжнародними партнерами. Нормативно-правова база, що регулює їхню діяльність, включає як закони («Про основні засади забезпечення кібербезпеки України»), так і відповідні розпорядчі акти Кабінету Міністрів і укази Президента. </w:t>
      </w:r>
    </w:p>
    <w:p w14:paraId="02946D1B">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Служба безпеки України забезпечує контррозвідувальні та слідчі функції стосовно кібератак, зокрема розслідування злочинів у кіберсфері, встановлення причетних осіб та їх притягнення до відповідальності. Міністерство оборони і спеціалізовані військові підрозділи відповідають за захист військових інформаційних систем і ведення оборони в кіберпросторі; зокрема, частина оборонних заходів виконується в тісній координації з цивільними центрами реагування і з міжнародними партнерами. Національний банк відповідає за кіберстійкість фінансового сектора, розробляє вимоги до банків і організовує обмін інформацією про загрози в межах фінансової інфраструктури. Правоохоронні органи (поліція, прокуратура) забезпечують досудове розслідування та процесуальне супроводження кримінальних проваджень, пов’язаних із кібератаками.</w:t>
      </w:r>
    </w:p>
    <w:p w14:paraId="3817ECE1">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Інституційно-організаційними механізмами кіберкооперації України виступають: оперативно-аналітичний обмін інформацією через платформу CERT-UA, мережа секторальних та ситуаційних центрів реагування на кіберінциденти, що забезпечує горизонтальну інтеграцію суб’єктів кіберзахисту. Національний центр координації кібербезпеки при РНБО України, який виконує функцію стратегічного хабу управління ризиками та синхронізації міжвідомчих дій, а також правові та процедурні механізми залучення сил кібероборони та регламентованого обміну даними у випадку виявлення критичних загроз. Унаслідок формування зазначених інституцій формується єдина система кіберуправління, що поєднує технічний моніторинг, операційно-тактичне реагування та політико-стратегічне ухвалення рішень. Їх інтеграція забезпечує можливість мультисекторальної координації. </w:t>
      </w:r>
    </w:p>
    <w:p w14:paraId="09E5F217">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Вагому роль відіграє партнерство держави, приватного сектору та волонтерських кіберспільнот, які під час пікових фаз агресії допомагали виявляти вразливості та відновлювати сервіси. Співпраця з НАТО, ЄС та міжнародними партнерами надала Україні технічну експертизу, інструменти моніторингу й можливість участі у hunt forward-операціях. Нормативні рішення – Державна стратегія кібербезпеки, стандарти моніторингу та організаційно-технічного захисту, заклали основу системності. Поряд з тим залишаються виклики, такі як кадровий дефіцит, технологічна відсталість і потреба в уніфікації процедур, що визначає подальші пріоритети політики.</w:t>
      </w:r>
    </w:p>
    <w:p w14:paraId="56DA80AC">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разі масштабних атак до реагування залучаються Національний координаційний центр кібербезпеки при РНБО, Держспецзв’язку, Служба безпеки України, Національний банк та інші органи залежно від об’єкта нападу. Взаємодія здійснюється за заздалегідь визначеними процедурами, що передбачають створення міжвідомчих оперативних груп. Вони мають змогу проводити технічне розслідування інциденту, збір доказової бази для кримінальних проваджень, а також оцінку загальнонаціональних ризиків.</w:t>
      </w:r>
    </w:p>
    <w:p w14:paraId="6EEB0B53">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складовою є реагування на інформаційні операції. Міністерство культури та інформаційної політики, Центр протидії дезінформації при РНБО, а також служби стратегічних комунікацій у секторі безпеки і оборони здійснюють постійний моніторинг інформаційного простору. У випадку виявлення масштабних кампаній дезінформації оперативно готуються спростування, офіційні заяви та інформаційні матеріали для населення і міжнародних партнерів. Отже, формується багаторівнева протидія, де кіберзахисні структури відповідають за технічний аспект, а інформаційні підрозділи, за комунікативний та суспільний вимір.</w:t>
      </w:r>
    </w:p>
    <w:p w14:paraId="12977EA5">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Показовим кейсом інтегрованої кібероборони України стали події 2022 року, коли у перші тижні повномасштабного вторгнення держава зазнала синхронізованих атак на урядові портали, фінансово-банківські системи та медіаресурси. CERT-UA та Держспецзв’язку оперативно нейтралізували шкідливі програми HermeticWiper і WhisperGate, тоді як Центр протидії дезінформації здійснив когнітивну контрдію, спростовуючи фальсифіковані звернення, створені агресором. Міжінституційна координація дій запобігла системним збоям і збережла інституційну довіру суспільства. У 2023–2024 роках реагування набуло структурованого та стандартизованого характеру: створено канали обміну даними між державним і приватним секторами, розширено міжнародну кооперацію та проведено спільні hunt forward-операції.</w:t>
      </w:r>
    </w:p>
    <w:p w14:paraId="22F679B6">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Європейський Союз відіграє стратегічну роль у розбудові нормативно-правової та інституційної інфраструктури кібербезпеки України. Програмні ініціативи ЄС спрямовані на формування системи управління кіберризиками, зміцнення механізмів захисту критичної інформаційної інфраструктури та фінансування інституційних проєктів із підвищення спроможності державного сектору.</w:t>
      </w:r>
    </w:p>
    <w:p w14:paraId="6CC805E0">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складовою міжінституційної взаємодії є кооперація у сфері протидії дезінформації: Європейська служба зовнішніх дій (EEAS) та компетентні органи України здійснюють обмін аналітичними продуктами, синхронізацію стратегічних комунікацій і координацію інформаційних кампаній, спрямованих на нейтралізацію фальсифікованих наративів.</w:t>
      </w:r>
    </w:p>
    <w:p w14:paraId="7DDEA361">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Двосторонні партнерства поступово еволюціонували у системоутворюючий елемент архітектоніки національної кібербезпеки України, забезпечивши інтеграцію державної політики у глобальний безпеково-цифровий простір. Сполучені Штати Америки реалізують комплексну багатовимірну підтримку, що охоплює технологічний, аналітичний та освітньо-кадровий сегменти – постачання моніторингового обладнання, програмного забезпечення для аналізу інцидентів, надання експертно-консультаційної допомоги та розвиток людського капіталу у сфері кіберзахисту. Велика Британія, Канада та держави Балтійського регіону виступають стратегічними партнерами, які сприяють розробленню стандартів реагування на кіберінциденти, формуванню навчально-тренінгових платформ та методологій кіберрезильєнтності.</w:t>
      </w:r>
    </w:p>
    <w:p w14:paraId="2BC1F569">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грудня 2023 року функціонує Талліннський механізм, що консолідував зусилля партнерів від США й Канади до Франції, Німеччини та ЄС. Його діяльність спрямована на координацію технічної допомоги, розвиток кіберспроможностей і уніфікацію навчальних стандартів. У 2024–2025 роках механізм посилили Швеція (590 млн грн на ІТ-модернізацію) та Норвегія (25 млн крон на кіберстійкість) (Digital State UA, 2025).</w:t>
      </w:r>
    </w:p>
    <w:p w14:paraId="5444F2CE">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можемо стверджувати, що Європейський Союз, ENISA та формат Кібердіалогу Україна–ЄС, сприяє гармонізації процедур реагування з європейськими стандартами. Підписана у червні 2024 року безпекова угода зі США закріпила кіберкомпонент, орієнтований на зміцнення енергетичної інфраструктури та оперативне відновлення після атак. Додатковим елементом стала ІТ-коаліція під егідою Нідерландів, яка акумулювала 157 млн євро на технологічне переоснащення оборонного сектору (Міністерство оборони України, 2024). Вони формують тривимірну модель міжнародного партнерства, що поєднує фінансову, технологічну та освітню підтримку, створюючи інституційну основу для сталого розвитку цифрової безпеки України.</w:t>
      </w:r>
    </w:p>
    <w:p w14:paraId="453E61EE">
      <w:pPr>
        <w:spacing w:after="0" w:line="360" w:lineRule="auto"/>
        <w:ind w:firstLine="709"/>
        <w:jc w:val="center"/>
        <w:rPr>
          <w:rFonts w:ascii="Times New Roman" w:hAnsi="Times New Roman" w:cs="Times New Roman"/>
          <w:sz w:val="28"/>
          <w:szCs w:val="28"/>
          <w:lang w:val="uk-UA"/>
        </w:rPr>
      </w:pPr>
    </w:p>
    <w:p w14:paraId="395C746A">
      <w:pPr>
        <w:pStyle w:val="3"/>
        <w:spacing w:line="360" w:lineRule="auto"/>
        <w:ind w:firstLine="709"/>
        <w:jc w:val="both"/>
        <w:rPr>
          <w:rFonts w:eastAsia="Times New Roman" w:cs="Times New Roman"/>
          <w:szCs w:val="28"/>
          <w:lang w:val="uk-UA"/>
        </w:rPr>
      </w:pPr>
      <w:bookmarkStart w:id="16" w:name="_Toc211811242"/>
      <w:r>
        <w:rPr>
          <w:rFonts w:eastAsia="Times New Roman" w:cs="Times New Roman"/>
          <w:szCs w:val="28"/>
          <w:lang w:val="uk-UA"/>
        </w:rPr>
        <w:t>3.2. Система національної стійкості до інформаційних атак: інституції, суспільство, технології</w:t>
      </w:r>
      <w:bookmarkEnd w:id="16"/>
    </w:p>
    <w:p w14:paraId="70BD5EF8">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xml:space="preserve">Система національної резильєнтності до інформаційних атак являє собою складну поліструктурну архітектоніку, що інтегрує державні інституції, суспільно-комунікативні механізми та технологічну інфраструктуру, орієнтовані на гарантування цілісності та протекції національного інформаційного середовища. Її функціональна парадигма не зводиться лише до опору екзогенним чи ендогенним інформаційним загрозам, а передбачає спроможність держави, громадянського суспільства та технологічного сектору здійснювати проактивне запобігання, ризик-мітігацію й нейтралізацію наслідків інформаційних агресій. Концепт національної стійкості має мультидименсійну природу й охоплює не лише фізичну чи воєнну безпеку, а й інформаційну, психоемоційну, когнітивну та кібернетично-технологічну компоненти (табл.3.1). Їхня синергетична взаємодія детермінує збереження інституційної ідентичності, культурно-комунікативної цілісності та політичного суверенітету держави навіть у контексті гібридного протиборства. </w:t>
      </w:r>
    </w:p>
    <w:p w14:paraId="20CA0D85">
      <w:pPr>
        <w:tabs>
          <w:tab w:val="left" w:pos="1134"/>
        </w:tabs>
        <w:spacing w:after="0" w:line="360" w:lineRule="auto"/>
        <w:ind w:firstLine="709"/>
        <w:jc w:val="right"/>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Таблиця 3.1</w:t>
      </w:r>
    </w:p>
    <w:p w14:paraId="3E1FAB82">
      <w:pPr>
        <w:tabs>
          <w:tab w:val="left" w:pos="1134"/>
        </w:tabs>
        <w:spacing w:after="0" w:line="360" w:lineRule="auto"/>
        <w:ind w:firstLine="709"/>
        <w:jc w:val="center"/>
        <w:rPr>
          <w:rFonts w:ascii="Times New Roman" w:hAnsi="Times New Roman" w:eastAsia="Times New Roman" w:cs="Times New Roman"/>
          <w:b/>
          <w:color w:val="000000"/>
          <w:sz w:val="28"/>
          <w:szCs w:val="28"/>
          <w:lang w:val="uk-UA"/>
        </w:rPr>
      </w:pPr>
      <w:r>
        <w:rPr>
          <w:rFonts w:ascii="Times New Roman" w:hAnsi="Times New Roman" w:eastAsia="Times New Roman" w:cs="Times New Roman"/>
          <w:b/>
          <w:color w:val="000000"/>
          <w:sz w:val="28"/>
          <w:szCs w:val="28"/>
          <w:lang w:val="uk-UA"/>
        </w:rPr>
        <w:t>Підсистеми системи національної стійкості до інформаційних атак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835"/>
        <w:gridCol w:w="2693"/>
        <w:gridCol w:w="2403"/>
      </w:tblGrid>
      <w:tr w14:paraId="72E1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3" w:type="dxa"/>
            <w:shd w:val="clear" w:color="auto" w:fill="auto"/>
            <w:noWrap/>
            <w:vAlign w:val="center"/>
          </w:tcPr>
          <w:p w14:paraId="3BE84B78">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Підсистема</w:t>
            </w:r>
          </w:p>
        </w:tc>
        <w:tc>
          <w:tcPr>
            <w:tcW w:w="2835" w:type="dxa"/>
            <w:shd w:val="clear" w:color="auto" w:fill="auto"/>
            <w:noWrap/>
            <w:vAlign w:val="center"/>
          </w:tcPr>
          <w:p w14:paraId="0B4CECCD">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Зміст і функціональне призначення</w:t>
            </w:r>
          </w:p>
        </w:tc>
        <w:tc>
          <w:tcPr>
            <w:tcW w:w="2693" w:type="dxa"/>
            <w:shd w:val="clear" w:color="auto" w:fill="auto"/>
            <w:noWrap/>
            <w:vAlign w:val="center"/>
          </w:tcPr>
          <w:p w14:paraId="473AEBD4">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Ключові актори / інституції</w:t>
            </w:r>
          </w:p>
        </w:tc>
        <w:tc>
          <w:tcPr>
            <w:tcW w:w="2403" w:type="dxa"/>
            <w:shd w:val="clear" w:color="auto" w:fill="auto"/>
            <w:noWrap/>
            <w:vAlign w:val="center"/>
          </w:tcPr>
          <w:p w14:paraId="19BC6AA8">
            <w:pPr>
              <w:spacing w:after="0" w:line="240" w:lineRule="auto"/>
              <w:jc w:val="center"/>
              <w:rPr>
                <w:rFonts w:ascii="Times New Roman" w:hAnsi="Times New Roman" w:eastAsia="Times New Roman" w:cs="Times New Roman"/>
                <w:b/>
                <w:color w:val="000000"/>
                <w:sz w:val="24"/>
                <w:szCs w:val="24"/>
                <w:lang w:val="uk-UA" w:eastAsia="uk-UA"/>
              </w:rPr>
            </w:pPr>
            <w:r>
              <w:rPr>
                <w:rFonts w:ascii="Times New Roman" w:hAnsi="Times New Roman" w:eastAsia="Times New Roman" w:cs="Times New Roman"/>
                <w:b/>
                <w:color w:val="000000"/>
                <w:sz w:val="24"/>
                <w:szCs w:val="24"/>
                <w:lang w:val="uk-UA" w:eastAsia="uk-UA"/>
              </w:rPr>
              <w:t>Основні механізми реалізації</w:t>
            </w:r>
          </w:p>
        </w:tc>
      </w:tr>
      <w:tr w14:paraId="2A45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3" w:type="dxa"/>
            <w:shd w:val="clear" w:color="auto" w:fill="auto"/>
            <w:noWrap/>
            <w:vAlign w:val="center"/>
          </w:tcPr>
          <w:p w14:paraId="698AE612">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Інституційна</w:t>
            </w:r>
          </w:p>
        </w:tc>
        <w:tc>
          <w:tcPr>
            <w:tcW w:w="2835" w:type="dxa"/>
            <w:shd w:val="clear" w:color="auto" w:fill="auto"/>
            <w:noWrap/>
            <w:vAlign w:val="center"/>
          </w:tcPr>
          <w:p w14:paraId="74C7E960">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Формує політико-правові, організаційні та адміністративні засади протидії інформаційним загрозам; забезпечує стратегічну координацію суб’єктів безпеки.</w:t>
            </w:r>
          </w:p>
        </w:tc>
        <w:tc>
          <w:tcPr>
            <w:tcW w:w="2693" w:type="dxa"/>
            <w:shd w:val="clear" w:color="auto" w:fill="auto"/>
            <w:noWrap/>
            <w:vAlign w:val="center"/>
          </w:tcPr>
          <w:p w14:paraId="21E62188">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РНБО, СБУ, Мінцифра, Міноборони, НІСД, Центр протидії дезінформації при РНБО, Національний центр кібербезпеки.</w:t>
            </w:r>
          </w:p>
        </w:tc>
        <w:tc>
          <w:tcPr>
            <w:tcW w:w="2403" w:type="dxa"/>
            <w:shd w:val="clear" w:color="auto" w:fill="auto"/>
            <w:noWrap/>
            <w:vAlign w:val="center"/>
          </w:tcPr>
          <w:p w14:paraId="74E444AE">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Міжвідомчі ради, кризові штаби, закон «Про кібербезпеку», система раннього попередження, державно-приватне партнерство.</w:t>
            </w:r>
          </w:p>
        </w:tc>
      </w:tr>
      <w:tr w14:paraId="342F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3" w:type="dxa"/>
            <w:shd w:val="clear" w:color="auto" w:fill="auto"/>
            <w:noWrap/>
            <w:vAlign w:val="center"/>
          </w:tcPr>
          <w:p w14:paraId="6CD9D277">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Суспільна</w:t>
            </w:r>
          </w:p>
        </w:tc>
        <w:tc>
          <w:tcPr>
            <w:tcW w:w="2835" w:type="dxa"/>
            <w:shd w:val="clear" w:color="auto" w:fill="auto"/>
            <w:noWrap/>
            <w:vAlign w:val="center"/>
          </w:tcPr>
          <w:p w14:paraId="765F253B">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Сприяє формуванню «інформаційного імунітету» громадян через розвиток критичного мислення, медіаграмотності й активної громадянської позиції.</w:t>
            </w:r>
          </w:p>
        </w:tc>
        <w:tc>
          <w:tcPr>
            <w:tcW w:w="2693" w:type="dxa"/>
            <w:shd w:val="clear" w:color="auto" w:fill="auto"/>
            <w:noWrap/>
            <w:vAlign w:val="center"/>
          </w:tcPr>
          <w:p w14:paraId="770B524A">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Громадські ініціативи («StopFake», «Детектор медіа», «Texty.org.ua»), освітні заклади, журналістські об’єднання, волонтерські спільноти.</w:t>
            </w:r>
          </w:p>
        </w:tc>
        <w:tc>
          <w:tcPr>
            <w:tcW w:w="2403" w:type="dxa"/>
            <w:shd w:val="clear" w:color="auto" w:fill="auto"/>
            <w:noWrap/>
            <w:vAlign w:val="center"/>
          </w:tcPr>
          <w:p w14:paraId="4EB58233">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Освітні програми («Фільтр»), фактчекінг, медіакампанії, розвиток незалежних медіа, публічно-громадські платформи.</w:t>
            </w:r>
          </w:p>
        </w:tc>
      </w:tr>
      <w:tr w14:paraId="16AE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3" w:type="dxa"/>
            <w:shd w:val="clear" w:color="auto" w:fill="auto"/>
            <w:noWrap/>
            <w:vAlign w:val="center"/>
          </w:tcPr>
          <w:p w14:paraId="148975CC">
            <w:pPr>
              <w:spacing w:after="0" w:line="240" w:lineRule="auto"/>
              <w:jc w:val="center"/>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Технологічна</w:t>
            </w:r>
          </w:p>
        </w:tc>
        <w:tc>
          <w:tcPr>
            <w:tcW w:w="2835" w:type="dxa"/>
            <w:shd w:val="clear" w:color="auto" w:fill="auto"/>
            <w:noWrap/>
            <w:vAlign w:val="center"/>
          </w:tcPr>
          <w:p w14:paraId="20353A3D">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Забезпечує функціонування цифрової інфраструктури кіберзахисту, моніторинг загроз, аналітику даних і нейтралізацію кібератак.</w:t>
            </w:r>
          </w:p>
        </w:tc>
        <w:tc>
          <w:tcPr>
            <w:tcW w:w="2693" w:type="dxa"/>
            <w:shd w:val="clear" w:color="auto" w:fill="auto"/>
            <w:noWrap/>
            <w:vAlign w:val="center"/>
          </w:tcPr>
          <w:p w14:paraId="288B29AA">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Мінцифра, BRAVE1, NATO CCDCOE, Microsoft, Google, Cloudflare, українські IT-компанії (EPAM, SoftServe).</w:t>
            </w:r>
          </w:p>
        </w:tc>
        <w:tc>
          <w:tcPr>
            <w:tcW w:w="2403" w:type="dxa"/>
            <w:shd w:val="clear" w:color="auto" w:fill="auto"/>
            <w:noWrap/>
            <w:vAlign w:val="center"/>
          </w:tcPr>
          <w:p w14:paraId="4C9DDA86">
            <w:pPr>
              <w:spacing w:after="0" w:line="240" w:lineRule="auto"/>
              <w:jc w:val="both"/>
              <w:rPr>
                <w:rFonts w:ascii="Times New Roman" w:hAnsi="Times New Roman" w:eastAsia="Times New Roman" w:cs="Times New Roman"/>
                <w:color w:val="000000"/>
                <w:sz w:val="24"/>
                <w:szCs w:val="24"/>
                <w:lang w:val="uk-UA" w:eastAsia="uk-UA"/>
              </w:rPr>
            </w:pPr>
            <w:r>
              <w:rPr>
                <w:rFonts w:ascii="Times New Roman" w:hAnsi="Times New Roman" w:eastAsia="Times New Roman" w:cs="Times New Roman"/>
                <w:color w:val="000000"/>
                <w:sz w:val="24"/>
                <w:szCs w:val="24"/>
                <w:lang w:val="uk-UA" w:eastAsia="uk-UA"/>
              </w:rPr>
              <w:t>Машинне навчання, аналітика великих даних, “Project Shield”, резервні канали зв’язку, штучний інтелект, кіберфорум BRAVE1.</w:t>
            </w:r>
          </w:p>
        </w:tc>
      </w:tr>
    </w:tbl>
    <w:p w14:paraId="70900616">
      <w:pPr>
        <w:tabs>
          <w:tab w:val="left" w:pos="1134"/>
        </w:tabs>
        <w:spacing w:after="0" w:line="360" w:lineRule="auto"/>
        <w:ind w:firstLine="709"/>
        <w:jc w:val="both"/>
        <w:rPr>
          <w:rFonts w:ascii="Times New Roman" w:hAnsi="Times New Roman" w:eastAsia="Times New Roman" w:cs="Times New Roman"/>
          <w:color w:val="000000"/>
          <w:sz w:val="24"/>
          <w:szCs w:val="24"/>
          <w:lang w:val="uk-UA"/>
        </w:rPr>
      </w:pPr>
      <w:r>
        <w:rPr>
          <w:rFonts w:ascii="Times New Roman" w:hAnsi="Times New Roman" w:eastAsia="Times New Roman" w:cs="Times New Roman"/>
          <w:color w:val="000000"/>
          <w:sz w:val="24"/>
          <w:szCs w:val="24"/>
          <w:lang w:val="uk-UA"/>
        </w:rPr>
        <w:t>Джерело: укладено автором</w:t>
      </w:r>
    </w:p>
    <w:p w14:paraId="2E9A13B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p>
    <w:p w14:paraId="4743A0B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Ядром інституційної підсистеми виступають Рада національної безпеки і оборони (РНБО), Служба безпеки України, Міністерство цифрової трансформації, Міністерство оборони, Національний інститут стратегічних досліджень (НІСД) і Центр протидії дезінформації. Їхня взаємодія забезпечує створення єдиної системи аналізу, моніторингу та реагування на інформаційні інциденти. Нормативну основу інституційної стійкості формують закони «Про національну безпеку України» та «Про основні засади забезпечення кібербезпеки України». Останній визначає компетенції органів влади й засади публічно-приватного партнерства у сфері кіберзахисту. У звітах НІСД підкреслюється необхідність гнучкого, але стабільного правового регулювання, здатного адаптуватися до технологічних змін. Ефективна координація між органами забезпечується через міжвідомчі центри, кризові штаби та системи оперативного обміну інформацією.</w:t>
      </w:r>
    </w:p>
    <w:p w14:paraId="39FB59F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2022 році спільна операція СБУ та Національного центру управління кіберінцидентами запобігла масовій кібератаці на урядові ресурси, що стало показовим прикладом інституційної взаємодії (Mamedieva, 2025). Міністерство цифрової трансформації відіграє стратегічну роль у формуванні цифрової резильєнтності – платформа «Дія» стала не лише інструментом електронного врядування, а й елементом стратегічних комунікацій у період війни. РНБО координує розробку політики кіберзахисту та взаємодію з міжнародними партнерами, зокрема у межах навчань НАТО Locked Shields і Cyber Coalition, що підвищують міжінституційну готовність України до гібридних загроз.</w:t>
      </w:r>
    </w:p>
    <w:p w14:paraId="05E1F3F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Суспільна підсистема забезпечує соціокогнітивний вимір національної стійкості, формуючи інформаційну резильєнтність громадян. У концепції НІСД наголошено, що стійкість держави визначається рівнем критичного мислення, медіаграмотності й довіри громадян до достовірних джерел інформації. Після 2014 року в Україні виникла потужна мережа громадських ініціатив – StopFake, Детектор медіа, Texty.org.ua, Інформаційний спротив, здійснюють фактчекінг, протидію фейкам і розробку контрнаративів. Їхня діяльність стала інструментом громадянської мобілізації у боротьбі проти російських дезінформаційних кампаній.</w:t>
      </w:r>
    </w:p>
    <w:p w14:paraId="5A45979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Після початку повномасштабної агресії 2022 року роль громадського сектору істотно зросла. Волонтерські медіаспільноти та незалежні журналісти стали елементом комунікаційної оборони держави, створюючи мережі горизонтальної довіри. Проєкти UkraineNow, UA War Infographics та інші забезпечували швидку комунікацію з населенням, водночас формуючи опір дезінформації. Підвищення довіри до українських медіа, розвиток культури верифікації фактів і цифрової відповідальності суттєво підвищили когнітивну безпеку суспільства.</w:t>
      </w:r>
    </w:p>
    <w:p w14:paraId="6919496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Освітній компонент є базовим елементом суспільної стійкості. У 2023 році стартувала державна програма «Фільтр», спрямована на розвиток медіаграмотності серед школярів, студентів і педагогів. Її реалізація формує в молоді «інформаційний імунітет» - здатність ідентифікувати маніпулятивний контент і протидіяти пропаганді. Міністерство освіти і науки України впроваджує аналогічні програми у вищих навчальних закладах, що сприяє формуванню покоління з високим рівнем інформаційної культури.</w:t>
      </w:r>
    </w:p>
    <w:p w14:paraId="4855183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Важливою інституцією у сфері стратегічних комунікацій став Центр стратегічних комунікацій та інформаційної безпеки, який координує взаємодію між урядом, медіа та громадськістю. Центр виконує аналітичну й комунікаційну функцію, виявляє дезінформаційні кампанії, надає офіційні роз’яснення й забезпечує єдність інформаційного поля. Його діяльність підвищує рівень суспільної довіри та формує атмосферу відкритості, що є необхідною передумовою стабільності в умовах кризи.</w:t>
      </w:r>
    </w:p>
    <w:p w14:paraId="7D027498">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Суспільна стійкість також формується через цифровий активізм. Громадяни об’єднуються в онлайн-спільноти, що здійснюють моніторинг соціальних мереж, перевірку інформації та боротьбу з бот-мережами. Український рух OSINT-дослідників став прикладом ефективного використання відкритих даних для виявлення інформаційних операцій противника; результати їхніх досліджень використовуються навіть міжнародними розслідувачами.</w:t>
      </w:r>
    </w:p>
    <w:p w14:paraId="4E894F93">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Технологічна підсистема відповідає за функціональну спроможність протидії інформаційним і кібернетичним загрозам. Вона охоплює інфраструктуру кіберзахисту, системи раннього попередження, аналітичні центри та цифрові сервіси реагування. Після 2022 року технологічний потенціал України істотно зріс за даними Центру передового досвіду НАТО (CCDCOE), українська кіберінфраструктура стала однією з найадаптивніших у Європі (Tkachuk, 2025).</w:t>
      </w:r>
    </w:p>
    <w:p w14:paraId="7A90A6AB">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квітні 2025 року було ухвалено Закон № 4336-IX «Про захист державних інформаційних ресурсів», який визначив принципи створення національної системи реагування на кіберінциденти та обов’язкову присутність фахівців із кібербезпеки в органах влади. Також уряд заборонив використання програмного забезпечення з держав-агресорів у публічному секторі, це рішення мінімізувало ризики витоків даних і шпигунських програм.</w:t>
      </w:r>
    </w:p>
    <w:p w14:paraId="69E2848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Важливим напрямом технологічного розвитку є платформа BRAVE1 – технокластер оборонних інновацій, що об’єднує державу, бізнес і науку для розроблення рішень у сфері захищеного зв’язку, антенних систем, протидії електронним засобам придушення. Активно розвиваються алгоритми машинного навчання для автоматичного виявлення дезінформаційних патернів. Українські стартапи створюють системи класифікації контенту, детекції бот-мереж і аналізу тональності повідомлень, які підвищують ефективність реагування на інформаційні атаки та формують технологічну автономність держави.</w:t>
      </w:r>
    </w:p>
    <w:p w14:paraId="01A16CC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Технологічна стійкість базується на енергетичній стійкості – розвиток розподілених сонячних систем дозволяє зменшити залежність від централізованих мереж, що часто стають об’єктами кібератак. Децентралізовані сховища даних і резервні канали зв’язку забезпечують безперервність функціонування критичної інфраструктури навіть у кризових умовах.</w:t>
      </w:r>
    </w:p>
    <w:p w14:paraId="0ABE3A0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Україна інтегрується у європейський та євроатлантичний кіберзахисний простір. Співпраця з European Cybersecurity Competence Centre (ECCC) забезпечує доступ до фінансування, експертної підтримки та технологій штучного інтелекту. Партнерство з НАТО через CCDCOE передбачає спільні навчання, які моделюють масові кібератаки та вдосконалюють координацію між секторами. Завдяки цим зусиллям формується модель колективної кібероборони, що підсилює стратегічну стійкість України.</w:t>
      </w:r>
    </w:p>
    <w:p w14:paraId="60725E4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Система національної стійкості України є динамічною, багаторівневою та адаптивною. Її ефективність визначається взаємодією трьох компонентів:</w:t>
      </w:r>
    </w:p>
    <w:p w14:paraId="6AA0098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інституційного, що забезпечує правову, організаційну та координаційну основу;</w:t>
      </w:r>
    </w:p>
    <w:p w14:paraId="06BFB7E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суспільного, що формує когнітивний і культурний захист;</w:t>
      </w:r>
    </w:p>
    <w:p w14:paraId="1E329CC7">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 технологічного, що гарантує технічну спроможність протидії загрозам.</w:t>
      </w:r>
    </w:p>
    <w:p w14:paraId="21FDE63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Отже, подальший розвиток системи потребує модернізації нормативної бази, узгодження стратегій безпеки з європейськими стандартами, інвестицій у людський капітал і посилення міжнародної кооперації. Головною умовою її життєздатності залишається високий рівень довіри, критичного мислення та цифрової культури суспільства. Людський чинник перетворює набір механізмів безпеки на справжню архітектуру національної резильєнтності, що забезпечує інформаційний суверенітет України у глобальному безпековому просторі.</w:t>
      </w:r>
    </w:p>
    <w:p w14:paraId="25A7D7C2">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p>
    <w:p w14:paraId="1C6C9FC9">
      <w:pPr>
        <w:pStyle w:val="3"/>
        <w:spacing w:line="360" w:lineRule="auto"/>
        <w:ind w:firstLine="709"/>
        <w:jc w:val="both"/>
        <w:rPr>
          <w:rFonts w:eastAsia="Times New Roman" w:cs="Times New Roman"/>
          <w:szCs w:val="28"/>
          <w:lang w:val="uk-UA"/>
        </w:rPr>
      </w:pPr>
      <w:bookmarkStart w:id="17" w:name="_Toc211811243"/>
      <w:r>
        <w:rPr>
          <w:rFonts w:eastAsia="Times New Roman" w:cs="Times New Roman"/>
          <w:szCs w:val="28"/>
          <w:lang w:val="uk-UA"/>
        </w:rPr>
        <w:t>3.3. Цифрова дипломатія та міжнародне партнерство як інструменти інформаційної політики України</w:t>
      </w:r>
      <w:bookmarkEnd w:id="17"/>
    </w:p>
    <w:p w14:paraId="42B40719">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Інформаційно-комунікаційні технології здійснили парадигмальний зсув у дипломатичній практиці, інституціоналізувавши її у форматі відкритої, динамічної та інклюзивної взаємодії з багаторівневою аудиторією. Цифрова дипломатія – це інституційно-комунікаційна діяльність, що ґрунтується на використанні цифрових платформ, соціальних медіа, віртуальних мережевих середовищ та аналітичних технологій для досягнення зовнішньополітичних пріоритетів держави. Вона функціонує як трансверсальний інструмент інформаційної політики, інтегруючи елементи комунікативної стратегії, стратегічного наративу та технологічної аналітики.</w:t>
      </w:r>
    </w:p>
    <w:p w14:paraId="64881D4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Для України, що перебуває у стані пролонгованого гібридного конфлікту з Російською Федерацією, цифрова дипломатія набула статусу критичного елемента системи стратегічних комунікацій і національної безпеки. Вона акумулює політичні, інформаційні та технологічні ресурси з метою захисту національних інтересів у глобальному медійному та дипломатичному просторі, виступаючи одночасно і як інструмент протидії інформаційним атакам, і як канал публічної легітимації державної позиції.</w:t>
      </w:r>
    </w:p>
    <w:p w14:paraId="0180680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Під впливом цифрової революції класична дипломатія зазнала сутнісної трансформації, набувши нових форм, форматів і вимірів комунікаційної взаємодії. У сучасній геополітичній архітектоніці держави конкурують не лише у площині політичного чи економічного впливу, але й у сфері символічного капіталу за увагу та довіру глобальної аудиторії у цифровому середовищі. Ключовими детермінантами нової дипломатичної парадигми стали інформаційна швидкість, візуальна репрезентація, персоналізована комунікація та алгоритмічна аналітика даних, що зумовлюють зміну темпоральної та когнітивної динаміки зовнішньополітичних процесів.</w:t>
      </w:r>
    </w:p>
    <w:p w14:paraId="1A8F94C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Цифрова дипломатія України функціонує як стратегічна синергія двох взаємопов’язаних векторів – побудови ефективної системи міжнародних комунікацій та розвитку партнерських мереж у сферах кібербезпеки, стратегічних комунікацій і цифрових інновацій. Від початку повномасштабної агресії Російської Федерації у 2022 році Україна стала унікальним кейсом трансформації цифрової дипломатії з інструменту публічної комунікації у повноцінний механізм глобального впливу та інформаційної резильєнтності.</w:t>
      </w:r>
    </w:p>
    <w:p w14:paraId="1214BC3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Українські дипломати активно застосовують соціально-цифрові медіаплатформи Twitter (X), Facebook, Instagram, Telegram, LinkedIn та TikTok як канали цифрової артикуляції державної позиції, поширення верифікованої інформації, нейтралізації дезінформаційних кампаній, мобілізації міжнародної підтримки та просування гуманітарних ініціатив. Створення у структурі Міністерства закордонних справ України спеціалізованого підрозділу цифрової дипломатії забезпечило інституційну координацію між дипломатичними місіями, посольствами та цифровими комунікаційними кластерами. Це сприяло формуванню когерентної інформаційної екосистеми держави, підвищенню її реактивності у протидії гібридним загрозам і зміцненню інформаційного суверенітету у кіберпросторі (Руднєва &amp; Малювана, 2023).</w:t>
      </w:r>
    </w:p>
    <w:p w14:paraId="61504B6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Вагомий внесок у реалізацію інформаційно-дипломатичної політики здійснює Міністерство цифрової трансформації України, яке у кооперації з МЗС формує інтегровану стратегію цифрової дипломатії, орієнтовану на посилення міжнародної суб’єктності та конкурентоспроможності держави. Одним із стратегічних напрямів є розвиток державного бренду Ukraine Now, який еволюціонував у символ національної ідентичності та сталості</w:t>
      </w:r>
      <w:r>
        <w:rPr>
          <w:rFonts w:ascii="Times New Roman" w:hAnsi="Times New Roman" w:eastAsia="Times New Roman" w:cs="Times New Roman"/>
          <w:color w:val="000000"/>
          <w:sz w:val="28"/>
          <w:szCs w:val="28"/>
          <w:lang w:val="en-US"/>
        </w:rPr>
        <w:t xml:space="preserve"> (Tiurina &amp; Mykhailiuta, 2023)</w:t>
      </w:r>
      <w:r>
        <w:rPr>
          <w:rFonts w:ascii="Times New Roman" w:hAnsi="Times New Roman" w:eastAsia="Times New Roman" w:cs="Times New Roman"/>
          <w:color w:val="000000"/>
          <w:sz w:val="28"/>
          <w:szCs w:val="28"/>
          <w:lang w:val="uk-UA"/>
        </w:rPr>
        <w:t>. Використання цифрових технологій у брендингових кампаніях забезпечило його мультиплатформену інтеграцію у візуальні та комунікаційні продукти, транслюючи Україну як сучасну, відкриту та демократичну державу, що активно формує власну цифрову дипломатичну ідентичність у глобальному інформаційному полі.</w:t>
      </w:r>
    </w:p>
    <w:p w14:paraId="65A6E0A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Цифрова дипломатія України інституціонально охоплює застосування спеціалізованих інформаційно-комунікаційних платформ, що забезпечують прямий інтерактивний канал дипломатичної комунікації з міжнародними партнерами та донорами. Одним із репрезентативних прикладів є національний онлайн-фонд United24, створений у 2022 році як цифрова інфраструктура мобілізації міжнародних фінансових потоків для підтримки держави в умовах воєнного стану. Водночас глобальна кампанія «Be Brave Like Ukraine» виступає як елемент стратегічного наративу національного брендингу, орієнтований на формування позитивного символічного капіталу української нації у світовому комунікаційному середовищі (Tiurina &amp; Mykhailiuta, 2023). Зазначені ініціативи інтегровані у державну інформаційно-комунікаційну стратегію, яка синтезує елементи дипломатичного дискурсу, маркетингових технологій, публічної дипломатії та стратегічних комунікацій.</w:t>
      </w:r>
    </w:p>
    <w:p w14:paraId="7B7B46BE">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сучасній парадигмі цифрова дипломатія функціонує у багатовимірному форматі, охоплюючи не лише комунікаційно-репрезентативний, а й сек’юритизований (безпековий) вимір. В умовах гібридного конфлікту інформаційно-комунікаційні платформи перетворилися на арену когнітивного протистояння за достовірність, довіру та легітимність наративів. Україна реалізує стратегію кіберрезильєнтності, що базується на мультилатеральному партнерстві з провідними міжнародними акторами у сфері кібербезпеки, цифрового суверенітету та інформаційного менеджменту ризиків.</w:t>
      </w:r>
    </w:p>
    <w:p w14:paraId="4C2A5F6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Важливим етапом інституціоналізації цієї співпраці стало приєднання України до європейських ініціатив з кіберзахисту, а також отримання структурної підтримки від НАТО та Європейського Союзу. Така інтеграція сприяє підвищенню адаптивної та аналітичної спроможності держави у реагуванні на кібернетичні та інформаційні атаки, розширює потенціал координаційної взаємодії з союзниками, а також створює передумови для імплементації уніфікованих стандартів цифрової безпеки відповідно до норм євроатлантичного кіберпростору.</w:t>
      </w:r>
    </w:p>
    <w:p w14:paraId="70CCE28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Практична реалізація цифрової дипломатії України є багатовекторним процесом, що інтегрує інформаційно-комунікаційні, технологічні, політичні та безпекові аспекти. Вона формується на перетині зовнішньої політики, цифрових технологій і стратегічних комунікацій, репрезентуючи медіатизований формат сучасної дипломатичної діяльності. Основним завданням цифрової дипломатії є проєкція національних інтересів у цифровому середовищі, консолідація міжнародної підтримки та підвищення довіри до України у глобальному дискурсі. Для цього держава застосовує цифрові інструменти політичної комунікації, гуманітарного впливу та інформаційної безпеки.</w:t>
      </w:r>
    </w:p>
    <w:p w14:paraId="391BD6B4">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Центральним елементом цифрової дипломатії України виступає стратегічне використання соціально-мережевих платформ. Починаючи з 2020 року, Міністерство закордонних справ впроваджує підхід «дипломатії у реальному часі», який передбачає постійну онлайн-присутність дипломатичних місій у Twitter (X), Facebook, Instagram, TikTok та LinkedIn. Кожне посольство функціонує як цифровий комунікаційний вузол, що забезпечує взаємодію з урядами, експертними колами, журналістами та громадськістю. Такий формат сприяє формуванню цифрових спільнот, просуванню офіційного дискурсу України та оперативному спростуванню дезінформації. Україна посіла провідні позиції серед країн Східної Європи у застосуванні соціальних медіа як інструменту публічної дипломатії.</w:t>
      </w:r>
    </w:p>
    <w:p w14:paraId="1BD3D9B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Важливе місце у цифровій дипломатії займає персоніфікована комунікація політичних лідерів, що виступає елементом державного брендингу. Президент Володимир Зеленський, маючи понад 18 мільйонів підписників у провідних соціальних мережах, формує глобальний комунікаційний вплив, а його звернення широко репрезентуються міжнародними ЗМІ. Міністр закордонних справ Дмитро Кулеба активно використовує Twitter (X) та LinkedIn для стратегічної взаємодії з іноземними політиками та журналістською спільнотою, а його публікації регулярно цитуються у виданнях The Guardian, Politico, BBC та The Washington Post, що говорить про високий рівень довіри до офіційного українського цифрового контенту (Bielousova &amp; Omelianenko, 2024).</w:t>
      </w:r>
    </w:p>
    <w:p w14:paraId="717BA2B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2023 році Міністерство закордонних справ України презентувало оновлену концептуальну рамку цифрової дипломатії, яка структурує діяльність за трьома ключовими напрямами – стратегічні комунікації, публічна дипломатія та аналітика цифрових даних. У межах цієї стратегії було інституціоналізовано Центр цифрової дипломатії при МЗС України, що виконує функції аналітичної, комунікаційної та освітньої підтримки дипломатичної служби. До компетенцій Центру належать цифровий медіа-моніторинг, аналіз інформаційних наративів, візуалізація контенту та підготовка дипломатів до роботи у середовищі цифрової взаємодії. У своїй діяльності Центр використовує алгоритмічні системи аналітики даних для ідентифікації дезінформаційних кампаній, семантичного картографування інформаційних потоків і оцінки емоційно-тонального спектра міжнародного дискурсу щодо України.</w:t>
      </w:r>
    </w:p>
    <w:p w14:paraId="369C142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Розвиток цифрової дипломатії України має партнерсько-громадський характер, що відображає синергію між державним, медійним і приватним секторами. Значний внесок у формування комунікаційної стійкості здійснюють аналітичні центри та незалежні медіаплатформи, зокрема UkraineWorld, StopFake та Detector Media (The Guardian, 2025). Вони функціонують у координації з МЗС України та Центром стратегічних комунікацій та інформаційної безпеки, реалізуючи спільні програми у сферах верифікації інформації, когнітивної протидії дезінформації та просування українського наративу у глобальному інформаційному просторі.</w:t>
      </w:r>
    </w:p>
    <w:p w14:paraId="55AB510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2024 році ініціатива StopFake започаткувала англомовний подкаст, орієнтований на західну аудиторію, медіапроєкт виконує функцію інформаційної адвокації, сприяючи трансляції українського погляду на феномен гібридної війни та посиленню міжнародного розуміння природи інформаційного протистояння в Україні (MediaSapiens, 2024).</w:t>
      </w:r>
    </w:p>
    <w:p w14:paraId="003818B0">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Важливою складовою цифрової дипломатії України є міжнародна комунікаційна кампанія «Be Brave Like Ukraine», реалізована у співпраці з агентством Banda Agency (Marushchak et al., 2025). Її концептуальним призначенням є репрезентація України як держави з високим рівнем національної суб’єктності, формування позитивного іміджу українців як нації, ідентифікованої через категорії мужності, стійкості та гідності. Кампанія має глобальний комунікаційний масштаб, охоплюючи понад тридцять держав, серед яких Сполучені Штати Америки, Канада, Японія, Італія, Франція, Польща та Іспанія. Її структура поєднує цифрові технології, візуально-семіотичні засоби та креативні наративи, спрямовані на трансляцію аксіологічних орієнтирів українського суспільства у світовий публічний дискурс. У 2023 році ініціатива була визнана однією з найрезультативніших у сфері публічної дипломатії за версією European Excellence Awards, що засвідчило її високий рівень ефективності комунікаційного менеджменту та культурної репрезентації держави.</w:t>
      </w:r>
    </w:p>
    <w:p w14:paraId="11A224D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Міжнародне партнерство у цифровій сфері виступає структуроутворювальним чинником забезпечення інформаційно-комунікаційної безпеки України. У межах зовнішньополітичної стратегії держава здійснює інституційно оформлену співпрацю з Європейським Союзом, Організацією Північноатлантичного договору (НАТО), Організацією з безпеки і співробітництва в Європі (ОБСЄ), а також зі Сполученими Штатами Америки, Великою Британією, Канадою, Польщею, Естонією та Литвою. Ця взаємодія охоплює спільні програми з підвищення кіберрезильєнтності, професійної підготовки фахівців з інформаційної безпеки, обміну аналітичними даними щодо кібератак та боротьби з цифровою дезінформацією. У 2024 році Європейська служба зовнішніх дій (EEAS) започаткувала програму інституційної підтримки української цифрової дипломатії, що включає освітньо-тренінгові модулі для дипломатичного корпусу та грантові інструменти розвитку цифрових комунікаційних платформ (The Bravery Media, 2025).</w:t>
      </w:r>
    </w:p>
    <w:p w14:paraId="1361564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сфері кібербезпеки особливе значення має співробітництво України з Державним департаментом США та Агентством з кібербезпеки і інфраструктурної безпеки (CISA). Зазначені інституції забезпечують технічну підтримку у виявленні, запобіганні та нейтралізації кібератак, а також сприяють модернізації національної системи урядового зв’язку. Важливим результатом стала тристороння заява України, США та Європейського Союзу, підписана у 2023 році, щодо поглиблення стратегічного співробітництва у сфері цифрової безпеки, що визначається як системний етап євроатлантичної інтеграції та підтверджує зростання ролі України як суб’єкта глобальної кібердипломатії (Tsyrfa &amp; Bielousova, 2025). Міністерство цифрової трансформації України у співпраці з компаніями Google, Meta, Microsoft і Amazon реалізує комплексні програми розвитку цифрових сервісів, удосконалення хмарної інфраструктури та протидії дезінформації. Зокрема, Google надає державним інституціям ресурси аналітики даних і механізми кіберзахисту урядових платформ, тоді як Meta впроваджує алгоритмічні системи ідентифікації та нейтралізації фейкових сторінок, пов’язаних із російськими пропагандистськими мережами впливу. У 2024 році Microsoft відкрила у Варшаві регіональний центр цифрової підтримки для України, який виконує функції технічного бекенду та консалтингового супроводу державних органів у сфері інформаційної безпеки.</w:t>
      </w:r>
    </w:p>
    <w:p w14:paraId="35422065">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Цифрова дипломатія України не обмежується офіційно-інституційним рівнем, а розгортається також у неформальному, громадсько-комунікаційному просторі, залучаючи українську діаспору, журналістів, культурних діячів і громадських активістів. Вони виступають амбассадорами національного наративу, здійснюючи символічне представництво держави у своїх країнах проживання. У 2023–2025 роках спостерігається інтенсифікація діяльності мережі неформальних цифрових послів, які забезпечують репрезентацію українського контенту у глобальному інформаційному просторі, що суттєво підвищує ефективність публічної дипломатії та соціальну ампліфікацію державних меседжів.</w:t>
      </w:r>
    </w:p>
    <w:p w14:paraId="2093D3E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Ефективність цифрової дипломатії України обмежується наявністю системних викликів, що мають структурно-комунікаційний та інформаційно-безпековий характер. Найбільш критичним серед них залишається інформаційна вразливість унаслідок гібридної агресії Російської Федерації, яка використовує цифрові інструменти когнітивного впливу, інформаційного маніпулювання та конструювання альтернативних наративів. Інформаційна експансія створює висококонкурентне комунікаційне середовище у глобальному медіапросторі та зумовлює потребу у постійній модернізації аналітичних, алгоритмічних і стратегічних механізмів протидії інформаційним загрозам.</w:t>
      </w:r>
    </w:p>
    <w:p w14:paraId="23F29E22">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Другим системним обмеженням розвитку цифрової дипломатії України є високий рівень залежності від приватних транснаціональних технологічних платформ, зокрема X (Twitter), Facebook, YouTube, Instagram та TikTok. Вони функціонують на основі власних алгоритмічних архітектур і регламентів модерації контенту, які не завжди корелюють із національними інтересами держави або принципами інформаційного суверенітету.</w:t>
      </w:r>
    </w:p>
    <w:p w14:paraId="341B5F2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Третім критичним викликом у функціонуванні цифрової дипломатії України є дефіцит висококваліфікованих кадрів, здатних інтегрувати компетенції у сферах міжнародних відносин, інформаційних технологій та цифрових комунікацій. Попри те, що Міністерство закордонних справ України з 2022 року впроваджує навчальні модулі з цифрової дипломатії, кадровий запит залишається структурно незадоволеним. У відповідь на це у 2024 році Український інститут спільно з Київською школою економіки започаткували освітньо-професійну програму «Digital Diplomacy Academy», орієнтовану на підготовку нового покоління дипломатів, здатних діяти в умовах високотехнологічного, алгоритмізованого середовища глобальної комунікації.</w:t>
      </w:r>
    </w:p>
    <w:p w14:paraId="67795592">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Драйверами розвитку цифрової дипломатії України виступають етичний, конфіденційний та безпековий виміри, які визначають рамкові умови функціонування держави у цифровому середовищі. Активна комунікаційна присутність дипломатичного корпусу у глобальному кіберпросторі зумовлює ризики витоку інформації, фішингових атак та несанкціонованого доступу до дипломатичних каналів зв’язку. З метою їх мінімізації в Україні впроваджуються комплексні заходи кіберзахисту, протоколів шифрування та автентифікації дипломатичних комунікацій. У 2023 році ухвалено рішення про створення спеціалізованої системи захищеного урядового зв’язку для закордонних дипломатичних представництв, що функціонує на основі національних серверів і технологій багаторівневої верифікації доступу.</w:t>
      </w:r>
    </w:p>
    <w:p w14:paraId="0BEE8286">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Не менш значущим напрямом є забезпечення когнітивного балансу між темпоральною швидкістю цифрових комунікацій і змістовною глибиною дипломатичного дискурсу. Сучасна інформаційна динаміка сприяє поверхневій рецепції складних політичних процесів, що призводить до надмірного спрощення або емоційної поляризації аудиторії. Для протидії цим тенденціям МЗС України запроваджує формат аналітичного сторітелінгу – створення «довгих історій» та візуально-аналітичних матеріалів, які пояснюють складні теми у доступній, проте науково-ґрунтовній формі. Прикладом цього є мультимедійний проєкт «Ukraine Explained», який у 2024 році отримав міжнародну відзнаку за інноваційний підхід до публічних комунікацій у межах цифрової дипломатії.</w:t>
      </w:r>
    </w:p>
    <w:p w14:paraId="2A02EDC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Українські державні інституції вже розпочали алгоритмізацію процесів аналізу інформаційних потоків із використанням AI-технологій. У 2025 році заплановано запуск системи «DigiVoice-UA», яка здійснюватиме автоматизований мультимовний моніторинг міжнародних згадок про Україну (25 мов), аналізуватиме семантичну тональність дискурсу та генеруватиме рекомендації для дипломатичних структур щодо реагування на деструктивні наративи. Він розглядається як один із найінноваційніших інструментів цифрової дипломатії у регіоні Центрально-Східної Європи. Ще одним перспективним напрямом є розбудова мережевої дипломатії та цифрової колаборації з громадянським суспільством. Україна формує екосистему партнерств, що поєднує державні інституції, ІТ-компанії, медійні платформи, академічні установи та громадські організації, створюючи гнучку модель багаторівневої взаємодії. У 2024–2025 роках у межах проєкту «Digital Ukraine in Global Dialogue» розпочато створення міжнародних хабів української публічної дипломатії у Берліні, Торонто та Сеулі, які поєднують офіційні дипломатичні інституції з експертно-культурними спільнотами.</w:t>
      </w:r>
    </w:p>
    <w:p w14:paraId="3EE38B81">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Порівняльний аналіз показує, що Сполучені Штати Америки демонструють системно інтегрований підхід до цифрової дипломатії, який синтезує кіберполітику, штучний інтелект і регуляторну діяльність у межах Бюро цифрової політики Державного департаменту США. Це відомство координує сфери кібербезпеки, управління даними, етики AI та технологічного регулювання, забезпечуючи когерентність між дипломатичною діяльністю й інноваційними процесами. Американські дипломати проходять спеціалізовані навчальні програми з цифрових комунікацій і кіберзахисту, що підвищує їхню професійну компетентність і стратегічну ефективність у глобальному інформаційному середовищі.</w:t>
      </w:r>
    </w:p>
    <w:p w14:paraId="29B9F8F5">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Естонія є показовим прикладом того, як цифрові інновації можуть виступати інструментом формування зовнішньополітичного іміджу держави. Її ініціативи e-Governance та e-Residency стали складовими дипломатичного бренду, що репрезентує країну як глобального лідера у сфері цифрового врядування. Використання платформи X-Road позиціонується як елемент “soft power”, тобто м’якої сили, спрямованої на утвердження Естонії як інноваційної, технологічно розвиненої та відкритої держави. Естонська дипломатія системно просуває цей досвід через міжнародні освітні програми та експертні платформи, формуючи партнерства у сферах кіберстійкості, кіберграмотності та електронного урядування.</w:t>
      </w:r>
    </w:p>
    <w:p w14:paraId="3F761D1A">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Польща, у свою чергу, фокусується на зміцненні кіберзахисту та протидії дезінформаційним кампаніям. Для цього створено Центр аналізу інформаційних загроз, який здійснює оперативний моніторинг і верифікацію фейкових повідомлень, спрямованих проти держави. Польща активно взаємодіє з NATO StratCom Centre of Excellence та інституціями Європейського Союзу, вибудовуючи систему стратегічних комунікацій та інформаційної безпеки як основу своєї публічної дипломатії.</w:t>
      </w:r>
    </w:p>
    <w:p w14:paraId="1C3263FB">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Для України наведені приклади мають прикладне методологічне значення. Держава вже реалізує аналогічні підходи, зокрема систему підготовки дипломатів до цифрової комунікації, розвиток національних інструментів, таких як «DigiVoice-UA», та поглиблення співпраці з транснаціональними технологічними партнерами. Водночас пріоритетним напрямом виступає посилення інституційної координації між Міністерством закордонних справ, Міністерством цифрової трансформації та Державною службою спеціального зв’язку, що має забезпечити синергію між кібербезпековими, аналітичними та комунікаційними компонентами єдиної державної цифрової стратегії.</w:t>
      </w:r>
    </w:p>
    <w:p w14:paraId="47F2666C">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 підсумку, цифрова дипломатія трансформувалася у стратегічний інструмент інформаційної політики України, що забезпечує ефективне просування національних інтересів, протидію дезінформації та консолідацію глобальної підтримки. Україна продемонструвала, що навіть в умовах збройного конфлікту цифрові технології можуть виступати чинником політичного впливу, за умови поєднання комунікаційної адаптивності, технологічної інноваційності та стратегічної координації.</w:t>
      </w:r>
    </w:p>
    <w:p w14:paraId="30EC8AE3">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Підвищення результативності цифрової дипломатії вимагає концентрації зусиль у кількох напрямах:</w:t>
      </w:r>
    </w:p>
    <w:p w14:paraId="32A4DB81">
      <w:pPr>
        <w:pStyle w:val="15"/>
        <w:numPr>
          <w:ilvl w:val="0"/>
          <w:numId w:val="10"/>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Інституціоналізація єдиного координаційного центру цифрової дипломатії при МЗС, який об’єднає функції аналітики, стратегічних комунікацій та кіберзахисту.</w:t>
      </w:r>
    </w:p>
    <w:p w14:paraId="4AB90A11">
      <w:pPr>
        <w:pStyle w:val="15"/>
        <w:numPr>
          <w:ilvl w:val="0"/>
          <w:numId w:val="10"/>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Розширення міжнародного партнерства в межах програм ЄС, НАТО та G7, зокрема у сферах обміну даними, кіберстійкості та інформаційного моніторингу.</w:t>
      </w:r>
    </w:p>
    <w:p w14:paraId="589F967D">
      <w:pPr>
        <w:pStyle w:val="15"/>
        <w:numPr>
          <w:ilvl w:val="0"/>
          <w:numId w:val="10"/>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Впровадження системи оцінювання інформаційних ризиків із використанням штучного інтелекту та відкритих даних.</w:t>
      </w:r>
    </w:p>
    <w:p w14:paraId="0CAC5BB1">
      <w:pPr>
        <w:pStyle w:val="15"/>
        <w:numPr>
          <w:ilvl w:val="0"/>
          <w:numId w:val="10"/>
        </w:numPr>
        <w:tabs>
          <w:tab w:val="left" w:pos="1134"/>
        </w:tabs>
        <w:spacing w:after="0" w:line="360" w:lineRule="auto"/>
        <w:ind w:left="0"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Розвиток власних цифрових платформ і навчальних програм для дипломатів, які поєднують ІТ-компетентності з аналітичними та комунікаційними навичками.</w:t>
      </w:r>
    </w:p>
    <w:p w14:paraId="07C935CD">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Можемо констатувати, що нам важливо зберегти культурно-гуманітарний вектор цифрової дипломатії, адже проєкти United24, Be Brave Like Ukraine та Ukraine Explained виконують функцію символічного представництва держави. Вони формують емоційно переконливий наратив України як сучасної, стійкої та технологічно розвиненої європейської нації, поєднуючи державну комунікацію з громадською активністю, що підвищує довіру та міжнародну підтримку.</w:t>
      </w:r>
    </w:p>
    <w:p w14:paraId="4A7A34BF">
      <w:pPr>
        <w:tabs>
          <w:tab w:val="left" w:pos="1134"/>
        </w:tabs>
        <w:spacing w:after="0" w:line="360" w:lineRule="auto"/>
        <w:ind w:firstLine="709"/>
        <w:jc w:val="both"/>
        <w:rPr>
          <w:rFonts w:ascii="Times New Roman" w:hAnsi="Times New Roman" w:eastAsia="Times New Roman" w:cs="Times New Roman"/>
          <w:color w:val="000000"/>
          <w:sz w:val="28"/>
          <w:szCs w:val="28"/>
          <w:lang w:val="uk-UA"/>
        </w:rPr>
      </w:pPr>
      <w:r>
        <w:rPr>
          <w:rFonts w:ascii="Times New Roman" w:hAnsi="Times New Roman" w:eastAsia="Times New Roman" w:cs="Times New Roman"/>
          <w:color w:val="000000"/>
          <w:sz w:val="28"/>
          <w:szCs w:val="28"/>
          <w:lang w:val="uk-UA"/>
        </w:rPr>
        <w:t>Українська модель цифрової дипломатії поступово переходить від реактивної до проактивної парадигми, тобто від реагування на інформаційні виклики до конструювання власних глобальних дискурсів. Можна стверджувати про трансформацію України з об’єкта у суб’єкта міжнародних комунікацій, здатного ініціювати та формувати тематику глобального порядку денного. Подальший розвиток цього напряму потребує стратегічного бачення, стабільного фінансування та технологічної модернізації, що перетворить цифрову дипломатію на структурний і постійний компонент зовнішньої політики держави.</w:t>
      </w:r>
    </w:p>
    <w:p w14:paraId="1B6EFE99">
      <w:pPr>
        <w:tabs>
          <w:tab w:val="left" w:pos="1134"/>
        </w:tabs>
        <w:spacing w:after="0" w:line="360" w:lineRule="auto"/>
        <w:ind w:firstLine="709"/>
        <w:jc w:val="both"/>
        <w:rPr>
          <w:rFonts w:ascii="Times New Roman" w:hAnsi="Times New Roman" w:eastAsia="Times New Roman" w:cs="Times New Roman"/>
          <w:color w:val="000000"/>
          <w:sz w:val="28"/>
          <w:szCs w:val="28"/>
          <w:lang w:val="uk-UA"/>
        </w:rPr>
        <w:sectPr>
          <w:pgSz w:w="11906" w:h="16838"/>
          <w:pgMar w:top="1134" w:right="851" w:bottom="1134" w:left="1701" w:header="709" w:footer="709" w:gutter="0"/>
          <w:cols w:space="708" w:num="1"/>
          <w:docGrid w:linePitch="360" w:charSpace="0"/>
        </w:sectPr>
      </w:pPr>
    </w:p>
    <w:p w14:paraId="768CD89F">
      <w:pPr>
        <w:pStyle w:val="2"/>
        <w:spacing w:before="0" w:line="360" w:lineRule="auto"/>
        <w:jc w:val="center"/>
        <w:rPr>
          <w:lang w:val="uk-UA"/>
        </w:rPr>
      </w:pPr>
      <w:bookmarkStart w:id="18" w:name="_Toc211811244"/>
      <w:r>
        <w:rPr>
          <w:lang w:val="uk-UA"/>
        </w:rPr>
        <w:t>ВИСНОВКИ</w:t>
      </w:r>
      <w:bookmarkEnd w:id="18"/>
    </w:p>
    <w:p w14:paraId="1463A20F">
      <w:pPr>
        <w:spacing w:after="0" w:line="360" w:lineRule="auto"/>
        <w:ind w:firstLine="709"/>
        <w:jc w:val="both"/>
        <w:rPr>
          <w:rFonts w:ascii="Times New Roman" w:hAnsi="Times New Roman" w:cs="Times New Roman"/>
          <w:sz w:val="28"/>
          <w:szCs w:val="28"/>
          <w:lang w:val="uk-UA"/>
        </w:rPr>
      </w:pPr>
    </w:p>
    <w:p w14:paraId="50906E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Проведене дослідження дало можливість комплексно розкрити сутність інформаційних стратегій у контексті гібридної війни, засвідчивши, що саме інформаційно-комунікаційний вимір формується як ключовий простір реалізації політичних інтересів держав. Використання системного, компаративного та кейс-методологічного підходів дозволило встановити, що гібридна війна постає еволюційною формою політичного протиборства, у межах якої перевага досягається переважно не воєнними, а когнітивно-комунікаційними засобами впливу. Отримані результати підтвердили евристичну спроможність і аналітичну релевантність парадигми політичного реалізму для інтерпретації конфліктів нового типу.</w:t>
      </w:r>
    </w:p>
    <w:p w14:paraId="0C99B0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Першим результатом стало з’ясування, що інформаційна війна функціонує не як ізольований феномен, а як інтегрований компонент гібридних стратегій, що поєднують політичні, економічні, дипломатичні та когнітивні інструменти впливу. Концепція політичного реалізму Г. Моргентау дала змогу інтерпретувати інформаційні кампанії як механізми реалізації національного інтересу через контроль комунікаційного простору, домінування над наративами та конструювання альтернативної реальності.</w:t>
      </w:r>
    </w:p>
    <w:p w14:paraId="647722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сучасного стану наукової розробки проблеми засвідчив, що інформаційна війна є міждисциплінарним феноменом, який інтегрує політичну комунікацію, соціальну психологію та кібербезпеку. Водночас виявлено дефіцит уніфікованої теоретико-правової дефініції та відсутність міжнародно-правових механізмів відповідальності за інформаційну агресію, що становить незакриту лакуну глобальної безпекової архітектури.</w:t>
      </w:r>
    </w:p>
    <w:p w14:paraId="75B8D4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аналізу офіційних стратегій України та Російської Федерації засвідчили фундаментальну дивергенцію концептуальних основ. Російська модель інформаційної політики побудована на централізованому контролі медіапростору, експансії наративів «Русского міра» та легітимації агресії через історико-культурні ретроспективи. Натомість українська модель орієнтована на відкриту комунікацію, демократичність, прозорість і партнерську взаємодію з міжнародними акторами у сфері стратегічних комунікацій.</w:t>
      </w:r>
    </w:p>
    <w:p w14:paraId="56F9A0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російські інформаційні кампанії мають поліструктурний характер, спрямований на зовнішню аудиторію (дестабілізацію міжнародного іміджу України) та внутрішню (консолідацію підтримки влади через страх і міфологізацію минулого). Українські інформаційні наративи, навпаки, орієнтовані на посилення державної суб’єктності, захист національної ідентичності, розвиток цифрової дипломатії та утвердження позитивного міжнародного іміджу як жертви агресії й носія демократичних цінностей.</w:t>
      </w:r>
    </w:p>
    <w:p w14:paraId="7D1F3D6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Порівняння міжнародних моделей протидії інформаційним загрозам (ЄС, НАТО, США, Естонії, Польщі) підтвердило ефективність гібридного підходу, що поєднує державні, інституційні й громадянські механізми. Саме інтеграція медіаграмотності, кіберзахисту та стратегічних комунікацій формує фундамент когнітивної стійкості. Україна частково адаптувала цей досвід, сформувавши унікальну архітектоніку національної інформаційної стійкості.</w:t>
      </w:r>
    </w:p>
    <w:p w14:paraId="0CE882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межах аналізу системи національної стійкості доведено, що ефективність протидії інформаційним атакам визначається синергією трьох підсистем – інституційної (РНБО, СБУ, Мінцифри), суспільної (активність громадських організацій і незалежних медіа) та технологічної (розвиток цифрових платформ, систем кіберзахисту та алгоритмів виявлення дезінформації).</w:t>
      </w:r>
    </w:p>
    <w:p w14:paraId="7B5100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Окремим висновком стало підтвердження вирішальної ролі цифрової дипломатії та транснаціональних партнерств у конструюванні позитивного міжнародного іміджу України. Колаборації з глобальними технологічними корпораціями, участь у мультисторонніх ініціативах ЄС і НАТО зміцнили інформаційну суб’єктність України, перетворивши її з об’єкта впливу на суб’єкта глобального комунікаційного простору.</w:t>
      </w:r>
    </w:p>
    <w:p w14:paraId="04A452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слід зазначити, що інформаційна безпека є складником елементом національної стійкості, а інформаційні стратегії – ключовим інструментом зовнішньополітичного позиціонування держави. Український досвід демонструє, що ефективна стратегія протидії інформаційній агресії базується на синтезі державної політики, громадянської активності, технологічних інновацій та міжнародної кооперації. Перспективним напрямом подальших досліджень є розроблення універсальних індикаторів ефективності інформаційної протидії та формування міжнародно-правових механізмів відповідальності за дезінформаційні повідомлення. </w:t>
      </w:r>
    </w:p>
    <w:p w14:paraId="24FC21D2">
      <w:pPr>
        <w:tabs>
          <w:tab w:val="left" w:pos="1134"/>
        </w:tabs>
        <w:spacing w:after="0" w:line="360" w:lineRule="auto"/>
        <w:ind w:firstLine="709"/>
        <w:jc w:val="both"/>
        <w:rPr>
          <w:rFonts w:ascii="Times New Roman" w:hAnsi="Times New Roman" w:eastAsia="Times New Roman" w:cs="Times New Roman"/>
          <w:color w:val="000000"/>
          <w:sz w:val="28"/>
          <w:szCs w:val="28"/>
          <w:lang w:val="uk-UA"/>
        </w:rPr>
        <w:sectPr>
          <w:pgSz w:w="11906" w:h="16838"/>
          <w:pgMar w:top="1134" w:right="851" w:bottom="1134" w:left="1701" w:header="709" w:footer="709" w:gutter="0"/>
          <w:cols w:space="708" w:num="1"/>
          <w:docGrid w:linePitch="360" w:charSpace="0"/>
        </w:sectPr>
      </w:pPr>
    </w:p>
    <w:p w14:paraId="64C70762">
      <w:pPr>
        <w:pStyle w:val="2"/>
        <w:spacing w:before="0" w:line="360" w:lineRule="auto"/>
        <w:ind w:firstLine="709"/>
        <w:jc w:val="center"/>
        <w:rPr>
          <w:rFonts w:cs="Times New Roman"/>
          <w:szCs w:val="28"/>
          <w:lang w:val="uk-UA"/>
        </w:rPr>
      </w:pPr>
      <w:bookmarkStart w:id="19" w:name="_Toc211811245"/>
      <w:r>
        <w:rPr>
          <w:rFonts w:cs="Times New Roman"/>
          <w:szCs w:val="28"/>
          <w:lang w:val="uk-UA"/>
        </w:rPr>
        <w:t>СПИСОК ВИКОРИСТАНИХ ДЖЕРЕЛ</w:t>
      </w:r>
      <w:bookmarkEnd w:id="19"/>
    </w:p>
    <w:p w14:paraId="0602B3BF">
      <w:pPr>
        <w:tabs>
          <w:tab w:val="left" w:pos="993"/>
        </w:tabs>
        <w:spacing w:after="0" w:line="360" w:lineRule="auto"/>
        <w:ind w:firstLine="709"/>
        <w:jc w:val="both"/>
        <w:rPr>
          <w:lang w:val="uk-UA"/>
        </w:rPr>
      </w:pPr>
    </w:p>
    <w:p w14:paraId="66A6F7FD">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Андрієвський, Т. Г. (2018). Концептуалізація поняття гібридної війни: політологічний вимір. </w:t>
      </w:r>
      <w:r>
        <w:rPr>
          <w:rFonts w:ascii="Times New Roman" w:hAnsi="Times New Roman" w:cs="Times New Roman"/>
          <w:i/>
          <w:iCs/>
          <w:sz w:val="28"/>
          <w:szCs w:val="28"/>
          <w:lang w:val="uk-UA"/>
        </w:rPr>
        <w:t xml:space="preserve">Сучасне суспільство: політичні науки, соціологічні науки, культурологічні науки, </w:t>
      </w:r>
      <w:r>
        <w:rPr>
          <w:rFonts w:ascii="Times New Roman" w:hAnsi="Times New Roman" w:cs="Times New Roman"/>
          <w:sz w:val="28"/>
          <w:szCs w:val="28"/>
          <w:lang w:val="uk-UA"/>
        </w:rPr>
        <w:t>1(13), 4–15.</w:t>
      </w:r>
    </w:p>
    <w:p w14:paraId="40149AC1">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Буряченко, О. (2024). Гібридна війна як нова форма глобального протистояння. </w:t>
      </w:r>
      <w:r>
        <w:rPr>
          <w:rFonts w:ascii="Times New Roman" w:hAnsi="Times New Roman" w:cs="Times New Roman"/>
          <w:i/>
          <w:iCs/>
          <w:sz w:val="28"/>
          <w:szCs w:val="28"/>
          <w:lang w:val="uk-UA"/>
        </w:rPr>
        <w:t xml:space="preserve">Наукові праці МАУП. Політичні науки та публічне управління, </w:t>
      </w:r>
      <w:r>
        <w:rPr>
          <w:rFonts w:ascii="Times New Roman" w:hAnsi="Times New Roman" w:cs="Times New Roman"/>
          <w:sz w:val="28"/>
          <w:szCs w:val="28"/>
          <w:lang w:val="uk-UA"/>
        </w:rPr>
        <w:t>2(74), 24–31.</w:t>
      </w:r>
    </w:p>
    <w:p w14:paraId="7723A07A">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Верховна Рада України. (2025). </w:t>
      </w:r>
      <w:r>
        <w:rPr>
          <w:rFonts w:ascii="Times New Roman" w:hAnsi="Times New Roman" w:cs="Times New Roman"/>
          <w:i/>
          <w:iCs/>
          <w:sz w:val="28"/>
          <w:szCs w:val="28"/>
          <w:lang w:val="uk-UA"/>
        </w:rPr>
        <w:t xml:space="preserve">Закон України «Про медіа» № 2849-IX. </w:t>
      </w:r>
      <w:r>
        <w:rPr>
          <w:rFonts w:ascii="Times New Roman" w:hAnsi="Times New Roman" w:cs="Times New Roman"/>
          <w:sz w:val="28"/>
          <w:szCs w:val="28"/>
          <w:lang w:val="uk-UA"/>
        </w:rPr>
        <w:t>https://zakon.rada.gov.ua/laws/show/2849-20.</w:t>
      </w:r>
    </w:p>
    <w:p w14:paraId="288A58C6">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Верховна Рада України. (2025). </w:t>
      </w:r>
      <w:r>
        <w:rPr>
          <w:rFonts w:ascii="Times New Roman" w:hAnsi="Times New Roman" w:cs="Times New Roman"/>
          <w:i/>
          <w:iCs/>
          <w:sz w:val="28"/>
          <w:szCs w:val="28"/>
          <w:lang w:val="uk-UA"/>
        </w:rPr>
        <w:t>Закон України «Про основні засади забезпечення кібербезпеки України»</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 2163-VIII</w:t>
      </w:r>
      <w:r>
        <w:rPr>
          <w:rFonts w:ascii="Times New Roman" w:hAnsi="Times New Roman" w:cs="Times New Roman"/>
          <w:sz w:val="28"/>
          <w:szCs w:val="28"/>
          <w:lang w:val="uk-UA"/>
        </w:rPr>
        <w:t xml:space="preserve"> (станом на 19.10.2025). https://zakon.rada.gov.ua/laws/show/2163-19#Text.</w:t>
      </w:r>
    </w:p>
    <w:p w14:paraId="59DB281F">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Галіпчак, В. (2023). Інформаційна війна як складова гібридної війни в умовах російської агресії. </w:t>
      </w:r>
      <w:r>
        <w:rPr>
          <w:rFonts w:ascii="Times New Roman" w:hAnsi="Times New Roman" w:cs="Times New Roman"/>
          <w:i/>
          <w:iCs/>
          <w:sz w:val="28"/>
          <w:szCs w:val="28"/>
          <w:lang w:val="uk-UA"/>
        </w:rPr>
        <w:t xml:space="preserve">Вісник Прикарпатського університету. Серія: Політологія, </w:t>
      </w:r>
      <w:r>
        <w:rPr>
          <w:rFonts w:ascii="Times New Roman" w:hAnsi="Times New Roman" w:cs="Times New Roman"/>
          <w:sz w:val="28"/>
          <w:szCs w:val="28"/>
          <w:lang w:val="uk-UA"/>
        </w:rPr>
        <w:t>1(15), 26–32.</w:t>
      </w:r>
    </w:p>
    <w:p w14:paraId="1D558D49">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Глух, М. В., &amp; Гончаренко, М. В. (2024). Сутнісне розуміння та природа поняття «гібридна війна» в сучасній доктрині міжнародного права. </w:t>
      </w:r>
      <w:r>
        <w:rPr>
          <w:rFonts w:ascii="Times New Roman" w:hAnsi="Times New Roman" w:cs="Times New Roman"/>
          <w:i/>
          <w:iCs/>
          <w:sz w:val="28"/>
          <w:szCs w:val="28"/>
          <w:lang w:val="uk-UA"/>
        </w:rPr>
        <w:t>Ірпінський юридичний часопис,</w:t>
      </w:r>
      <w:r>
        <w:rPr>
          <w:rFonts w:ascii="Times New Roman" w:hAnsi="Times New Roman" w:cs="Times New Roman"/>
          <w:sz w:val="28"/>
          <w:szCs w:val="28"/>
          <w:lang w:val="uk-UA"/>
        </w:rPr>
        <w:t xml:space="preserve"> 1(14), 197–205. https://doi.org/10.33244/2617-4154.1(14).2024.197-205</w:t>
      </w:r>
    </w:p>
    <w:p w14:paraId="77A15E0C">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Горбулін, В. П. (Ред.). (2017). </w:t>
      </w:r>
      <w:r>
        <w:rPr>
          <w:rFonts w:ascii="Times New Roman" w:hAnsi="Times New Roman" w:cs="Times New Roman"/>
          <w:i/>
          <w:iCs/>
          <w:sz w:val="28"/>
          <w:szCs w:val="28"/>
          <w:lang w:val="uk-UA"/>
        </w:rPr>
        <w:t>Світова гібридна війна: український фронт</w:t>
      </w:r>
      <w:r>
        <w:rPr>
          <w:rFonts w:ascii="Times New Roman" w:hAnsi="Times New Roman" w:cs="Times New Roman"/>
          <w:sz w:val="28"/>
          <w:szCs w:val="28"/>
          <w:lang w:val="uk-UA"/>
        </w:rPr>
        <w:t>. НІСД.</w:t>
      </w:r>
    </w:p>
    <w:p w14:paraId="16B52131">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Драбюк, С. С. (2022). Пропаганда та її види. Шляхи протидії пропаганді. </w:t>
      </w:r>
      <w:r>
        <w:rPr>
          <w:rFonts w:ascii="Times New Roman" w:hAnsi="Times New Roman" w:cs="Times New Roman"/>
          <w:i/>
          <w:iCs/>
          <w:sz w:val="28"/>
          <w:szCs w:val="28"/>
          <w:lang w:val="uk-UA"/>
        </w:rPr>
        <w:t>Адміністративне право і процес; фінансове право; інформаційне право</w:t>
      </w:r>
      <w:r>
        <w:rPr>
          <w:rFonts w:ascii="Times New Roman" w:hAnsi="Times New Roman" w:cs="Times New Roman"/>
          <w:sz w:val="28"/>
          <w:szCs w:val="28"/>
          <w:lang w:val="uk-UA"/>
        </w:rPr>
        <w:t>, 1, 153–157. https://doi.org/10.24144/2788-6018.2022.01.28.</w:t>
      </w:r>
    </w:p>
    <w:p w14:paraId="1CE8B98A">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Європейський Союз. (2019). </w:t>
      </w:r>
      <w:r>
        <w:rPr>
          <w:rFonts w:ascii="Times New Roman" w:hAnsi="Times New Roman" w:cs="Times New Roman"/>
          <w:i/>
          <w:iCs/>
          <w:sz w:val="28"/>
          <w:szCs w:val="28"/>
          <w:lang w:val="uk-UA"/>
        </w:rPr>
        <w:t>Регламент (ЄС) 2019/881 щодо ENISA та сертифікації кібербезпеки. Офіційний вісник ЄС</w:t>
      </w:r>
      <w:r>
        <w:rPr>
          <w:rFonts w:ascii="Times New Roman" w:hAnsi="Times New Roman" w:cs="Times New Roman"/>
          <w:sz w:val="28"/>
          <w:szCs w:val="28"/>
          <w:lang w:val="uk-UA"/>
        </w:rPr>
        <w:t>, L 151/15. https://zakon.rada.gov.ua/laws/show/984_024-19#Text.</w:t>
      </w:r>
    </w:p>
    <w:p w14:paraId="4E801656">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Зайцева, О. М. (2018). Варіантність у родовій категоризації іменників. </w:t>
      </w:r>
      <w:r>
        <w:rPr>
          <w:rFonts w:ascii="Times New Roman" w:hAnsi="Times New Roman" w:cs="Times New Roman"/>
          <w:i/>
          <w:iCs/>
          <w:sz w:val="28"/>
          <w:szCs w:val="28"/>
          <w:lang w:val="uk-UA"/>
        </w:rPr>
        <w:t xml:space="preserve">Вісник КНЛУ. Філологія, </w:t>
      </w:r>
      <w:r>
        <w:rPr>
          <w:rFonts w:ascii="Times New Roman" w:hAnsi="Times New Roman" w:cs="Times New Roman"/>
          <w:sz w:val="28"/>
          <w:szCs w:val="28"/>
          <w:lang w:val="uk-UA"/>
        </w:rPr>
        <w:t>21(1), 121–130.</w:t>
      </w:r>
    </w:p>
    <w:p w14:paraId="7562E1C0">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Каравацька, С. Б., Маник, А. З., &amp; Яремчук, В. В. (2025). Кіберпростір: міжнародно-правове регулювання та практика застосування прецедентного права МС ООН. </w:t>
      </w:r>
      <w:r>
        <w:rPr>
          <w:rFonts w:ascii="Times New Roman" w:hAnsi="Times New Roman" w:cs="Times New Roman"/>
          <w:i/>
          <w:iCs/>
          <w:sz w:val="28"/>
          <w:szCs w:val="28"/>
          <w:lang w:val="uk-UA"/>
        </w:rPr>
        <w:t>Аналітично-порівняльне правознавство</w:t>
      </w:r>
      <w:r>
        <w:rPr>
          <w:rFonts w:ascii="Times New Roman" w:hAnsi="Times New Roman" w:cs="Times New Roman"/>
          <w:sz w:val="28"/>
          <w:szCs w:val="28"/>
          <w:lang w:val="uk-UA"/>
        </w:rPr>
        <w:t>, 2, 1194–1199. https://doi.org/10.24144/2788-6018.2025.02.180.</w:t>
      </w:r>
    </w:p>
    <w:p w14:paraId="18FB8E46">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Купін, А. Р. (2022). Дискурсологічні студії в Україні: основні поняття, терміни і проблеми. </w:t>
      </w:r>
      <w:r>
        <w:rPr>
          <w:rFonts w:ascii="Times New Roman" w:hAnsi="Times New Roman" w:cs="Times New Roman"/>
          <w:i/>
          <w:iCs/>
          <w:sz w:val="28"/>
          <w:szCs w:val="28"/>
          <w:lang w:val="uk-UA"/>
        </w:rPr>
        <w:t>Закарпатські філологічні студії</w:t>
      </w:r>
      <w:r>
        <w:rPr>
          <w:rFonts w:ascii="Times New Roman" w:hAnsi="Times New Roman" w:cs="Times New Roman"/>
          <w:sz w:val="28"/>
          <w:szCs w:val="28"/>
          <w:lang w:val="uk-UA"/>
        </w:rPr>
        <w:t>, 25, 179–184. https://doi.org/10.32782/tps2663-4880/2022.25.1.33.</w:t>
      </w:r>
    </w:p>
    <w:p w14:paraId="5ACE657B">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Курбан, О. В. (2016). Сучасна гібридна війна та її інформаційна складова. Бібліотекознавство. </w:t>
      </w:r>
      <w:r>
        <w:rPr>
          <w:rFonts w:ascii="Times New Roman" w:hAnsi="Times New Roman" w:cs="Times New Roman"/>
          <w:i/>
          <w:iCs/>
          <w:sz w:val="28"/>
          <w:szCs w:val="28"/>
          <w:lang w:val="uk-UA"/>
        </w:rPr>
        <w:t>Документознавство. Інформологія</w:t>
      </w:r>
      <w:r>
        <w:rPr>
          <w:rFonts w:ascii="Times New Roman" w:hAnsi="Times New Roman" w:cs="Times New Roman"/>
          <w:sz w:val="28"/>
          <w:szCs w:val="28"/>
          <w:lang w:val="uk-UA"/>
        </w:rPr>
        <w:t>, 4, 82–89.</w:t>
      </w:r>
    </w:p>
    <w:p w14:paraId="2CB036C1">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Парахонський, Б. О., &amp; Яворська, Г. М. (2019). </w:t>
      </w:r>
      <w:r>
        <w:rPr>
          <w:rFonts w:ascii="Times New Roman" w:hAnsi="Times New Roman" w:cs="Times New Roman"/>
          <w:i/>
          <w:iCs/>
          <w:sz w:val="28"/>
          <w:szCs w:val="28"/>
          <w:lang w:val="uk-UA"/>
        </w:rPr>
        <w:t>Онтологія війни і миру: безпека, стратегія, смисл (Монографія).</w:t>
      </w:r>
      <w:r>
        <w:rPr>
          <w:rFonts w:ascii="Times New Roman" w:hAnsi="Times New Roman" w:cs="Times New Roman"/>
          <w:sz w:val="28"/>
          <w:szCs w:val="28"/>
          <w:lang w:val="uk-UA"/>
        </w:rPr>
        <w:t xml:space="preserve"> НІСД.</w:t>
      </w:r>
    </w:p>
    <w:p w14:paraId="67D5227A">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Поправка, М. О. (2024). Інформаційна війна в контексті гібридного конфлікту. </w:t>
      </w:r>
      <w:r>
        <w:rPr>
          <w:rFonts w:ascii="Times New Roman" w:hAnsi="Times New Roman" w:cs="Times New Roman"/>
          <w:i/>
          <w:iCs/>
          <w:sz w:val="28"/>
          <w:szCs w:val="28"/>
          <w:lang w:val="uk-UA"/>
        </w:rPr>
        <w:t>Міжнародні та політичні дослідження</w:t>
      </w:r>
      <w:r>
        <w:rPr>
          <w:rFonts w:ascii="Times New Roman" w:hAnsi="Times New Roman" w:cs="Times New Roman"/>
          <w:sz w:val="28"/>
          <w:szCs w:val="28"/>
          <w:lang w:val="uk-UA"/>
        </w:rPr>
        <w:t>, 38, 267–274.</w:t>
      </w:r>
    </w:p>
    <w:p w14:paraId="2885FB79">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Президент РФ. (2016). </w:t>
      </w:r>
      <w:r>
        <w:rPr>
          <w:rFonts w:ascii="Times New Roman" w:hAnsi="Times New Roman" w:cs="Times New Roman"/>
          <w:i/>
          <w:iCs/>
          <w:sz w:val="28"/>
          <w:szCs w:val="28"/>
          <w:lang w:val="uk-UA"/>
        </w:rPr>
        <w:t>Доктрина інформаційної безпеки Російської Федерації</w:t>
      </w:r>
      <w:r>
        <w:rPr>
          <w:rFonts w:ascii="Times New Roman" w:hAnsi="Times New Roman" w:cs="Times New Roman"/>
          <w:sz w:val="28"/>
          <w:szCs w:val="28"/>
          <w:lang w:val="uk-UA"/>
        </w:rPr>
        <w:t xml:space="preserve"> (Указ № 646). Public Intelligence. https://publicintelligence.net/ru-information-security-2016/.</w:t>
      </w:r>
    </w:p>
    <w:p w14:paraId="311E50DA">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Президент України. (2021). </w:t>
      </w:r>
      <w:r>
        <w:rPr>
          <w:rFonts w:ascii="Times New Roman" w:hAnsi="Times New Roman" w:cs="Times New Roman"/>
          <w:i/>
          <w:iCs/>
          <w:sz w:val="28"/>
          <w:szCs w:val="28"/>
          <w:lang w:val="uk-UA"/>
        </w:rPr>
        <w:t>Указ Президента України № 447/2021 «Про Стратегію кібербезпеки України».</w:t>
      </w:r>
      <w:r>
        <w:rPr>
          <w:rFonts w:ascii="Times New Roman" w:hAnsi="Times New Roman" w:cs="Times New Roman"/>
          <w:sz w:val="28"/>
          <w:szCs w:val="28"/>
          <w:lang w:val="uk-UA"/>
        </w:rPr>
        <w:t xml:space="preserve"> https://zakon.rada.gov.ua/laws/show/447/2021#Text.</w:t>
      </w:r>
    </w:p>
    <w:p w14:paraId="0AA78936">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Президент України. (2021). </w:t>
      </w:r>
      <w:r>
        <w:rPr>
          <w:rFonts w:ascii="Times New Roman" w:hAnsi="Times New Roman" w:cs="Times New Roman"/>
          <w:i/>
          <w:iCs/>
          <w:sz w:val="28"/>
          <w:szCs w:val="28"/>
          <w:lang w:val="uk-UA"/>
        </w:rPr>
        <w:t>Указ Президента України № 685/2021 «Про Стратегію інформаційної безпеки».</w:t>
      </w:r>
      <w:r>
        <w:rPr>
          <w:rFonts w:ascii="Times New Roman" w:hAnsi="Times New Roman" w:cs="Times New Roman"/>
          <w:sz w:val="28"/>
          <w:szCs w:val="28"/>
          <w:lang w:val="uk-UA"/>
        </w:rPr>
        <w:t xml:space="preserve"> https://zakon.rada.gov.ua/laws/show/685/2021#Text.</w:t>
      </w:r>
    </w:p>
    <w:p w14:paraId="4C7533D3">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Президент України. (2022</w:t>
      </w:r>
      <w:r>
        <w:rPr>
          <w:rFonts w:ascii="Times New Roman" w:hAnsi="Times New Roman" w:cs="Times New Roman"/>
          <w:i/>
          <w:iCs/>
          <w:sz w:val="28"/>
          <w:szCs w:val="28"/>
          <w:lang w:val="uk-UA"/>
        </w:rPr>
        <w:t>). Указ Президента України № 151/2022 «Про нейтралізацію загроз інформаційній безпеці держави».</w:t>
      </w:r>
      <w:r>
        <w:rPr>
          <w:rFonts w:ascii="Times New Roman" w:hAnsi="Times New Roman" w:cs="Times New Roman"/>
          <w:sz w:val="28"/>
          <w:szCs w:val="28"/>
          <w:lang w:val="uk-UA"/>
        </w:rPr>
        <w:t xml:space="preserve"> https://zakon.rada.gov.ua/laws/show/151/2022#Text.</w:t>
      </w:r>
    </w:p>
    <w:p w14:paraId="4D583359">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Президент України. (2022). </w:t>
      </w:r>
      <w:r>
        <w:rPr>
          <w:rFonts w:ascii="Times New Roman" w:hAnsi="Times New Roman" w:cs="Times New Roman"/>
          <w:i/>
          <w:iCs/>
          <w:sz w:val="28"/>
          <w:szCs w:val="28"/>
          <w:lang w:val="uk-UA"/>
        </w:rPr>
        <w:t>Указ Президента України № 243/2022 «Про відзначення державними нагородами України».</w:t>
      </w:r>
      <w:r>
        <w:rPr>
          <w:rFonts w:ascii="Times New Roman" w:hAnsi="Times New Roman" w:cs="Times New Roman"/>
          <w:sz w:val="28"/>
          <w:szCs w:val="28"/>
          <w:lang w:val="uk-UA"/>
        </w:rPr>
        <w:t xml:space="preserve"> https://zakon.rada.gov.ua/laws/show/243/2022#Text.</w:t>
      </w:r>
    </w:p>
    <w:p w14:paraId="055627BC">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Руднєва, А. О., &amp; Малювана, Ю. Г. (2023). Цифрова дипломатія у формуванні системи нац. безпеки України. </w:t>
      </w:r>
      <w:r>
        <w:rPr>
          <w:rFonts w:ascii="Times New Roman" w:hAnsi="Times New Roman" w:cs="Times New Roman"/>
          <w:i/>
          <w:iCs/>
          <w:sz w:val="28"/>
          <w:szCs w:val="28"/>
          <w:lang w:val="uk-UA"/>
        </w:rPr>
        <w:t>Регіональні студії,</w:t>
      </w:r>
      <w:r>
        <w:rPr>
          <w:rFonts w:ascii="Times New Roman" w:hAnsi="Times New Roman" w:cs="Times New Roman"/>
          <w:sz w:val="28"/>
          <w:szCs w:val="28"/>
          <w:lang w:val="uk-UA"/>
        </w:rPr>
        <w:t xml:space="preserve"> 111–115. https://doi.org/10.32782/2663-6170/2023.34.19.</w:t>
      </w:r>
    </w:p>
    <w:p w14:paraId="49EEA2E6">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Семчинський, К. (2020). Особливості гібридних конфліктів у контексті російської агресії проти України. </w:t>
      </w:r>
      <w:r>
        <w:rPr>
          <w:rFonts w:ascii="Times New Roman" w:hAnsi="Times New Roman" w:cs="Times New Roman"/>
          <w:i/>
          <w:iCs/>
          <w:sz w:val="28"/>
          <w:szCs w:val="28"/>
          <w:lang w:val="uk-UA"/>
        </w:rPr>
        <w:t xml:space="preserve">Міжнародні відносини: теоретико-практичні аспекти, </w:t>
      </w:r>
      <w:r>
        <w:rPr>
          <w:rFonts w:ascii="Times New Roman" w:hAnsi="Times New Roman" w:cs="Times New Roman"/>
          <w:sz w:val="28"/>
          <w:szCs w:val="28"/>
          <w:lang w:val="uk-UA"/>
        </w:rPr>
        <w:t>5, 66–76.</w:t>
      </w:r>
    </w:p>
    <w:p w14:paraId="5E26FEBD">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Стьопкін, А. (2024). Особливості концептуалізації поняття дезінформація в сучасній політичній науці. </w:t>
      </w:r>
      <w:r>
        <w:rPr>
          <w:rFonts w:ascii="Times New Roman" w:hAnsi="Times New Roman" w:cs="Times New Roman"/>
          <w:i/>
          <w:iCs/>
          <w:sz w:val="28"/>
          <w:szCs w:val="28"/>
          <w:lang w:val="uk-UA"/>
        </w:rPr>
        <w:t xml:space="preserve">Медіафорум: аналітика, прогнози, інформаційний менеджмент, </w:t>
      </w:r>
      <w:r>
        <w:rPr>
          <w:rFonts w:ascii="Times New Roman" w:hAnsi="Times New Roman" w:cs="Times New Roman"/>
          <w:sz w:val="28"/>
          <w:szCs w:val="28"/>
          <w:lang w:val="uk-UA"/>
        </w:rPr>
        <w:t>15, 320–336. https://doi.org/10.31861/mediaforum.2024.15.320-336.</w:t>
      </w:r>
    </w:p>
    <w:p w14:paraId="02CA4A05">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Тихомирова, Є. (2020). Російська інформаційна війна: теоретичні та практично-прикладні аспекти. </w:t>
      </w:r>
      <w:r>
        <w:rPr>
          <w:rFonts w:ascii="Times New Roman" w:hAnsi="Times New Roman" w:cs="Times New Roman"/>
          <w:i/>
          <w:iCs/>
          <w:sz w:val="28"/>
          <w:szCs w:val="28"/>
          <w:lang w:val="uk-UA"/>
        </w:rPr>
        <w:t>Науковий вісник СНУ ім. Лесі Українки. Міжнародні відносини</w:t>
      </w:r>
      <w:r>
        <w:rPr>
          <w:rFonts w:ascii="Times New Roman" w:hAnsi="Times New Roman" w:cs="Times New Roman"/>
          <w:sz w:val="28"/>
          <w:szCs w:val="28"/>
          <w:lang w:val="uk-UA"/>
        </w:rPr>
        <w:t>, 2, 98–105. https://evnuir.vnu.edu.ua/bitstream/123456789/22747/1/HB_MB_2020_2-98-105.pdf.</w:t>
      </w:r>
    </w:p>
    <w:p w14:paraId="1824B450">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Чалапко, В. В. (2021). Гібридна війна як сучасна форма насильства. </w:t>
      </w:r>
      <w:r>
        <w:rPr>
          <w:rFonts w:ascii="Times New Roman" w:hAnsi="Times New Roman" w:cs="Times New Roman"/>
          <w:i/>
          <w:iCs/>
          <w:sz w:val="28"/>
          <w:szCs w:val="28"/>
          <w:lang w:val="uk-UA"/>
        </w:rPr>
        <w:t xml:space="preserve">Вісник НЮУ ім. Ярослава Мудрого. Серія: Філософія, філософія права, політологія, соціологія, </w:t>
      </w:r>
      <w:r>
        <w:rPr>
          <w:rFonts w:ascii="Times New Roman" w:hAnsi="Times New Roman" w:cs="Times New Roman"/>
          <w:sz w:val="28"/>
          <w:szCs w:val="28"/>
          <w:lang w:val="uk-UA"/>
        </w:rPr>
        <w:t>48(1), 133–145.</w:t>
      </w:r>
    </w:p>
    <w:p w14:paraId="7A435CCD">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Череватюк, В., &amp; Бойко, О. (2021). Інформаційні війни (конфлікти): теоретико-правовий аспект. </w:t>
      </w:r>
      <w:r>
        <w:rPr>
          <w:rFonts w:ascii="Times New Roman" w:hAnsi="Times New Roman" w:cs="Times New Roman"/>
          <w:i/>
          <w:iCs/>
          <w:sz w:val="28"/>
          <w:szCs w:val="28"/>
          <w:lang w:val="uk-UA"/>
        </w:rPr>
        <w:t>Наукові праці НАУ. Серія: Юридичний вісник «Повітряне і космічне право»</w:t>
      </w:r>
      <w:r>
        <w:rPr>
          <w:rFonts w:ascii="Times New Roman" w:hAnsi="Times New Roman" w:cs="Times New Roman"/>
          <w:sz w:val="28"/>
          <w:szCs w:val="28"/>
          <w:lang w:val="uk-UA"/>
        </w:rPr>
        <w:t>, 2(59), 62–69.</w:t>
      </w:r>
    </w:p>
    <w:p w14:paraId="509FA7AC">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Швець, Д. (2024). Суспільна важливість дослідження маніпулятивних технік медіа. </w:t>
      </w:r>
      <w:r>
        <w:rPr>
          <w:rFonts w:ascii="Times New Roman" w:hAnsi="Times New Roman" w:cs="Times New Roman"/>
          <w:i/>
          <w:iCs/>
          <w:sz w:val="28"/>
          <w:szCs w:val="28"/>
          <w:lang w:val="uk-UA"/>
        </w:rPr>
        <w:t>ХНЕУ ім. С. Кузнеця (репозитарій).</w:t>
      </w:r>
      <w:r>
        <w:rPr>
          <w:rFonts w:ascii="Times New Roman" w:hAnsi="Times New Roman" w:cs="Times New Roman"/>
          <w:sz w:val="28"/>
          <w:szCs w:val="28"/>
          <w:lang w:val="uk-UA"/>
        </w:rPr>
        <w:t xml:space="preserve"> https://repository.hneu.edu.ua/bitstream/123456789/27547/1/стаття%20Швець%20Д..pdf.</w:t>
      </w:r>
    </w:p>
    <w:p w14:paraId="7E54AED0">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Щурко, О. М. (2017). Роль і значення наративу в сучасних гібридних конфліктах. </w:t>
      </w:r>
      <w:r>
        <w:rPr>
          <w:rFonts w:ascii="Times New Roman" w:hAnsi="Times New Roman" w:cs="Times New Roman"/>
          <w:i/>
          <w:iCs/>
          <w:sz w:val="28"/>
          <w:szCs w:val="28"/>
          <w:lang w:val="uk-UA"/>
        </w:rPr>
        <w:t>SPACE / Society, Politics, Administration in Central Europe</w:t>
      </w:r>
      <w:r>
        <w:rPr>
          <w:rFonts w:ascii="Times New Roman" w:hAnsi="Times New Roman" w:cs="Times New Roman"/>
          <w:sz w:val="28"/>
          <w:szCs w:val="28"/>
          <w:lang w:val="uk-UA"/>
        </w:rPr>
        <w:t>, 7, 13–16.</w:t>
      </w:r>
    </w:p>
    <w:p w14:paraId="079D5917">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Almäng, J. (2019). War, vagueness and hybrid war. Defence Studies, 19(2), 189–204.</w:t>
      </w:r>
    </w:p>
    <w:p w14:paraId="4575C441">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Arts. (2024). The discursive power of digital popular art during the Russo-Ukrainian War (Vol. 13, Art. 38). https://doi.org/10.3390/arts13010038.</w:t>
      </w:r>
    </w:p>
    <w:p w14:paraId="0F1EFA40">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Baumgartner, Á. (2023). Hybrid conflict and wars. In The Palgrave Encyclopedia of Global Security Studies. Palgrave Macmillan, 758-766.</w:t>
      </w:r>
    </w:p>
    <w:p w14:paraId="7E3CFE88">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Bellingcat. (2025). Bellingcat – Investigative journalism platform. https://www.bellingcat.com.</w:t>
      </w:r>
    </w:p>
    <w:p w14:paraId="48C4F6A7">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Bialoskórski, R. (2023). The theoretical concept of information warfare: A general outline. Humanities and Social Sciences Research Journal, 30(4, Part I), 7–24. https://doi.org/10.7862/rz.2023.hss.39.</w:t>
      </w:r>
    </w:p>
    <w:p w14:paraId="7D695728">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Bielousova, N., &amp; Omelianenko, V. (2024). Ukraine’s Approach to Digital Diplomacy in the Geopolitics of Technologies. Вісник КНУ ім. Т. Шевченка. Міжнародні відносини, 58(1), 28–32. https://doi.org/10.17721/1728-2292.2024/1-58/28-32.</w:t>
      </w:r>
    </w:p>
    <w:p w14:paraId="506E069A">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Canadian Centre for Cyber Security. (2023). Cyber Threat Bulletin: Cyber Threat Activity Related to the Russian Invasion of Ukraine. https://cyber.gc.ca/sites/default/files/cyber-threat-activity-associated-russian-invasion-ukraine-e.pdf.</w:t>
      </w:r>
    </w:p>
    <w:p w14:paraId="436645EF">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Center for Strategic and International Studies. (2023). The future of hybrid warfare. https://www.csis.org/analysis/future-hybrid-warfare.</w:t>
      </w:r>
    </w:p>
    <w:p w14:paraId="1C324C29">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Communication Analysis Team – Ukraine. (2025). Official Website. https://cat-ua.org/en/homepage/.</w:t>
      </w:r>
    </w:p>
    <w:p w14:paraId="2ABBCE31">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Council of the European Union. (2025, May 20). Russian hybrid threats: EU lists further 21 individuals and 6 entities. https://www.consilium.europa.eu/en/press/press-releases/2025/05/20/russian-hybrid-threats-eu-lists-further-21-individuals-and-6-entities/.</w:t>
      </w:r>
    </w:p>
    <w:p w14:paraId="3DD24D03">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Dennison, J. (2021). Narratives: A review of concepts, determinants, effects, and uses in migration research. Comparative Migration Studies, 9, Article 50. https://doi.org/10.1186/s40878-021-00259-9.</w:t>
      </w:r>
    </w:p>
    <w:p w14:paraId="502E364C">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Digital Forensic Research Lab. (2024, February 29). Undermining Ukraine: How Russia widened its global information war in 2023. Atlantic Council. https://www.atlanticcouncil.org/in-depth-research-reports/report/undermining-ukraine-how-russia-widened-its-global-information-war-in-2023/</w:t>
      </w:r>
    </w:p>
    <w:p w14:paraId="3C02D2AD">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Digital State UA. (2025). Sweden allocates more than 590 million hryvnias to strengthen Ukraine’s cyber resilience. https://digitalstate.gov.ua/news/govtech/shvetsiia-vydilyaye-ponad-590-milyoniv-hryven-na-posylennia-kiberstiikosti-ukrayiny.</w:t>
      </w:r>
    </w:p>
    <w:p w14:paraId="064B0617">
      <w:pPr>
        <w:pStyle w:val="15"/>
        <w:numPr>
          <w:ilvl w:val="0"/>
          <w:numId w:val="11"/>
        </w:numPr>
        <w:tabs>
          <w:tab w:val="left" w:pos="993"/>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Ekman, I., &amp; Nilsson, P.-E. (2023). Ukraine’s Information Front: Strategic Communication during Russia’s Full-Scale Invasion. Swedish Defence Research Agency. https://doi.org/10.13140/RG.2.2.14115.22569.</w:t>
      </w:r>
    </w:p>
    <w:p w14:paraId="343C07D5">
      <w:pPr>
        <w:pStyle w:val="15"/>
        <w:numPr>
          <w:ilvl w:val="0"/>
          <w:numId w:val="11"/>
        </w:numPr>
        <w:tabs>
          <w:tab w:val="left" w:pos="993"/>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Gale, A. E. (2023). The role of open-source intelligence in the war in Ukraine. Modern Diplomacy. </w:t>
      </w:r>
      <w:r>
        <w:fldChar w:fldCharType="begin"/>
      </w:r>
      <w:r>
        <w:instrText xml:space="preserve"> HYPERLINK "https://moderndiplomacy.eu/2023/05/17/the-role-of-open-source-intelligence-in-the-war-in-ukraine/" </w:instrText>
      </w:r>
      <w:r>
        <w:fldChar w:fldCharType="separate"/>
      </w:r>
      <w:r>
        <w:rPr>
          <w:rStyle w:val="6"/>
          <w:rFonts w:ascii="Times New Roman" w:hAnsi="Times New Roman" w:cs="Times New Roman"/>
          <w:sz w:val="28"/>
          <w:szCs w:val="28"/>
          <w:lang w:val="uk-UA"/>
        </w:rPr>
        <w:t>https://moderndiplomacy.eu/2023/05/17/the-role-of-open-source-intelligence-in-the-war-in-ukraine/</w:t>
      </w:r>
      <w:r>
        <w:rPr>
          <w:rStyle w:val="6"/>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7B5CC7D5">
      <w:pPr>
        <w:pStyle w:val="15"/>
        <w:numPr>
          <w:ilvl w:val="0"/>
          <w:numId w:val="11"/>
        </w:numPr>
        <w:tabs>
          <w:tab w:val="left" w:pos="993"/>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Glaser, C. L. (2010). Rational theory of international politics: The logic of competition and cooperation. Princeton University Press.</w:t>
      </w:r>
    </w:p>
    <w:p w14:paraId="7979205A">
      <w:pPr>
        <w:pStyle w:val="15"/>
        <w:numPr>
          <w:ilvl w:val="0"/>
          <w:numId w:val="11"/>
        </w:numPr>
        <w:tabs>
          <w:tab w:val="left" w:pos="993"/>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Hoffman, F. G. (2007). Conflict in the 21st century: The rise of hybrid wars. Potomac Institute for Policy Studies.</w:t>
      </w:r>
    </w:p>
    <w:p w14:paraId="20D03447">
      <w:pPr>
        <w:pStyle w:val="15"/>
        <w:numPr>
          <w:ilvl w:val="0"/>
          <w:numId w:val="11"/>
        </w:numPr>
        <w:tabs>
          <w:tab w:val="left" w:pos="993"/>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Internet Society. (2023). Russia’s “Sovereign Internet” Law. </w:t>
      </w:r>
      <w:r>
        <w:fldChar w:fldCharType="begin"/>
      </w:r>
      <w:r>
        <w:instrText xml:space="preserve"> HYPERLINK "https://www.internetsociety.org/resources/internet-fragmentation/russias-sovereign-internet-law/" </w:instrText>
      </w:r>
      <w:r>
        <w:fldChar w:fldCharType="separate"/>
      </w:r>
      <w:r>
        <w:rPr>
          <w:rStyle w:val="6"/>
          <w:rFonts w:ascii="Times New Roman" w:hAnsi="Times New Roman" w:cs="Times New Roman"/>
          <w:sz w:val="28"/>
          <w:szCs w:val="28"/>
          <w:lang w:val="uk-UA"/>
        </w:rPr>
        <w:t>https://www.internetsociety.org/resources/internet-fragmentation/russias-sovereign-internet-law/</w:t>
      </w:r>
      <w:r>
        <w:rPr>
          <w:rStyle w:val="6"/>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6A55B52B">
      <w:pPr>
        <w:pStyle w:val="15"/>
        <w:numPr>
          <w:ilvl w:val="0"/>
          <w:numId w:val="11"/>
        </w:numPr>
        <w:tabs>
          <w:tab w:val="left" w:pos="993"/>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Kuchmii, O., Frolova, O. (2023). The Use of Social Media as a Tool of Modern Hybrid Warfare. Acta De Historia &amp; Politica: Saeculum XXI, 93-104. </w:t>
      </w:r>
      <w:r>
        <w:fldChar w:fldCharType="begin"/>
      </w:r>
      <w:r>
        <w:instrText xml:space="preserve"> HYPERLINK "https://doi.org/10.26693/ahpsxxi2023.si.093" </w:instrText>
      </w:r>
      <w:r>
        <w:fldChar w:fldCharType="separate"/>
      </w:r>
      <w:r>
        <w:rPr>
          <w:rStyle w:val="6"/>
          <w:rFonts w:ascii="Times New Roman" w:hAnsi="Times New Roman" w:cs="Times New Roman"/>
          <w:sz w:val="28"/>
          <w:szCs w:val="28"/>
          <w:lang w:val="uk-UA"/>
        </w:rPr>
        <w:t>https://doi.org/10.26693/ahpsxxi2023.si.093</w:t>
      </w:r>
      <w:r>
        <w:rPr>
          <w:rStyle w:val="6"/>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7B4B16BA">
      <w:pPr>
        <w:pStyle w:val="15"/>
        <w:numPr>
          <w:ilvl w:val="0"/>
          <w:numId w:val="11"/>
        </w:numPr>
        <w:tabs>
          <w:tab w:val="left" w:pos="993"/>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Makarenko, O. (2019). Meet Ukraїner, “project that tells the world about the least discovered country in Europe”. Euromaidan Press. https://euromaidanpress.com/2019/11/22/ukrainer-project-that-tells-the-world-about-the-least-discovered-country-in-europe/.</w:t>
      </w:r>
    </w:p>
    <w:p w14:paraId="04FD21B4">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Mamedieva, G. (2025). Ukraine’s Digital Transformation: Innovation for Resilience. Harvard CID. https://hks.harvard.edu/centers/cid/voices/ukraines-digital-transformation-innovation-resilience.</w:t>
      </w:r>
    </w:p>
    <w:p w14:paraId="269AD0BB">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Marushchak, A., Petrov, S., &amp; Khoperiya, A. (2025). Countering AI-powered disinformation through national regulation: learning from the case of Ukraine. Frontiers in Artificial Intelligence. https://pmc.ncbi.nlm.nih.gov/articles/PMC11747593/.</w:t>
      </w:r>
    </w:p>
    <w:p w14:paraId="11D7CE79">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MediaSapiens. (2024). StopFake та «Детектор медіа» – дослідження. https://ms.detector.media/internet/post/36660/2024-11-07-stopfake-ta-detektor-media-ie-nayvidomishymy-sered-ukraintsiv-faktchekerskymy-organizatsiyamy-doslidzhennya/.</w:t>
      </w:r>
    </w:p>
    <w:p w14:paraId="2C2BD350">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Ministry of Defence of Ukraine. (2024). To support Ukraine, the IT Coalition has successfully accumulated €157 million. https://mod.gov.ua/en/news/to-support-ukraine-the-it-coalition-has-successfully-accumulated-157-million.</w:t>
      </w:r>
    </w:p>
    <w:p w14:paraId="1F966D61">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Mumford, A., &amp; Carlucci, P. (2023). Hybrid warfare: The continuation of ambiguity by other means. European Journal of International Security, 8(2), 192–206. https://doi.org/10.1017/eis.2022.19.</w:t>
      </w:r>
    </w:p>
    <w:p w14:paraId="2DEBFEE0">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Naseeb, S. (2024). Hybrid warfare: Blurring the lines between conventional and non-conventional tactics. International Journal for Conventional and Non-Conventional Warfare, 1(1), 46–55.</w:t>
      </w:r>
    </w:p>
    <w:p w14:paraId="25896F87">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NATO ACT. (2021). Regional Perspectives Report on Russia. https://act.nato.int/wp-content/uploads/2023/05/regional-perspectives-2021-01.pdf.</w:t>
      </w:r>
    </w:p>
    <w:p w14:paraId="1D6C0867">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NATO Review. (2021, November 30). Hybrid Warfare – New Threats, Complexity, and “Trust” as the Antidote. https://www.nato.int/docu/review/articles/2021/11/30/hybrid-warfare-new-threats-complexity-and-trust-as-the-antidote/index.html.</w:t>
      </w:r>
    </w:p>
    <w:p w14:paraId="6D148F9B">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NATO Review. (2024, April 26). Russia’s hybrid war against the West. </w:t>
      </w:r>
      <w:r>
        <w:fldChar w:fldCharType="begin"/>
      </w:r>
      <w:r>
        <w:instrText xml:space="preserve"> HYPERLINK "https://www.nato.int/docu/review/articles/2024/04/26/russias-hybrid-war-against-the-west/index.html" </w:instrText>
      </w:r>
      <w:r>
        <w:fldChar w:fldCharType="separate"/>
      </w:r>
      <w:r>
        <w:rPr>
          <w:rStyle w:val="6"/>
          <w:rFonts w:ascii="Times New Roman" w:hAnsi="Times New Roman" w:cs="Times New Roman"/>
          <w:sz w:val="28"/>
          <w:szCs w:val="28"/>
          <w:lang w:val="uk-UA"/>
        </w:rPr>
        <w:t>https://www.nato.int/docu/review/articles/2024/04/26/russias-hybrid-war-against-the-west/index.html</w:t>
      </w:r>
      <w:r>
        <w:rPr>
          <w:rStyle w:val="6"/>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4E9D9D8C">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NATO Review. (2025). Algorithmic invasions: How information warfare threatens NATO’s eastern flank. https://www.nato.int/docu/review/articles/2025/02/07/algorithmic-invasions-how-information-warfare-threatens-nato-s-eastern-flank/index.html.</w:t>
      </w:r>
    </w:p>
    <w:p w14:paraId="0FA51407">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NATO StratCom COE. (2021). Russia’s Strategy in Cyberspace. https://stratcomcoe.org/cuploads/pfiles/Nato-Cyber-Report_11-06-2021-4f4fce.pdf.</w:t>
      </w:r>
    </w:p>
    <w:p w14:paraId="384BFBC0">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NATO. (2016). Cyber Defence Pledge. https://ccdcoe.org/uploads/2018/11/NATO-160708-CyberDefencePledge.pdf.</w:t>
      </w:r>
    </w:p>
    <w:p w14:paraId="3FD53869">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ODI Humanitarian Policy Group. (2024). Narratives and the Ukraine response: Implications for humanitarian action and principles. </w:t>
      </w:r>
      <w:r>
        <w:fldChar w:fldCharType="begin"/>
      </w:r>
      <w:r>
        <w:instrText xml:space="preserve"> HYPERLINK "https://media.odi.org/documents/Ukraine_narratives_final_report_final_8pcSXet.pdf" </w:instrText>
      </w:r>
      <w:r>
        <w:fldChar w:fldCharType="separate"/>
      </w:r>
      <w:r>
        <w:rPr>
          <w:rStyle w:val="6"/>
          <w:rFonts w:ascii="Times New Roman" w:hAnsi="Times New Roman" w:cs="Times New Roman"/>
          <w:sz w:val="28"/>
          <w:szCs w:val="28"/>
          <w:lang w:val="uk-UA"/>
        </w:rPr>
        <w:t>https://media.odi.org/documents/Ukraine_narratives_final_report_final_8pcSXet.pdf</w:t>
      </w:r>
      <w:r>
        <w:rPr>
          <w:rStyle w:val="6"/>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77DF76F6">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Pew Research Center. (2025). War &amp; International Conflict. </w:t>
      </w:r>
      <w:r>
        <w:fldChar w:fldCharType="begin"/>
      </w:r>
      <w:r>
        <w:instrText xml:space="preserve"> HYPERLINK "https://www.pewresearch.org/topic/politics-policy/political-issues/defense-national-security/war-international-conflict-1/" </w:instrText>
      </w:r>
      <w:r>
        <w:fldChar w:fldCharType="separate"/>
      </w:r>
      <w:r>
        <w:rPr>
          <w:rStyle w:val="6"/>
          <w:rFonts w:ascii="Times New Roman" w:hAnsi="Times New Roman" w:cs="Times New Roman"/>
          <w:sz w:val="28"/>
          <w:szCs w:val="28"/>
          <w:lang w:val="uk-UA"/>
        </w:rPr>
        <w:t>https://www.pewresearch.org/topic/politics-policy/political-issues/defense-national-security/war-international-conflict-1/</w:t>
      </w:r>
      <w:r>
        <w:rPr>
          <w:rStyle w:val="6"/>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4C09E1A6">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Posen, B. R. (2025). Putin’s preventive war: The 2022 invasion of Ukraine. Belfer Center for Science and International Affairs. </w:t>
      </w:r>
      <w:r>
        <w:fldChar w:fldCharType="begin"/>
      </w:r>
      <w:r>
        <w:instrText xml:space="preserve"> HYPERLINK "https://belfercenter.org/sites/default/files/2025-02/003-isec_a_00501-Posen.pdf" </w:instrText>
      </w:r>
      <w:r>
        <w:fldChar w:fldCharType="separate"/>
      </w:r>
      <w:r>
        <w:rPr>
          <w:rStyle w:val="6"/>
          <w:rFonts w:ascii="Times New Roman" w:hAnsi="Times New Roman" w:cs="Times New Roman"/>
          <w:sz w:val="28"/>
          <w:szCs w:val="28"/>
          <w:lang w:val="uk-UA"/>
        </w:rPr>
        <w:t>https://belfercenter.org/sites/default/files/2025-02/003-isec_a_00501-Posen.pdf</w:t>
      </w:r>
      <w:r>
        <w:rPr>
          <w:rStyle w:val="6"/>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3FCA99A7">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Soldatov, A., &amp; Borogan, I. (2022). The New Iron Curtain, Part 4: Russia’s Sovereign Internet Takes Root. CEPA. https://cepa.org/article/the-new-iron-curtain-part-4-russias-sovereign-internet-takes-root/.</w:t>
      </w:r>
    </w:p>
    <w:p w14:paraId="6170F687">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StopFake.org. (2025). Офіційний сайт проєкту StopFake. https://stopfake.org/uk/golovna/.</w:t>
      </w:r>
    </w:p>
    <w:p w14:paraId="15900CC6">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The Bravery Media. (2025). Ukrainian bravery becomes a brand. https://thebravery.media/en/ukrainian-bravery-becomes-a-brand/.</w:t>
      </w:r>
    </w:p>
    <w:p w14:paraId="070A8C0B">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The Guardian. (2025). US senator targeted by deepfake caller posing as Ukrainian diplomat. https://www.theguardian.com/us-news/2024/sep/26/ben-cardin-dmytro-kuleba-deepfake-ukraine.</w:t>
      </w:r>
    </w:p>
    <w:p w14:paraId="4647A234">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Tiurina, D., &amp; Mykhailiuta, O. (2023). The Brand “Ukraine NOW” and Its Role in Shaping Ukraine’s International Image. Comrat State University Conference, 147–149.</w:t>
      </w:r>
    </w:p>
    <w:p w14:paraId="2F6609C2">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Tkachuk, N. (2025). Ukraine as the Frontline of European Cyber Defence. Tallinn Paper No. 15. NATO CCDCOE.</w:t>
      </w:r>
    </w:p>
    <w:p w14:paraId="56EE55BF">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Tsebenko, O., Ivasechko, O., Turchyn, Y., &amp; Chopyk, O. (2024). Modern military alliances: The specifics of their formation and the prospects of their international political impact. Studia Europejskie – Studies in European Affairs, 4, 105–124. </w:t>
      </w:r>
      <w:r>
        <w:fldChar w:fldCharType="begin"/>
      </w:r>
      <w:r>
        <w:instrText xml:space="preserve"> HYPERLINK "https://doi.org/10.33067/SE.4.2024.5" </w:instrText>
      </w:r>
      <w:r>
        <w:fldChar w:fldCharType="separate"/>
      </w:r>
      <w:r>
        <w:rPr>
          <w:rStyle w:val="6"/>
          <w:rFonts w:ascii="Times New Roman" w:hAnsi="Times New Roman" w:cs="Times New Roman"/>
          <w:sz w:val="28"/>
          <w:szCs w:val="28"/>
          <w:lang w:val="uk-UA"/>
        </w:rPr>
        <w:t>https://doi.org/10.33067/SE.4.2024.5</w:t>
      </w:r>
      <w:r>
        <w:rPr>
          <w:rStyle w:val="6"/>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4F77D904">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Tsyrfa, Y., &amp; Bielousova, N. (2025). The role of diplomatic services in shaping international image: Ukrainian diplomacy before and after 24 February 2022. UA Foreign Affairs. https://uaforeignaffairs.com/en/journal-article/192.</w:t>
      </w:r>
    </w:p>
    <w:p w14:paraId="4B09D40E">
      <w:pPr>
        <w:pStyle w:val="15"/>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Wolf, M. (2024). Toeing the Threshold: Russia’s Hybrid Grand Strategy and the Future of NATO’s “Strategic Ambiguity”. CYIS. https://cyis.org/post/toeing-the-threshold-russia-s-hybrid-grand-strategy-and-the-future-of-nato-s-strategic-ambiguity.</w:t>
      </w:r>
    </w:p>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等线 Light">
    <w:altName w:val="Liberation Mono"/>
    <w:panose1 w:val="00000000000000000000"/>
    <w:charset w:val="00"/>
    <w:family w:val="auto"/>
    <w:pitch w:val="default"/>
    <w:sig w:usb0="00000000" w:usb1="00000000" w:usb2="00000000" w:usb3="00000000" w:csb0="00000000" w:csb1="00000000"/>
  </w:font>
  <w:font w:name="Calibri Light">
    <w:panose1 w:val="020F0302020204030204"/>
    <w:charset w:val="CC"/>
    <w:family w:val="swiss"/>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Liberation Mono">
    <w:panose1 w:val="02070409020205020404"/>
    <w:charset w:val="00"/>
    <w:family w:val="auto"/>
    <w:pitch w:val="default"/>
    <w:sig w:usb0="E0000AFF" w:usb1="400078FF" w:usb2="00000001" w:usb3="00000000" w:csb0="600001BF" w:csb1="DFF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895263881"/>
      <w:docPartObj>
        <w:docPartGallery w:val="AutoText"/>
      </w:docPartObj>
    </w:sdtPr>
    <w:sdtEndPr>
      <w:rPr>
        <w:rFonts w:ascii="Times New Roman" w:hAnsi="Times New Roman" w:cs="Times New Roman"/>
        <w:sz w:val="24"/>
        <w:szCs w:val="24"/>
      </w:rPr>
    </w:sdtEndPr>
    <w:sdtContent>
      <w:p w14:paraId="467F49E2">
        <w:pPr>
          <w:pStyle w:val="7"/>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uk-UA"/>
          </w:rPr>
          <w:t>2</w:t>
        </w:r>
        <w:r>
          <w:rPr>
            <w:rFonts w:ascii="Times New Roman" w:hAnsi="Times New Roman" w:cs="Times New Roman"/>
            <w:sz w:val="24"/>
            <w:szCs w:val="24"/>
          </w:rPr>
          <w:fldChar w:fldCharType="end"/>
        </w:r>
      </w:p>
    </w:sdtContent>
  </w:sdt>
  <w:p w14:paraId="60DB7B1E">
    <w:pPr>
      <w:pStyle w:val="7"/>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04033746"/>
      <w:docPartObj>
        <w:docPartGallery w:val="AutoText"/>
      </w:docPartObj>
    </w:sdtPr>
    <w:sdtEndPr>
      <w:rPr>
        <w:rFonts w:ascii="Times New Roman" w:hAnsi="Times New Roman" w:cs="Times New Roman"/>
        <w:sz w:val="24"/>
        <w:szCs w:val="24"/>
      </w:rPr>
    </w:sdtEndPr>
    <w:sdtContent>
      <w:p w14:paraId="79D3E9D3">
        <w:pPr>
          <w:pStyle w:val="7"/>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uk-UA"/>
          </w:rPr>
          <w:t>2</w:t>
        </w:r>
        <w:r>
          <w:rPr>
            <w:rFonts w:ascii="Times New Roman" w:hAnsi="Times New Roman" w:cs="Times New Roman"/>
            <w:sz w:val="24"/>
            <w:szCs w:val="24"/>
          </w:rPr>
          <w:fldChar w:fldCharType="end"/>
        </w:r>
      </w:p>
    </w:sdtContent>
  </w:sdt>
  <w:p w14:paraId="72892F46">
    <w:pPr>
      <w:pStyle w:val="7"/>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48288459"/>
      <w:docPartObj>
        <w:docPartGallery w:val="AutoText"/>
      </w:docPartObj>
    </w:sdtPr>
    <w:sdtEndPr>
      <w:rPr>
        <w:rFonts w:ascii="Times New Roman" w:hAnsi="Times New Roman" w:cs="Times New Roman"/>
        <w:sz w:val="24"/>
        <w:szCs w:val="24"/>
      </w:rPr>
    </w:sdtEndPr>
    <w:sdtContent>
      <w:p w14:paraId="0C0A133E">
        <w:pPr>
          <w:pStyle w:val="7"/>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uk-UA"/>
          </w:rPr>
          <w:t>42</w:t>
        </w:r>
        <w:r>
          <w:rPr>
            <w:rFonts w:ascii="Times New Roman" w:hAnsi="Times New Roman" w:cs="Times New Roman"/>
            <w:sz w:val="24"/>
            <w:szCs w:val="24"/>
          </w:rPr>
          <w:fldChar w:fldCharType="end"/>
        </w:r>
      </w:p>
    </w:sdtContent>
  </w:sdt>
  <w:p w14:paraId="7A1F9A03">
    <w:pPr>
      <w:pStyle w:val="7"/>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64875"/>
    <w:multiLevelType w:val="multilevel"/>
    <w:tmpl w:val="03E64875"/>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0DCC045B"/>
    <w:multiLevelType w:val="multilevel"/>
    <w:tmpl w:val="0DCC045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2A0F2C88"/>
    <w:multiLevelType w:val="multilevel"/>
    <w:tmpl w:val="2A0F2C8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35BA5764"/>
    <w:multiLevelType w:val="multilevel"/>
    <w:tmpl w:val="35BA5764"/>
    <w:lvl w:ilvl="0" w:tentative="0">
      <w:start w:val="1"/>
      <w:numFmt w:val="bullet"/>
      <w:lvlText w:val="˗"/>
      <w:lvlJc w:val="left"/>
      <w:pPr>
        <w:tabs>
          <w:tab w:val="left" w:pos="720"/>
        </w:tabs>
        <w:ind w:left="720" w:hanging="360"/>
      </w:pPr>
      <w:rPr>
        <w:rFonts w:hint="default" w:ascii="Times New Roman" w:hAnsi="Times New Roman" w:cs="Times New Roman"/>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F804DBF"/>
    <w:multiLevelType w:val="multilevel"/>
    <w:tmpl w:val="3F804DBF"/>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4AFB4B12"/>
    <w:multiLevelType w:val="multilevel"/>
    <w:tmpl w:val="4AFB4B1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D6B5A1D"/>
    <w:multiLevelType w:val="multilevel"/>
    <w:tmpl w:val="4D6B5A1D"/>
    <w:lvl w:ilvl="0" w:tentative="0">
      <w:start w:val="1"/>
      <w:numFmt w:val="decimal"/>
      <w:lvlText w:val="%1."/>
      <w:lvlJc w:val="left"/>
      <w:pPr>
        <w:ind w:left="1429"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5725B25"/>
    <w:multiLevelType w:val="multilevel"/>
    <w:tmpl w:val="75725B25"/>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8">
    <w:nsid w:val="7752501C"/>
    <w:multiLevelType w:val="multilevel"/>
    <w:tmpl w:val="7752501C"/>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9">
    <w:nsid w:val="77CE6E72"/>
    <w:multiLevelType w:val="multilevel"/>
    <w:tmpl w:val="77CE6E72"/>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
    <w:nsid w:val="7D742765"/>
    <w:multiLevelType w:val="multilevel"/>
    <w:tmpl w:val="7D74276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8"/>
  </w:num>
  <w:num w:numId="2">
    <w:abstractNumId w:val="7"/>
  </w:num>
  <w:num w:numId="3">
    <w:abstractNumId w:val="10"/>
  </w:num>
  <w:num w:numId="4">
    <w:abstractNumId w:val="9"/>
  </w:num>
  <w:num w:numId="5">
    <w:abstractNumId w:val="4"/>
  </w:num>
  <w:num w:numId="6">
    <w:abstractNumId w:val="5"/>
  </w:num>
  <w:num w:numId="7">
    <w:abstractNumId w:val="3"/>
  </w:num>
  <w:num w:numId="8">
    <w:abstractNumId w:val="2"/>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A42"/>
    <w:rsid w:val="00026C23"/>
    <w:rsid w:val="0003349B"/>
    <w:rsid w:val="00052552"/>
    <w:rsid w:val="00062F07"/>
    <w:rsid w:val="000C126F"/>
    <w:rsid w:val="000D67EC"/>
    <w:rsid w:val="000E18A8"/>
    <w:rsid w:val="000E5251"/>
    <w:rsid w:val="00130AC2"/>
    <w:rsid w:val="00135442"/>
    <w:rsid w:val="001540D7"/>
    <w:rsid w:val="0017055B"/>
    <w:rsid w:val="0018356A"/>
    <w:rsid w:val="00185BEB"/>
    <w:rsid w:val="001A4B36"/>
    <w:rsid w:val="001B26F3"/>
    <w:rsid w:val="001C292C"/>
    <w:rsid w:val="001C298A"/>
    <w:rsid w:val="001D087F"/>
    <w:rsid w:val="001D56CD"/>
    <w:rsid w:val="001E67BA"/>
    <w:rsid w:val="001E7DC5"/>
    <w:rsid w:val="0020101B"/>
    <w:rsid w:val="002317C4"/>
    <w:rsid w:val="002434E4"/>
    <w:rsid w:val="00246A5F"/>
    <w:rsid w:val="00247B4A"/>
    <w:rsid w:val="0026359D"/>
    <w:rsid w:val="00280536"/>
    <w:rsid w:val="00284C4F"/>
    <w:rsid w:val="002A1FAD"/>
    <w:rsid w:val="002C57AC"/>
    <w:rsid w:val="002F05B3"/>
    <w:rsid w:val="002F5561"/>
    <w:rsid w:val="00300E09"/>
    <w:rsid w:val="003560F7"/>
    <w:rsid w:val="0036622C"/>
    <w:rsid w:val="003D10FE"/>
    <w:rsid w:val="003F62B7"/>
    <w:rsid w:val="00401861"/>
    <w:rsid w:val="00463745"/>
    <w:rsid w:val="00464535"/>
    <w:rsid w:val="004B335F"/>
    <w:rsid w:val="004E07EE"/>
    <w:rsid w:val="004E120A"/>
    <w:rsid w:val="004F4AAD"/>
    <w:rsid w:val="00532131"/>
    <w:rsid w:val="00562FA5"/>
    <w:rsid w:val="005C2ABA"/>
    <w:rsid w:val="005E7E9B"/>
    <w:rsid w:val="006049E5"/>
    <w:rsid w:val="00641D06"/>
    <w:rsid w:val="00653BF8"/>
    <w:rsid w:val="006D6B09"/>
    <w:rsid w:val="006F6D28"/>
    <w:rsid w:val="00723082"/>
    <w:rsid w:val="00726E5E"/>
    <w:rsid w:val="00783833"/>
    <w:rsid w:val="007951D6"/>
    <w:rsid w:val="007D3D9B"/>
    <w:rsid w:val="00805273"/>
    <w:rsid w:val="00805EFF"/>
    <w:rsid w:val="008150AA"/>
    <w:rsid w:val="00853416"/>
    <w:rsid w:val="008A565F"/>
    <w:rsid w:val="008B0954"/>
    <w:rsid w:val="008C6660"/>
    <w:rsid w:val="008D5977"/>
    <w:rsid w:val="008E7A8C"/>
    <w:rsid w:val="00904AD4"/>
    <w:rsid w:val="00932A88"/>
    <w:rsid w:val="009332F6"/>
    <w:rsid w:val="00963396"/>
    <w:rsid w:val="00963E6A"/>
    <w:rsid w:val="00991C67"/>
    <w:rsid w:val="0099727E"/>
    <w:rsid w:val="009A538A"/>
    <w:rsid w:val="009B0812"/>
    <w:rsid w:val="009B1072"/>
    <w:rsid w:val="009E16F6"/>
    <w:rsid w:val="009F3D48"/>
    <w:rsid w:val="00A3332A"/>
    <w:rsid w:val="00A86EE3"/>
    <w:rsid w:val="00A87F9F"/>
    <w:rsid w:val="00A97409"/>
    <w:rsid w:val="00AB2D1A"/>
    <w:rsid w:val="00B07377"/>
    <w:rsid w:val="00B42AFF"/>
    <w:rsid w:val="00B42D2E"/>
    <w:rsid w:val="00B635F2"/>
    <w:rsid w:val="00B703A4"/>
    <w:rsid w:val="00B8422A"/>
    <w:rsid w:val="00B85910"/>
    <w:rsid w:val="00B90E12"/>
    <w:rsid w:val="00BD2BD7"/>
    <w:rsid w:val="00BD3F2B"/>
    <w:rsid w:val="00BD7D37"/>
    <w:rsid w:val="00BE0096"/>
    <w:rsid w:val="00C10B6F"/>
    <w:rsid w:val="00C1641F"/>
    <w:rsid w:val="00C26496"/>
    <w:rsid w:val="00C32351"/>
    <w:rsid w:val="00C445CA"/>
    <w:rsid w:val="00C554BF"/>
    <w:rsid w:val="00C60655"/>
    <w:rsid w:val="00C60FDB"/>
    <w:rsid w:val="00C7437A"/>
    <w:rsid w:val="00C81253"/>
    <w:rsid w:val="00C97C87"/>
    <w:rsid w:val="00CC2D45"/>
    <w:rsid w:val="00D4665D"/>
    <w:rsid w:val="00D5326A"/>
    <w:rsid w:val="00D60D85"/>
    <w:rsid w:val="00D7740F"/>
    <w:rsid w:val="00D96766"/>
    <w:rsid w:val="00DA2B28"/>
    <w:rsid w:val="00DB4EFA"/>
    <w:rsid w:val="00DD24B1"/>
    <w:rsid w:val="00E027F3"/>
    <w:rsid w:val="00E06C3E"/>
    <w:rsid w:val="00E45830"/>
    <w:rsid w:val="00E830CA"/>
    <w:rsid w:val="00EE0806"/>
    <w:rsid w:val="00EE319E"/>
    <w:rsid w:val="00F013FA"/>
    <w:rsid w:val="00F67A42"/>
    <w:rsid w:val="00F731D8"/>
    <w:rsid w:val="00FA3424"/>
    <w:rsid w:val="00FD0473"/>
    <w:rsid w:val="4B535A38"/>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Calibri" w:hAnsi="Calibri" w:eastAsia="Calibri" w:cs="Arial"/>
      <w:sz w:val="22"/>
      <w:szCs w:val="22"/>
      <w:lang w:val="ru-RU" w:eastAsia="en-US" w:bidi="ar-SA"/>
    </w:rPr>
  </w:style>
  <w:style w:type="paragraph" w:styleId="2">
    <w:name w:val="heading 1"/>
    <w:basedOn w:val="1"/>
    <w:next w:val="1"/>
    <w:link w:val="11"/>
    <w:qFormat/>
    <w:uiPriority w:val="9"/>
    <w:pPr>
      <w:keepNext/>
      <w:keepLines/>
      <w:spacing w:before="240" w:after="0"/>
      <w:outlineLvl w:val="0"/>
    </w:pPr>
    <w:rPr>
      <w:rFonts w:ascii="Times New Roman" w:hAnsi="Times New Roman" w:eastAsiaTheme="majorEastAsia" w:cstheme="majorBidi"/>
      <w:b/>
      <w:sz w:val="28"/>
      <w:szCs w:val="32"/>
    </w:rPr>
  </w:style>
  <w:style w:type="paragraph" w:styleId="3">
    <w:name w:val="heading 2"/>
    <w:basedOn w:val="1"/>
    <w:next w:val="1"/>
    <w:link w:val="12"/>
    <w:unhideWhenUsed/>
    <w:qFormat/>
    <w:uiPriority w:val="9"/>
    <w:pPr>
      <w:keepNext/>
      <w:keepLines/>
      <w:spacing w:before="40" w:after="0"/>
      <w:outlineLvl w:val="1"/>
    </w:pPr>
    <w:rPr>
      <w:rFonts w:ascii="Times New Roman" w:hAnsi="Times New Roman" w:eastAsiaTheme="majorEastAsia" w:cstheme="majorBidi"/>
      <w:b/>
      <w:color w:val="000000" w:themeColor="text1"/>
      <w:sz w:val="28"/>
      <w:szCs w:val="26"/>
      <w14:textFill>
        <w14:solidFill>
          <w14:schemeClr w14:val="tx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563C1" w:themeColor="hyperlink"/>
      <w:u w:val="single"/>
      <w14:textFill>
        <w14:solidFill>
          <w14:schemeClr w14:val="hlink"/>
        </w14:solidFill>
      </w14:textFill>
    </w:rPr>
  </w:style>
  <w:style w:type="paragraph" w:styleId="7">
    <w:name w:val="header"/>
    <w:basedOn w:val="1"/>
    <w:link w:val="13"/>
    <w:unhideWhenUsed/>
    <w:qFormat/>
    <w:uiPriority w:val="99"/>
    <w:pPr>
      <w:tabs>
        <w:tab w:val="center" w:pos="4819"/>
        <w:tab w:val="right" w:pos="9639"/>
      </w:tabs>
      <w:spacing w:after="0" w:line="240" w:lineRule="auto"/>
    </w:pPr>
  </w:style>
  <w:style w:type="paragraph" w:styleId="8">
    <w:name w:val="toc 1"/>
    <w:basedOn w:val="1"/>
    <w:next w:val="1"/>
    <w:autoRedefine/>
    <w:unhideWhenUsed/>
    <w:qFormat/>
    <w:uiPriority w:val="39"/>
    <w:pPr>
      <w:tabs>
        <w:tab w:val="right" w:leader="dot" w:pos="9344"/>
      </w:tabs>
      <w:spacing w:after="0" w:line="360" w:lineRule="auto"/>
      <w:jc w:val="both"/>
    </w:pPr>
    <w:rPr>
      <w:rFonts w:ascii="Times New Roman" w:hAnsi="Times New Roman" w:cs="Times New Roman"/>
      <w:b/>
      <w:sz w:val="28"/>
      <w:szCs w:val="28"/>
      <w:lang w:val="uk-UA"/>
    </w:rPr>
  </w:style>
  <w:style w:type="paragraph" w:styleId="9">
    <w:name w:val="toc 2"/>
    <w:basedOn w:val="1"/>
    <w:next w:val="1"/>
    <w:autoRedefine/>
    <w:unhideWhenUsed/>
    <w:qFormat/>
    <w:uiPriority w:val="39"/>
    <w:pPr>
      <w:spacing w:after="100"/>
      <w:ind w:left="220"/>
    </w:pPr>
  </w:style>
  <w:style w:type="paragraph" w:styleId="10">
    <w:name w:val="footer"/>
    <w:basedOn w:val="1"/>
    <w:link w:val="14"/>
    <w:unhideWhenUsed/>
    <w:qFormat/>
    <w:uiPriority w:val="99"/>
    <w:pPr>
      <w:tabs>
        <w:tab w:val="center" w:pos="4819"/>
        <w:tab w:val="right" w:pos="9639"/>
      </w:tabs>
      <w:spacing w:after="0" w:line="240" w:lineRule="auto"/>
    </w:pPr>
  </w:style>
  <w:style w:type="character" w:customStyle="1" w:styleId="11">
    <w:name w:val="Заголовок 1 Знак"/>
    <w:basedOn w:val="4"/>
    <w:link w:val="2"/>
    <w:qFormat/>
    <w:uiPriority w:val="9"/>
    <w:rPr>
      <w:rFonts w:ascii="Times New Roman" w:hAnsi="Times New Roman" w:eastAsiaTheme="majorEastAsia" w:cstheme="majorBidi"/>
      <w:b/>
      <w:sz w:val="28"/>
      <w:szCs w:val="32"/>
      <w:lang w:val="ru-RU"/>
    </w:rPr>
  </w:style>
  <w:style w:type="character" w:customStyle="1" w:styleId="12">
    <w:name w:val="Заголовок 2 Знак"/>
    <w:basedOn w:val="4"/>
    <w:link w:val="3"/>
    <w:qFormat/>
    <w:uiPriority w:val="9"/>
    <w:rPr>
      <w:rFonts w:ascii="Times New Roman" w:hAnsi="Times New Roman" w:eastAsiaTheme="majorEastAsia" w:cstheme="majorBidi"/>
      <w:b/>
      <w:color w:val="000000" w:themeColor="text1"/>
      <w:sz w:val="28"/>
      <w:szCs w:val="26"/>
      <w:lang w:val="ru-RU"/>
      <w14:textFill>
        <w14:solidFill>
          <w14:schemeClr w14:val="tx1"/>
        </w14:solidFill>
      </w14:textFill>
    </w:rPr>
  </w:style>
  <w:style w:type="character" w:customStyle="1" w:styleId="13">
    <w:name w:val="Верхній колонтитул Знак"/>
    <w:basedOn w:val="4"/>
    <w:link w:val="7"/>
    <w:qFormat/>
    <w:uiPriority w:val="99"/>
    <w:rPr>
      <w:rFonts w:ascii="Calibri" w:hAnsi="Calibri" w:eastAsia="Calibri" w:cs="Arial"/>
      <w:lang w:val="ru-RU"/>
    </w:rPr>
  </w:style>
  <w:style w:type="character" w:customStyle="1" w:styleId="14">
    <w:name w:val="Нижній колонтитул Знак"/>
    <w:basedOn w:val="4"/>
    <w:link w:val="10"/>
    <w:qFormat/>
    <w:uiPriority w:val="99"/>
    <w:rPr>
      <w:rFonts w:ascii="Calibri" w:hAnsi="Calibri" w:eastAsia="Calibri" w:cs="Arial"/>
      <w:lang w:val="ru-RU"/>
    </w:rPr>
  </w:style>
  <w:style w:type="paragraph" w:styleId="15">
    <w:name w:val="List Paragraph"/>
    <w:basedOn w:val="1"/>
    <w:qFormat/>
    <w:uiPriority w:val="34"/>
    <w:pPr>
      <w:ind w:left="720"/>
      <w:contextualSpacing/>
    </w:pPr>
  </w:style>
  <w:style w:type="paragraph" w:customStyle="1" w:styleId="16">
    <w:name w:val="TOC Heading"/>
    <w:basedOn w:val="2"/>
    <w:next w:val="1"/>
    <w:unhideWhenUsed/>
    <w:qFormat/>
    <w:uiPriority w:val="39"/>
    <w:pPr>
      <w:outlineLvl w:val="9"/>
    </w:pPr>
    <w:rPr>
      <w:rFonts w:asciiTheme="majorHAnsi" w:hAnsiTheme="majorHAnsi"/>
      <w:b w:val="0"/>
      <w:color w:val="2E75B6" w:themeColor="accent1" w:themeShade="BF"/>
      <w:sz w:val="32"/>
      <w:lang w:val="uk-UA"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370B6-7767-407A-B7D7-F8000EEAE084}">
  <ds:schemaRefs/>
</ds:datastoreItem>
</file>

<file path=docProps/app.xml><?xml version="1.0" encoding="utf-8"?>
<Properties xmlns="http://schemas.openxmlformats.org/officeDocument/2006/extended-properties" xmlns:vt="http://schemas.openxmlformats.org/officeDocument/2006/docPropsVTypes">
  <Template>Normal</Template>
  <Pages>88</Pages>
  <Words>104666</Words>
  <Characters>59661</Characters>
  <Lines>497</Lines>
  <Paragraphs>327</Paragraphs>
  <TotalTime>20</TotalTime>
  <ScaleCrop>false</ScaleCrop>
  <LinksUpToDate>false</LinksUpToDate>
  <CharactersWithSpaces>164000</CharactersWithSpaces>
  <Application>WPS Office_12.2.0.23149_F1E327BC-269C-435d-A152-05C5408002CA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2025-10-19T21:09:00Z</dcterms:created>
  <dcterms:modified xsi:type="dcterms:W3CDTF">2025-11-25T19:14:36Z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1049-12.2.0.23149</vt:lpwstr>
  </property>
  <property fmtid="{D5CDD505-2E9C-101B-9397-08002B2CF9AE}" pid="3" name="ICV">
    <vt:lpwstr>E3D84ACCEA714792A54630D548AF4287_13</vt:lpwstr>
  </property>
</Properties>
</file>