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7354" w:rsidRPr="0096760B" w:rsidRDefault="00857354" w:rsidP="00857354">
      <w:pPr>
        <w:spacing w:after="0" w:line="240" w:lineRule="auto"/>
        <w:ind w:right="-6"/>
        <w:jc w:val="center"/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</w:pPr>
      <w:r w:rsidRPr="0096760B"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  <w:t>Одеський НАЦІОНАЛЬНИЙ університет імені і.</w:t>
      </w:r>
      <w:r w:rsidRPr="0096760B">
        <w:rPr>
          <w:rFonts w:ascii="Times New Roman" w:eastAsia="Times New Roman" w:hAnsi="Times New Roman"/>
          <w:bCs/>
          <w:caps/>
          <w:sz w:val="28"/>
          <w:szCs w:val="28"/>
          <w:lang w:eastAsia="ru-RU"/>
        </w:rPr>
        <w:t xml:space="preserve"> </w:t>
      </w:r>
      <w:r w:rsidRPr="0096760B"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  <w:t>і.</w:t>
      </w:r>
      <w:r w:rsidRPr="0096760B">
        <w:rPr>
          <w:rFonts w:ascii="Times New Roman" w:eastAsia="Times New Roman" w:hAnsi="Times New Roman"/>
          <w:bCs/>
          <w:caps/>
          <w:sz w:val="28"/>
          <w:szCs w:val="28"/>
          <w:lang w:eastAsia="ru-RU"/>
        </w:rPr>
        <w:t xml:space="preserve"> </w:t>
      </w:r>
      <w:r w:rsidRPr="0096760B"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  <w:t>мечникова</w:t>
      </w: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</w:pP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</w:pPr>
      <w:r w:rsidRPr="0096760B"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</w:pP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/>
          <w:sz w:val="24"/>
          <w:szCs w:val="28"/>
          <w:lang w:val="uk-UA" w:eastAsia="ru-RU"/>
        </w:rPr>
      </w:pPr>
    </w:p>
    <w:p w:rsidR="00857354" w:rsidRPr="0096760B" w:rsidRDefault="00857354" w:rsidP="002D62DF">
      <w:pPr>
        <w:spacing w:after="0" w:line="240" w:lineRule="auto"/>
        <w:rPr>
          <w:rFonts w:ascii="Times New Roman" w:eastAsia="Times New Roman" w:hAnsi="Times New Roman"/>
          <w:sz w:val="24"/>
          <w:szCs w:val="28"/>
          <w:lang w:eastAsia="ru-RU"/>
        </w:rPr>
      </w:pP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8"/>
          <w:lang w:val="uk-UA" w:eastAsia="ru-RU"/>
        </w:rPr>
      </w:pP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aps/>
          <w:sz w:val="32"/>
          <w:szCs w:val="32"/>
          <w:lang w:val="uk-UA" w:eastAsia="ru-RU"/>
        </w:rPr>
      </w:pPr>
      <w:r w:rsidRPr="0096760B">
        <w:rPr>
          <w:rFonts w:ascii="Times New Roman" w:eastAsia="Times New Roman" w:hAnsi="Times New Roman"/>
          <w:b/>
          <w:bCs/>
          <w:caps/>
          <w:sz w:val="24"/>
          <w:szCs w:val="28"/>
          <w:lang w:val="uk-UA" w:eastAsia="ru-RU"/>
        </w:rPr>
        <w:t xml:space="preserve">  </w:t>
      </w:r>
      <w:r w:rsidRPr="0096760B">
        <w:rPr>
          <w:rFonts w:ascii="Times New Roman" w:eastAsia="Times New Roman" w:hAnsi="Times New Roman"/>
          <w:b/>
          <w:bCs/>
          <w:caps/>
          <w:sz w:val="32"/>
          <w:szCs w:val="32"/>
          <w:lang w:val="uk-UA" w:eastAsia="ru-RU"/>
        </w:rPr>
        <w:t>ДИПЛОМНА  робота</w:t>
      </w: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aps/>
          <w:sz w:val="28"/>
          <w:szCs w:val="28"/>
          <w:lang w:val="uk-UA" w:eastAsia="ru-RU"/>
        </w:rPr>
      </w:pP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</w:pPr>
      <w:r w:rsidRPr="0096760B">
        <w:rPr>
          <w:rFonts w:ascii="Times New Roman" w:eastAsia="Times New Roman" w:hAnsi="Times New Roman"/>
          <w:bCs/>
          <w:caps/>
          <w:sz w:val="28"/>
          <w:szCs w:val="28"/>
          <w:lang w:eastAsia="ru-RU"/>
        </w:rPr>
        <w:t>БАКАЛАВРА</w:t>
      </w: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aps/>
          <w:sz w:val="24"/>
          <w:szCs w:val="28"/>
          <w:lang w:val="uk-UA" w:eastAsia="ru-RU"/>
        </w:rPr>
      </w:pP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aps/>
          <w:sz w:val="16"/>
          <w:szCs w:val="16"/>
          <w:lang w:val="uk-UA" w:eastAsia="ru-RU"/>
        </w:rPr>
      </w:pPr>
    </w:p>
    <w:p w:rsidR="00857354" w:rsidRPr="0096760B" w:rsidRDefault="00857354" w:rsidP="00857354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на тему: </w:t>
      </w:r>
      <w:r w:rsidRPr="0096760B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СТАБІЛЬНІСТЬ ФІНАНСОВИХ СИСТЕМ КРАЇН ЄС В УМОВАХ БОРГОВОЇ КРИЗИ ЗОНИ ЄВРО</w:t>
      </w:r>
    </w:p>
    <w:p w:rsidR="00857354" w:rsidRPr="0096760B" w:rsidRDefault="00857354" w:rsidP="00857354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/>
          <w:sz w:val="16"/>
          <w:szCs w:val="16"/>
          <w:lang w:eastAsia="uk-UA"/>
        </w:rPr>
      </w:pPr>
    </w:p>
    <w:p w:rsidR="00857354" w:rsidRPr="0096760B" w:rsidRDefault="00857354" w:rsidP="00857354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/>
          <w:b/>
          <w:sz w:val="16"/>
          <w:szCs w:val="16"/>
          <w:lang w:val="uk-UA" w:eastAsia="uk-UA"/>
        </w:rPr>
      </w:pPr>
    </w:p>
    <w:p w:rsidR="00857354" w:rsidRPr="0096760B" w:rsidRDefault="00857354" w:rsidP="00857354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proofErr w:type="gramStart"/>
      <w:r w:rsidRPr="0096760B">
        <w:rPr>
          <w:rFonts w:ascii="Times New Roman" w:eastAsia="Times New Roman" w:hAnsi="Times New Roman"/>
          <w:sz w:val="28"/>
          <w:szCs w:val="28"/>
          <w:lang w:val="en-US" w:eastAsia="uk-UA"/>
        </w:rPr>
        <w:t>on</w:t>
      </w:r>
      <w:proofErr w:type="gramEnd"/>
      <w:r w:rsidRPr="0096760B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 the theme: </w:t>
      </w:r>
      <w:r w:rsidRPr="0096760B">
        <w:rPr>
          <w:rFonts w:ascii="Times New Roman" w:eastAsia="Times New Roman" w:hAnsi="Times New Roman"/>
          <w:b/>
          <w:sz w:val="28"/>
          <w:szCs w:val="28"/>
          <w:lang w:val="en-US" w:eastAsia="uk-UA"/>
        </w:rPr>
        <w:t>STABILITY OF THE FINANCIAL SYSTEMS OF THE EU COUNTRIES IN THE CONDITIONS OF THE EURO AREA DEBT CRISIS</w:t>
      </w: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/>
          <w:bCs/>
          <w:caps/>
          <w:sz w:val="28"/>
          <w:szCs w:val="28"/>
          <w:lang w:val="en-US" w:eastAsia="ru-RU"/>
        </w:rPr>
      </w:pP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/>
          <w:bCs/>
          <w:caps/>
          <w:sz w:val="28"/>
          <w:szCs w:val="28"/>
          <w:lang w:val="en-US" w:eastAsia="ru-RU"/>
        </w:rPr>
      </w:pPr>
    </w:p>
    <w:p w:rsidR="00857354" w:rsidRPr="0096760B" w:rsidRDefault="00857354" w:rsidP="00857354">
      <w:pPr>
        <w:suppressAutoHyphens/>
        <w:autoSpaceDE w:val="0"/>
        <w:autoSpaceDN w:val="0"/>
        <w:adjustRightInd w:val="0"/>
        <w:spacing w:after="0" w:line="288" w:lineRule="auto"/>
        <w:ind w:left="1416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/>
        </w:rPr>
        <w:t>Виконала: студентка І</w:t>
      </w:r>
      <w:r w:rsidRPr="0096760B">
        <w:rPr>
          <w:rFonts w:ascii="Times New Roman" w:eastAsia="Times New Roman" w:hAnsi="Times New Roman"/>
          <w:sz w:val="28"/>
          <w:szCs w:val="28"/>
          <w:lang w:val="en-US"/>
        </w:rPr>
        <w:t>V</w:t>
      </w:r>
      <w:r w:rsidRPr="0096760B">
        <w:rPr>
          <w:rFonts w:ascii="Times New Roman" w:eastAsia="Times New Roman" w:hAnsi="Times New Roman"/>
          <w:sz w:val="28"/>
          <w:szCs w:val="28"/>
          <w:lang w:val="uk-UA"/>
        </w:rPr>
        <w:t xml:space="preserve"> курсу денної форми навчання </w:t>
      </w:r>
    </w:p>
    <w:p w:rsidR="00857354" w:rsidRPr="0096760B" w:rsidRDefault="00857354" w:rsidP="00857354">
      <w:pPr>
        <w:suppressAutoHyphens/>
        <w:autoSpaceDE w:val="0"/>
        <w:autoSpaceDN w:val="0"/>
        <w:adjustRightInd w:val="0"/>
        <w:spacing w:after="0" w:line="288" w:lineRule="auto"/>
        <w:ind w:left="1416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/>
        </w:rPr>
        <w:t xml:space="preserve">Напряму підготовки </w:t>
      </w:r>
      <w:r w:rsidRPr="0096760B">
        <w:rPr>
          <w:rFonts w:ascii="Times New Roman" w:eastAsia="Times New Roman" w:hAnsi="Times New Roman"/>
          <w:bCs/>
          <w:sz w:val="28"/>
          <w:szCs w:val="28"/>
          <w:lang w:val="uk-UA" w:eastAsia="uk-UA"/>
        </w:rPr>
        <w:t>6</w:t>
      </w:r>
      <w:r w:rsidRPr="0096760B">
        <w:rPr>
          <w:rFonts w:ascii="Times New Roman" w:eastAsia="Times New Roman" w:hAnsi="Times New Roman"/>
          <w:bCs/>
          <w:sz w:val="28"/>
          <w:szCs w:val="28"/>
          <w:lang w:eastAsia="uk-UA"/>
        </w:rPr>
        <w:t xml:space="preserve">.030203 </w:t>
      </w:r>
      <w:r w:rsidRPr="0096760B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«Міжнародні економічні відносини»</w:t>
      </w:r>
    </w:p>
    <w:p w:rsidR="00857354" w:rsidRPr="0096760B" w:rsidRDefault="00857354" w:rsidP="00857354">
      <w:pPr>
        <w:suppressAutoHyphens/>
        <w:autoSpaceDE w:val="0"/>
        <w:autoSpaceDN w:val="0"/>
        <w:adjustRightInd w:val="0"/>
        <w:spacing w:after="0" w:line="288" w:lineRule="auto"/>
        <w:ind w:left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96760B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          </w:t>
      </w:r>
      <w:r w:rsidRPr="0096760B">
        <w:rPr>
          <w:rFonts w:ascii="Times New Roman" w:eastAsia="Times New Roman" w:hAnsi="Times New Roman"/>
          <w:sz w:val="28"/>
          <w:szCs w:val="28"/>
          <w:lang w:val="uk-UA" w:eastAsia="ru-RU"/>
        </w:rPr>
        <w:t>Щиткова Діана Вікторівна</w:t>
      </w:r>
    </w:p>
    <w:p w:rsidR="00857354" w:rsidRPr="0096760B" w:rsidRDefault="00857354" w:rsidP="00857354">
      <w:pPr>
        <w:suppressAutoHyphens/>
        <w:autoSpaceDE w:val="0"/>
        <w:autoSpaceDN w:val="0"/>
        <w:adjustRightInd w:val="0"/>
        <w:spacing w:after="0" w:line="288" w:lineRule="auto"/>
        <w:ind w:left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/>
        </w:rPr>
        <w:t xml:space="preserve">          Керівник: </w:t>
      </w:r>
      <w:r w:rsidRPr="0096760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д.е.н., проф. Якубовський С. О.  </w:t>
      </w:r>
      <w:r w:rsidRPr="0096760B">
        <w:rPr>
          <w:rFonts w:ascii="Times New Roman" w:eastAsia="Times New Roman" w:hAnsi="Times New Roman"/>
          <w:sz w:val="28"/>
          <w:szCs w:val="28"/>
          <w:lang w:val="uk-UA"/>
        </w:rPr>
        <w:t>_______________</w:t>
      </w:r>
    </w:p>
    <w:p w:rsidR="00857354" w:rsidRPr="0096760B" w:rsidRDefault="00857354" w:rsidP="00857354">
      <w:pPr>
        <w:suppressAutoHyphens/>
        <w:autoSpaceDE w:val="0"/>
        <w:autoSpaceDN w:val="0"/>
        <w:adjustRightInd w:val="0"/>
        <w:spacing w:after="0" w:line="288" w:lineRule="auto"/>
        <w:ind w:left="708"/>
        <w:jc w:val="both"/>
        <w:rPr>
          <w:rFonts w:ascii="Times New Roman" w:eastAsia="Times New Roman" w:hAnsi="Times New Roman"/>
          <w:sz w:val="28"/>
          <w:szCs w:val="28"/>
          <w:u w:val="single"/>
          <w:lang w:val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/>
        </w:rPr>
        <w:t xml:space="preserve">          Рецензент: доц. Робул Ю. В.</w:t>
      </w: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sz w:val="24"/>
          <w:szCs w:val="28"/>
          <w:lang w:val="uk-UA" w:eastAsia="ru-RU"/>
        </w:rPr>
      </w:pPr>
    </w:p>
    <w:p w:rsidR="00857354" w:rsidRPr="0096760B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uk-UA" w:eastAsia="ru-RU"/>
        </w:rPr>
      </w:pPr>
      <w:r w:rsidRPr="0096760B">
        <w:rPr>
          <w:rFonts w:ascii="Times New Roman" w:eastAsia="Times New Roman" w:hAnsi="Times New Roman"/>
          <w:b/>
          <w:bCs/>
          <w:sz w:val="16"/>
          <w:szCs w:val="16"/>
          <w:lang w:val="uk-UA" w:eastAsia="ru-RU"/>
        </w:rPr>
        <w:t xml:space="preserve">                                     </w:t>
      </w:r>
    </w:p>
    <w:p w:rsidR="00857354" w:rsidRPr="0096760B" w:rsidRDefault="00857354" w:rsidP="002D62DF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8"/>
          <w:lang w:val="uk-UA" w:eastAsia="ru-RU"/>
        </w:rPr>
      </w:pP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Рекомендовано до захисту:</w:t>
      </w:r>
      <w:r w:rsidRPr="0096760B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 xml:space="preserve">                          </w:t>
      </w: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Захищено на засіданні ЕК № __</w:t>
      </w: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Протокол засідання кафедри                        протокол № ___від___ ___    2018 р.</w:t>
      </w: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№</w:t>
      </w:r>
      <w:r w:rsidRPr="0096760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__ від</w:t>
      </w:r>
      <w:r w:rsidRPr="0096760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__</w:t>
      </w:r>
      <w:r w:rsidRPr="0096760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_______  2018  р.                       Оцінка _____________________</w:t>
      </w:r>
    </w:p>
    <w:p w:rsidR="00857354" w:rsidRPr="0096760B" w:rsidRDefault="00857354" w:rsidP="00857354">
      <w:pPr>
        <w:tabs>
          <w:tab w:val="left" w:pos="5505"/>
        </w:tabs>
        <w:spacing w:after="0" w:line="240" w:lineRule="auto"/>
        <w:rPr>
          <w:rFonts w:ascii="Times New Roman" w:eastAsia="Times New Roman" w:hAnsi="Times New Roman"/>
          <w:bCs/>
          <w:lang w:val="uk-UA" w:eastAsia="ru-RU"/>
        </w:rPr>
      </w:pPr>
      <w:r w:rsidRPr="0096760B">
        <w:rPr>
          <w:rFonts w:ascii="Times New Roman" w:eastAsia="Times New Roman" w:hAnsi="Times New Roman"/>
          <w:bCs/>
          <w:lang w:eastAsia="ru-RU"/>
        </w:rPr>
        <w:t xml:space="preserve">                                                                                             </w:t>
      </w:r>
      <w:r w:rsidRPr="0096760B">
        <w:rPr>
          <w:rFonts w:ascii="Times New Roman" w:eastAsia="Times New Roman" w:hAnsi="Times New Roman"/>
          <w:bCs/>
          <w:lang w:val="uk-UA" w:eastAsia="ru-RU"/>
        </w:rPr>
        <w:t xml:space="preserve">(за національною шкалою,шкалою </w:t>
      </w:r>
      <w:r w:rsidRPr="0096760B">
        <w:rPr>
          <w:rFonts w:ascii="Times New Roman" w:eastAsia="Times New Roman" w:hAnsi="Times New Roman"/>
          <w:bCs/>
          <w:lang w:val="en-US" w:eastAsia="ru-RU"/>
        </w:rPr>
        <w:t>ECTS</w:t>
      </w:r>
      <w:r w:rsidRPr="0096760B">
        <w:rPr>
          <w:rFonts w:ascii="Times New Roman" w:eastAsia="Times New Roman" w:hAnsi="Times New Roman"/>
          <w:bCs/>
          <w:lang w:val="uk-UA" w:eastAsia="ru-RU"/>
        </w:rPr>
        <w:t>,бали)</w:t>
      </w:r>
    </w:p>
    <w:p w:rsidR="00857354" w:rsidRPr="0096760B" w:rsidRDefault="00857354" w:rsidP="00857354">
      <w:pPr>
        <w:tabs>
          <w:tab w:val="left" w:pos="5505"/>
        </w:tabs>
        <w:spacing w:after="0" w:line="240" w:lineRule="auto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Cs/>
          <w:sz w:val="24"/>
          <w:szCs w:val="28"/>
          <w:lang w:val="uk-UA" w:eastAsia="ru-RU"/>
        </w:rPr>
      </w:pP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ЗАВІДУВАЧ   КАФЕДРИ                                ГОЛОВА  ЕК</w:t>
      </w:r>
      <w:r w:rsidRPr="0096760B">
        <w:rPr>
          <w:rFonts w:ascii="Times New Roman" w:eastAsia="Times New Roman" w:hAnsi="Times New Roman"/>
          <w:bCs/>
          <w:sz w:val="24"/>
          <w:szCs w:val="28"/>
          <w:lang w:val="uk-UA" w:eastAsia="ru-RU"/>
        </w:rPr>
        <w:t xml:space="preserve">                                            </w:t>
      </w: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Cs/>
          <w:sz w:val="24"/>
          <w:szCs w:val="28"/>
          <w:lang w:val="uk-UA" w:eastAsia="ru-RU"/>
        </w:rPr>
      </w:pP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Cs/>
          <w:sz w:val="20"/>
          <w:szCs w:val="20"/>
          <w:lang w:eastAsia="ru-RU"/>
        </w:rPr>
      </w:pP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___________ С.</w:t>
      </w:r>
      <w:r w:rsidRPr="0096760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О. Якубовський</w:t>
      </w:r>
      <w:r w:rsidRPr="0096760B">
        <w:rPr>
          <w:rFonts w:ascii="Times New Roman" w:eastAsia="Times New Roman" w:hAnsi="Times New Roman"/>
          <w:bCs/>
          <w:sz w:val="24"/>
          <w:szCs w:val="28"/>
          <w:lang w:val="uk-UA" w:eastAsia="ru-RU"/>
        </w:rPr>
        <w:t xml:space="preserve">                        </w:t>
      </w: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____________        </w:t>
      </w:r>
      <w:r w:rsidRPr="0096760B">
        <w:rPr>
          <w:rFonts w:ascii="Times New Roman" w:eastAsia="Times New Roman" w:hAnsi="Times New Roman"/>
          <w:bCs/>
          <w:sz w:val="28"/>
          <w:szCs w:val="28"/>
          <w:lang w:eastAsia="ru-RU"/>
        </w:rPr>
        <w:t>В</w:t>
      </w: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.</w:t>
      </w:r>
      <w:r w:rsidRPr="0096760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М</w:t>
      </w: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. </w:t>
      </w:r>
      <w:r w:rsidRPr="0096760B">
        <w:rPr>
          <w:rFonts w:ascii="Times New Roman" w:eastAsia="Times New Roman" w:hAnsi="Times New Roman"/>
          <w:bCs/>
          <w:sz w:val="28"/>
          <w:szCs w:val="28"/>
          <w:lang w:eastAsia="ru-RU"/>
        </w:rPr>
        <w:t>Степанов</w:t>
      </w: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Cs/>
          <w:sz w:val="20"/>
          <w:szCs w:val="20"/>
          <w:lang w:val="uk-UA" w:eastAsia="ru-RU"/>
        </w:rPr>
      </w:pPr>
      <w:r w:rsidRPr="0096760B">
        <w:rPr>
          <w:rFonts w:ascii="Times New Roman" w:eastAsia="Times New Roman" w:hAnsi="Times New Roman"/>
          <w:bCs/>
          <w:sz w:val="24"/>
          <w:szCs w:val="28"/>
          <w:lang w:val="uk-UA" w:eastAsia="ru-RU"/>
        </w:rPr>
        <w:t xml:space="preserve">    (</w:t>
      </w:r>
      <w:r w:rsidRPr="0096760B">
        <w:rPr>
          <w:rFonts w:ascii="Times New Roman" w:eastAsia="Times New Roman" w:hAnsi="Times New Roman"/>
          <w:bCs/>
          <w:sz w:val="20"/>
          <w:szCs w:val="20"/>
          <w:lang w:val="uk-UA" w:eastAsia="ru-RU"/>
        </w:rPr>
        <w:t xml:space="preserve">підпис)                                                                                                </w:t>
      </w:r>
      <w:r w:rsidRPr="0096760B">
        <w:rPr>
          <w:rFonts w:ascii="Times New Roman" w:eastAsia="Times New Roman" w:hAnsi="Times New Roman"/>
          <w:bCs/>
          <w:sz w:val="24"/>
          <w:szCs w:val="28"/>
          <w:lang w:val="uk-UA" w:eastAsia="ru-RU"/>
        </w:rPr>
        <w:t>(</w:t>
      </w:r>
      <w:r w:rsidRPr="0096760B">
        <w:rPr>
          <w:rFonts w:ascii="Times New Roman" w:eastAsia="Times New Roman" w:hAnsi="Times New Roman"/>
          <w:bCs/>
          <w:sz w:val="20"/>
          <w:szCs w:val="20"/>
          <w:lang w:val="uk-UA" w:eastAsia="ru-RU"/>
        </w:rPr>
        <w:t xml:space="preserve">підпис)                      </w:t>
      </w: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Cs/>
          <w:sz w:val="20"/>
          <w:szCs w:val="20"/>
          <w:lang w:val="uk-UA" w:eastAsia="ru-RU"/>
        </w:rPr>
      </w:pPr>
    </w:p>
    <w:p w:rsidR="00857354" w:rsidRPr="0096760B" w:rsidRDefault="00857354" w:rsidP="00857354">
      <w:pPr>
        <w:spacing w:after="0" w:line="240" w:lineRule="auto"/>
        <w:rPr>
          <w:rFonts w:ascii="Times New Roman" w:eastAsia="Times New Roman" w:hAnsi="Times New Roman"/>
          <w:bCs/>
          <w:sz w:val="20"/>
          <w:szCs w:val="20"/>
          <w:lang w:val="uk-UA" w:eastAsia="ru-RU"/>
        </w:rPr>
      </w:pPr>
    </w:p>
    <w:p w:rsidR="00857354" w:rsidRPr="00857354" w:rsidRDefault="00857354" w:rsidP="00857354">
      <w:pPr>
        <w:spacing w:after="0" w:line="240" w:lineRule="auto"/>
        <w:jc w:val="center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96760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Одеса - 201</w:t>
      </w:r>
      <w:r w:rsidRPr="0096760B">
        <w:rPr>
          <w:rFonts w:ascii="Times New Roman" w:eastAsia="Times New Roman" w:hAnsi="Times New Roman"/>
          <w:bCs/>
          <w:sz w:val="28"/>
          <w:szCs w:val="28"/>
          <w:lang w:eastAsia="ru-RU"/>
        </w:rPr>
        <w:t>8</w:t>
      </w:r>
    </w:p>
    <w:p w:rsidR="00857354" w:rsidRPr="0096760B" w:rsidRDefault="00857354" w:rsidP="00857354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lastRenderedPageBreak/>
        <w:t>ЗМІСТ</w:t>
      </w:r>
    </w:p>
    <w:p w:rsidR="00857354" w:rsidRPr="0096760B" w:rsidRDefault="00857354" w:rsidP="00857354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uk-UA"/>
        </w:rPr>
      </w:pPr>
    </w:p>
    <w:p w:rsidR="00857354" w:rsidRPr="0096760B" w:rsidRDefault="00857354" w:rsidP="00857354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ВСТУП……………………………………………………………………………..3</w:t>
      </w:r>
    </w:p>
    <w:p w:rsidR="00857354" w:rsidRPr="0096760B" w:rsidRDefault="00857354" w:rsidP="00857354">
      <w:pPr>
        <w:spacing w:after="0" w:line="360" w:lineRule="auto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857354" w:rsidRPr="0096760B" w:rsidRDefault="00857354" w:rsidP="00857354">
      <w:p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РОЗДІЛ 1</w:t>
      </w:r>
      <w:r w:rsidRPr="00857354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ТЕОРЕТИЧНІ ОСНОВИ ЄВРОПЕЙСЬКОЇ ВАЛЮТНО-ФІНАНСОВОЇ ІНТЕГРАЦІЇ………………………………..………..………...….5</w:t>
      </w:r>
    </w:p>
    <w:p w:rsidR="00857354" w:rsidRPr="0096760B" w:rsidRDefault="00857354" w:rsidP="00857354">
      <w:pPr>
        <w:numPr>
          <w:ilvl w:val="1"/>
          <w:numId w:val="2"/>
        </w:num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Сутність, причини та закономірності валютно-фінансової </w:t>
      </w:r>
    </w:p>
    <w:p w:rsidR="00857354" w:rsidRPr="0096760B" w:rsidRDefault="00857354" w:rsidP="00857354">
      <w:pPr>
        <w:spacing w:after="0" w:line="360" w:lineRule="auto"/>
        <w:ind w:left="1429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інтеграції в Європі….……………..…………………...…………5</w:t>
      </w:r>
    </w:p>
    <w:p w:rsidR="00857354" w:rsidRPr="0096760B" w:rsidRDefault="00857354" w:rsidP="00857354">
      <w:pPr>
        <w:numPr>
          <w:ilvl w:val="1"/>
          <w:numId w:val="2"/>
        </w:num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Теоретичні засади оцінки витрат і переваг валютно-фінансової </w:t>
      </w:r>
    </w:p>
    <w:p w:rsidR="00857354" w:rsidRPr="0096760B" w:rsidRDefault="00857354" w:rsidP="00857354">
      <w:pPr>
        <w:spacing w:after="0" w:line="360" w:lineRule="auto"/>
        <w:ind w:left="1429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інтеграції ………………………………………</w:t>
      </w:r>
      <w:r w:rsidR="00DA66F2">
        <w:rPr>
          <w:rFonts w:ascii="Times New Roman" w:eastAsia="Times New Roman" w:hAnsi="Times New Roman"/>
          <w:sz w:val="28"/>
          <w:szCs w:val="28"/>
          <w:lang w:val="uk-UA" w:eastAsia="uk-UA"/>
        </w:rPr>
        <w:t>………</w:t>
      </w: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……...9</w:t>
      </w:r>
    </w:p>
    <w:p w:rsidR="00857354" w:rsidRPr="0096760B" w:rsidRDefault="00857354" w:rsidP="00857354">
      <w:pPr>
        <w:numPr>
          <w:ilvl w:val="1"/>
          <w:numId w:val="2"/>
        </w:num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Вплив кризових явищ на європейську валютно-фінансову </w:t>
      </w:r>
    </w:p>
    <w:p w:rsidR="00857354" w:rsidRPr="0096760B" w:rsidRDefault="00DA66F2" w:rsidP="00857354">
      <w:pPr>
        <w:spacing w:after="0" w:line="360" w:lineRule="auto"/>
        <w:ind w:left="1429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інтеграцію………………………………………</w:t>
      </w:r>
      <w:r w:rsidR="00857354"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………....14</w:t>
      </w:r>
    </w:p>
    <w:p w:rsidR="00857354" w:rsidRPr="0096760B" w:rsidRDefault="00857354" w:rsidP="00857354">
      <w:pPr>
        <w:spacing w:after="0" w:line="360" w:lineRule="auto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857354" w:rsidRPr="0096760B" w:rsidRDefault="00857354" w:rsidP="00857354">
      <w:pPr>
        <w:spacing w:after="0" w:line="360" w:lineRule="auto"/>
        <w:rPr>
          <w:rFonts w:ascii="Times New Roman" w:eastAsia="Times New Roman" w:hAnsi="Times New Roman"/>
          <w:sz w:val="28"/>
          <w:szCs w:val="28"/>
          <w:lang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РОЗДІЛ 2</w:t>
      </w:r>
      <w:r w:rsidRPr="0096760B">
        <w:rPr>
          <w:rFonts w:ascii="Times New Roman" w:eastAsia="Times New Roman" w:hAnsi="Times New Roman"/>
          <w:sz w:val="28"/>
          <w:szCs w:val="28"/>
          <w:lang w:eastAsia="uk-UA"/>
        </w:rPr>
        <w:t>.</w:t>
      </w: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ТРАНСФОРМАЦІЯ ФІНАНСОВИХ СИСТЕМ КРАЇН ЄС В УМОВАХ БОРГОВОЇ КРИЗИ………………..…………………………</w:t>
      </w:r>
      <w:r w:rsidR="00DA66F2">
        <w:rPr>
          <w:rFonts w:ascii="Times New Roman" w:eastAsia="Times New Roman" w:hAnsi="Times New Roman"/>
          <w:sz w:val="28"/>
          <w:szCs w:val="28"/>
          <w:lang w:eastAsia="uk-UA"/>
        </w:rPr>
        <w:t>..</w:t>
      </w: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...</w:t>
      </w:r>
      <w:r w:rsidRPr="0096760B">
        <w:rPr>
          <w:rFonts w:ascii="Times New Roman" w:eastAsia="Times New Roman" w:hAnsi="Times New Roman"/>
          <w:sz w:val="28"/>
          <w:szCs w:val="28"/>
          <w:lang w:eastAsia="uk-UA"/>
        </w:rPr>
        <w:t>..</w:t>
      </w: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21</w:t>
      </w:r>
    </w:p>
    <w:p w:rsidR="00857354" w:rsidRPr="0096760B" w:rsidRDefault="00857354" w:rsidP="00857354">
      <w:pPr>
        <w:spacing w:after="0" w:line="360" w:lineRule="auto"/>
        <w:ind w:firstLine="709"/>
        <w:rPr>
          <w:rFonts w:ascii="Times New Roman" w:eastAsia="Times New Roman" w:hAnsi="Times New Roman"/>
          <w:sz w:val="28"/>
          <w:szCs w:val="28"/>
          <w:lang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2.1. Порівняльний аналіз фінансових систем країн Європи……..…</w:t>
      </w:r>
      <w:r w:rsidRPr="0096760B">
        <w:rPr>
          <w:rFonts w:ascii="Times New Roman" w:eastAsia="Times New Roman" w:hAnsi="Times New Roman"/>
          <w:sz w:val="28"/>
          <w:szCs w:val="28"/>
          <w:lang w:eastAsia="uk-UA"/>
        </w:rPr>
        <w:t>.</w:t>
      </w: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......21</w:t>
      </w:r>
    </w:p>
    <w:p w:rsidR="00857354" w:rsidRPr="0096760B" w:rsidRDefault="00857354" w:rsidP="00857354">
      <w:pPr>
        <w:spacing w:after="0" w:line="360" w:lineRule="auto"/>
        <w:ind w:firstLine="709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2.2. Розвиток банківських систем країн ЄС в умовах боргової кризи...</w:t>
      </w:r>
      <w:r w:rsidRPr="0096760B">
        <w:rPr>
          <w:rFonts w:ascii="Times New Roman" w:eastAsia="Times New Roman" w:hAnsi="Times New Roman"/>
          <w:sz w:val="28"/>
          <w:szCs w:val="28"/>
          <w:lang w:eastAsia="uk-UA"/>
        </w:rPr>
        <w:t>.</w:t>
      </w: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.30</w:t>
      </w:r>
    </w:p>
    <w:p w:rsidR="00857354" w:rsidRPr="0096760B" w:rsidRDefault="00857354" w:rsidP="00857354">
      <w:pPr>
        <w:spacing w:after="0" w:line="360" w:lineRule="auto"/>
        <w:ind w:firstLine="709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2.3. Порівняльний аналіз динаміки показників фінансового розвитку </w:t>
      </w:r>
    </w:p>
    <w:p w:rsidR="00857354" w:rsidRPr="0096760B" w:rsidRDefault="00857354" w:rsidP="00857354">
      <w:pPr>
        <w:spacing w:after="0" w:line="360" w:lineRule="auto"/>
        <w:ind w:firstLine="709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       країн Європи</w:t>
      </w:r>
      <w:r w:rsidRPr="0096760B">
        <w:rPr>
          <w:rFonts w:ascii="Times New Roman" w:eastAsia="Times New Roman" w:hAnsi="Times New Roman"/>
          <w:sz w:val="28"/>
          <w:szCs w:val="28"/>
          <w:lang w:eastAsia="uk-UA"/>
        </w:rPr>
        <w:t>...</w:t>
      </w:r>
      <w:r w:rsidR="00DA66F2">
        <w:rPr>
          <w:rFonts w:ascii="Times New Roman" w:eastAsia="Times New Roman" w:hAnsi="Times New Roman"/>
          <w:sz w:val="28"/>
          <w:szCs w:val="28"/>
          <w:lang w:val="uk-UA" w:eastAsia="uk-UA"/>
        </w:rPr>
        <w:t>……….………………………………</w:t>
      </w: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….........37</w:t>
      </w:r>
    </w:p>
    <w:p w:rsidR="00857354" w:rsidRPr="0096760B" w:rsidRDefault="00857354" w:rsidP="00857354">
      <w:pPr>
        <w:spacing w:after="0" w:line="360" w:lineRule="auto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857354" w:rsidRPr="0096760B" w:rsidRDefault="00DA66F2" w:rsidP="00857354">
      <w:p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ВИСНОВКИ……………………………………………</w:t>
      </w:r>
      <w:r w:rsidR="00857354"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………….</w:t>
      </w:r>
      <w:r w:rsidR="00857354" w:rsidRPr="0096760B">
        <w:rPr>
          <w:rFonts w:ascii="Times New Roman" w:eastAsia="Times New Roman" w:hAnsi="Times New Roman"/>
          <w:sz w:val="28"/>
          <w:szCs w:val="28"/>
          <w:lang w:eastAsia="uk-UA"/>
        </w:rPr>
        <w:t>.</w:t>
      </w:r>
      <w:r w:rsidR="00857354"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..</w:t>
      </w:r>
      <w:r w:rsidR="00857354" w:rsidRPr="0096760B">
        <w:rPr>
          <w:rFonts w:ascii="Times New Roman" w:eastAsia="Times New Roman" w:hAnsi="Times New Roman"/>
          <w:sz w:val="28"/>
          <w:szCs w:val="28"/>
          <w:lang w:eastAsia="uk-UA"/>
        </w:rPr>
        <w:t>4</w:t>
      </w:r>
      <w:r w:rsidR="00857354"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5</w:t>
      </w:r>
    </w:p>
    <w:p w:rsidR="00857354" w:rsidRPr="0096760B" w:rsidRDefault="00857354" w:rsidP="00857354">
      <w:pPr>
        <w:spacing w:after="0" w:line="360" w:lineRule="auto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857354" w:rsidRPr="0096760B" w:rsidRDefault="00857354" w:rsidP="00857354">
      <w:p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СПИСОК ВИКОРИСТАНИХ ДЖЕРЕЛ…………</w:t>
      </w:r>
      <w:r w:rsidRPr="0096760B">
        <w:rPr>
          <w:rFonts w:ascii="Times New Roman" w:eastAsia="Times New Roman" w:hAnsi="Times New Roman"/>
          <w:sz w:val="28"/>
          <w:szCs w:val="28"/>
          <w:lang w:eastAsia="uk-UA"/>
        </w:rPr>
        <w:t>…</w:t>
      </w: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…………………………...</w:t>
      </w:r>
      <w:r w:rsidRPr="0096760B">
        <w:rPr>
          <w:rFonts w:ascii="Times New Roman" w:eastAsia="Times New Roman" w:hAnsi="Times New Roman"/>
          <w:sz w:val="28"/>
          <w:szCs w:val="28"/>
          <w:lang w:eastAsia="uk-UA"/>
        </w:rPr>
        <w:t>4</w:t>
      </w:r>
      <w:r w:rsidRPr="0096760B">
        <w:rPr>
          <w:rFonts w:ascii="Times New Roman" w:eastAsia="Times New Roman" w:hAnsi="Times New Roman"/>
          <w:sz w:val="28"/>
          <w:szCs w:val="28"/>
          <w:lang w:val="uk-UA" w:eastAsia="uk-UA"/>
        </w:rPr>
        <w:t>8</w:t>
      </w:r>
    </w:p>
    <w:p w:rsidR="00857354" w:rsidRPr="0096760B" w:rsidRDefault="00857354" w:rsidP="00857354">
      <w:pPr>
        <w:pageBreakBefore/>
        <w:suppressAutoHyphens/>
        <w:spacing w:after="0" w:line="360" w:lineRule="auto"/>
        <w:jc w:val="center"/>
        <w:rPr>
          <w:rFonts w:ascii="Times New Roman" w:eastAsia="Times New Roman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b/>
          <w:color w:val="000000"/>
          <w:kern w:val="2"/>
          <w:sz w:val="28"/>
          <w:szCs w:val="24"/>
          <w:lang w:val="uk-UA" w:eastAsia="hi-IN" w:bidi="hi-IN"/>
        </w:rPr>
        <w:lastRenderedPageBreak/>
        <w:t>ВСТУП</w:t>
      </w:r>
    </w:p>
    <w:p w:rsidR="00857354" w:rsidRPr="0096760B" w:rsidRDefault="00857354" w:rsidP="0085735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</w:p>
    <w:p w:rsidR="00857354" w:rsidRPr="0096760B" w:rsidRDefault="00857354" w:rsidP="00857354">
      <w:pPr>
        <w:suppressAutoHyphens/>
        <w:spacing w:after="0" w:line="348" w:lineRule="auto"/>
        <w:ind w:firstLine="709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В умовах глобалізації світового господарства роль і значущість валютно-фінансової інтеграції країн постійно зростає. Серед країн, які на думку вчених, досягли найбільших успіхів на шляху валютно-фінансової інтеграції перше місце займають країни ЄС.</w:t>
      </w:r>
    </w:p>
    <w:p w:rsidR="00857354" w:rsidRPr="0096760B" w:rsidRDefault="00857354" w:rsidP="00857354">
      <w:pPr>
        <w:suppressAutoHyphens/>
        <w:spacing w:after="0" w:line="348" w:lineRule="auto"/>
        <w:ind w:firstLine="709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При цьому валютно-фінансова інтеграція розвивається в єдності з іншими формами європейської єдності, випробовуючи їх вплив і надаючи на них зворотний вплив. Формування європейського Економічного і валютного союзу і запровадження в обіг євро є одними з найбільш значущих подій розвитку світової економіки протягом останніх років.</w:t>
      </w:r>
    </w:p>
    <w:p w:rsidR="00857354" w:rsidRPr="0096760B" w:rsidRDefault="00857354" w:rsidP="00857354">
      <w:pPr>
        <w:suppressAutoHyphens/>
        <w:spacing w:after="0" w:line="348" w:lineRule="auto"/>
        <w:ind w:firstLine="709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Рівень впливу Європейської валютної системи на процес глобалізації визначається, зокрема, ступенем інтернаціоналізації євро, його можливостями виконувати роль світових грошей та резервів, здатністю ЄС протистояти зовнішнім економічним і фінансовим викликам, як з боку США, так і з боку країн Азії та Росії.</w:t>
      </w:r>
    </w:p>
    <w:p w:rsidR="00857354" w:rsidRPr="0096760B" w:rsidRDefault="00857354" w:rsidP="00857354">
      <w:pPr>
        <w:suppressAutoHyphens/>
        <w:spacing w:after="0" w:line="348" w:lineRule="auto"/>
        <w:ind w:firstLine="709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 xml:space="preserve"> В умовах кризи розширюється коло завдань, що вирішуються Європейським центральним банком. Відбувається певна трансформація його стратегії,  ролі і завдань - поряд з регулятором грошово-кредитної сфери він стає прямим учасником валютно-фінансових відносин.</w:t>
      </w:r>
    </w:p>
    <w:p w:rsidR="00857354" w:rsidRPr="0096760B" w:rsidRDefault="00857354" w:rsidP="00857354">
      <w:pPr>
        <w:suppressAutoHyphens/>
        <w:spacing w:after="0" w:line="348" w:lineRule="auto"/>
        <w:ind w:firstLine="709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Під впливом світової фінансової кризи та боргової європейської кризи все більш очевидна потреба у реформуванні ЄВС, в тому числі шляхом поглиблення вимог в бюджетно-фінансовій сфері та зміцнення інституційних структур, здатних забезпечити фінансовий контроль, зокрема у банківській сфері, в єврозоні.</w:t>
      </w:r>
    </w:p>
    <w:p w:rsidR="00857354" w:rsidRPr="0096760B" w:rsidRDefault="00857354" w:rsidP="00857354">
      <w:pPr>
        <w:suppressAutoHyphens/>
        <w:spacing w:after="0" w:line="348" w:lineRule="auto"/>
        <w:ind w:firstLine="709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Слід зазначити, що вивчення європейського досвіду з подолання кризових явищ у фінансовій сфері є корисним і для України, яка постійно знаходиться у зоні фінансової нестійкості.</w:t>
      </w:r>
    </w:p>
    <w:p w:rsidR="00857354" w:rsidRPr="0096760B" w:rsidRDefault="00857354" w:rsidP="00857354">
      <w:pPr>
        <w:suppressAutoHyphens/>
        <w:spacing w:after="0" w:line="348" w:lineRule="auto"/>
        <w:ind w:firstLine="709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Об'єктом дослідження є фінансові системи країн ЄС.</w:t>
      </w:r>
    </w:p>
    <w:p w:rsidR="00857354" w:rsidRPr="0096760B" w:rsidRDefault="00857354" w:rsidP="00857354">
      <w:pPr>
        <w:suppressAutoHyphens/>
        <w:spacing w:after="0" w:line="360" w:lineRule="auto"/>
        <w:ind w:firstLine="709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Предметом дослідження є особливості розвитку фінансових систем окремих країн ЄС в умовах боргової кризи.</w:t>
      </w:r>
    </w:p>
    <w:p w:rsidR="00857354" w:rsidRPr="0096760B" w:rsidRDefault="00857354" w:rsidP="00857354">
      <w:pPr>
        <w:suppressAutoHyphens/>
        <w:spacing w:after="0" w:line="360" w:lineRule="auto"/>
        <w:ind w:firstLine="709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lastRenderedPageBreak/>
        <w:t>Мета дипломної роботи – виявити особливості розвитку фінансових систем країн ЄС в умовах боргової кризи.</w:t>
      </w:r>
    </w:p>
    <w:p w:rsidR="00857354" w:rsidRPr="0096760B" w:rsidRDefault="00857354" w:rsidP="00857354">
      <w:pPr>
        <w:suppressAutoHyphens/>
        <w:spacing w:after="0" w:line="360" w:lineRule="auto"/>
        <w:ind w:firstLine="709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Мета дослідження зумовила постановку і виконання наступних завдань:</w:t>
      </w:r>
    </w:p>
    <w:p w:rsidR="00857354" w:rsidRPr="0096760B" w:rsidRDefault="00857354" w:rsidP="0085735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вивчити сутність, причини та закономірності валютно-фінансової інтеграції в Європі;</w:t>
      </w:r>
    </w:p>
    <w:p w:rsidR="00857354" w:rsidRPr="0096760B" w:rsidRDefault="00857354" w:rsidP="0085735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ознайомитись з теоретичними засадами оцінки витрат і переваг валютно-фінансової інтеграції;</w:t>
      </w:r>
    </w:p>
    <w:p w:rsidR="00857354" w:rsidRPr="0096760B" w:rsidRDefault="00857354" w:rsidP="0085735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виявити вплив кризових явищ на європейську валютно-фінансову інтеграцію;</w:t>
      </w:r>
    </w:p>
    <w:p w:rsidR="00857354" w:rsidRPr="0096760B" w:rsidRDefault="00857354" w:rsidP="0085735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провести порівняльний аналіз фінансових систем країн Європи;</w:t>
      </w:r>
    </w:p>
    <w:p w:rsidR="00857354" w:rsidRPr="0096760B" w:rsidRDefault="00857354" w:rsidP="0085735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дослідити розвиток банківських систем країн Європи в умовах боргової кризи;</w:t>
      </w:r>
    </w:p>
    <w:p w:rsidR="00857354" w:rsidRPr="0096760B" w:rsidRDefault="00857354" w:rsidP="00857354">
      <w:pPr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здійснити порівняльний аналіз динаміки показників фінансового розвитку країн Південної та Континентальної Європи.</w:t>
      </w:r>
    </w:p>
    <w:p w:rsidR="00857354" w:rsidRPr="0096760B" w:rsidRDefault="0085735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 xml:space="preserve">У роботі використана інформація з: монографій, збірників наукових матеріалів, наукових статей зарубіжних і вітчизняних вчених, статистичних збірників, публікацій та статистичних даних провідних міжнародних економічних організацій. </w:t>
      </w:r>
    </w:p>
    <w:p w:rsidR="00857354" w:rsidRPr="0096760B" w:rsidRDefault="0085735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Досягнення поставленої в роботі мети обумовлене використанням сучасних таких методів дослідження, які були освоєні під час навчання в Одеському національному університеті імені І. І. Мечникова.</w:t>
      </w:r>
    </w:p>
    <w:p w:rsidR="00857354" w:rsidRPr="0096760B" w:rsidRDefault="0085735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Дипломна робота складається зі вступу, двох розділів, висновків, списку використаних джерел.</w:t>
      </w:r>
    </w:p>
    <w:p w:rsidR="00857354" w:rsidRDefault="0085735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r w:rsidRPr="0096760B"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  <w:t>Результати дослідження пройшли апробацію на Восьмій міжнародній науково-практичній конференції «Добробут націй в умовах глобальної нестабільності» [1].</w:t>
      </w:r>
    </w:p>
    <w:p w:rsidR="005A34F4" w:rsidRDefault="005A34F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</w:p>
    <w:p w:rsidR="005A34F4" w:rsidRDefault="005A34F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</w:p>
    <w:p w:rsidR="005A34F4" w:rsidRDefault="005A34F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</w:p>
    <w:p w:rsidR="005A34F4" w:rsidRDefault="005A34F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</w:p>
    <w:p w:rsidR="005A34F4" w:rsidRDefault="005A34F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</w:p>
    <w:p w:rsidR="005A34F4" w:rsidRPr="0096760B" w:rsidRDefault="005A34F4" w:rsidP="005A34F4">
      <w:pPr>
        <w:tabs>
          <w:tab w:val="left" w:pos="709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96760B">
        <w:rPr>
          <w:rFonts w:ascii="Times New Roman" w:eastAsia="Times New Roman" w:hAnsi="Times New Roman"/>
          <w:b/>
          <w:sz w:val="28"/>
          <w:szCs w:val="28"/>
          <w:lang w:eastAsia="ru-RU"/>
        </w:rPr>
        <w:t>В</w:t>
      </w:r>
      <w:r w:rsidRPr="0096760B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ИСНОВКИ</w:t>
      </w:r>
    </w:p>
    <w:p w:rsidR="005A34F4" w:rsidRPr="0096760B" w:rsidRDefault="005A34F4" w:rsidP="005A34F4">
      <w:pPr>
        <w:tabs>
          <w:tab w:val="left" w:pos="709"/>
        </w:tabs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>За результатами дослідження було зроблено наступні основні висновки.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>Інтеграційні процеси зачіпають всі сфери економічних відносин, включаючи фінансову сферу. Фінансова система каїни виступає в ролі ресурсу для розвитку країни в фінансовому, а також економічному плані. Взаємозалежність індикаторів фінансового та економічного розвитку обумовлює дослідження як факторів економічного, так і факторів фінансового розвитку країн. Кількісний аналіз динаміки фінансових та економічних показників дає змогу оцінити рівень розвитку того, чи іншого сектору країни, в той час коли якісний аналіз допомагає виявити закономірності, виділити значущість окремих індикаторів, а також оцінити вплив боргової кризи на фінансову системи та економічний розвиток країни.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>Фінансова система – це одна з найважливіших структур ринкової економіки, що відіграє трансформаційну, емісійну та стабілізаційну функції в економіці багатьох країн, зокрема держава Європейського Союзу.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 xml:space="preserve">Проведений аналіз дозволяє зробити наступні висновки: валютна інтеграція є органічною складовою частиною загального процесу європейської економічної інтеграції, що розвивається в умовах глобалізації у сфері фінансів; головним критерієм доцільності чи оптимальності участі країни у валютному союзі є переважання переваг над витратами, що виникають у зв’язку з відмовою від національного суверенітету в області проведення грошово-кредитної і валютної політики. Теоретичною основою створення європейського ЄВС стала теорія оптимальних валютних зон, розроблена Р. Манделл, і що містяться в ній критерії, що дозволяють оцінити доцільність участі країни у валютному союзі; поступальний розвиток валютної інтеграції обумовлено необхідністю дотримання її учасниками об’єктивних закономірностей,а також критеріїв не тільки номінальною, але, що особливо важливо, і реальної конвергенції держав-членів валютних об’єднань. В разі </w:t>
      </w:r>
      <w:r w:rsidRPr="0096760B">
        <w:rPr>
          <w:rFonts w:ascii="Times New Roman" w:hAnsi="Times New Roman"/>
          <w:sz w:val="28"/>
          <w:szCs w:val="28"/>
          <w:lang w:val="uk-UA"/>
        </w:rPr>
        <w:lastRenderedPageBreak/>
        <w:t>порушення цих умов під впливом внутрішніх і зовнішніх шокових впливів виникає загроза розпаду валютного союзу; наслідки світової фінансової кризи і боргової кризи в зоні євро підтверджують деструктивне вплив глобалізації на ЕВС, що посилюється ризик «зараження» національних економічних і фінансових систем з подальшою рецесією в країнах-членах валютного союзу.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 xml:space="preserve">Аналіз статистичних даних за більш ніж двадцятирічний період функціонування ЄВС підтверджує гіпотезу ендогенних теорій, що передбачає прискорене досягнення умов конвергенції після вступу країни у валютний союз, що спонукало ряд європейських країн до передчасного і непідготовленому вступу в ЄС і зону євро. 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>Як свідчать результати дослідження, для забезпечення стійкості валютного союзу має принципову важливість наявність конвергенції і синхронізації господарських циклів країн, що є членами інтеграційного угруповання.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>Починаючи з 2010-2011 рр. показник внутрішніх кредитів приватному сектору в усіх аналізованих країнах Європейського союзу зменшувався. Якщо в Німеччині та Франції зменшувальна тенденція почалась значно раніше, то для Греції, Іспанії та Португалії це є наслідком боргової кризи. Враховуючи той факт, що банківські установи країн Південної Європи постраждали від боргової кризи, про що свідчать показники банківської стабільності, досить зрозумілою є така динаміка цього показника, адже в умовах кризи кількість банківських установ в країні зменшувалась, а це, в свою чергу, підвищувало тиск на установи, які продовжували функціонувати. Тобто, боргова криза має негативний вплив на показник внутрішніх кредитів приватному сектору для країн Південної Європи.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 xml:space="preserve">Порівняльний аналіз розвитку фінансових систем країн ЄС, проведений у роботі, дав змогу зробити висновок, що країни Південної Європи під впливом боргової кризи були змушені вдаватись до заходів по підвищенню рівня відкритості економіки. 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lastRenderedPageBreak/>
        <w:t>Однак, враховуючи той факт, що в період 2010-2013 рр. країни знаходились досить в скрутному становищі, збільшення значення показника відкритості економіки, наприклад в Греції, відбулось за рахунок скорочення ВВП країни.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 xml:space="preserve">Загалом, рівні розвитку фінансових систем окремих країн Європейського Союзу є досить різними і, в першу чергу, відрізняються стійкості фінансової системи. 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>При цьому, приймаючи до уваги результати аналізу стійкості фінансових систем країн Європейського Союзу, які були досліджені у дипломній роботі, слід відзначити той факт, що фінансові системи будь-якого рівня розвитку та організаційної структури є вразливими до європейських та світових кризових процесів.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6760B">
        <w:rPr>
          <w:rFonts w:ascii="Times New Roman" w:hAnsi="Times New Roman"/>
          <w:sz w:val="28"/>
          <w:szCs w:val="28"/>
          <w:lang w:val="uk-UA"/>
        </w:rPr>
        <w:t>Боргова криза виявила об'єктивну необхідність розвитку інших форм інтеграції у межах ЄС, зокрема є доцільним створення податково-бюджетного союзу і поглиблення економічної інтеграції для збереження деяких країн у валютному союзі, незважаючи на значні обсяги їх державного боргу.</w:t>
      </w:r>
    </w:p>
    <w:p w:rsidR="005A34F4" w:rsidRPr="0096760B" w:rsidRDefault="005A34F4" w:rsidP="005A3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Default="005A34F4" w:rsidP="005A34F4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</w:p>
    <w:p w:rsidR="005A34F4" w:rsidRPr="0096760B" w:rsidRDefault="005A34F4" w:rsidP="005A34F4">
      <w:pPr>
        <w:tabs>
          <w:tab w:val="left" w:pos="709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96760B">
        <w:rPr>
          <w:rFonts w:ascii="Times New Roman" w:eastAsia="Times New Roman" w:hAnsi="Times New Roman"/>
          <w:b/>
          <w:sz w:val="28"/>
          <w:szCs w:val="28"/>
          <w:lang w:eastAsia="ru-RU"/>
        </w:rPr>
        <w:lastRenderedPageBreak/>
        <w:t>СПИСОК ВИКОРИСТАНИХ ДЖЕРЕЛ</w:t>
      </w:r>
    </w:p>
    <w:p w:rsidR="005A34F4" w:rsidRPr="0096760B" w:rsidRDefault="005A34F4" w:rsidP="005A34F4">
      <w:pPr>
        <w:tabs>
          <w:tab w:val="left" w:pos="709"/>
        </w:tabs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en-US" w:eastAsia="ru-RU"/>
        </w:rPr>
      </w:pP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Щиткова Д. В. Размеры государственного долга в Южных странах ЕС и в Украине / Д. В. Щиткова. – Збірник наукових праць Восьмої міжнародної науково-практичної конференції «Добробут націй в умовах глобальної нестабільності». – Одеса: Одеський національний університет імені І. І. Мечникова. – 2018. – С 65-66.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Офiцiйний iнтернет сайт ЕС [Електронний ресурс]. – Режим доступу: http://europa.eu/about-eu/basic-information/symbols/index_en.htm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Європейський Союз і "Група Восьми" / За ред. Ларионовой М.В. -М.: Видавничий дім ГУУ-ВШЕ, 2011 - 414 с.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Договір щодо Євразійської економічної комісії від 18 листопада 2011. 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Валова Т.Д. Інтеграційні процеси у світі і на просторі СНД: накопичений досвід, сучасні тенденції та перспективи. М .: ВАВТ, 2011, -310с.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Красавіна Л.М., Пищик В.Я. Регулювання інфляції. Світовий досвід і російська практика М.: Фінанси і статистика, 2009 - 280 с 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Глухарев Л.І. Європа в умовах сучасної епохи. Новий етап розвитку Європейського Союзу. У книзі: Регіональна інтеграція і Європа / За редакцією проф. Л.І. Глухарева. Видавництво Московського університету, 2001, с. 7. "Валова Т.Д. Проблеми формування економічного та валютного союзу. - М:« Златоцвет », 1994,  343с.. 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Pes В. Deficit zero in Costituzione. II Sole 24 Ore. n. 246, 09 settembre 2011, p. 137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Міжнародні валютно-кредитні та фінансові відносини. / Под ред. Л.Н. Красавиной. - М .: «Фінанси і статистика», 2005, с. 365.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Mundell R. A. A Theory of Optimum Currency Area. The American Economic Review, Vol. 51, Issue 4, September 1961, - p. 979.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Cesarano F. The origins of the theory of optimum currency areas. History of Political Economy 38 (4), 2006, - p. 920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Mundell R. A. A Theory of Optimum Currency Area. The American Economic Review, Vol. 51, Issue 4, September 1961,- p. 698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lastRenderedPageBreak/>
        <w:t>Ingram J.К. "Uncommon Arguments for Common Currencies", in H. Johnson and A.Swoboda, ed., The Economics of Common Currencies, 1973 p. 979.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McKinnon,R. Optimum Currency Areas. American Economic Review, Vol. 52, 1963, - p. 775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Kenen P. The Optimum Currency Area: An Eclectic View, In Mundell and Swoboda, (eds.), Monetary Problems of the International Economy, Chicago: University of Chicago Press, 1969, , - p. 780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Fleming, J.M. On Exchange Rate Unification, The Economic Journal, Vol. 81, 1971, - p. 888.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Mintz N.N. Monetary Union and Economic Integration, The Bulletin, New York University., 1970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De Grauwe P. Economia dell'unione monetaria, II Mulino, 2011, p. 157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Frankel J., and Rose A. The Endogeneity of the Optimum Currency Area Criteria. Economic Journal, No 108, 1998.- p. 1225.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Glick R., Rose A. Does A Currency Union Affect Trade? The Time Series Evidence. NBER Working Paper. № 8396,2001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Accetturo A., Giunta A., Rossi S., Le imprese italiani tra crisi e nuova globalizzazione, Questioni di Economia e Finanza (Occasional papers), Banca d'ltalia, n. 86, Gennaio 2011, pp. 5-7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Adjustment to asymmetric shocks, Directorate-General for Research Working Paper, Economic Affairs Series, ECON 104, 1994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Ahearne A., Wolff G.B. The debt challenge in Europe. Bruegel Working Paper, February 2012 - 38 p.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Cattaneo O., Gereffi G., Staritz C.Global Value Chains in a Postcrisis World: A Development Perspective, World Bank, Washington D.C., 2010 - 38 p.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Angeloni I., Sapir A. The international monetary system is changing: what risks and opportunities for the euro, Bruegel, November 2011 -20 p.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Baldwin R., Robert-Nicoud F. Offshoring: General Equilibrium Effects on Wages, Production and Trade, NBER Working Paper 12991, 2007.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Christos Hadjiemmanuil. Greek System of Financial Regulation:In Need of Structural Streamlining and Procedural Safeguards. [Електронний ресурс] / Christos Hadjiemmanuil. – P. 1-4 – Режим доступу: </w:t>
      </w: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lastRenderedPageBreak/>
        <w:t>http://www.lse.ac.uk/europeanInstitute/research/hellenicObservatory/pdf/Seminars/Hadjiemmanouil.pdf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Rodionova T.A., Polishchuk K.V. «Financial system of Greece as a determinant of economic well-being of the country» // Економічний форум - 2017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Raquel Marbán-Flores. The Spanish Financial Sector: Where We Came From, Where We Are Going [Електронний ресурс] / Raquel Marbán-Flores // Intereconomics 2012, №4 – Режим доступу: https://link.springer.com/content/pdf/10.1007/s10272-012-0421-z.pdf стр.198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Стукало Н.В. Глобальні фінанси: Навч. посіб. [Електронний ресурс] / Стукало Н.В., Литвин М.В., Деркач М.І. – Дніпропетровськ, 2014. – 1092 с. – Укр. мовою. (Електроний навчальний посібник) – Режим доступу: http://repository.dnu.dp.ua:1100/upload/58d557ee2f7de792ce464e141d34be38STUKALO-N.V.,-LITVIN-M.V.,-DERKACH-M.I.-GLOBAL%27NI-FINANSI-CH.1.pdf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Portugal - 6-Financial Sector [Електронний ресурс] / Portugal Country Commercial Guide / Export.gov – Режим доступу: https://www.export.gov/article?id=Portugal-Financial-Sector 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Sérgio Lagoa. Report on the financial system in Portugal [Електронний ресурс] / Sérgio Lagoa, Emanuel Leão, Ricardo Paes Mamede, Ricardo Barradas / Studies in Financial Systems, 2012, № 9 // Financialisation, Economy, Society аnd Sustainable Development – 376 р. – с. 109-113. Режим доступу: http://fessud.eu/wp-content/uploads/2012/08/Portugal-Studies1.pdf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А. Волков. Преодоление кризисных явлений в некоторых странах ЕС [Електронний ресурс] / А. Волков, А. Гутник, Ю. Квашнин, В. Оленченко, А. Щедрин // Мировая экономика и Международные отношения – 2015. – №3 – С. 43-46. – Режим доступу: </w:t>
      </w:r>
    </w:p>
    <w:p w:rsidR="005A34F4" w:rsidRPr="0096760B" w:rsidRDefault="005A34F4" w:rsidP="005A34F4">
      <w:pPr>
        <w:spacing w:after="0" w:line="340" w:lineRule="auto"/>
        <w:ind w:left="360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http://www.imemo.ru/files/File/magazines/meimo/03_2015/35-47Gutnik.pdf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Data Bank. World Development Indicators [Електронний ресурс] / The World Bank – Режим доступу: </w:t>
      </w:r>
    </w:p>
    <w:p w:rsidR="005A34F4" w:rsidRPr="0096760B" w:rsidRDefault="005A34F4" w:rsidP="005A34F4">
      <w:p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http://databank.worldbank.org/data/reports.aspx?source=world-development-indicators#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lastRenderedPageBreak/>
        <w:t xml:space="preserve"> The World Factbook [Електронний ресурс] / Central Intelligence Agency – Режим доступу: https://www.cia.gov/library/publications/the-world-factbook/index.html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Рынок ценных бумаг Франции [Електронний ресурс] / Рынок ценных бумаг (2009) – Режим доступу: http://biglibrary.ru/category45/book134/part76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Филиалы иностранных банков в государствах-членах Евросоюза [Електронний ресурс] / Stocks &amp; International Currency Exchanges – Режим доступу: http://www.sice.ru/cnts/2036.html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Банківська система Грецької республіки [Електронний ресурс] – Режим доступу: http://banking.uabs.sumdu.edu.ua/images/department/banking/speckurs/vebinar12/Greece.pps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Роль государства в банковском секторе [Електронний ресурс] / Банковское дело – Режим доступу: http://www.banki-delo.ru/2010/03/роль-государства-в-банковском-секторе/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Родіонова Т.А., Поліщук К.В. Стабільності банківських систем країн Південної Європи та їх вплив на економічний добробут населення // Вісник Одеського національного університету. Економіка. Том 22, Випуск 7(60) – 2017 р.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В Испании создадут один из крупнейших банков Европы [Електронний ресурс] / Lenta.ru – Режим доступу: https://lenta.ru/news/2011/01/28/caixa/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Spain – Banking Systems [Електронний ресурс] / Spain Country Commercial Guide / Export.gov – Режим доступу: https://www.export.gov/article?id=Spain-banking-systems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Банковский сектор в Португалии [Електронний ресурс] / Банковское дело – Режим доступу: www.banki-delo.ru/2010/03/банковский-сектор-в-португалии/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Финансовый сектор, вызывающий доверие [Електронний ресурс] / Living in Portugal – Режим доступу: http://www.livinginportugal.com/ru/moving-to-portugal/financial-sector/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Portuguese banking sector overwiew [Електронний ресурс] / Banco de Portugal, 2015 – pages 4-13 – Режим доступу: </w:t>
      </w:r>
    </w:p>
    <w:p w:rsidR="005A34F4" w:rsidRPr="0096760B" w:rsidRDefault="005A34F4" w:rsidP="005A34F4">
      <w:pPr>
        <w:spacing w:after="0" w:line="340" w:lineRule="auto"/>
        <w:ind w:left="357"/>
        <w:jc w:val="both"/>
        <w:rPr>
          <w:rFonts w:ascii="Times New Roman" w:hAnsi="Times New Roman"/>
          <w:spacing w:val="-8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8"/>
          <w:sz w:val="28"/>
          <w:szCs w:val="28"/>
          <w:lang w:val="uk-UA"/>
        </w:rPr>
        <w:lastRenderedPageBreak/>
        <w:t>http://www.apb.pt/content/files/2015.01_Portuguese_Banking_Sector_Overview.pdf.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Portugal – Banking Systems [Електронний ресурс] / Postugal Country Commercial Guide / Export.gov – Режим доступу: https://www.export.gov/article?id=Portugal-Banking-Systems 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Экономика Франции [Електронний ресурс] / Grandars.ru – Режим доступу: http://www.grandars.ru/student/mirovaya-ekonomika/franciya.html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World Economic Outlook Database [Електронний ресурс] / International Monetary Fund – Режим доступу:</w:t>
      </w:r>
    </w:p>
    <w:p w:rsidR="005A34F4" w:rsidRPr="0096760B" w:rsidRDefault="005A34F4" w:rsidP="005A34F4">
      <w:p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http://www.imf.org/external/pubs/ft/weo/2016/02/weodata/weorept.aspx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Monetary and Financial Statistics [Електронний ресурс] / OECD – Режим доступу:  http://stats.oecd.org/index.aspx?queryid=86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IMF Surveys Based on Standardized Report Forms (SRFs) [Електронний ресурс] / Internationsl Monetary Fund – Режим доступу: http://data.imf.org/regular.aspx?key=60998116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Внутренний кредит частному сектору (% от ВВП) [Електронний ресурс] / Показатели мирового развития / TrendEconomy – Режим доступу: http://data.trendeconomy.ru/dataviewer/wb/wbd/wdi?kf=WDI&amp;time_period=2005,2006,2007,2008,2009,2010,2011,2012,2013,2014,2015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Проблемы участия банков в инвестиционном процессе [Електронний ресурс] / Регламент – Режим доступу:</w:t>
      </w:r>
    </w:p>
    <w:p w:rsidR="005A34F4" w:rsidRPr="0096760B" w:rsidRDefault="005A34F4" w:rsidP="005A34F4">
      <w:p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>http://www.reglament.net/bank/banking/article.htm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Жилина И. Ю. Проблемы инвестиций во Франции / И. Ю. Жилина. // Социальные и гуманитарные науки. Отечественная и зарубежная литература. Сер. 2: Экономика. – 2016. – №1. – С. 50-54.</w:t>
      </w:r>
    </w:p>
    <w:p w:rsidR="005A34F4" w:rsidRPr="0096760B" w:rsidRDefault="005A34F4" w:rsidP="005A34F4">
      <w:pPr>
        <w:numPr>
          <w:ilvl w:val="0"/>
          <w:numId w:val="3"/>
        </w:numPr>
        <w:spacing w:after="0" w:line="340" w:lineRule="auto"/>
        <w:ind w:left="357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96760B">
        <w:rPr>
          <w:rFonts w:ascii="Times New Roman" w:hAnsi="Times New Roman"/>
          <w:spacing w:val="-2"/>
          <w:sz w:val="28"/>
          <w:szCs w:val="28"/>
          <w:lang w:val="uk-UA"/>
        </w:rPr>
        <w:t xml:space="preserve"> Bundesanstalt für Finanzdienstleistungsaufsicht [Електронний ресурс] / BaFin – Режим доступу: https://www.bafin.de/DE/Startseite/startseite_node.html</w:t>
      </w:r>
    </w:p>
    <w:p w:rsidR="005A34F4" w:rsidRDefault="005A34F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  <w:bookmarkStart w:id="0" w:name="_GoBack"/>
      <w:bookmarkEnd w:id="0"/>
    </w:p>
    <w:p w:rsidR="005A34F4" w:rsidRPr="0096760B" w:rsidRDefault="005A34F4" w:rsidP="00857354">
      <w:pPr>
        <w:suppressAutoHyphens/>
        <w:spacing w:after="0" w:line="360" w:lineRule="auto"/>
        <w:ind w:firstLine="708"/>
        <w:jc w:val="both"/>
        <w:rPr>
          <w:rFonts w:ascii="Times New Roman" w:eastAsia="Liberation Serif" w:hAnsi="Times New Roman" w:cs="Liberation Serif"/>
          <w:color w:val="000000"/>
          <w:kern w:val="2"/>
          <w:sz w:val="28"/>
          <w:szCs w:val="24"/>
          <w:lang w:val="uk-UA" w:eastAsia="hi-IN" w:bidi="hi-IN"/>
        </w:rPr>
      </w:pPr>
    </w:p>
    <w:p w:rsidR="00524FD1" w:rsidRPr="00857354" w:rsidRDefault="00524FD1">
      <w:pPr>
        <w:rPr>
          <w:lang w:val="uk-UA"/>
        </w:rPr>
      </w:pPr>
    </w:p>
    <w:sectPr w:rsidR="00524FD1" w:rsidRPr="008573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charset w:val="CC"/>
    <w:family w:val="roman"/>
    <w:pitch w:val="variable"/>
    <w:sig w:usb0="E0000AFF" w:usb1="500078FF" w:usb2="00000021" w:usb3="00000000" w:csb0="000001B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30459F5"/>
    <w:multiLevelType w:val="hybridMultilevel"/>
    <w:tmpl w:val="94F0464E"/>
    <w:lvl w:ilvl="0" w:tplc="9DECF9E4">
      <w:numFmt w:val="bullet"/>
      <w:lvlText w:val="-"/>
      <w:lvlJc w:val="left"/>
      <w:pPr>
        <w:ind w:left="360" w:hanging="360"/>
      </w:pPr>
      <w:rPr>
        <w:rFonts w:ascii="Times New Roman" w:eastAsia="Liberation Serif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">
    <w:nsid w:val="65BC1798"/>
    <w:multiLevelType w:val="hybridMultilevel"/>
    <w:tmpl w:val="A888066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6546D25"/>
    <w:multiLevelType w:val="multilevel"/>
    <w:tmpl w:val="9D4CF05A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1429" w:hanging="720"/>
      </w:p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A17"/>
    <w:rsid w:val="002D62DF"/>
    <w:rsid w:val="00524FD1"/>
    <w:rsid w:val="005A34F4"/>
    <w:rsid w:val="007F5A17"/>
    <w:rsid w:val="00857354"/>
    <w:rsid w:val="00DA6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8B7DA5-51C5-456E-A346-0069CD1C6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735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2858</Words>
  <Characters>16297</Characters>
  <Application>Microsoft Office Word</Application>
  <DocSecurity>0</DocSecurity>
  <Lines>135</Lines>
  <Paragraphs>38</Paragraphs>
  <ScaleCrop>false</ScaleCrop>
  <Company/>
  <LinksUpToDate>false</LinksUpToDate>
  <CharactersWithSpaces>19117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2019-02-18T12:06:00Z</dcterms:created>
  <dcterms:modified xsi:type="dcterms:W3CDTF">2019-02-18T12:09:00Z</dcterms:modified>
</cp:coreProperties>
</file>