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42C2" w:rsidRPr="000442C2" w:rsidRDefault="000442C2" w:rsidP="000442C2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І.І. Мечникова</w:t>
      </w:r>
    </w:p>
    <w:p w:rsidR="000442C2" w:rsidRPr="000442C2" w:rsidRDefault="000442C2" w:rsidP="000442C2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Економіко-правовий факультет</w:t>
      </w:r>
    </w:p>
    <w:p w:rsidR="000442C2" w:rsidRPr="000442C2" w:rsidRDefault="000442C2" w:rsidP="000442C2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Кафедра цивільно-правових дисциплін</w:t>
      </w:r>
    </w:p>
    <w:p w:rsidR="000442C2" w:rsidRPr="000442C2" w:rsidRDefault="000442C2" w:rsidP="000442C2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0442C2" w:rsidRPr="000442C2" w:rsidRDefault="000442C2" w:rsidP="000442C2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0442C2" w:rsidRPr="000442C2" w:rsidRDefault="000442C2" w:rsidP="000442C2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0442C2" w:rsidRPr="000442C2" w:rsidRDefault="000442C2" w:rsidP="000442C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0442C2">
        <w:rPr>
          <w:rFonts w:ascii="Times New Roman" w:eastAsia="Calibri" w:hAnsi="Times New Roman" w:cs="Times New Roman"/>
          <w:b/>
          <w:sz w:val="32"/>
          <w:szCs w:val="32"/>
        </w:rPr>
        <w:t>Д и п л о м н а  р о б о т а</w:t>
      </w:r>
    </w:p>
    <w:p w:rsidR="000442C2" w:rsidRPr="000442C2" w:rsidRDefault="000442C2" w:rsidP="000442C2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0442C2">
        <w:rPr>
          <w:rFonts w:ascii="Times New Roman" w:eastAsia="Calibri" w:hAnsi="Times New Roman" w:cs="Times New Roman"/>
          <w:b/>
          <w:sz w:val="28"/>
          <w:szCs w:val="28"/>
        </w:rPr>
        <w:t>“</w:t>
      </w:r>
      <w:r w:rsidRPr="000442C2">
        <w:rPr>
          <w:rFonts w:ascii="Calibri" w:eastAsia="Calibri" w:hAnsi="Calibri" w:cs="Times New Roman"/>
        </w:rPr>
        <w:t xml:space="preserve"> </w:t>
      </w:r>
      <w:r w:rsidRPr="000442C2">
        <w:rPr>
          <w:rFonts w:ascii="Times New Roman" w:eastAsia="Calibri" w:hAnsi="Times New Roman" w:cs="Times New Roman"/>
          <w:b/>
          <w:sz w:val="28"/>
          <w:szCs w:val="28"/>
        </w:rPr>
        <w:t>Інститут аліментних зобов’язань у сімейному праві України, Російської Федерації, Франції та Німеччини ”</w:t>
      </w:r>
    </w:p>
    <w:p w:rsidR="000442C2" w:rsidRPr="000442C2" w:rsidRDefault="000442C2" w:rsidP="000442C2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“</w:t>
      </w:r>
      <w:r w:rsidRPr="000442C2">
        <w:rPr>
          <w:rFonts w:ascii="Calibri" w:eastAsia="Calibri" w:hAnsi="Calibri" w:cs="Times New Roman"/>
        </w:rPr>
        <w:t xml:space="preserve"> </w:t>
      </w:r>
      <w:r w:rsidRPr="000442C2">
        <w:rPr>
          <w:rFonts w:ascii="Times New Roman" w:eastAsia="Calibri" w:hAnsi="Times New Roman" w:cs="Times New Roman"/>
          <w:sz w:val="28"/>
          <w:szCs w:val="28"/>
        </w:rPr>
        <w:t>The Institute of Maintenance Obligations in Family law of Ukraine, the Russian Federation, France and Germany ”</w:t>
      </w:r>
    </w:p>
    <w:p w:rsidR="000442C2" w:rsidRPr="000442C2" w:rsidRDefault="000442C2" w:rsidP="000442C2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442C2" w:rsidRPr="000442C2" w:rsidRDefault="000442C2" w:rsidP="000442C2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на здобуття ступеня вищої освіти «магістр»</w:t>
      </w:r>
    </w:p>
    <w:p w:rsidR="000442C2" w:rsidRPr="000442C2" w:rsidRDefault="000442C2" w:rsidP="000442C2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442C2" w:rsidRPr="000442C2" w:rsidRDefault="000442C2" w:rsidP="000442C2">
      <w:pPr>
        <w:spacing w:after="0" w:line="240" w:lineRule="auto"/>
        <w:ind w:left="3686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Виконала: студентка денної форми навчання</w:t>
      </w:r>
    </w:p>
    <w:p w:rsidR="000442C2" w:rsidRPr="000442C2" w:rsidRDefault="000442C2" w:rsidP="000442C2">
      <w:pPr>
        <w:spacing w:after="0" w:line="240" w:lineRule="auto"/>
        <w:ind w:left="3686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спеціальності 081 Право</w:t>
      </w:r>
    </w:p>
    <w:p w:rsidR="000442C2" w:rsidRPr="000442C2" w:rsidRDefault="000442C2" w:rsidP="000442C2">
      <w:pPr>
        <w:spacing w:after="0" w:line="240" w:lineRule="auto"/>
        <w:ind w:left="3686"/>
        <w:rPr>
          <w:rFonts w:ascii="Times New Roman" w:eastAsia="Calibri" w:hAnsi="Times New Roman" w:cs="Times New Roman"/>
          <w:b/>
          <w:sz w:val="28"/>
          <w:szCs w:val="28"/>
        </w:rPr>
      </w:pPr>
      <w:r w:rsidRPr="000442C2">
        <w:rPr>
          <w:rFonts w:ascii="Times New Roman" w:eastAsia="Calibri" w:hAnsi="Times New Roman" w:cs="Times New Roman"/>
          <w:b/>
          <w:sz w:val="28"/>
          <w:szCs w:val="28"/>
        </w:rPr>
        <w:t>Гоголь Єлизавета Сергіївна</w:t>
      </w:r>
    </w:p>
    <w:p w:rsidR="000442C2" w:rsidRPr="000442C2" w:rsidRDefault="000442C2" w:rsidP="000442C2">
      <w:pPr>
        <w:spacing w:after="0" w:line="240" w:lineRule="auto"/>
        <w:ind w:left="3686"/>
        <w:rPr>
          <w:rFonts w:ascii="Times New Roman" w:eastAsia="Calibri" w:hAnsi="Times New Roman" w:cs="Times New Roman"/>
          <w:sz w:val="28"/>
          <w:szCs w:val="28"/>
        </w:rPr>
      </w:pPr>
    </w:p>
    <w:p w:rsidR="000442C2" w:rsidRPr="000442C2" w:rsidRDefault="000442C2" w:rsidP="000442C2">
      <w:pPr>
        <w:spacing w:after="0" w:line="240" w:lineRule="auto"/>
        <w:ind w:left="3686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 xml:space="preserve">Науковий керівник: </w:t>
      </w:r>
    </w:p>
    <w:p w:rsidR="000442C2" w:rsidRPr="000442C2" w:rsidRDefault="000442C2" w:rsidP="000442C2">
      <w:pPr>
        <w:spacing w:after="0" w:line="240" w:lineRule="auto"/>
        <w:ind w:left="3686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к.ю.н., доц.  Валах В.В. ______</w:t>
      </w:r>
    </w:p>
    <w:p w:rsidR="000442C2" w:rsidRPr="000442C2" w:rsidRDefault="000442C2" w:rsidP="000442C2">
      <w:pPr>
        <w:spacing w:after="0" w:line="240" w:lineRule="auto"/>
        <w:ind w:left="3686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 xml:space="preserve">Рецензент: </w:t>
      </w:r>
    </w:p>
    <w:p w:rsidR="000442C2" w:rsidRPr="000442C2" w:rsidRDefault="000442C2" w:rsidP="000442C2">
      <w:pPr>
        <w:spacing w:after="0" w:line="240" w:lineRule="auto"/>
        <w:ind w:left="3686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к.ю.н., проф. Труба В.І.</w:t>
      </w:r>
    </w:p>
    <w:p w:rsidR="000442C2" w:rsidRPr="000442C2" w:rsidRDefault="000442C2" w:rsidP="000442C2">
      <w:pPr>
        <w:spacing w:after="0" w:line="240" w:lineRule="auto"/>
        <w:ind w:left="3686"/>
        <w:rPr>
          <w:rFonts w:ascii="Times New Roman" w:eastAsia="Calibri" w:hAnsi="Times New Roman" w:cs="Times New Roman"/>
          <w:sz w:val="28"/>
          <w:szCs w:val="28"/>
        </w:rPr>
      </w:pPr>
    </w:p>
    <w:p w:rsidR="000442C2" w:rsidRPr="000442C2" w:rsidRDefault="000442C2" w:rsidP="000442C2">
      <w:pPr>
        <w:spacing w:after="0" w:line="240" w:lineRule="auto"/>
        <w:ind w:left="3686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0442C2" w:rsidRPr="000442C2" w:rsidTr="000442C2">
        <w:trPr>
          <w:jc w:val="center"/>
        </w:trPr>
        <w:tc>
          <w:tcPr>
            <w:tcW w:w="4967" w:type="dxa"/>
          </w:tcPr>
          <w:p w:rsidR="000442C2" w:rsidRPr="000442C2" w:rsidRDefault="000442C2" w:rsidP="000442C2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442C2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0442C2" w:rsidRPr="000442C2" w:rsidRDefault="000442C2" w:rsidP="000442C2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442C2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0442C2" w:rsidRPr="000442C2" w:rsidRDefault="000442C2" w:rsidP="000442C2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442C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 5 від 23.11.2018 р. </w:t>
            </w:r>
          </w:p>
          <w:p w:rsidR="000442C2" w:rsidRPr="000442C2" w:rsidRDefault="000442C2" w:rsidP="000442C2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0442C2" w:rsidRPr="000442C2" w:rsidRDefault="000442C2" w:rsidP="000442C2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442C2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0442C2" w:rsidRPr="000442C2" w:rsidRDefault="000442C2" w:rsidP="000442C2">
            <w:pPr>
              <w:tabs>
                <w:tab w:val="left" w:pos="1168"/>
                <w:tab w:val="left" w:pos="3861"/>
              </w:tabs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0442C2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0442C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проф. Канзафарова І.С.   </w:t>
            </w:r>
          </w:p>
          <w:p w:rsidR="000442C2" w:rsidRPr="000442C2" w:rsidRDefault="000442C2" w:rsidP="000442C2">
            <w:pPr>
              <w:tabs>
                <w:tab w:val="left" w:pos="284"/>
                <w:tab w:val="left" w:pos="1767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0442C2">
              <w:rPr>
                <w:rFonts w:ascii="Times New Roman" w:eastAsia="Calibri" w:hAnsi="Times New Roman" w:cs="Times New Roman"/>
                <w:sz w:val="20"/>
                <w:szCs w:val="20"/>
              </w:rPr>
              <w:t>(підпис)</w:t>
            </w:r>
            <w:r w:rsidRPr="000442C2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0442C2" w:rsidRPr="000442C2" w:rsidRDefault="000442C2" w:rsidP="000442C2">
            <w:pPr>
              <w:tabs>
                <w:tab w:val="right" w:pos="4462"/>
              </w:tabs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442C2">
              <w:rPr>
                <w:rFonts w:ascii="Times New Roman" w:eastAsia="Calibri" w:hAnsi="Times New Roman" w:cs="Times New Roman"/>
                <w:sz w:val="28"/>
                <w:szCs w:val="28"/>
              </w:rPr>
              <w:t>Захищено на засіданні ЕК № 5</w:t>
            </w:r>
          </w:p>
          <w:p w:rsidR="000442C2" w:rsidRPr="000442C2" w:rsidRDefault="000442C2" w:rsidP="000442C2">
            <w:pPr>
              <w:tabs>
                <w:tab w:val="right" w:pos="4462"/>
              </w:tabs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442C2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     від _________2018 р.</w:t>
            </w:r>
            <w:r w:rsidRPr="000442C2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0442C2" w:rsidRPr="000442C2" w:rsidRDefault="000442C2" w:rsidP="000442C2">
            <w:pPr>
              <w:tabs>
                <w:tab w:val="right" w:pos="4462"/>
              </w:tabs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442C2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0442C2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___/_____</w:t>
            </w:r>
          </w:p>
          <w:p w:rsidR="000442C2" w:rsidRPr="000442C2" w:rsidRDefault="000442C2" w:rsidP="000442C2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0442C2">
              <w:rPr>
                <w:rFonts w:ascii="Times New Roman" w:eastAsia="Calibri" w:hAnsi="Times New Roman" w:cs="Times New Roman"/>
                <w:sz w:val="20"/>
                <w:szCs w:val="20"/>
              </w:rPr>
              <w:t>(за національною шкалою/шкалою ЕСТ</w:t>
            </w:r>
            <w:r w:rsidRPr="000442C2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0442C2">
              <w:rPr>
                <w:rFonts w:ascii="Times New Roman" w:eastAsia="Calibri" w:hAnsi="Times New Roman" w:cs="Times New Roman"/>
                <w:sz w:val="20"/>
                <w:szCs w:val="20"/>
              </w:rPr>
              <w:t>/ бали)</w:t>
            </w:r>
          </w:p>
          <w:p w:rsidR="000442C2" w:rsidRPr="000442C2" w:rsidRDefault="000442C2" w:rsidP="000442C2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442C2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0442C2" w:rsidRPr="000442C2" w:rsidRDefault="000442C2" w:rsidP="000442C2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442C2">
              <w:rPr>
                <w:rFonts w:ascii="Times New Roman" w:eastAsia="Calibri" w:hAnsi="Times New Roman" w:cs="Times New Roman"/>
                <w:sz w:val="28"/>
                <w:szCs w:val="28"/>
              </w:rPr>
              <w:t>_________ проф. Миколенко О.І.</w:t>
            </w:r>
          </w:p>
          <w:p w:rsidR="000442C2" w:rsidRPr="000442C2" w:rsidRDefault="000442C2" w:rsidP="000442C2">
            <w:pPr>
              <w:tabs>
                <w:tab w:val="left" w:pos="454"/>
                <w:tab w:val="left" w:pos="2155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0442C2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(підпис)</w:t>
            </w:r>
            <w:r w:rsidRPr="000442C2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</w:tr>
    </w:tbl>
    <w:p w:rsidR="000442C2" w:rsidRPr="000442C2" w:rsidRDefault="000442C2" w:rsidP="000442C2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0442C2" w:rsidRPr="000442C2" w:rsidRDefault="000442C2" w:rsidP="000442C2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0442C2" w:rsidRPr="000442C2" w:rsidRDefault="000442C2" w:rsidP="000442C2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0442C2" w:rsidRPr="000442C2" w:rsidRDefault="000442C2" w:rsidP="000442C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0442C2">
        <w:rPr>
          <w:rFonts w:ascii="Times New Roman" w:eastAsia="Calibri" w:hAnsi="Times New Roman" w:cs="Times New Roman"/>
          <w:b/>
          <w:sz w:val="28"/>
          <w:szCs w:val="28"/>
        </w:rPr>
        <w:t>Одеса – 2018</w:t>
      </w:r>
    </w:p>
    <w:p w:rsidR="000442C2" w:rsidRDefault="000442C2" w:rsidP="000442C2">
      <w:pPr>
        <w:suppressAutoHyphens/>
        <w:spacing w:after="0" w:line="360" w:lineRule="auto"/>
        <w:ind w:left="11" w:hanging="11"/>
        <w:jc w:val="center"/>
        <w:rPr>
          <w:rFonts w:ascii="Times New Roman" w:eastAsia="Times New Roman" w:hAnsi="Times New Roman" w:cs="Calibri"/>
          <w:b/>
          <w:bCs/>
          <w:kern w:val="2"/>
          <w:sz w:val="28"/>
          <w:szCs w:val="28"/>
          <w:lang w:eastAsia="ar-SA"/>
        </w:rPr>
      </w:pP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center"/>
        <w:rPr>
          <w:rFonts w:ascii="Times New Roman" w:eastAsia="Times New Roman" w:hAnsi="Times New Roman" w:cs="Calibri"/>
          <w:b/>
          <w:bCs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b/>
          <w:bCs/>
          <w:kern w:val="2"/>
          <w:sz w:val="28"/>
          <w:szCs w:val="28"/>
          <w:lang w:eastAsia="ar-SA"/>
        </w:rPr>
        <w:lastRenderedPageBreak/>
        <w:t>ЗМІСТ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center"/>
        <w:rPr>
          <w:rFonts w:ascii="Times New Roman" w:eastAsia="Times New Roman" w:hAnsi="Times New Roman" w:cs="Calibri"/>
          <w:b/>
          <w:bCs/>
          <w:kern w:val="2"/>
          <w:sz w:val="28"/>
          <w:szCs w:val="28"/>
          <w:lang w:eastAsia="ar-SA"/>
        </w:rPr>
      </w:pP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bCs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b/>
          <w:bCs/>
          <w:kern w:val="2"/>
          <w:sz w:val="28"/>
          <w:szCs w:val="28"/>
          <w:lang w:eastAsia="ar-SA"/>
        </w:rPr>
        <w:t>ПЕРЕЛІК УМОВНИХ СКОРОЧЕНЬ</w:t>
      </w:r>
      <w:r w:rsidRPr="000442C2">
        <w:rPr>
          <w:rFonts w:ascii="Times New Roman" w:eastAsia="Times New Roman" w:hAnsi="Times New Roman" w:cs="Calibri"/>
          <w:bCs/>
          <w:kern w:val="2"/>
          <w:sz w:val="28"/>
          <w:szCs w:val="28"/>
          <w:lang w:eastAsia="ar-SA"/>
        </w:rPr>
        <w:t>............................................................3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bCs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b/>
          <w:bCs/>
          <w:kern w:val="2"/>
          <w:sz w:val="28"/>
          <w:szCs w:val="28"/>
          <w:lang w:eastAsia="ar-SA"/>
        </w:rPr>
        <w:t>ВСТУП</w:t>
      </w:r>
      <w:r w:rsidRPr="000442C2">
        <w:rPr>
          <w:rFonts w:ascii="Times New Roman" w:eastAsia="Times New Roman" w:hAnsi="Times New Roman" w:cs="Calibri"/>
          <w:bCs/>
          <w:kern w:val="2"/>
          <w:sz w:val="28"/>
          <w:szCs w:val="28"/>
          <w:lang w:eastAsia="ar-SA"/>
        </w:rPr>
        <w:t>………………..………………………………………………..……..4</w:t>
      </w:r>
    </w:p>
    <w:p w:rsidR="000442C2" w:rsidRPr="000442C2" w:rsidRDefault="000442C2" w:rsidP="000442C2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0442C2">
        <w:rPr>
          <w:rFonts w:ascii="Times New Roman" w:eastAsia="Calibri" w:hAnsi="Times New Roman" w:cs="Times New Roman"/>
          <w:b/>
          <w:sz w:val="28"/>
          <w:szCs w:val="28"/>
        </w:rPr>
        <w:t>РОЗДІЛ 1. ХАРАКТЕРИСТИКА АЛІМЕНТНИХ ЗОБОВ</w:t>
      </w:r>
      <w:r w:rsidRPr="000442C2">
        <w:rPr>
          <w:rFonts w:ascii="Times New Roman" w:eastAsia="Calibri" w:hAnsi="Times New Roman" w:cs="Times New Roman"/>
          <w:b/>
          <w:sz w:val="28"/>
          <w:szCs w:val="28"/>
          <w:lang w:val="ru-RU"/>
        </w:rPr>
        <w:t>’</w:t>
      </w:r>
      <w:r w:rsidRPr="000442C2">
        <w:rPr>
          <w:rFonts w:ascii="Times New Roman" w:eastAsia="Calibri" w:hAnsi="Times New Roman" w:cs="Times New Roman"/>
          <w:b/>
          <w:sz w:val="28"/>
          <w:szCs w:val="28"/>
        </w:rPr>
        <w:t xml:space="preserve">ЯЗАНЬ </w:t>
      </w:r>
    </w:p>
    <w:p w:rsidR="000442C2" w:rsidRPr="000442C2" w:rsidRDefault="000442C2" w:rsidP="000442C2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0442C2">
        <w:rPr>
          <w:rFonts w:ascii="Times New Roman" w:eastAsia="Calibri" w:hAnsi="Times New Roman" w:cs="Times New Roman"/>
          <w:b/>
          <w:sz w:val="28"/>
          <w:szCs w:val="28"/>
        </w:rPr>
        <w:t>В УКРАЇНІ ТА ЗАРУБІЖНИХ КРАЇНИХ</w:t>
      </w:r>
    </w:p>
    <w:p w:rsidR="000442C2" w:rsidRPr="000442C2" w:rsidRDefault="000442C2" w:rsidP="000442C2">
      <w:pPr>
        <w:spacing w:after="0" w:line="360" w:lineRule="auto"/>
        <w:jc w:val="both"/>
        <w:rPr>
          <w:rFonts w:ascii="Calibri" w:eastAsia="Calibri" w:hAnsi="Calibri" w:cs="Times New Roman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1.1. Галузева приналежність аліментних зобов’язань……………..………12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  <w:t>1.2. Місце аліментних правовідносин у системі зобов’язань…....………27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  <w:t>1.3.Поняття та ознаки аліментних зобов’язань…….….…………………..38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b/>
          <w:kern w:val="2"/>
          <w:sz w:val="28"/>
          <w:szCs w:val="28"/>
          <w:lang w:eastAsia="ar-SA"/>
        </w:rPr>
        <w:t>Висновки до Розділу 1</w:t>
      </w:r>
      <w:r w:rsidRPr="000442C2"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  <w:t>……………………………………………………….50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b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b/>
          <w:kern w:val="2"/>
          <w:sz w:val="28"/>
          <w:szCs w:val="28"/>
          <w:lang w:eastAsia="ar-SA"/>
        </w:rPr>
        <w:t>РОЗДІЛ 2. СКЛАД АЛІМЕНТНИХ ЗОБОВ’ЯЗАНЬ  ЗА ЗАКОНОДАВСТВОМ УКРАЇНИ ТА ЗАРУБІЖНИХ КРАЇН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  <w:t>2.1. Суб’єкти аліментних зобов’язань ……………………………………..52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  <w:t>2.2. Об’єкт аліментного зобов’язання .................................................………60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  <w:t>2.3. Зміст аліментних зобов’язань....................................................................70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b/>
          <w:kern w:val="2"/>
          <w:sz w:val="28"/>
          <w:szCs w:val="28"/>
          <w:lang w:eastAsia="ar-SA"/>
        </w:rPr>
        <w:t>Висновки до Розділу 2</w:t>
      </w:r>
      <w:r w:rsidRPr="000442C2"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  <w:t>……………………………………………………….76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b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b/>
          <w:kern w:val="2"/>
          <w:sz w:val="28"/>
          <w:szCs w:val="28"/>
          <w:lang w:eastAsia="ar-SA"/>
        </w:rPr>
        <w:t xml:space="preserve">РОЗДІЛ 3. </w:t>
      </w:r>
      <w:r w:rsidRPr="000442C2">
        <w:rPr>
          <w:rFonts w:ascii="Times New Roman" w:eastAsia="Times New Roman" w:hAnsi="Times New Roman" w:cs="Times New Roman"/>
          <w:b/>
          <w:kern w:val="2"/>
          <w:sz w:val="28"/>
          <w:szCs w:val="28"/>
          <w:lang w:val="ru-RU" w:eastAsia="ar-SA"/>
        </w:rPr>
        <w:t xml:space="preserve">ВИДИ АЛІМЕНТНИХ ЗОБОВ’ЯЗАНЬ ЗА ЧИННИМ ЗАКОНОДАВСТВОМ УКРАЇНИ ТА ЗАРУБІЖНИХ </w:t>
      </w:r>
      <w:proofErr w:type="gramStart"/>
      <w:r w:rsidRPr="000442C2">
        <w:rPr>
          <w:rFonts w:ascii="Times New Roman" w:eastAsia="Times New Roman" w:hAnsi="Times New Roman" w:cs="Times New Roman"/>
          <w:b/>
          <w:kern w:val="2"/>
          <w:sz w:val="28"/>
          <w:szCs w:val="28"/>
          <w:lang w:val="ru-RU" w:eastAsia="ar-SA"/>
        </w:rPr>
        <w:t>КРАЇН</w:t>
      </w:r>
      <w:proofErr w:type="gramEnd"/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kern w:val="2"/>
          <w:sz w:val="28"/>
          <w:szCs w:val="28"/>
          <w:lang w:val="ru-RU" w:eastAsia="ar-SA"/>
        </w:rPr>
        <w:t xml:space="preserve">3.1. </w:t>
      </w:r>
      <w:r w:rsidRPr="000442C2"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  <w:t>Аліментні зобов’язання між батьками та дітьми ………………...…….78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  <w:t>3.2. Аліментні зобов’язання між подружжям та колишнім подружжям ….91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  <w:t>3.3. Аліментні зобов’язання між іншими членами сім’ї................................99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Times New Roman"/>
          <w:b/>
          <w:kern w:val="2"/>
          <w:sz w:val="28"/>
          <w:szCs w:val="28"/>
          <w:lang w:val="ru-RU" w:eastAsia="ar-SA"/>
        </w:rPr>
        <w:t>Висновки до Розділу 3</w:t>
      </w:r>
      <w:r w:rsidRPr="000442C2">
        <w:rPr>
          <w:rFonts w:ascii="Times New Roman" w:eastAsia="Times New Roman" w:hAnsi="Times New Roman" w:cs="Times New Roman"/>
          <w:kern w:val="2"/>
          <w:sz w:val="28"/>
          <w:szCs w:val="28"/>
          <w:lang w:eastAsia="ar-SA"/>
        </w:rPr>
        <w:t>...................................................................................107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b/>
          <w:kern w:val="2"/>
          <w:sz w:val="28"/>
          <w:szCs w:val="28"/>
          <w:lang w:eastAsia="ar-SA"/>
        </w:rPr>
        <w:t>ВИСНОВКИ</w:t>
      </w:r>
      <w:r w:rsidRPr="000442C2"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  <w:t>………………………………………..……………………….110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</w:pPr>
      <w:r w:rsidRPr="000442C2">
        <w:rPr>
          <w:rFonts w:ascii="Times New Roman" w:eastAsia="Times New Roman" w:hAnsi="Times New Roman" w:cs="Calibri"/>
          <w:b/>
          <w:kern w:val="2"/>
          <w:sz w:val="28"/>
          <w:szCs w:val="28"/>
          <w:lang w:eastAsia="ar-SA"/>
        </w:rPr>
        <w:t>СПИСОК ВИКОРИСТАНИХ ДЖЕРЕЛ</w:t>
      </w:r>
      <w:r w:rsidRPr="000442C2"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  <w:t>………………………….……..115</w:t>
      </w:r>
    </w:p>
    <w:p w:rsidR="000442C2" w:rsidRPr="000442C2" w:rsidRDefault="000442C2" w:rsidP="000442C2">
      <w:pPr>
        <w:suppressAutoHyphens/>
        <w:spacing w:after="0" w:line="360" w:lineRule="auto"/>
        <w:ind w:left="11" w:hanging="11"/>
        <w:jc w:val="both"/>
        <w:rPr>
          <w:rFonts w:ascii="Times New Roman" w:eastAsia="Times New Roman" w:hAnsi="Times New Roman" w:cs="Calibri"/>
          <w:kern w:val="2"/>
          <w:sz w:val="28"/>
          <w:szCs w:val="28"/>
          <w:lang w:val="ru-RU" w:eastAsia="ar-SA"/>
        </w:rPr>
      </w:pPr>
      <w:r w:rsidRPr="000442C2">
        <w:rPr>
          <w:rFonts w:ascii="Times New Roman" w:eastAsia="Times New Roman" w:hAnsi="Times New Roman" w:cs="Calibri"/>
          <w:b/>
          <w:kern w:val="2"/>
          <w:sz w:val="28"/>
          <w:szCs w:val="28"/>
          <w:lang w:eastAsia="ar-SA"/>
        </w:rPr>
        <w:t>ДОДАТКИ</w:t>
      </w:r>
      <w:r w:rsidRPr="000442C2"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  <w:t>………………...……………………………..…….……………126</w:t>
      </w:r>
    </w:p>
    <w:p w:rsidR="003C5D79" w:rsidRDefault="003C5D79"/>
    <w:p w:rsidR="000442C2" w:rsidRDefault="000442C2"/>
    <w:p w:rsidR="000442C2" w:rsidRDefault="000442C2"/>
    <w:p w:rsidR="000442C2" w:rsidRDefault="000442C2"/>
    <w:p w:rsidR="000442C2" w:rsidRDefault="000442C2"/>
    <w:p w:rsidR="000442C2" w:rsidRDefault="000442C2"/>
    <w:p w:rsidR="000442C2" w:rsidRPr="000442C2" w:rsidRDefault="000442C2" w:rsidP="000442C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0442C2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ВСТУП</w:t>
      </w:r>
    </w:p>
    <w:p w:rsidR="000442C2" w:rsidRPr="000442C2" w:rsidRDefault="000442C2" w:rsidP="000442C2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b/>
          <w:sz w:val="28"/>
          <w:szCs w:val="28"/>
        </w:rPr>
        <w:t xml:space="preserve">Актуальність теми. </w:t>
      </w:r>
      <w:r w:rsidRPr="000442C2">
        <w:rPr>
          <w:rFonts w:ascii="Times New Roman" w:eastAsia="Calibri" w:hAnsi="Times New Roman" w:cs="Times New Roman"/>
          <w:sz w:val="28"/>
          <w:szCs w:val="28"/>
        </w:rPr>
        <w:t>Найважливішим завданням демократичної, соціальної, правової держави, в якості якої Конституцією України проголошена наша держава </w:t>
      </w: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0442C2">
        <w:rPr>
          <w:rFonts w:ascii="Times New Roman" w:eastAsia="Calibri" w:hAnsi="Times New Roman" w:cs="Times New Roman"/>
          <w:sz w:val="28"/>
          <w:szCs w:val="28"/>
        </w:rPr>
        <w:t>1, с. 1</w:t>
      </w: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0442C2">
        <w:rPr>
          <w:rFonts w:ascii="Times New Roman" w:eastAsia="Calibri" w:hAnsi="Times New Roman" w:cs="Times New Roman"/>
          <w:sz w:val="28"/>
          <w:szCs w:val="28"/>
        </w:rPr>
        <w:t>, є організація ефективного механізму життєзабезпечення населення. Без цього неможлива реалізація визнаних міжнародною спільнотою основних прав і свобод людини. Незважаючи на зростання середньодушових і реальних доходів населення, вони все ще залишаються в Україні вкрай низькими. За даними ООН в 2017 році жителі України мали річні доходи в чотири рази менші, аніж громадяни держав, що лідирують у світі за якістю життя. «Серед сімей з дітьми частка бідних сімей традиційно вище, ніж по колу домогосподарств в цілому. У найбільш важкому становищі перебувають багатодітні сім'ї, а також неповні сім'ї з двома і більше дітьми» [2]. Значна частина звернень до Уповноваженого з прав людини в Україні стосується порушень соціальних прав громадян: на гідні умови життя, достатній рівень життя, житлових, пенсійних, а також порушень прав осіб, які потребують особливого соціального захисту - матерів, дітей, інвалідів та інших (24,2% від загального числа звернень) [3]. Вищенаведені статистичні дані вказують на необхідність об'єктивної оцінки ситуації, яка склалася в українському суспільстві щодо системи життєзабезпечення громадян, пошуку нових більш ефективних економічних способів і відповідних їм правових форм, що в першу чергу відноситься до надання матеріальної підтримки соціально незахищеним верствам населення (непрацездатним і нужденним).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 xml:space="preserve">Для надання матеріальної допомоги непрацездатним нужденним особам держава використовує різні правові форми. Серед них найбільшого поширення мають аліментні зобов'язання, оскільки основне навантаження в життєзабезпеченні непрацездатних співгромадян, дітей і людей похилого віку, лягає на близьких їм людей - працездатних членів сім'ї: батьків, повнолітніх дітей, подружжя. У сім'ї повинен бути забезпечений той рівень матеріального благополуччя, який дозволяє не тільки елементарно виживати, але й індивідуально розвиватися кожному члену сім'ї, в першу чергу, неповнолітнім </w:t>
      </w:r>
      <w:r w:rsidRPr="000442C2">
        <w:rPr>
          <w:rFonts w:ascii="Times New Roman" w:eastAsia="Calibri" w:hAnsi="Times New Roman" w:cs="Times New Roman"/>
          <w:sz w:val="28"/>
          <w:szCs w:val="28"/>
        </w:rPr>
        <w:lastRenderedPageBreak/>
        <w:t>дітям. Тому інститут аліментування, маючи виключно важливе соціальне значення, є одним з найбільш деталізованих правових інститутів українського сімейного права. Його норми відображають етичні вимоги до сімейних відносин, які складалися в суспільстві протягом багатьох століть та засновані на взаємній матеріальній підтримці.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Криза сім'ї та традиційних сімейних цінностей, що охопила українське суспільство в останні десятиліття, знаходить вияв у розпаді</w:t>
      </w:r>
      <w:r w:rsidRPr="000442C2">
        <w:rPr>
          <w:rFonts w:ascii="Calibri" w:eastAsia="Calibri" w:hAnsi="Calibri" w:cs="Times New Roman"/>
        </w:rPr>
        <w:t xml:space="preserve"> </w:t>
      </w:r>
      <w:r w:rsidRPr="000442C2">
        <w:rPr>
          <w:rFonts w:ascii="Times New Roman" w:eastAsia="Calibri" w:hAnsi="Times New Roman" w:cs="Times New Roman"/>
          <w:sz w:val="28"/>
          <w:szCs w:val="28"/>
        </w:rPr>
        <w:t>сімей, значне поширення випадків відмови в матеріальній підтримці навіть найближчим родичам. Справи про стягнення аліментів є однією з поширених категорій справ, розглянутих і вирішених в порядку цивільного судочинства. У зв'язку з цим особливого значення набуває завдання підвищення ефективності чинного законодавства про аліментування і практики його застосування, постановка, розгляд і вирішення якого безпосередньо пов'язані з забезпеченням життєвих інтересів мільйонів найменш соціально захищених членів суспільства.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Правова реформа, що здійснюється в Україні, розвиток сімейного законодавства і правозастосовча практика, яка поступово складається на основі Сімейного кодексу України, ставлять перед теорією сімейного права цілу низку питань, починаючи від розуміння і тлумачення використовуваних в СКУ термінів «аліменти» і «утримання», виявлення ролі аліментування в системі життєзабезпечення українських громадян і місця аліментних зобов'язань серед інших приватно-правових зобов'язань, до загальної оцінки ефективності правової регламентації аліментних відносин і пошуку оптимальних правових засобів, спрямованих на реальне здійснення прав членів сім'ї на утримання.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 xml:space="preserve">В результаті особливостей розвитку приватного права в історичних і соціальних умовах України до цих пір наука сімейного права, при всіх її досягненнях, не має розробленої загальнотеоретичної частини, доктринально представляє весь механізм правового регулювання відносин, що виникають між членами сім'ї, в тому числі й відносин з надання утримання, що робить актуальним дослідження в зазначеному напрямку. Тому певним кроком на шляху вивчення методу сімейного права є розробка концепції аліментних зобов'язань, що враховує основні положення, правові категорії і конструкції, які </w:t>
      </w:r>
      <w:r w:rsidRPr="000442C2">
        <w:rPr>
          <w:rFonts w:ascii="Times New Roman" w:eastAsia="Calibri" w:hAnsi="Times New Roman" w:cs="Times New Roman"/>
          <w:sz w:val="28"/>
          <w:szCs w:val="28"/>
        </w:rPr>
        <w:lastRenderedPageBreak/>
        <w:t>використовуються загальною теорією права і галузевими юридичними науками. Цілісна, багатоаспектна, комплексна теорія аліментних зобов'язань, з одного боку, визначає їх специфіку, а, з іншого - показує взаємодію з іншими групами зобов'язальних відносин, дозволяє просунутися в дослідженні сімейних правовідносин, проблем взаємодії сімейного права та інших галузей, що утворюють систему українського права, що має важливе значення для визначення шляхів його подальшого розвитку.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Проголошення пріоритету норм міжнародного права перед внутрішнім українським законодавством, а також процеси інтеграції України до світового співтовариства диктують необхідність ретельного і кваліфікованого дослідження як норм міжнародного права, так і законодавства інших країн.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В даній роботі зроблена спроба проаналізувати законодавче регулювання аліментних зобов'язань в ряді провідних країн світу - Німеччини, Франції та Російскій Федерації. Вибір цих країн не випадковий, тому що при порівнянні сімейного законодавства України із  законодавством інших країн дозволить виявити недоліки і визначити подальші шляхи удосконалення вітчизняного законодавства в даній галузі.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Науково-теоретичним підґрунтям дослідження стали загальнотеоретичні праці вітчизняних фахівців з теорії права, цивільного та сімейного права: М.М. Агаркова, Л.В. Афанасьєвої, Т.В. Боднар, В.А. Ватраса, І.В. Жилінкової, О. С. Іоффе, О.Ю. Косової, Р.О. Майданика, А.І. Пергамента, Л.І. Петражицького, І.А. Покровського, З.В. Ромовської, Л.В. Сапейко, В.І. Труби, Ю.С. Червоного, Г.В. Чурпіти, Г.Ф. Шершеневича, О.А. Шершньової та інших.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Виняткова соціальна, юридична та наукова значимість проблем правового регулювання відносин з надання утримання між членами сім'ї (аліментних зобов'язань) пояснює актуальність теми цієї дипломмної роботи.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b/>
          <w:sz w:val="28"/>
          <w:szCs w:val="28"/>
        </w:rPr>
        <w:t>Мета і задачі дослідження</w:t>
      </w:r>
      <w:r w:rsidRPr="000442C2">
        <w:rPr>
          <w:rFonts w:ascii="Times New Roman" w:eastAsia="Calibri" w:hAnsi="Times New Roman" w:cs="Times New Roman"/>
          <w:sz w:val="28"/>
          <w:szCs w:val="28"/>
        </w:rPr>
        <w:t>. Метою дослідження є здійснення комплексного порівняльно-правового аналізу аліментних зобов'язань за законодавством України, Російської Федерації, Франції та Німеччини і визначення можливості використання зарубіжного досвіду в подальшому нормотворчому процесі в Україні.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Для досягнення поставленої мети необхідно позначити і вирішити такі основні завдання: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- охарактеризувати основні положення законодавства України, Росії, Франції та Німеччини, які регулюють аліментні зобов’</w:t>
      </w:r>
      <w:r w:rsidRPr="000442C2">
        <w:rPr>
          <w:rFonts w:ascii="Times New Roman" w:eastAsia="Calibri" w:hAnsi="Times New Roman" w:cs="Times New Roman"/>
          <w:sz w:val="28"/>
          <w:szCs w:val="28"/>
        </w:rPr>
        <w:t>язання</w:t>
      </w: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;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виявити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соц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іальні передумови, а також міжнародні та внутрішньодержавні правові основи надання утримання непрацездатним членам сім'ї;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- визначити юридичний змі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ст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термінів, які використовуються в сімейному законодавстві при регулюванні аліментних зобов'язань і уточнити понятійний апарат, необхідний для формування концепції аліментних зобов'язань;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виявити юридичну сутність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ал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іментних зобов'язань та визначити їх структуру;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визначити місце правовідносин з надання утримання членам сім'ї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систем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і інших відносин, спрямованих на життєзабезпечення непрацездатних осіб, а також щодо інших зобов'язальних правовідносин, перш за все цивільно-правових;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виявити особливості та проблеми правового регулювання окремих видів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ідносин з надання утримання між членами сім'ї;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дати оцінку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чинному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законодавству про аліментування, а також виробити пропозиції щодо вдосконалення правового регулювання відносин з надання утримання між членами сім'ї.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b/>
          <w:i/>
          <w:sz w:val="28"/>
          <w:szCs w:val="28"/>
        </w:rPr>
        <w:t>Об’єктом дослідження</w:t>
      </w:r>
      <w:r w:rsidRPr="000442C2">
        <w:rPr>
          <w:rFonts w:ascii="Times New Roman" w:eastAsia="Calibri" w:hAnsi="Times New Roman" w:cs="Times New Roman"/>
          <w:sz w:val="28"/>
          <w:szCs w:val="28"/>
        </w:rPr>
        <w:t xml:space="preserve"> є суспільні відносини з приводу надання утримання, що складаються між членами сім'ї, в Україні, Російській Федерації, Франції та Німеччині, а також ті правові форми, в яких вони розвиваються.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b/>
          <w:i/>
          <w:sz w:val="28"/>
          <w:szCs w:val="28"/>
        </w:rPr>
        <w:t>Предметом дослідження</w:t>
      </w:r>
      <w:r w:rsidRPr="000442C2">
        <w:rPr>
          <w:rFonts w:ascii="Times New Roman" w:eastAsia="Calibri" w:hAnsi="Times New Roman" w:cs="Times New Roman"/>
          <w:sz w:val="28"/>
          <w:szCs w:val="28"/>
        </w:rPr>
        <w:t xml:space="preserve"> є блок правових проблем, які виникають і існують в теорії та практиці правового регулювання відносин, спрямованих на життєзабезпечення непрацездатних і нужденних членів сім'ї, з урахуванням історично сформованих в українському та зарубіжному суспільстві системи права та форм сімейної організації.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b/>
          <w:sz w:val="28"/>
          <w:szCs w:val="28"/>
        </w:rPr>
        <w:t>Методи дослідження.</w:t>
      </w:r>
      <w:r w:rsidRPr="000442C2">
        <w:rPr>
          <w:rFonts w:ascii="Times New Roman" w:eastAsia="Calibri" w:hAnsi="Times New Roman" w:cs="Times New Roman"/>
          <w:sz w:val="28"/>
          <w:szCs w:val="28"/>
        </w:rPr>
        <w:t xml:space="preserve"> Методологічну основу магістерського дослідження склали методи і прийоми наукового пізнання – як загальнонаукові, так і </w:t>
      </w:r>
      <w:r w:rsidRPr="000442C2">
        <w:rPr>
          <w:rFonts w:ascii="Times New Roman" w:eastAsia="Calibri" w:hAnsi="Times New Roman" w:cs="Times New Roman"/>
          <w:sz w:val="28"/>
          <w:szCs w:val="28"/>
        </w:rPr>
        <w:lastRenderedPageBreak/>
        <w:t>спеціально-юридичні. В основу роботи покладено порівняльно-правовий метод пізнання, що дозволив повноцінно і поглиблено вивчити об'єкт і предмет дослідження. За допомогою формально-логічного методу у зв’язку із методом комплексного аналізу досліджено місце аліментних зобов’язань у сучасній систему зобов’язань (Розділ 1, підрозділи 1.1., 1.2.). Формально-юридичний метод застосовувався при дослідженні та розкритті таких понять, як «аліменти», «утримання», «матеріальна підтримка» (Розділ 1, підрозділ 1.3). Застосування системно-структурного методу у взаємозв’язку із методом аналізу дозволило визначити зміст та основні характерні риси аліментних правовідносин (Розділ 2, підрозділи 2.1, 2.2, 2.3). За допомогою діалектичного, структурно-логічного методів охарактеризовано реалізацію норм сучасного права щодо аліментування кремих категорій осіб (Розділ 3, підрозділи 3.1, 3.2, 3.3). Застосування порівняльно-правового  (компаративного) методу у взаємодії із системно-структурним дозволило обґрунтувати пропозиції та напрямки вдосконалення сімейного законодавства.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b/>
          <w:sz w:val="28"/>
          <w:szCs w:val="28"/>
        </w:rPr>
        <w:t>Наукова новизна одержаних результатів</w:t>
      </w:r>
      <w:r w:rsidRPr="000442C2">
        <w:rPr>
          <w:rFonts w:ascii="Times New Roman" w:eastAsia="Calibri" w:hAnsi="Times New Roman" w:cs="Times New Roman"/>
          <w:sz w:val="28"/>
          <w:szCs w:val="28"/>
        </w:rPr>
        <w:t xml:space="preserve"> полягає у тому, що магістерська робота є комплексним дослідженням сутності аліментних зобов’язань за чинним законодавтвом України, Російської Федерації, Франції та Німеччини, за результатами якого сформульовано ряд наукових положень і висновків. Зокрема, до них відносяться такі: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442C2">
        <w:rPr>
          <w:rFonts w:ascii="Times New Roman" w:eastAsia="Calibri" w:hAnsi="Times New Roman" w:cs="Times New Roman"/>
          <w:sz w:val="28"/>
          <w:szCs w:val="28"/>
        </w:rPr>
        <w:t>1. Аліментні зобов'язання в Україні та Російські Федерації є інститутом суто сімейного права; мають ряд особливостей, що дозволяють відокремити їх від загальних цивільно-правових зобов'язальних правовідносин, оскільки вони: мають суворо особистий характер; є безоплатними; як правило, мають триваючий характер; мають суворо цільове призначення; не підлягають заліку і не погашаються давністю; підстави їх виникнення визначені в законі.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 У сімейному праві суспільні відносини по наданню утримання знаходять юридичну форму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ал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іментних зобов'язань. В роботі стверджується, що ототожнення в сфері його дії «обов'язку утримання» та «обов'язку аліментування» більшою мірою відповідає чинному законодавству і сутності прав члені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сім'ї на утримання.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Отже, аліментування може бути визначено як </w:t>
      </w: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утримання (життєзабезпечення) одних членів сім'ї іншими в межах сімейно-правового регулювання.</w:t>
      </w:r>
      <w:proofErr w:type="gramEnd"/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3. Термін «аліментні зобов'язання» охоплює не тільки самостійно існуючі відносні односторонньо зобов'язуючі правовідносини по утриманню членів сім'ї,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але й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аліментні обов'язки, які входять до складу більш складних за структурою сімейних правовідносин, наприклад, батьківських. У зв'язку з цим «аліментне зобов'язання» визначається як сімейно-правовий зв'язок, який виникає при настанні зазначених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у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закон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і обставин, в силу якого одна сторона зобов'язана утримувати (аліментувати) іншу сторону, а остання - має право вимагати надання аліментів (утримання).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4. До суб'єктів аліментних зобов'язань відносяться не всі фізичні особи, що виступають в якості суб'єктів сімейного права, оскільки поняття «суб'єкт сімейного права» і «суб'єкт аліментного зобов'язання» спі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вв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ідносні, але не тотожні за своїм юридичним значенням категорії. У зв'язку з цим в якості суб'єкті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в аліментних зобов'язань розглядається обмежене коло фізичних осіб, які відповідно до прямою вказівки норм СКУ, СК РФ, ЦКФ та ЦК ФРН мають суб'єктивне право на утримання або несуть аліментний обов'язок.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Тільки такі особи можуть бути учасниками договорів про сплату аліментів, передбачених нормами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чинного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сімейного (в Україні та РФ) або цивільного (у Фанції та Німеччині) законодавства.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5. Особливу роль в конструюванні суб'єктивних прав члені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сім'ї на утримання </w:t>
      </w:r>
      <w:r w:rsidRPr="000442C2">
        <w:rPr>
          <w:rFonts w:ascii="Times New Roman" w:eastAsia="Calibri" w:hAnsi="Times New Roman" w:cs="Times New Roman"/>
          <w:sz w:val="28"/>
          <w:szCs w:val="28"/>
        </w:rPr>
        <w:t>віді</w:t>
      </w: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грає категорія «інтерес». Суб'єктивне сімейне право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на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аліменти представлено як засіб гармонізації приватних інтересів сторін, пов'язаних з матеріальними умовами їх життя, і публічних (державних і громадських) інтересів.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Об'єктивність існування зазначених інтересів та їх урахування законодавцем зумовлюють дію диспозитивн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о-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імперативних засад в методі регулювання аліментних зобов'язань. Особливості інтересів дозволяють виявити об'єкт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ал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іментних правовідносин.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6. У якості об'єкта аліментного зобов'язання виступають аліменти (утримання) - блага, які один член сі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м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'ї в силу імперативної вказівки закону </w:t>
      </w: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зобов'язаний надавати іншому, непрацездатному члену сім'ї та які призначені для життєзабезпечення останнього. В роботі пропонується широке тлумачення поняття «аліменти», яке охоплює не тільки кошти, які виплачуються на основі судових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ішень або нотаріально засвідчених договорів про сплату аліментів, але й інші різноманітні форми життєзабезпечення непрацездатних членів сім'ї, які змінюються в залежності від конкретної сімейної ситуації, наприклад, речі, грошові кошти, що витрачаються на харчування, освіту, виховання, лікування дітей відповідно до їх вікових особливостей тощо.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7. За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ідсумками проведеного порівняльно-правового аналізу, з метою захисту інтересів осіб, які перебувають у фактичних шлюбних відносинах, видається такою, що заслуговує рецепції до вітчизняного законодавства норми німецького права про стягнення аліментних коштів з чоловіка на утримання жінки, яка виховує спільну дитину до трьох років, за умови, якщо батьківство встановлено в органах реєстрації актів цивільного стану або в суді.</w:t>
      </w:r>
    </w:p>
    <w:p w:rsidR="000442C2" w:rsidRPr="000442C2" w:rsidRDefault="000442C2" w:rsidP="000442C2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Структура роботи.</w:t>
      </w: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Магістерська робота складається зі вступу, трьох розділів, дев’</w:t>
      </w:r>
      <w:r w:rsidRPr="000442C2">
        <w:rPr>
          <w:rFonts w:ascii="Times New Roman" w:eastAsia="Calibri" w:hAnsi="Times New Roman" w:cs="Times New Roman"/>
          <w:sz w:val="28"/>
          <w:szCs w:val="28"/>
        </w:rPr>
        <w:t>яти</w:t>
      </w:r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0442C2">
        <w:rPr>
          <w:rFonts w:ascii="Times New Roman" w:eastAsia="Calibri" w:hAnsi="Times New Roman" w:cs="Times New Roman"/>
          <w:sz w:val="28"/>
          <w:szCs w:val="28"/>
          <w:lang w:val="ru-RU"/>
        </w:rPr>
        <w:t>ідрозділів, висновків, списку використаних джерел та додатків.</w:t>
      </w:r>
    </w:p>
    <w:p w:rsidR="000442C2" w:rsidRDefault="000442C2">
      <w:pPr>
        <w:rPr>
          <w:lang w:val="ru-RU"/>
        </w:rPr>
      </w:pPr>
    </w:p>
    <w:p w:rsidR="000442C2" w:rsidRDefault="000442C2">
      <w:pPr>
        <w:rPr>
          <w:lang w:val="ru-RU"/>
        </w:rPr>
      </w:pPr>
    </w:p>
    <w:p w:rsidR="000442C2" w:rsidRDefault="000442C2">
      <w:pPr>
        <w:rPr>
          <w:lang w:val="ru-RU"/>
        </w:rPr>
      </w:pPr>
    </w:p>
    <w:p w:rsidR="000442C2" w:rsidRDefault="000442C2">
      <w:pPr>
        <w:rPr>
          <w:lang w:val="ru-RU"/>
        </w:rPr>
      </w:pPr>
    </w:p>
    <w:p w:rsidR="000442C2" w:rsidRDefault="000442C2">
      <w:pPr>
        <w:rPr>
          <w:lang w:val="ru-RU"/>
        </w:rPr>
      </w:pPr>
    </w:p>
    <w:p w:rsidR="000442C2" w:rsidRDefault="000442C2">
      <w:pPr>
        <w:rPr>
          <w:lang w:val="ru-RU"/>
        </w:rPr>
      </w:pPr>
    </w:p>
    <w:p w:rsidR="000442C2" w:rsidRDefault="000442C2">
      <w:pPr>
        <w:rPr>
          <w:lang w:val="ru-RU"/>
        </w:rPr>
      </w:pPr>
    </w:p>
    <w:p w:rsidR="000442C2" w:rsidRDefault="000442C2">
      <w:pPr>
        <w:rPr>
          <w:lang w:val="ru-RU"/>
        </w:rPr>
      </w:pPr>
    </w:p>
    <w:p w:rsidR="000442C2" w:rsidRDefault="000442C2">
      <w:pPr>
        <w:rPr>
          <w:lang w:val="ru-RU"/>
        </w:rPr>
      </w:pPr>
    </w:p>
    <w:p w:rsidR="000442C2" w:rsidRDefault="000442C2">
      <w:pPr>
        <w:rPr>
          <w:lang w:val="ru-RU"/>
        </w:rPr>
      </w:pPr>
    </w:p>
    <w:p w:rsidR="000442C2" w:rsidRDefault="000442C2">
      <w:pPr>
        <w:rPr>
          <w:lang w:val="ru-RU"/>
        </w:rPr>
      </w:pPr>
    </w:p>
    <w:p w:rsidR="000442C2" w:rsidRDefault="000442C2">
      <w:pPr>
        <w:rPr>
          <w:lang w:val="ru-RU"/>
        </w:rPr>
      </w:pPr>
    </w:p>
    <w:p w:rsidR="000442C2" w:rsidRDefault="000442C2">
      <w:pPr>
        <w:rPr>
          <w:lang w:val="ru-RU"/>
        </w:rPr>
      </w:pPr>
    </w:p>
    <w:p w:rsidR="000442C2" w:rsidRDefault="000442C2">
      <w:pPr>
        <w:rPr>
          <w:lang w:val="ru-RU"/>
        </w:rPr>
      </w:pPr>
    </w:p>
    <w:p w:rsidR="000442C2" w:rsidRPr="000442C2" w:rsidRDefault="000442C2" w:rsidP="000442C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0442C2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0442C2" w:rsidRPr="000442C2" w:rsidRDefault="000442C2" w:rsidP="000442C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2C2">
        <w:rPr>
          <w:rFonts w:ascii="Times New Roman" w:eastAsia="Times New Roman" w:hAnsi="Times New Roman" w:cs="Times New Roman"/>
          <w:sz w:val="28"/>
          <w:szCs w:val="28"/>
        </w:rPr>
        <w:t>Проведене дослідження механізму правового регулювання аліментних зобов'язань на основі аналізу міжнародних і внутрішньодержавних нормативних правових джерел, практики застосування законодавства про аліментування членів сім'ї, спеціальної юридичної літератури, зарубіжного досвіду дозволяє зробити наступні основні висновки: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42C2">
        <w:rPr>
          <w:rFonts w:ascii="Times New Roman" w:eastAsia="Times New Roman" w:hAnsi="Times New Roman" w:cs="Times New Roman"/>
          <w:sz w:val="28"/>
          <w:szCs w:val="28"/>
        </w:rPr>
        <w:t xml:space="preserve">1. Реалізація основних прав і свобод людини, визнаних на міжнародному і національному правових рівнях (права на життя, права на розвиток, права на соціальне забезпечення та інших) передбачає відповідальність соціальної правової держави за створення і функціонування в суспільстві економічної системи життєзабезпечення працездатних і непрацездатних громадян. 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Непрацездатним особам, які в силу об'єктивних причин не мають достатніх коштів і не можуть заробляти собі на життя власною працею, в силу закону надано право на утримання, тобто юридично гарантована на внутрішньодержавному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івні можливість життєзабезпечення себе за рахунок інших осіб.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2. Оскільки правові зв'язки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при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аліментуванні носять відносний характер, а обов'язки однієї сторони здійснювати певні дії (надавати утримання) відповідають праву іншої сторони вимагати їх вчинення, аліментні зобов'язання мають загальні особливості з іншими зобов'язальними правовідносинами, зокрема з цивільно-правовими.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той же час для аліментних зобов'язань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характерна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сімейно-правова специфіка, що не дозволяє включати їх до системи цивільних правових зобов'язальних правовідносин, незважаючи на те, що вони також виконують перерозподільчу економічну функцію. У зв'язку з цим вони не можуть бути віднесені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відносин цивільного обороту.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3.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юридичної точки зору поняття «утримання» означає забезпечення життєвих потреб одних осіб іншими. Повністю або частково утримання може надаватися в рамках правовідносин, встановлюваних в силу закону або договору, або поза ними. У сімейних правовідносинах право на утримання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також має більш вузький галузевий прояв і виступає в якості суб'єктивного сімейного права члена сім'ї на утримання (аліментування) з боку інших члені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сім'ї.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4. У законодавстві відсутні, а в правовій науці не названі чіткі критерії, що дозволяють відмежовувати в рамках сімейного права термін «утримання», як більш широке за змістом поняття, від термі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«аліменти».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Тому з урахуванням положень чинного законодавства України та зарубіжних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країн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основу концепції аліментування членів сім'ї може бути покладена одна з двох ідей. Перша грунтується на повному ототожненні обов'язку утримання та обов'язку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ал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іментування, що не виключає розмежування понять «утримання» і «аліменти». Друга - на позначенні аліментами того утримання, яке надається на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ідставі судового рішення або договору про сплату аліментів, однак при цьому ані судове рішення, ані договір про сплату аліментів не повинні розцінюватися як підстави виникнення аліментних обов'язків. 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Більшою мірою відповідає чинному сімейному законодавству перша з двох розглянутих концепцій аліментних зобов'язань, яка грунтується на повному смисловому ототожненні двох термінів: «аліменти» і «утримання», стосовно саме до сімейно-правового обов'язку членів (колишніх членів) сім'ї матеріально забезпечувати один одного.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її користь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св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ідчать формулювання більшості норм СКУ та СК РФ про аліментування членів сім'ї.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5.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Ал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іментні зобов'язання є сімейно-правовою галузевої формою права на утримання.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Виходячи з тотожності в сімейному праві понять «обов'язок аліментування» і «обов'язок утримання», аліментне зобов'язання може бути визначено як сімейно-правовий зв'язок, який виникає при настанні зазначених у законі обставин, в силу якого одна сторона зобов'язана утримувати іншу сторону (аліментувати), а остання має право вимагати надання аліментів (утримання).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Дан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 правові зв'язки існують або у вигляді самостійного відносного одностороннього правовідношення, або входять до складу більш складних за своїм юридичним змістом сімейних правовідносин.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6. Структура правових відносин по аліментуванню включає наступні елементи: суб'єктів,об'єкт, а також суб'єктивне право на аліменти (утримання) одного із суб'єктів і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ідповідний йому юридичний обов'язок іншого.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Хоча сімейною правоздатністю наділені будь-які фізичні особи, суб'єктами аліментних зобов'язань є обмежене коло фізичних осіб, які відповідно до чинного сімейного (в Україні та РФ) або цивільного (у Франції та Німеччині) відносяться до членів сім'ї і відповідно до прямої вказівки закону несуть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аліментний обов'язок. Тільки такі особи можуть бути учасниками договорі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про сплату аліментів.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7. Як правило,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член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ів сім'ї відносяться лише особи, сімейно-правове становище яких («модус») належним чином оформлено, як правило, шляхом реєстрації відповідного акту цивільного стану.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цього часу фізична особа набуває спеціальну («модусну») правоздатність, а, значить, юридичну здатність набувати відповідні його сімейно-правовому статусу права і нести обов'язки (дружина, батьки та інші).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8. Найбільш типовими елементами фактичних складів виникнення обов'язку утримання члена (колишнього члена) сі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м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'ї є факти непрацездатності та потреби.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При визначенні поняття «непрацездатність» у відносинах по аліментуванню слід враховувати той факт, що універсальне для всіх галузей права поняття непрацездатності не вироблено в теорії і відсутнє в законі.</w:t>
      </w:r>
      <w:r w:rsidRPr="000442C2">
        <w:rPr>
          <w:rFonts w:ascii="Calibri" w:eastAsia="Calibri" w:hAnsi="Calibri" w:cs="Times New Roman"/>
          <w:lang w:val="ru-RU"/>
        </w:rPr>
        <w:t xml:space="preserve">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Для цілей аліментування можуть бути використані загальні хронологічні і анатомофізіологічні критерії стану організму людини на предмет володіння здатністю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праці.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Факт нужденності передбачає життєзабезпечення члена сім'ї, який претендує на отримання аліментів, нижче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івня його потреб, внаслідок чого він відчуває потребу в додаткових джерелах коштів для існування. При встановленні факту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потреби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повинен використовуватися об'єктивний критерій. Відсутність легальних критеріїв визначення поняття «потреба» в більшій мі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 відповідає природі аліментних зобов'язань, оскільки дозволяє суду в кожній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конкретній ситуації з урахуванням її особливостей поєднувати інтереси обох сторін з уявленнями про справедливість, існуючими в суспільстві.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9. Об'єктом аліментного зобов'язання є аліменти (утримання), тобто майнові блага, які одна з його сторін в силу імперативної вказівки закону зобов'язана надати іншій стороні і які використовуються для життєзабезпечення непрацездатного члена сім'ї. Поняття «аліменти» охоплює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ізні форми життєзабезпечення, якими можуть бути не тільки речі, в тому числі гроші, а й корисний ефект від здійснення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ізних дій, спрямованих на створення умов для життя уповноваженої особи.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10.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 окремих видів аліментних зобов'язань дозволяє виявити правові особливості їх регулювання, на яких раніше не акцентувалася увага або які мають дискусійний характер, а також сформулювати рекомендації щодо вдосконалення чинного українського законодавства про аліментування.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11. Особливої ​​актуальності набуває питання про здійснення прав членів (колишніх членів) сім'ї на утримання, оскільки нині життєзабезпечення непрацездатних осіб, перш за все  дітей, в значній мі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 відбувається за допомогою аліментування. Гарантіями здійснення права на утримання є існуючі в суспільстві умови, що забезпечують реалізацію юридичних можливостей, які воно в себе включа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є.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Юридичними гарантіями є норми права, що визначають поведінку осіб, які беруть участь в процесі здійснення і захисту права на утримання, і спрямовані на забезпечення уповноваженому непрацездатному члену сім'ї реальної можливості життєзабезпечення себе за рахунок інших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осіб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0442C2" w:rsidRPr="000442C2" w:rsidRDefault="000442C2" w:rsidP="000442C2">
      <w:pPr>
        <w:shd w:val="clear" w:color="auto" w:fill="FFFFFF"/>
        <w:spacing w:after="0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Норми, спрямовані на забезпечення уповноважених на отримання аліментів членів сім'ї, мають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ізну галузеву приналежність. Їх вивчення дозволяє побудувати систему гарантій здійснення права на утримання (аліменти).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Разом з тим, оцінюючи ефективність правового механізму життєзабезпечення непрацездатних нужденних членів сім'ї, слід зробити висновок, що встановлених норм-гарантій недостатньо, нерідко вони носять суперечливий характер.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метою захисту прав непрацездатних членів сім'ї та їх майнових інтересів необхідна подальша розробка системи такого роду юридичних гарантій.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bookmarkStart w:id="0" w:name="_GoBack"/>
      <w:bookmarkEnd w:id="0"/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hanging="1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lastRenderedPageBreak/>
        <w:t>СПИСОК ВИКОРИСТАНИХ ДЖЕРЕЛ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hanging="1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1. Конституція України : закон України від 28.06.1996 р. № 254к/96-ВР із зм. та доп., внес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г. законів України; станом на 30.09.2016 р. – Режим доступу: http://zakon.rada.gov.ua/laws/show/254к/96-вр. – Назва з екрану.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2. Лонь Д. С., Ольвінська Ю. О. Порівняльний аналіз доходів населення України та деяких країн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св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іту. – Режим доступу: http://dspace.oneu.edu.ua/jspui/bitstream/123456789/6537/1. – Назва з екрану.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3. Статистична інформація про звернення до Уповноваженого Верховно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ї Р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ади України з прав людини у 2017 році. – Режим доступу: http://www.ombudsman.gov.ua/ua/page/applicant/statistics. – Назва з екрану.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4. Покровский И.А. Основные проблемы гражданского права. – 7-е изд., стереот. – М.: Статут, 2016. – 351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5. Петражицкий Л. И. Теория права и государства в связи с теорией нравственности в 2 ч. Часть 1. — М.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Издательство Юрайт, 2018. – 295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6. Санфилиппо Ч. Курс римского частного права : учебник; пер. с итал. И. И. Маханькова; под общ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ед. Д. В. Дождева. - М.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Норма, 2007. - 464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7. Шершеневич Г.Ф. Общая теория права: Философия права. Часть теоретическая Т. 1: Вып. 1-4. - М.: Бр. Башмаковы, 1910. - 839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8. Загальна теорія держави і права  :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ідручник для студентів юридичних вищих навчальних закладів / М. В. Цвік, О. В. Петришин, Л. В. Авраменко та ін.; За ред. д-ра юрид. наук, проф., акад. АПрН України М. В. Цвіка, д-ра юрид. наук, проф., акад. АПрН України О. В. Петришина. — Харків: Право, 2009. — 584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9. Общая теория государства и права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академический курс. В 2 т. - Т. 1. Т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10. Бошицький Ю., Чернецька О. Реформування національної правової системи в контексті формування європейського правового простору // Юридичний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існик України. — 2009. — 5–18 грудня. — № 49–50 (753–754). – С. 15-22.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11. Майданик Р.О. Право України: дуалізм і система // Приватне право. – 2013. - №1. – С. 26-41.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12.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Труба В.І. Про сумісність приватного і публічного інтересів у сімейному праві // Актуальні проблеми держави і права. - 2011.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- Вип. 57. - С. 434-440.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13. Братусь С.Н. Предмет и система советского гражданского права. – М.: Госюриздат, 1963. – 198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14. Нечаева А.М. Семейное право как самостоятельная отрасль // Государство и право на рубеже веков. Материалы Всероссийской конференции. - М., 2001. - С. 26-27.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15. Червоный Ю. С. Понятие и особенности семейных правоотношений // Цивільне право. — 2002. — Вип. 1. — С. 16–23.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16. Харитонов Є. О. До питання про визначення місця сімейного законодавства у правовій системі України //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існик Харківського національного університету імені В. Н. Каразіна. — 2010. — № 929. — С. 399–404.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17. Антокольская М.В. Семейное право. - 2-е изд., перераб. и доп. - М.: Юристъ, 2002. — 336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18. Боднар Т.В. Cімейне право у системі права України // Приватне право. – 2013. - №1. – С. 129-134.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19. Тарусина H.H. Единство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частно-правовых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и публично-правовых начал в семейном праве и семейном законодательстве // Лушникова М.В., Лушников A.M., Тарусина Н.Н. Единство частных и публичных начал в правовом регулировании трудовых, социально-обеспечительных и семейных отношений. - Ярославсль, 2001. - С. 371-415.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20. Рабец А. М.  Методологические и теоретические проблемы правового  регулирования отношений по взаимному алиментированию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автореф. дисс... д-ра юрид. наук. Специальность 12.00.03 - Гражданское право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;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Семейное право ; Гражданский процесс ; Международное частное право /Министерство науки, высшего образования и технической политики РФ. Томский государственный университет им. В. В. Куйбышева. Юридический факультет. - Томск,1992. - 43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21. Сімейний кодекс України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:з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акон України від 10.01.2002 р. із зм. та доп., внес. зг. законів України; станом на 03.07.2018 р. – Режим доступу: http://zakon.rada.gov.ua/laws/show/2947-14. – Назва з екрану.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22. Семейный кодекс Российской Федерации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федеральный закон РФ от 29.12.1995 N 223-ФЗ с изм. и доп., внес. ФЗ; по сост. на 03.08.2018. – Режим доступа: http://www.consultant.ru/document/cons_doc_LAW_8982/. – Название с экрана.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23. Семейное право: проблемы и перспективы развития: Материалы «Круглого стола» // Государство и право. - 1999. - №9. - С. 90-97.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24. Дзлиев М.И. Каждому хочется жить в стабильном государстве // Вестник РАН. - 1998. - Т. 68. - №1.- С. 11-19.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25. Шершеневич Г.Ф. Учебник русского гражданского права (по изданию 1907 г.) / Вступ. ст.  Е.А. Суханов. – М.: Фирма «СПАРК», 1995. – 556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26. Жилінкова І. В. Регулювання майнових відносин у сім’ї: тенденції розвитку цивільного та сімейного законодавства // Правова система України: історія, стан та перспективи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5 т. — Т. 3 : Цивільно-правові науки. Приватне право / за заг. ред. Н. С. Кузнєцової. — Х., 2008. — С. 452–472.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27. Гражданский кодекс Российской Федерации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федеральный закон РФ от 30.11.1994 N 51-ФЗ с изм. и доп., внес. ФЗ; по сост. на 03.08.2018. – Режим доступа: http://www.consultant.ru/document/cons_doc_LAW_8982/. – Название с экрана.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28. Ромовська З. В. Сімейний кодекс України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науково-практичний коментар. – К.:  Видавничий Ді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м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“Ін Юре”, 2003. – 532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29. Агарков М.М. Обязательство по советскому гражданскому праву. – М.: Юридическое издательство НКЮ СССР, 1940. – 192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30. Пергамент А.И. Алиментные обязательства по советскому праву. - М.: Госюриздат, 1951. - 167 c.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31. Шершньова О.А. Правове регулювання відносин утримання (аліментування): термінологічна проблема // Актуальні проблеми міжнародних відносин.- Вип. 114 (Частина ІI). – 2013. – С. 67-72.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32. Французский гражданский кодекс / пер. с фр. А.А. Жукова, Г.А. Пашковская. – СПб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.: 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Издательство «Юридический центр Пресс», 2004. – 1101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33. Гражданское уложение Германии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Ввод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акон к Гражд. уложению / пер. с нем.; науч. ред. А.Л. Маковский [и др.].  – М.: Волтерс Клувер, 2004. – 816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34.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>Windscheid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>B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>Lehrbuch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>des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>Pandektenrechts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- 5.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>Aufl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Stuttgart , 1879 - XVII, 816 S. – Режим доступу: http://dlib-pr.mpier.mpg.de/m/kleioc/0010/exec/books/%22243107%22. – Назва з екрану.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35. Цивільний кодекс України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:з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акон України від 16.01.2004 р. із зм. та доп., внес. зг. законів України; станом на 12.07.2018 р. – Режим доступу: http://zakon.rada.gov.ua/laws/show/435-15. – Назва з екрану.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36. Гражданское право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Учебник / [Н. Д. Егоров, И. В. Елисеев, А. А. Иванов и др.]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;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Под ред. А. П. Сергеева, Ю. К. Толстого. - 2-е изд., перераб. и доп. - Ч. 2. - М.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Проспект : ТОО "ТЕИС", 1996. - 596 с. 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37. Поленина С.В. Взаимодействие системы права и системы законодательства в современной России // Государство и право. - 1999. - №9. - С. 7-14.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38. Братусь С.Н. Предмет и система советского гражданского права. – М.: Госюриздат, 1963. - 196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39. Косова О.Ю. Семейно-правовое регулирование отношений по предоставлению содержани членам семьи: дисс... д-ра юрид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.н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аук: 12.00.03 -гражданское право; предпринимательское право; семейное право; международное частное право / Институт государства и права Российской Академии Наук. – М., 2005. – 385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40. Ершова Н.М. Имущественные правоотношения в семье. - М.: Наука, 1979. - 159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41. Масевич М.Г. Основания возникновения алиментных обязатель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ств // Пр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авовые вопросы семьи и воспитания детей. - М.: Юрид. лит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., 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1968. - С. 87-96.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42. Словник української мови. Академічний тлумачний словник (1970—1980)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11 т. – Режим доступу: http://sum.in.ua/s/obov.jazok. – Назва з екрану.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43. Словник української мови. Академічний тлумачний словник (1970—1980). В 11 т. – Режим доступу http://sum.in.ua/s/zobov.jazannja. – Назва з екрану.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44. Иоффе О.С. Советское гражданское право: Курс лекций. В 3 ч. — Ч. 3. Правоотношения, связанные с продуктами творческой деятельности. Семейное право. Наследственное право. - Л.: Изд-во ЛГУ, 1965. — 347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45. Ухвала ВССУ по справі № 299/3019/16-ц від 01 листопада 2017 р.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–Р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ежим доступу: http://reyestr.court.gov.ua. – Назва з домашньої сторінки Інтернету.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46. Рогович Л.Н. Алиментные правоотношения супругов: учебное пособие. – Владивосток, 1974. – 133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47. Сімейне право України: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ідручник / Т. В. Боднар, В. С. Гопанчук, О. В. Дзера та ін.; за заг. ред. Т. В. Боднар та О. В. Дзери. - Київ: Юрінком Інтер, 2016. - 519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48. Про пенсійне забезпечення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закон України від 5.11.1991 р.; із зм. та доп., внес зг. законів України; станом на 25.07.2018 р. – Режим доступу: http://zakon.rada.gov.ua/laws/show/1788-12. – Назва з екрану.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49. О страховых пенсиях : федеральный закон РФ от 17.12.2001 г. 28.12.2013 N 400-ФЗ; в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ред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ФЗ от 27.06.2018. – Режим доступа: http://www.consultant.ru/document/cons_doc_LAW_156525/. – Название с экрана.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50. Чундак М. В. Стягнення аліментів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порядку наказного провадження. Основні проблеми та шляхи до вдосконалення Законодавчих норм / М.В. Чундак //  Часопис Академії адвокатури України. – 2012. –  № 2. – С. 1–6.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51. Münchener Kommentar zum Bürgerlichen Gesetzbuch: BGB Band 9: Familienrecht II §§ 1589-1921, SGB VIII. – Режим доступу: http://www.beck-shop.de/fachbuch/inhaltsverzeichnis/Familienrecht-II-1589-1921-SGB-VIII-9783406614682_1502201206154315_ihv.pdf. – Назва з екрану.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52. Katharina Hilbig-Lugani. Staat - Familie - Individuum: Eine rechtsvergleichende Betrachtung zu Unterhaltsverhältnissen und ihrer privatautonomen Gestaltbarkeit in Deutschland, England und Wales, Frankreich und Schweden. - Mohr Siebeck, 2014. - 550 s. – Режим доступу: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https://books.google.com.ua/books?id=NHsp_pIHN9oC&amp;printsec=frontcover&amp;hl=ru&amp;source=gbs_ge_summary_r&amp;cad=0#v=onepage&amp;q&amp;f=false. – Назва з екрану. 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53. Морандьер, Л. Ж. Гражданское право Франции / пер. с фр. и вступ. ст. Е. А. Флейшиц.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-М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. :Изд-во иностранной литературы, 1960. -Т.2. -  728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54. Агарков М.М. Обязательство по советскому гражданскому праву. – М.: Юридическое издательство НКЮ СССР, 1940. – 192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55. Новицкий И.Б., Лунц Л.А.. Общее учение об обязательстве. - М.: Юр.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лит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., 1950. – 412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56. Александров Н. Г. Законность и правоотношения в советском обществе.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-М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. : Госюриздат,1955. -176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57. Магазинер Я. М. Объект права // Правоведение. -2000. - № 6 (233). - С. 202-213.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58. Юрченко А.К. Объект изобретательского права (в связи с общей проблемой объекта права) // Очерки по гражданскому праву: Сб. статей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 О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тв. ред. проф. О.С, Иоффе. - Л., 1957. - С. 237-238.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59. Учебник: в 3 т. Том 1: — 6-е изд., перераб. и доп. / под ред. Сергеева А. П., Толстого Ю. К. — М.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ТК Велби, Изд-во Проспект, 2005. — 776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60. Цивільне право України : навч.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ібник / І. І. Килимник,  А. М. Бровдій, Д. Є. Кутоманов; Харк. нац. ун-т міськ. госп-ва  ім. О. М. Бекетова; Х. : ХНУМГ. – 2014. – 225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61. Российское гражданское право: Учебник: В 2-х томах. Том I. Общая часть. Вещное право. Наследственное право. Интеллектуальные права. Личные неимущественные права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 О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тв. ред. Е.А. Суханов. — М.: Статут, 2011. – 549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62. Советское семейное право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Учебник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 П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од ред. В. А. Рясенцева. - М.: Юридическая литература, 1982. - 256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63. Ромовська З.В. Українське сімейне право: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ідручник: академічний курс. – К.: Правова єдність, 2009. – 500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64. Шершеневич Г.Ф. Общая теория права: Философия права. Часть теоретическая Т. 1: Вып. 1-4 / - М.: Бр. Башмаковы, 1910. - 839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65. Толстой Ю.К. К теории правоотношения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- – 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Л.: Издательство Ленинградского Университета, 1959. – 88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66. Общая теория государства и права. В 3-х т. Т. 2. Право: Академ. курс / М.Н. Марченко, С.Н. Бабурин и др.; Отв. ред. М.Н. Марченко - 4-e изд., перераб. и доп. - М.: Норма: НИЦ ИНФРА-М, 2013. - 816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67. Михайлов С. В. Интерес как общенаучная категория и ее отражение в науке гражданского права // Государство и право. - 1999. - №7. - С. 88-95.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68. Дякович М.М. Поняття інтересу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сім’ї та у сімейних відносинах: цивільно-правовий аспект // Право і громадянське суспільство. – 2014. - №1. – С. 78-87.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68. Решетник Є. Поняття суб'єктивного сімейного інтересу та загальні засади його судового захисту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// В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існик Київського національного університету імені Тараса Шевченка. Сер. «Юридичні науки». -  2013. - №. 4(98). – С. 84-86.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69. Долгов Ю.Г.  Охраняемый законом интерес в семейном праве // Право и политика.- 2003.  - №4. - С. 90-96.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70. Ватрас В.А. Суб’єкти сімейних правовідносин: автореф. дис... канд. юрид. наук: 12.00.03 - циві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льне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право і цивільний процес; сімейне право; міжнародне приватне право. – К., 2008. – 19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71. Орлова Н.В. Брак и семья в международном частном праве. - М.: Изд. «Международные отношения», 1996. - 253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72. Пчелинцева Л.М. Семейное право России. Учебник для вузов. — 3-е изд., перераб. и доп. — М.: Норма, 2004. — 688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73. Кулаков В.В. Межотраслевые связи семейного права  // Семейное право и законодательство: политические и социальные ориентиры совершенствования: Междунар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.н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аучно-практи.конф. – Тверь: Твер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.г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ос.ун-т, 2015. – С. 124-128.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74. Свидерский В.И. О диалектике элементов и структур в объективном мире и в познании. - М.: Издательство социально-экономической литературы, 1962. – 276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75. Пугинский Б.И. Теория и практика договорного регулирования. - М.: ИКД Зерцало-М, 2008. – 213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76. Кокова Д.А. Содержание семейных отношений: автореф. дисс... канд. юрид. наук: 12.00.03 . – М., 2017. – 21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77.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Патюлин В.А. Субъективные права граждан: основные черты, стадии, гарантии реализации // Советское государство и право. - 1971. - № 6. - С. 25-31.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78. Теория государства и права: Курс лекций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 П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од ред. Н.И. Матузова, А.В. Малько. - 3-e изд., перераб. и доп. - М.: Норма: НИЦ Инфра-М, 2012. - 640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79. Теория государства и права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учебник для бакалавров / В. Д. Перевалов. — 3-е изд., испр. и доп. — М. : Издательство Юрайт, 2015. — 428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80. Спиридонов Л. И. Теория государства и права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Учебник / Л.И. Спиридонов. – М.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Проспект, 1996. - 301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81. Теория государства и права. Учебник для юридических вузов и акультетов / под ред. В. М. Корельского, В.Д. Перевалова — М.: Издательская группа ИНФРА-М—НОРМА, 1997. – 628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82. Теория государства и права: элементарный курс / Н. Н. Крестовская, Л. Г. Матвеева. — Х.: Одиссей, 2008. — 442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83. Горбась Д.В. Здійснення суб'єктивних цивільних прав фізичних осіб: поняття, способи, межі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автореф. дис... канд. юрид. наук: спец. 12.00.03 – цивільне право і цивільний процес; сімейне право; міжнародне приватне право. – К., 2009. – 19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84. Чурпіта Г.В. Захист сімейних прав та інтересів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порядку непозовного цивільного судочинства. Монографія. – К.: Алерта, 2016. – 434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85. Афанасьєва Л. В. Аліментні правовідносини в Україні: дис. ... канд. юрид. наук: спец. 12.00.03 – цивільне право і цивільний процес; сімейне право;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м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іжнародне приватне право. — X., 2003. — 187 с. 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86. Конвенція про права дитини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схвалена резолюцією 50/155 Генеральної Асамблеї ООН  від 21 грудня 1995 року; ратифіковано Постановою ВР № 789-XII від 27.02.91 р. – Режим доступу: http://zakon.rada.gov.ua/laws/show/995_021. – Назва з екрану.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87. Узагальнення судової практики у справах про стягнення аліментів за 2015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ік – перше півріччя 2016 року. – Режим доступу: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https://koa.court.gov.ua/sud1090/pokazniki-diyalnosti/uzagalnennya/uz11. – Назва з екрану.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88. Обзор  судебной практики по делам, связанным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со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взысканием алиментов на несовершеннолетних детей, а также на нетрудоспособных совершеннолетних детей. – Режим доступа: http://advokat-zashchitnik.ru/grazdanskoe_delo/VS-obzor-vzuskanie-alimentov.pdf. – Название с экрана.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89. Постановлени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t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Пленума Верховного Суда РФ «О применении судами Семейного кодекса Российской Федерации при рассмотрении дел об установлении отцовства и о взыскании алиментов» от 25 октября 1996 года № 9 // Бюллетень Верховного Суда РФ. - 1997. - № 1. – C. 11-13.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90.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ішення Бердичівського міськрайонного суду Житомирської області від 13.09.2018 по справі № 274/2292/18. – Режим доступу: http://reyestr.court.gov.ua/Page/1. – Назва з екрану.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91. Terpitz W. Terpitz J. Rechte der Jugendlichen von A-Z zwischen 14 und 18.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>- 3e Auflage: Deutschen Taschenbuch.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- 2000. – 125 s.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>92. Gesetz zur Vereinheitlichung des Unterhaltsrechts minderjähriger Kinder (Kindesunterhaltsgesetz - KindUG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>)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G. v. 06.04.1998.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доступа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>: https://www.buzer.de/gesetz/2239/index.htm.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Название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экрана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93. О запрещении абортов, увеличении материальной помощи роженицам, установлении государственной помощи многосемейным, расширении сети родильных домов, детских яслей и детских садов, усилении уголовного наказания за неплатёж алиментов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постановление ЦИК и СНК СССР от 27.06.1936 г. – Режим доступа: http://istmat.info/node/46164. – Название с экрана.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94. Рустамова Ю. А. Правовое регулирование алиментных отношений в Российской Федерации и проблемы их совершенствования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:а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втореф. 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дисс... канд. юрид. наук : специальность 12.00.03 - Гражданское  право ; Предпринимательское право ; Семейное право ;  Международное частное право.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-М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., 2002. -24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95.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ішення Вищого спеціалізованого суду України з розгляду цивільних і кримінальних справ у своєму рішенні від 25.08.2011 року по справі № № 555/664/15-ц. – Режим доступу: http://reyestr.court.gov.ua/Page/1. – Назва з екрану.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96. Сапейко Л.В. Правове регулювання аліментних обов’язків батьків і дітей: автореф. дис... канд. юрид. наук: спец.  12.00.03 – цивільне право та цивільний процес; сімейне право;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м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іжнародне приватне право. – Х., 2003. – 19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97.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ішення Верховного суду ФРН від 24.10.2002 р. № XІІ ZR 266/01. – Режим доступу:  http:www.bundesgeridjIsbof.de.- Назва з екрану.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98.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ішення Федерального конституційного суду ФРН № lbvrl50896 від  06.07.2005. – Режим доступу: www.bverfg.de. – Назва з екрану.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99. Committee of Ministers.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>Resolution (78) 37 on Equality of Spouses in Civil Law.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Adopted on 27 September 1978 (292nd Meeting of the Ministers’ Deputies).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100.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Косова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Ю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Фактические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браки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семейное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право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Правоведение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- 1999.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>- № 3.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-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>. 105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120.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101.  Фуников А.А. Правовая регламентация отношений супругов и бывших супругов по предоставлению содержания: автореф. дис... канд. юрид. наук. - Саратов, 2003. - 22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102. Хазова О.А. Брак и развод в буржуазном семейном праве. (Сравнительно-правовой анализ). - М.: Наука, 1988. - 172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103. Барон Ю. Система римского гражданского права. В 6 кн. – Кн. 5 «Семейственное право». - СПб: Издательство Р.Асланова «Юридический центр Пресс», 2005. – 1100 с.</w:t>
      </w:r>
    </w:p>
    <w:p w:rsidR="000442C2" w:rsidRPr="000442C2" w:rsidRDefault="000442C2" w:rsidP="000442C2">
      <w:pPr>
        <w:shd w:val="clear" w:color="auto" w:fill="FFFFFF"/>
        <w:spacing w:after="0" w:line="360" w:lineRule="auto"/>
        <w:ind w:left="10" w:right="5" w:firstLine="5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104. Шимон С. І. Цивільне та торгове право зарубіжних країн. Навч. </w:t>
      </w:r>
      <w:proofErr w:type="gramStart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0442C2">
        <w:rPr>
          <w:rFonts w:ascii="Times New Roman" w:eastAsia="Times New Roman" w:hAnsi="Times New Roman" w:cs="Times New Roman"/>
          <w:sz w:val="28"/>
          <w:szCs w:val="28"/>
          <w:lang w:val="ru-RU"/>
        </w:rPr>
        <w:t>іб. (Курс лекцій). — К.: КНЕУ, 2004. — 220 с.</w:t>
      </w:r>
    </w:p>
    <w:p w:rsidR="000442C2" w:rsidRPr="000442C2" w:rsidRDefault="000442C2">
      <w:pPr>
        <w:rPr>
          <w:lang w:val="ru-RU"/>
        </w:rPr>
      </w:pPr>
    </w:p>
    <w:sectPr w:rsidR="000442C2" w:rsidRPr="000442C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59E3"/>
    <w:rsid w:val="000442C2"/>
    <w:rsid w:val="003C5D79"/>
    <w:rsid w:val="00B85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60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23</Pages>
  <Words>26721</Words>
  <Characters>15231</Characters>
  <Application>Microsoft Office Word</Application>
  <DocSecurity>0</DocSecurity>
  <Lines>126</Lines>
  <Paragraphs>83</Paragraphs>
  <ScaleCrop>false</ScaleCrop>
  <Company/>
  <LinksUpToDate>false</LinksUpToDate>
  <CharactersWithSpaces>41869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2019-11-15T10:28:00Z</dcterms:created>
  <dcterms:modified xsi:type="dcterms:W3CDTF">2019-11-15T10:30:00Z</dcterms:modified>
</cp:coreProperties>
</file>