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9A6" w:rsidRDefault="008B59A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f0"/>
        <w:tblW w:w="9356" w:type="dxa"/>
        <w:tblInd w:w="26" w:type="dxa"/>
        <w:tblLayout w:type="fixed"/>
        <w:tblLook w:val="0400" w:firstRow="0" w:lastRow="0" w:firstColumn="0" w:lastColumn="0" w:noHBand="0" w:noVBand="1"/>
      </w:tblPr>
      <w:tblGrid>
        <w:gridCol w:w="9356"/>
      </w:tblGrid>
      <w:tr w:rsidR="008B59A6">
        <w:tc>
          <w:tcPr>
            <w:tcW w:w="9356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ОДЕСЬКИЙ НАЦІОНАЛЬНИЙ УНІВЕРСИТЕТ ІМЕНІ І. I. МЕЧНИКОВА</w:t>
            </w:r>
            <w:r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hidden="0" allowOverlap="1">
                      <wp:simplePos x="0" y="0"/>
                      <wp:positionH relativeFrom="column">
                        <wp:posOffset>5784850</wp:posOffset>
                      </wp:positionH>
                      <wp:positionV relativeFrom="paragraph">
                        <wp:posOffset>-411479</wp:posOffset>
                      </wp:positionV>
                      <wp:extent cx="427355" cy="257175"/>
                      <wp:effectExtent l="0" t="0" r="0" b="0"/>
                      <wp:wrapNone/>
                      <wp:docPr id="99" name="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38673" y="3657763"/>
                                <a:ext cx="414655" cy="244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FFFFFF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8B59A6" w:rsidRDefault="008B59A6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5784850</wp:posOffset>
                      </wp:positionH>
                      <wp:positionV relativeFrom="paragraph">
                        <wp:posOffset>-411479</wp:posOffset>
                      </wp:positionV>
                      <wp:extent cx="427355" cy="257175"/>
                      <wp:effectExtent b="0" l="0" r="0" t="0"/>
                      <wp:wrapNone/>
                      <wp:docPr id="99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27355" cy="2571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 w:rsidR="008B59A6">
        <w:tc>
          <w:tcPr>
            <w:tcW w:w="9356" w:type="dxa"/>
          </w:tcPr>
          <w:p w:rsidR="008B59A6" w:rsidRDefault="008B59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іологічний факультет</w:t>
            </w:r>
          </w:p>
        </w:tc>
      </w:tr>
      <w:tr w:rsidR="008B59A6">
        <w:tc>
          <w:tcPr>
            <w:tcW w:w="9356" w:type="dxa"/>
          </w:tcPr>
          <w:p w:rsidR="008B59A6" w:rsidRDefault="008B59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Кафедра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ікробіології, вірусології та біотехнології</w:t>
            </w:r>
          </w:p>
        </w:tc>
      </w:tr>
    </w:tbl>
    <w:p w:rsidR="008B59A6" w:rsidRDefault="008B59A6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B59A6" w:rsidRDefault="008B59A6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B59A6" w:rsidRDefault="003E39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Кваліфікаційна робота</w:t>
      </w:r>
    </w:p>
    <w:p w:rsidR="008B59A6" w:rsidRDefault="003E39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здобуття ступеня вищої освіти «Магі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8B59A6" w:rsidRDefault="003E39E1">
      <w:pPr>
        <w:pBdr>
          <w:top w:val="nil"/>
          <w:left w:val="nil"/>
          <w:bottom w:val="nil"/>
          <w:right w:val="nil"/>
          <w:between w:val="nil"/>
        </w:pBdr>
        <w:spacing w:before="240" w:after="0" w:line="259" w:lineRule="auto"/>
        <w:ind w:left="283" w:right="-2" w:firstLine="705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тему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«Порівняльний аналіз кластері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б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іос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нтетичних генів штаму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Bacillus subtilis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ONU 1125 з іншими представниками роду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Bacillus»</w:t>
      </w:r>
    </w:p>
    <w:p w:rsidR="008B59A6" w:rsidRPr="003E39E1" w:rsidRDefault="003E39E1">
      <w:pPr>
        <w:pBdr>
          <w:top w:val="nil"/>
          <w:left w:val="nil"/>
          <w:bottom w:val="nil"/>
          <w:right w:val="nil"/>
          <w:between w:val="nil"/>
        </w:pBdr>
        <w:spacing w:before="240" w:after="0" w:line="259" w:lineRule="auto"/>
        <w:ind w:left="141" w:right="-2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</w:pPr>
      <w:r w:rsidRPr="003E39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«Comparative analysis of biosynthetic gene clusters of </w:t>
      </w:r>
      <w:r w:rsidRPr="003E39E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 xml:space="preserve">Bacillus subtilis </w:t>
      </w:r>
      <w:r w:rsidRPr="003E39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ONU 1125 strain with other representatives of the genus </w:t>
      </w:r>
      <w:r w:rsidRPr="003E39E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Bacillus»</w:t>
      </w:r>
    </w:p>
    <w:p w:rsidR="008B59A6" w:rsidRPr="003E39E1" w:rsidRDefault="008B59A6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left="1416"/>
        <w:rPr>
          <w:rFonts w:ascii="Times New Roman" w:eastAsia="Times New Roman" w:hAnsi="Times New Roman" w:cs="Times New Roman"/>
          <w:b/>
          <w:bCs/>
          <w:color w:val="000000"/>
          <w:lang w:val="en-US"/>
        </w:rPr>
      </w:pPr>
    </w:p>
    <w:p w:rsidR="008B59A6" w:rsidRPr="003E39E1" w:rsidRDefault="003E39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401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Виконав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здобувач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денної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навчання</w:t>
      </w:r>
    </w:p>
    <w:p w:rsidR="008B59A6" w:rsidRPr="003E39E1" w:rsidRDefault="003E39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401" w:right="-607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спец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іальності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162,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Біотехнологія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біоінженерія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</w:p>
    <w:p w:rsidR="008B59A6" w:rsidRDefault="003E39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401" w:right="-58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Освітня програма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іотехнологія та біоінженерія</w:t>
      </w:r>
    </w:p>
    <w:p w:rsidR="008B59A6" w:rsidRDefault="008B5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40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B59A6" w:rsidRDefault="003E39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40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Александрович Дмитро Олексійович </w:t>
      </w:r>
    </w:p>
    <w:p w:rsidR="008B59A6" w:rsidRDefault="008B5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</w:rPr>
      </w:pPr>
    </w:p>
    <w:p w:rsidR="008B59A6" w:rsidRDefault="003E39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40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Науковий керівник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к.б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.н., доцент  </w:t>
      </w:r>
    </w:p>
    <w:p w:rsidR="008B59A6" w:rsidRDefault="003E39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40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Васильєва Н. Ю. </w:t>
      </w:r>
    </w:p>
    <w:p w:rsidR="008B59A6" w:rsidRDefault="008B5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40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B59A6" w:rsidRDefault="003E39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40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Рецензент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к.б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.н., доцент Назарчук Ю. 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8B59A6" w:rsidRDefault="008B5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40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B59A6" w:rsidRDefault="008B5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f1"/>
        <w:tblW w:w="9016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304"/>
        <w:gridCol w:w="4712"/>
      </w:tblGrid>
      <w:tr w:rsidR="008B59A6">
        <w:tc>
          <w:tcPr>
            <w:tcW w:w="4304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Рекомендовано до захисту:</w:t>
            </w:r>
          </w:p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Протокол засідання кафедри</w:t>
            </w:r>
          </w:p>
        </w:tc>
        <w:tc>
          <w:tcPr>
            <w:tcW w:w="4712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Захищено на засіданні ЕК No _____</w:t>
            </w:r>
          </w:p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протокол No __від _______.20___ р.</w:t>
            </w:r>
          </w:p>
          <w:p w:rsidR="008B59A6" w:rsidRDefault="008B59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B59A6">
        <w:tc>
          <w:tcPr>
            <w:tcW w:w="4304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__________________________</w:t>
            </w:r>
          </w:p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No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___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від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____.____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20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___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р.</w:t>
            </w:r>
          </w:p>
        </w:tc>
        <w:tc>
          <w:tcPr>
            <w:tcW w:w="4712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Оцінка_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_____________/______/____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</w:t>
            </w:r>
          </w:p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(за національною шкалою/шкалою ЕСТ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S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/ бали)</w:t>
            </w:r>
          </w:p>
        </w:tc>
      </w:tr>
      <w:tr w:rsidR="008B59A6">
        <w:tc>
          <w:tcPr>
            <w:tcW w:w="4304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Завідува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ка) кафедри</w:t>
            </w:r>
          </w:p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_______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_____________</w:t>
            </w:r>
          </w:p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ідпис) (прізвище,ім’я)</w:t>
            </w:r>
          </w:p>
        </w:tc>
        <w:tc>
          <w:tcPr>
            <w:tcW w:w="4712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Голова ЕК</w:t>
            </w:r>
          </w:p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_____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________</w:t>
            </w:r>
          </w:p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ідпис)(прізвище, ім’я)</w:t>
            </w:r>
          </w:p>
        </w:tc>
      </w:tr>
    </w:tbl>
    <w:p w:rsidR="008B59A6" w:rsidRDefault="008B5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B59A6" w:rsidRDefault="008B59A6">
      <w:pPr>
        <w:pStyle w:val="1"/>
        <w:spacing w:after="0" w:line="240" w:lineRule="auto"/>
        <w:ind w:left="0" w:firstLine="3540"/>
        <w:jc w:val="center"/>
      </w:pPr>
    </w:p>
    <w:p w:rsidR="008B59A6" w:rsidRDefault="003E39E1">
      <w:pPr>
        <w:pStyle w:val="1"/>
        <w:spacing w:after="0" w:line="240" w:lineRule="auto"/>
        <w:ind w:left="0" w:firstLine="0"/>
        <w:jc w:val="center"/>
        <w:sectPr w:rsidR="008B59A6">
          <w:headerReference w:type="default" r:id="rId10"/>
          <w:pgSz w:w="11906" w:h="16838"/>
          <w:pgMar w:top="1134" w:right="851" w:bottom="1134" w:left="1701" w:header="720" w:footer="720" w:gutter="0"/>
          <w:pgNumType w:start="1"/>
          <w:cols w:space="720"/>
        </w:sectPr>
      </w:pPr>
      <w:r>
        <w:t>Одеса- 2025</w:t>
      </w:r>
    </w:p>
    <w:p w:rsidR="008B59A6" w:rsidRDefault="003E39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АНОТАЦІЯ</w:t>
      </w:r>
      <w:r>
        <w:rPr>
          <w:noProof/>
          <w:lang w:val="ru-RU"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5821680</wp:posOffset>
                </wp:positionH>
                <wp:positionV relativeFrom="paragraph">
                  <wp:posOffset>-368299</wp:posOffset>
                </wp:positionV>
                <wp:extent cx="469900" cy="288925"/>
                <wp:effectExtent l="0" t="0" r="0" b="0"/>
                <wp:wrapNone/>
                <wp:docPr id="98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17400" y="3641888"/>
                          <a:ext cx="4572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FFFFF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B59A6" w:rsidRDefault="008B59A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5821680</wp:posOffset>
                </wp:positionH>
                <wp:positionV relativeFrom="paragraph">
                  <wp:posOffset>-368299</wp:posOffset>
                </wp:positionV>
                <wp:extent cx="469900" cy="288925"/>
                <wp:effectExtent b="0" l="0" r="0" t="0"/>
                <wp:wrapNone/>
                <wp:docPr id="98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9900" cy="288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8B59A6" w:rsidRDefault="003E39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Проведено комплексне порівняльне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досл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ідження біосинтетичних генних кластерів (BGC) вторинних метаболітів у представників роду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Bacillus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ізольованих із різних середовищ з ізолятом з донних відкладень Чорного моря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Bacillus subtilis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ONU 1125. За допомогою інструментів біоінформатичного аналізу такими як antiSMASH, TYGS, BiG-SCAPE, clinker, UniProt, 3D-моделювання встановлено видові відмінності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складі та структурній організації кластерів PKS, NRPS, RiPP, та терпенов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их шляхів. </w:t>
      </w:r>
    </w:p>
    <w:p w:rsidR="008B59A6" w:rsidRDefault="003E39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Оцінено унікальність і еволюційні зв’язки BGC, виявлено консервативні ядра та додаткові модифікуючі гени, що формують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ізноманітний хімічний потенціал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Bacillus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Проведено порівняння з промисловими штамами з метою визначення перспективних цілей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інженерної оптимізації BGC.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Показано потенціал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морських ізолятів Bacillus як джерела нових біоактивних молекул. Застосовані методи продемонстрували ефективність genome mining для виявлення природних продукті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8B59A6" w:rsidRDefault="003E39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Кваліфікаційну роботу викладено на 87 сто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рінках, вона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містить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 таблиці та 13 рисунків. Наведено посилання на 87 джерела літератури латиницею. </w:t>
      </w:r>
    </w:p>
    <w:p w:rsidR="008B59A6" w:rsidRDefault="003E39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Ключові слова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Bacillus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вторинні метаболіти, BGC, NRPS, PKS, RiPP, genome mining, біоінженерія.</w:t>
      </w:r>
    </w:p>
    <w:p w:rsidR="008B59A6" w:rsidRDefault="008B59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B59A6" w:rsidRPr="003E39E1" w:rsidRDefault="003E39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A comprehensive comparative analysis of biosynthetic g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ene clusters (BGCs) for secondary metabolites was performed across </w:t>
      </w:r>
      <w:r w:rsidRPr="003E39E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Bacillus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species, with Black Sea isolate </w:t>
      </w:r>
      <w:r w:rsidRPr="003E39E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 xml:space="preserve">Bacillus subtilis 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ONU 1125. Using bioinformatic tools such as antiSMASH, TYGS, BiG-SCAPE, clinker, UniProt, 3D-modelling, species-specific differenc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es in PKS, NRPS, RiPP, and terpenoid, pathways were identified. BGC uniqueness, evolutionary relationships, core genes, and tailoring enzymes were assessed. Comparison with industrial strains identified targets for engineering. Marine isolates show potenti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al as sources of novel bioactive molecules. Genome mining proved effective for discovering cryptic metabolites. </w:t>
      </w:r>
    </w:p>
    <w:p w:rsidR="008B59A6" w:rsidRPr="003E39E1" w:rsidRDefault="003E39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The qualification thesis comprises 87 pages and includes 4 tables and 13 figures. The reference list contains 87 sources in Latin script. </w:t>
      </w:r>
    </w:p>
    <w:p w:rsidR="008B59A6" w:rsidRPr="003E39E1" w:rsidRDefault="003E39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3E39E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 xml:space="preserve">Key </w:t>
      </w:r>
      <w:r w:rsidRPr="003E39E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words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: </w:t>
      </w:r>
      <w:r w:rsidRPr="003E39E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Bacillus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, secondary metabolites, BGC, NRPS, genome mining, bioengineering.</w:t>
      </w:r>
    </w:p>
    <w:p w:rsidR="008B59A6" w:rsidRPr="003E39E1" w:rsidRDefault="008B59A6">
      <w:pPr>
        <w:pStyle w:val="1"/>
        <w:rPr>
          <w:lang w:val="en-US"/>
        </w:rPr>
      </w:pPr>
    </w:p>
    <w:p w:rsidR="008B59A6" w:rsidRPr="003E39E1" w:rsidRDefault="008B59A6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ptos" w:eastAsia="Aptos" w:hAnsi="Aptos" w:cs="Aptos"/>
          <w:color w:val="000000"/>
          <w:sz w:val="24"/>
          <w:szCs w:val="24"/>
          <w:lang w:val="en-US"/>
        </w:rPr>
      </w:pPr>
    </w:p>
    <w:p w:rsidR="008B59A6" w:rsidRPr="003E39E1" w:rsidRDefault="008B59A6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ptos" w:eastAsia="Aptos" w:hAnsi="Aptos" w:cs="Aptos"/>
          <w:color w:val="000000"/>
          <w:sz w:val="24"/>
          <w:szCs w:val="24"/>
          <w:lang w:val="en-US"/>
        </w:rPr>
      </w:pPr>
    </w:p>
    <w:p w:rsidR="008B59A6" w:rsidRPr="003E39E1" w:rsidRDefault="008B59A6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ptos" w:eastAsia="Aptos" w:hAnsi="Aptos" w:cs="Aptos"/>
          <w:color w:val="000000"/>
          <w:sz w:val="24"/>
          <w:szCs w:val="24"/>
          <w:lang w:val="en-US"/>
        </w:rPr>
      </w:pPr>
    </w:p>
    <w:p w:rsidR="008B59A6" w:rsidRPr="003E39E1" w:rsidRDefault="008B59A6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ptos" w:eastAsia="Aptos" w:hAnsi="Aptos" w:cs="Aptos"/>
          <w:color w:val="000000"/>
          <w:sz w:val="24"/>
          <w:szCs w:val="24"/>
          <w:lang w:val="en-US"/>
        </w:rPr>
      </w:pPr>
    </w:p>
    <w:p w:rsidR="008B59A6" w:rsidRPr="003E39E1" w:rsidRDefault="008B59A6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ptos" w:eastAsia="Aptos" w:hAnsi="Aptos" w:cs="Aptos"/>
          <w:color w:val="000000"/>
          <w:sz w:val="24"/>
          <w:szCs w:val="24"/>
          <w:lang w:val="en-US"/>
        </w:rPr>
      </w:pPr>
    </w:p>
    <w:p w:rsidR="008B59A6" w:rsidRPr="003E39E1" w:rsidRDefault="008B59A6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ptos" w:eastAsia="Aptos" w:hAnsi="Aptos" w:cs="Aptos"/>
          <w:color w:val="000000"/>
          <w:sz w:val="24"/>
          <w:szCs w:val="24"/>
          <w:lang w:val="en-US"/>
        </w:rPr>
      </w:pPr>
    </w:p>
    <w:p w:rsidR="008B59A6" w:rsidRDefault="003E39E1">
      <w:pPr>
        <w:pStyle w:val="1"/>
      </w:pPr>
      <w:r>
        <w:lastRenderedPageBreak/>
        <w:t>ЗМІ</w:t>
      </w:r>
      <w:proofErr w:type="gramStart"/>
      <w:r>
        <w:t>СТ</w:t>
      </w:r>
      <w:proofErr w:type="gramEnd"/>
      <w:r>
        <w:rPr>
          <w:noProof/>
          <w:lang w:val="ru-RU"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5641340</wp:posOffset>
                </wp:positionH>
                <wp:positionV relativeFrom="paragraph">
                  <wp:posOffset>-453389</wp:posOffset>
                </wp:positionV>
                <wp:extent cx="692785" cy="353060"/>
                <wp:effectExtent l="0" t="0" r="0" b="0"/>
                <wp:wrapNone/>
                <wp:docPr id="100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05958" y="3609820"/>
                          <a:ext cx="680085" cy="340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FFFFF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8B59A6" w:rsidRDefault="008B59A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5641340</wp:posOffset>
                </wp:positionH>
                <wp:positionV relativeFrom="paragraph">
                  <wp:posOffset>-453389</wp:posOffset>
                </wp:positionV>
                <wp:extent cx="692785" cy="353060"/>
                <wp:effectExtent b="0" l="0" r="0" t="0"/>
                <wp:wrapNone/>
                <wp:docPr id="100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2785" cy="3530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f2"/>
        <w:tblW w:w="9242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472"/>
        <w:gridCol w:w="770"/>
      </w:tblGrid>
      <w:tr w:rsidR="008B59A6">
        <w:tc>
          <w:tcPr>
            <w:tcW w:w="8472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ВСТУП</w:t>
            </w:r>
            <w:proofErr w:type="gramEnd"/>
          </w:p>
        </w:tc>
        <w:tc>
          <w:tcPr>
            <w:tcW w:w="770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8B59A6">
        <w:tc>
          <w:tcPr>
            <w:tcW w:w="8472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ОГЛЯД ЛІТЕРАТУРИ</w:t>
            </w:r>
          </w:p>
        </w:tc>
        <w:tc>
          <w:tcPr>
            <w:tcW w:w="770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8B59A6">
        <w:tc>
          <w:tcPr>
            <w:tcW w:w="8472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1.1. Загальний огляд вторинних метаболітів.</w:t>
            </w:r>
          </w:p>
        </w:tc>
        <w:tc>
          <w:tcPr>
            <w:tcW w:w="770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8B59A6">
        <w:tc>
          <w:tcPr>
            <w:tcW w:w="8472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1.2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ізні види BGC вторинних метаболітів</w:t>
            </w:r>
          </w:p>
        </w:tc>
        <w:tc>
          <w:tcPr>
            <w:tcW w:w="770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8B59A6">
        <w:tc>
          <w:tcPr>
            <w:tcW w:w="8472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1.3. Загальна стратегія знаходження вторинних метаболіті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proofErr w:type="gramEnd"/>
          </w:p>
        </w:tc>
        <w:tc>
          <w:tcPr>
            <w:tcW w:w="770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</w:tr>
      <w:tr w:rsidR="008B59A6">
        <w:tc>
          <w:tcPr>
            <w:tcW w:w="8472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МАТЕРІАЛИ ТА МЕТОДИ</w:t>
            </w:r>
          </w:p>
        </w:tc>
        <w:tc>
          <w:tcPr>
            <w:tcW w:w="770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</w:tr>
      <w:tr w:rsidR="008B59A6">
        <w:tc>
          <w:tcPr>
            <w:tcW w:w="8472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2.1 Аналіз кластерів біосинтетичних генів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геномі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B. subtilis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ONU 1125</w:t>
            </w:r>
          </w:p>
        </w:tc>
        <w:tc>
          <w:tcPr>
            <w:tcW w:w="770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</w:tr>
      <w:tr w:rsidR="008B59A6">
        <w:tc>
          <w:tcPr>
            <w:tcW w:w="8472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2.2. Пошук споріднених  до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B. subtilis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ONU 1125 представників роду Bacillus з використанням  серверу TYGS</w:t>
            </w:r>
          </w:p>
        </w:tc>
        <w:tc>
          <w:tcPr>
            <w:tcW w:w="770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</w:tr>
      <w:tr w:rsidR="008B59A6">
        <w:tc>
          <w:tcPr>
            <w:tcW w:w="8472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2.3. Пошук ортологічних генів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геномах представників роду Bacillus споріднених  до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B. subtilis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ONU 1125</w:t>
            </w:r>
          </w:p>
        </w:tc>
        <w:tc>
          <w:tcPr>
            <w:tcW w:w="770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</w:tr>
      <w:tr w:rsidR="008B59A6">
        <w:tc>
          <w:tcPr>
            <w:tcW w:w="8472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2.4. Статистичний аналіз кластері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іосинтетичних генів з використанням біб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ліотек  Python</w:t>
            </w:r>
          </w:p>
        </w:tc>
        <w:tc>
          <w:tcPr>
            <w:tcW w:w="770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</w:t>
            </w:r>
          </w:p>
        </w:tc>
      </w:tr>
      <w:tr w:rsidR="008B59A6">
        <w:tc>
          <w:tcPr>
            <w:tcW w:w="8472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2.5. Аналіз унікальних кластері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через базу данних UniProt</w:t>
            </w:r>
          </w:p>
        </w:tc>
        <w:tc>
          <w:tcPr>
            <w:tcW w:w="770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</w:tr>
      <w:tr w:rsidR="008B59A6">
        <w:tc>
          <w:tcPr>
            <w:tcW w:w="8472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1"/>
              </w:tabs>
              <w:ind w:left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2.6. Аналіз подібності кластері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іосинтетичних генів ідентифікованих  в геномі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B. subtilis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ONU 1125  тп споріднених представників роду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Bacillus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за допомогою  програми BiG-SCAPE</w:t>
            </w:r>
          </w:p>
        </w:tc>
        <w:tc>
          <w:tcPr>
            <w:tcW w:w="770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</w:t>
            </w:r>
          </w:p>
        </w:tc>
      </w:tr>
      <w:tr w:rsidR="008B59A6">
        <w:tc>
          <w:tcPr>
            <w:tcW w:w="8472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3. РЕЗУЛЬТАТИ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ДОСЛ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ІДЖЕНЬ ТА ЇХ ОБГОВОРЕННЯ</w:t>
            </w:r>
          </w:p>
        </w:tc>
        <w:tc>
          <w:tcPr>
            <w:tcW w:w="770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</w:tr>
      <w:tr w:rsidR="008B59A6">
        <w:tc>
          <w:tcPr>
            <w:tcW w:w="8472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3.1.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Досл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ідження кластера біосинтетичних генів вторинних метаболітів у геномі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B. subtilis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ONU 1125</w:t>
            </w:r>
          </w:p>
        </w:tc>
        <w:tc>
          <w:tcPr>
            <w:tcW w:w="770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</w:tr>
      <w:tr w:rsidR="008B59A6">
        <w:tc>
          <w:tcPr>
            <w:tcW w:w="8472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21"/>
              </w:tabs>
              <w:ind w:left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3.2. Порівняння результатів пошуку кластерів вторинних метаболітів за використанням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ізних програм</w:t>
            </w:r>
          </w:p>
        </w:tc>
        <w:tc>
          <w:tcPr>
            <w:tcW w:w="770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42</w:t>
            </w:r>
          </w:p>
        </w:tc>
      </w:tr>
      <w:tr w:rsidR="008B59A6">
        <w:tc>
          <w:tcPr>
            <w:tcW w:w="8472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21"/>
              </w:tabs>
              <w:ind w:left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3.3.  Виявлення близькоспоріднених видів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Bacillus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до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B. subtilis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ONU 1125 за допомогою сервера TYGS</w:t>
            </w:r>
          </w:p>
        </w:tc>
        <w:tc>
          <w:tcPr>
            <w:tcW w:w="770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</w:t>
            </w:r>
          </w:p>
        </w:tc>
      </w:tr>
      <w:tr w:rsidR="008B59A6">
        <w:tc>
          <w:tcPr>
            <w:tcW w:w="8472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3.4. Пошук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ортологічних та видоспецифічних генів серед геномів штамів споріднених  до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white"/>
              </w:rPr>
              <w:t>B. subtilis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ONU 1125</w:t>
            </w:r>
          </w:p>
        </w:tc>
        <w:tc>
          <w:tcPr>
            <w:tcW w:w="770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46</w:t>
            </w:r>
          </w:p>
        </w:tc>
      </w:tr>
      <w:tr w:rsidR="008B59A6">
        <w:tc>
          <w:tcPr>
            <w:tcW w:w="8472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21"/>
              </w:tabs>
              <w:ind w:left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3.5.  Порівняння кластерів біосинтетичних  генів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геномах видів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Bacillus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споріднених до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Bacillus subtilis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ONU 1125 статистичними методами в Python</w:t>
            </w:r>
          </w:p>
        </w:tc>
        <w:tc>
          <w:tcPr>
            <w:tcW w:w="770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54</w:t>
            </w:r>
          </w:p>
        </w:tc>
      </w:tr>
      <w:tr w:rsidR="008B59A6">
        <w:tc>
          <w:tcPr>
            <w:tcW w:w="8472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21"/>
              </w:tabs>
              <w:ind w:left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3.6. Аналіз унікальних кластері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через базу данних UniProt</w:t>
            </w:r>
          </w:p>
        </w:tc>
        <w:tc>
          <w:tcPr>
            <w:tcW w:w="770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59</w:t>
            </w:r>
          </w:p>
        </w:tc>
      </w:tr>
      <w:tr w:rsidR="008B59A6">
        <w:tc>
          <w:tcPr>
            <w:tcW w:w="8472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21"/>
              </w:tabs>
              <w:ind w:left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3.7. Результати аналізу подібності кластері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іосинтетичних генів ідентифікованих  в геномі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B. subtilis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ONU 1125  та споріднених представників роду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Bacillus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за допомогою  програми BiG-SCAPE</w:t>
            </w:r>
          </w:p>
        </w:tc>
        <w:tc>
          <w:tcPr>
            <w:tcW w:w="770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62</w:t>
            </w:r>
          </w:p>
        </w:tc>
      </w:tr>
      <w:tr w:rsidR="008B59A6">
        <w:tc>
          <w:tcPr>
            <w:tcW w:w="8472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21"/>
              </w:tabs>
              <w:ind w:left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3.8.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Біотехнологічна схема процедури порівняння кластерів біосинтетичних представників роду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Bacillus</w:t>
            </w:r>
            <w:proofErr w:type="gramEnd"/>
          </w:p>
        </w:tc>
        <w:tc>
          <w:tcPr>
            <w:tcW w:w="770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66</w:t>
            </w:r>
          </w:p>
        </w:tc>
      </w:tr>
      <w:tr w:rsidR="008B59A6">
        <w:tc>
          <w:tcPr>
            <w:tcW w:w="8472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21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УЗАГАЛЬНЕННЯ</w:t>
            </w:r>
          </w:p>
        </w:tc>
        <w:tc>
          <w:tcPr>
            <w:tcW w:w="770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71</w:t>
            </w:r>
          </w:p>
        </w:tc>
      </w:tr>
      <w:tr w:rsidR="008B59A6">
        <w:tc>
          <w:tcPr>
            <w:tcW w:w="8472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21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ВИСНОВКИ</w:t>
            </w:r>
          </w:p>
        </w:tc>
        <w:tc>
          <w:tcPr>
            <w:tcW w:w="770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75</w:t>
            </w:r>
          </w:p>
        </w:tc>
      </w:tr>
      <w:tr w:rsidR="008B59A6">
        <w:tc>
          <w:tcPr>
            <w:tcW w:w="8472" w:type="dxa"/>
          </w:tcPr>
          <w:p w:rsidR="008B59A6" w:rsidRDefault="003E39E1">
            <w:pPr>
              <w:pStyle w:val="1"/>
              <w:spacing w:after="0" w:line="240" w:lineRule="auto"/>
              <w:ind w:left="0" w:firstLine="0"/>
              <w:outlineLvl w:val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СПИСОК ЛІТЕРАТУРИ</w:t>
            </w:r>
          </w:p>
        </w:tc>
        <w:tc>
          <w:tcPr>
            <w:tcW w:w="770" w:type="dxa"/>
          </w:tcPr>
          <w:p w:rsidR="008B59A6" w:rsidRDefault="003E3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77</w:t>
            </w:r>
          </w:p>
        </w:tc>
      </w:tr>
    </w:tbl>
    <w:p w:rsidR="008B59A6" w:rsidRDefault="008B59A6">
      <w:pPr>
        <w:pStyle w:val="1"/>
        <w:ind w:left="0" w:firstLine="0"/>
        <w:jc w:val="center"/>
      </w:pPr>
    </w:p>
    <w:p w:rsidR="008B59A6" w:rsidRDefault="008B59A6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ptos" w:eastAsia="Aptos" w:hAnsi="Aptos" w:cs="Aptos"/>
          <w:color w:val="000000"/>
          <w:sz w:val="24"/>
          <w:szCs w:val="24"/>
        </w:rPr>
      </w:pPr>
    </w:p>
    <w:p w:rsidR="008B59A6" w:rsidRDefault="008B59A6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ptos" w:eastAsia="Aptos" w:hAnsi="Aptos" w:cs="Aptos"/>
          <w:color w:val="000000"/>
          <w:sz w:val="24"/>
          <w:szCs w:val="24"/>
        </w:rPr>
      </w:pPr>
    </w:p>
    <w:p w:rsidR="008B59A6" w:rsidRDefault="003E39E1">
      <w:pPr>
        <w:pStyle w:val="1"/>
      </w:pPr>
      <w:proofErr w:type="gramStart"/>
      <w:r>
        <w:lastRenderedPageBreak/>
        <w:t>ВСТУП</w:t>
      </w:r>
      <w:proofErr w:type="gramEnd"/>
    </w:p>
    <w:p w:rsidR="008B59A6" w:rsidRDefault="003E39E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Сьогодні, все активніше розвивається медицина, сільське господарство та інші галузі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які активно використовують біотехнології, проте ці галузі активно стикаються з потребою все більшої різноманітністю речовин, які б ефективно змогли винищувати бактерії 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інших патогенів. У медицині є гостра потреба в новітніх антибіотиків, імунодепресанти а також протипухлинні засоби.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 потреби можна задовільнити завдяки конструюванню необхідних вторинних метаболітів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in silico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потім завдяки хімічному синтезу. </w:t>
      </w:r>
    </w:p>
    <w:p w:rsidR="008B59A6" w:rsidRDefault="003E39E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Проте 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зробка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de nova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займає багато часу через те, що більшість вторинних метаболітів складні, мають багато циклічних сполук чи великі кільця у молекулі синтез яких зазвичай складніший ніж звичайні хімічні сполуки, стереоізомери, коли з молекули яка складається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 одних і тих же самих атомів поміняти функціональн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 групи чи атоми місцями у молекулі дзеркально і це вже буде зовсім нова молекула , тобто кожному окремому стереоізомеру потрібен окремий хімічний цикл а якщо цих циклів буде багато а таке у природі трапля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ється часто то синтез їх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імічним шляхом буде технічно складним та економічно недоцільним. Методом біоінформативного скринінгу вторинних метаболітів, можна відразу виявити ці сполуки завдяки таким програмам як AntiSmash чи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Prism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потім хімічним синтезом 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ожна покращити їх властивості, що зберігає купу часу[Wang et al ., 2025]. Процес скринінгу унікальних вторинних метаболітів зараз пришвидшився через активне застосування метагеномного аналізу, який здатен виявляти мікроорганізми, які не культивуються в лаб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ораторних умовах, що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ідвищує різноманітність сполук [</w:t>
      </w:r>
      <w:hyperlink r:id="rId11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Avalon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et al ., 2022]. </w:t>
      </w:r>
    </w:p>
    <w:p w:rsidR="008B59A6" w:rsidRDefault="003E39E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Також завдяки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досл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ідженням вторинних метаболітів та їх вплив на життєдіяльність людей можна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знайти можливості для застосовування їх у господарстві дуже різноманітними методами. Наприклад завдяки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досл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ідженню властивості бактерій проявляти поверхнево-активну дію було відкрито біосурфактанти, які можуть використовуватися людьми  як засіб для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очищен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 від нафти, і як антимікробна речовина. [</w:t>
      </w:r>
      <w:hyperlink r:id="rId12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Mayegowda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et al ., 2025].Ще можна зазначити, що є сидерафори які зазвичай використовуються бактеріями для захоплення залі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Люди застосовують ці сполуки по-перше, як мішень для антибактеріальної терапії чи вакцинації,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по-друге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троянського коня для анти-ракової терапії, бо ракові клітини активно захоплюють залізо чи антибактеріальної терапії зі схожої причини [</w:t>
      </w:r>
      <w:hyperlink r:id="rId13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Eras-Muñoz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et al ., 2022]. </w:t>
      </w:r>
    </w:p>
    <w:p w:rsidR="008B59A6" w:rsidRDefault="003E39E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Сьогодні ці можливості стають ще ширшими, наприклад збільшення комп’ютерних можливостей для швидшого аналізу геномів прокаріот та еукаріот привел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до того що біологи і біотехнологи можуть більше зосередитись на виявлені бактерій та їх вторинних метаболітах у незвичайних середовищах, з особливою екологією, там де є унікальні мікроорганізми з ун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ікальними кластерами, таким наприклад є Чорне море яке 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ає великий змі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сірководню, що утворює унікальний геном з унікальними біосинтетичними кластерами. На цьому буде зосереджена ця робота, з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досл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ідженням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B. subtilis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ONU 1125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які були виявленні зі дна Чорного Моря. </w:t>
      </w:r>
    </w:p>
    <w:p w:rsidR="008B59A6" w:rsidRDefault="003E39E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Таким чином,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метою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роботи було аналіз кластері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б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іосинтетичних генів (BGC)  в геномі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B. subtilis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ONU 1125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та їх порівняння з кластерами іншими  предстаниками роду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Bacillus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методами порівняльної геноміки.</w:t>
      </w:r>
    </w:p>
    <w:p w:rsidR="008B59A6" w:rsidRDefault="003E39E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досягнення мети виконані наступні завдання:</w:t>
      </w:r>
    </w:p>
    <w:p w:rsidR="008B59A6" w:rsidRDefault="003E39E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Провести ідентифікацію та аналіз біосинтетичних кластерів вторинних метаболітів (BGC) в геномі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B. subtilis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ONU 1125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ізними методами порівняльної геноміки.</w:t>
      </w:r>
    </w:p>
    <w:p w:rsidR="008B59A6" w:rsidRDefault="003E39E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Знайти та проанізувати споріднених до штаму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B. subtilis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ONU 1125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представників роду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Bacillus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методами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in silico</w:t>
      </w:r>
    </w:p>
    <w:p w:rsidR="008B59A6" w:rsidRDefault="003E39E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Провести  колінеарний аналіз геному 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B. subtilis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ONU 1125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та споріднених до нього штамів  роду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Bacillus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 провести оцінку їх  унікальності.</w:t>
      </w:r>
    </w:p>
    <w:p w:rsidR="008B59A6" w:rsidRDefault="003E39E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ідставі порівняльного аналізу провнсти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аналіз експансії та скорочення генних сімейств у шт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амі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B. subtilis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ONU 1125</w:t>
      </w:r>
    </w:p>
    <w:p w:rsidR="008B59A6" w:rsidRDefault="003E39E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Предметом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досл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ідження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 xml:space="preserve"> кластери біосинтетичних генів штаму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highlight w:val="white"/>
        </w:rPr>
        <w:t>Bacillus subtilis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 xml:space="preserve"> ONU 1125, їх структура, функціональне наповнення та ступінь подібності/відмінності від аналогічних кластерів у геномах інших видів роду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highlight w:val="white"/>
        </w:rPr>
        <w:t>Bacillus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</w:p>
    <w:p w:rsidR="008B59A6" w:rsidRDefault="003E39E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8B59A6">
          <w:pgSz w:w="11906" w:h="16838"/>
          <w:pgMar w:top="1134" w:right="851" w:bottom="1134" w:left="1701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Об’єкт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досл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ідження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 xml:space="preserve">генетичний потенціал штаму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B. subtilis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ONU 1125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щодо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біосинтезу біологічно активних сполук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B59A6" w:rsidRDefault="003E39E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hanging="14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0" w:name="_heading=h.mnzjr4nysb06" w:colFirst="0" w:colLast="0"/>
      <w:bookmarkStart w:id="1" w:name="_GoBack"/>
      <w:bookmarkEnd w:id="0"/>
      <w:bookmarkEnd w:id="1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ВИСНОВКИ</w:t>
      </w:r>
    </w:p>
    <w:p w:rsidR="008B59A6" w:rsidRDefault="003E39E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геномі штаму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B. subtilis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ONU 1125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ідентифіковано 13 генних кластерів біосинтезу (BGC), що кодують вторинні метаболіти. За типологією кластери поділяються на: нрібосомні пептидсинтетази (NRPS, 4 кластери), терпени та їхні прекурсори (4), рибосомально синтезовані та посттрансляційно модифік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овані пептиди (RiPPs, 4), а також полікетидсинтетази (PKS, 1). antiSMASH забезпечує найширше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покриття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саме 13 регіонів, Prism ефективний для передбачення структур NRPS/PKS, Bagel виявляє короткі RiPPs такі як ComX, UviB, пропущені універсальними програма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ми. Лише комбінований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ідхід забезпечує повний аналіз біосинтетичного потенціалу.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Середня к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ількість BGC в геноме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B. subtilis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ONU 1125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складає 12,8, що корелює із середніми показниками, характерними для представників роду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Bacillus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B59A6" w:rsidRDefault="003E39E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основі комплексного 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налізу з використанням цифрової ДНК-ДНК гібридизації (dDDH) встановлено, що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досл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іджуваний штам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B. subtilis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ONU 1125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належить до видового комплексу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Bacillus subtilis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Він демонструє найвищий ступінь спорідненості з референтним штамами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Bacillus subtilis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ATCC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6051, про що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ідчить значення dDDH 94,3%, що перевищує поріг видової ідентичності (70%) та підтверджує їх належність до одного виду.</w:t>
      </w:r>
    </w:p>
    <w:p w:rsidR="008B59A6" w:rsidRDefault="003E39E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Відсутність унікальних генетичних кластерів та висока колінеарність геному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ідтверджують безпечність штаму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B. subtilis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ONU 1125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для біотехнологічних застосувань</w:t>
      </w:r>
    </w:p>
    <w:p w:rsidR="008B59A6" w:rsidRDefault="003E39E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Аналіз експансії та скорочення генних сімейств у штамі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B. subtilis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ONU 1125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виявив чітку еволюційну тенденцію. Спостерігається статистично значуще збільшення кількості генів, пов’язаних з рухливістю (флагеліни),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ідчить про посилений розвиток хемотаксису.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Одночасно відбувається скорочення сімейств генів, що відповідають за регуляторні функції та синтез цукрів. Сукупність цих змін вказує на адаптивний зсув від ризосферної ніші (тісна взаємодія з корінням росли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н) до більш незалежного ґрунтового способу життя, де активна рухливість та пошук поживних речовин у простор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 набувають ключового значення.</w:t>
      </w:r>
    </w:p>
    <w:p w:rsidR="008B59A6" w:rsidRDefault="003E39E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8B59A6">
          <w:pgSz w:w="11906" w:h="16838"/>
          <w:pgMar w:top="850" w:right="850" w:bottom="850" w:left="1417" w:header="708" w:footer="708" w:gutter="0"/>
          <w:cols w:space="720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Виявлення атипового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іпептидного кластера: Ідентифіковано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іпептидний BGC у регіоні 3.1. Кластер 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сутній у 5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досл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іджуваних штамів, але має варіабельну архітектуру фланкуючих регіонів, що вказує на його регуляторну, а не антибіотичну функцію</w:t>
      </w:r>
    </w:p>
    <w:p w:rsidR="008B59A6" w:rsidRDefault="003E39E1">
      <w:pPr>
        <w:pStyle w:val="1"/>
        <w:spacing w:after="0" w:line="360" w:lineRule="auto"/>
        <w:ind w:left="0" w:right="-472" w:firstLine="0"/>
        <w:jc w:val="center"/>
      </w:pPr>
      <w:r>
        <w:lastRenderedPageBreak/>
        <w:t>СПИСОК ЛІТЕРАТУРИ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Abramson J., Adler J., Dunger J. et al. Accurate structure prediction of biomolecular interactions with AlphaFold 3. Nature.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2024. Vol. 630. № 8016. P. 493-500. DOI: 10.1038/s41586-024-07487-w.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Alcaraz L.D., Moreno-Hagelsieb G., Eguiarte L.E. et al. Unders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tanding the evolutionary relationships and major traits of Bacillus through comparative genomics. BMC Genomics.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2010. Vol. 11. 332. DOI: 10.1186/1471-2164-11-332.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Alibert S., Santelli-Rouvier C., Brouant P. et al. Multidrug efflux pumps and their role in a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ntibiotic and antiseptic resistance: a pharmacodynamic perspective. Expert Opinion on Drug Metabolism &amp; Toxicology.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2017. Vol. 13. № 3. P. 301-309. DOI: 10.1080/17425255.2017.1251581.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Angelini L.L., de Andrade C.R., Wanderley M.S. et al. Pulcherriminic aci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d plays a key role in extracellular iron acquisition and biofilm formation in Metschnikowia pulcherrima. NPJ Biofilms and Microbiomes.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2023. Vol. 9. 42. DOI: 10.1038/s41522-023-00418-z.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Angelini, L.L.; Dos Santos, R.A.C.; Fox, G.; Paruthiyil, S.; Gozzi, K.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; Shemesh, M.; Chai, Y. Pulcherrimin protects </w:t>
      </w:r>
      <w:r w:rsidRPr="003E39E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Bacillus subtilis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against oxidative stress during biofilm development.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NPJ Biofilms Microbiomes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2023, 9(1), 50. DOI: </w:t>
      </w:r>
      <w:hyperlink r:id="rId14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10.1038/s41522-023-00418-z</w:t>
        </w:r>
      </w:hyperlink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Arıkan M., Mitchell A.L., Finn R.D. et al. Microbial composition analysis and contamination identification in ancient DNA: lessons from ancient metagenomic data. Genes.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2021. Vol. 12. № 1. 119. DOI: 10.3390/genes12010119.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Arnison P.G., Bibb M.J., Bierbaum 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G. et al. Ribosomally synthesized and post-translationally modified peptide natural products: overview and recommendations for a universal nomenclature. Natural Product Reports.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2013. Vol. 30. № 1. P. 108-160. DOI: 10.1039/c2np20085f.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Avalon N.E., Siler D.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J., Luhavaya H. et al. Biosynthesis of the neurotoxic alkaloid anatoxin-a in cyanobacteria: evolutionary implications. MBio. 2022. Vol. 13.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 1. e03393-21. DOI: 10.1128/mbio.03393-21.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lastRenderedPageBreak/>
        <w:t>Avalos M., van Wezel G.P., Raaijmakers J.M. et al. Healthy scents: micro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bial volatiles as new frontier in antibiotic research? Current Opinion in Microbiology.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2022. Vol. 70. 102233. DOI: 10.1016/j.mib.2022.102233.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Banerjee P., Eckert A.O., Schrey A.K. et al. ProTox 3.0: a webserver for the prediction of toxicity of chemicals.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Nucleic Acids Research.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2024. Vol. 52. № W1. P. W513-W520. DOI: 10.1093/nar/gkae303.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Barrett S.E., van Opstal E., Zierler A.M. et al. Lasso peptides: heterologous production and applications in medicine and biotechnology. Frontiers in Microbiology.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2025.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Vol. 16. 1510237. DOI: 10.3389/fmicb.2025.1510237.</w:t>
      </w:r>
    </w:p>
    <w:p w:rsidR="008B59A6" w:rsidRPr="003E39E1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Blin K., Shaw S., Augustijn H.E. et al. antiSMASH 7.0: new and improved predictions for detection, regulation, chemical structures and visualisation. Nucleic Acids Research. 2023. Vol. 51. № W1. P. W46-W50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. DOI: 10.1093/nar/gkad344.</w:t>
      </w:r>
    </w:p>
    <w:p w:rsidR="008B59A6" w:rsidRPr="003E39E1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Blin K., Shaw S., Kloosterman A.M. et al. antiSMASH 6.0: improving cluster detection and comparison capabilities. Nucleic Acids Research. 2021. Vol. 49. № W1. P. W29-W35. DOI: 10.1093/nar/gkab335.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Cai X., Shi Y.M., Pöhlmann N. e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t al. Identification and characterization of eDNA involved in the aggregation of Pseudomonas aeruginosa. Scientific Reports.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2022. Vol. 12. 6675. DOI: 10.1038/s41598-022-10814-1.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Chakraborty, K.; Kizhakkepatt-Kizhakkekalam, V.; Joy, M.; Chakraborty, R.D. B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acillibactin class of siderophore antibiotics from a marine symbiotic </w:t>
      </w:r>
      <w:r w:rsidRPr="003E39E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Bacillus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as promising antibacterial agents.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Applied Microbiology and Biotechnology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2022, 106(1), 329–340. DOI: </w:t>
      </w:r>
      <w:hyperlink r:id="rId15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10.1007/s002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 xml:space="preserve">53-021-11632-0 </w:t>
        </w:r>
      </w:hyperlink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Chan Y.A., Boyne M.T., Podevels A.M. et al. Hydroxymalonyl-acyl carrier protein (ACP) and aminomalonyl-ACP are two additional type I polyketide synthase extender units. Proceedings of the National Academy of Sciences.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2006. Vol. 103. № 40.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P. 14349-14354. DOI: 10.1073/pnas.0603748103.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Chanama M., Pathom-aree W., Chim K. et al. Diversity and secondary metabolite potentials of the Streptomyces associated with wild plants in Bokor National Park, Cambodia. Scientific Reports.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2023. Vol. 13. 8730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DOI: 10.1038/s41598-023-36039-x.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lastRenderedPageBreak/>
        <w:t xml:space="preserve">Chen Q., Ji C., Song Y. et al. Discovery of McbA, a novel peptide natural product from an actinomycete through heterologous expression and metabolic engineering. Applied Microbiology and Biotechnology.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2020. Vol. 104. № 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P. 2703-2711. DOI: 10.1007/s00253-020-10393-y.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Chen X., Yang X., Shen Y. et al. Self-resistance mechanisms to DNA-damaging antitumor antibiotics in actinobacteria. Philosophical Transactions of the Royal Society B. 2022. Vol. 377.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 1842. 20200168. DOI: 10.1098/rstb.2020.0168.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Chen, H.; Bian, Z.; Ravic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handran, V.; Li, R.; Sun, Y.; Huo, L.; Fu, J.; Bian, X.; Xia, L.; Tu, Q.; Zhang, Y. Biosynthesis of polyketides by </w:t>
      </w:r>
      <w:r w:rsidRPr="003E39E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trans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-AT polyketide synthases in Burkholderiales.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Critical Reviews in Microbiology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2019, 45(2), 162–181. DOI: </w:t>
      </w:r>
      <w:hyperlink r:id="rId16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10.1080/1040841X.2018.1514365</w:t>
        </w:r>
      </w:hyperlink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Cheng C., Hua Z.C. Lasso peptides: heterologous production and potential medical application.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Frontiers in Bioengineering and Biotechnology. 2020. Vol. 8. 571165.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DOI: 10.3389/fbioe.2020.571165.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Condurso H.L., Bruner S.D. Structure and noncanonical chemistry of nonribosomal peptide biosynthetic machinery.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Natural Product Reports. 2012. Vol. 29. № 10. P. 1099-1110. DOI: 10.1039/c2np20023f.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Davenport P.W., Griffin J.L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., Welch M. Quorum sensing is accompanied by global metabolic changes in the opportunistic human pathogen Pseudomonas aeruginosa.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Journal of Bacteriology. 2015. Vol. 197. № 12. P. 2072-2082. DOI: 10.1128/JB.02557-14.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Do T., Berhanu T.K., Murphy C.T. et al.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Identification and characterization of cerecidin, an antimicrobial peptide from Bacillus cereus. Peptides.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2011. Vol. 32. № 7. P. 1382-1386. DOI: 10.1016/j.peptides.2011.05.008.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Du R., Xu Y., Aroutcheva A. et al. Biosynthetic gene cluster distribution acr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oss fermented foods provides new insights into specialized metabolite diversity. Microbiome.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2023. Vol. 11. 103. DOI: 10.1186/s40168-023-01536-8.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Durrant M.G., Li M.M., Siranosian B.A. et al. A bioinformatic analysis of integrative mobile genetic elements 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highlights their role in bacterial adaptation.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Cell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Host &amp; Microbe. 2020. Vol. 27. № 1. P. 140-153.e9. DOI: 10.1016/j.chom.2019.10.022.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Eras-Muñoz E., Farré A., Sánchez A. et al. Microbial biosynthesis of fatty acid-derived molecules by harnessing fatty ac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id metabolism: a review. Bioresources and Bioprocessing.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2022. Vol. 9. № 1. 31. DOI: 10.1186/s40643-022-00521-y.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Falkenberg F., Molitor B., Nies D.H. Reducing metabolic burden by integrating biofilm formation in Bacillus subtilis for enhanced production of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recombinant proteins and metabolites.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Microbial Cell Factories. 2023. Vol. 22. 198. DOI: 10.1186/s12934-023-02204-8.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Frioux C., Fremy E., Trottier C. et al. Scalable and exhaustive screening of metabolic functions carried out by microbial consortia. Bioin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formatics.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2018. Vol. 34. № 17. P. i934-i943. DOI: 10.1093/bioinformatics/bty588.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Gilchrist C.L.M., Chooi Y.H. Clinker &amp; clustermap.js: automatic generation of gene cluster comparison figures.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Bioinformatics. 2021. Vol. 37. № 16. P. 2473-2475. DOI: 10.1093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/bioinformatics/btab007.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Golnari M., Hamta A., Moradi S. et al. Pan-genome analysis of Bacillus subtilis identifies biofilm-associated genes through comparative genomics. Scientific Reports.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2024. Vol. 14. 2472. DOI: 10.1038/s41598-024-51823-z.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Gomes E.S.,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Schuch V., </w:t>
      </w:r>
      <w:proofErr w:type="gramStart"/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de</w:t>
      </w:r>
      <w:proofErr w:type="gramEnd"/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Macedo Lemos E.G. Biotechnology of polyketides: new breath of life for the novel antibiotic genetic pathways discovery through metagenomics.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Brazilian Journal of Microbiology. 2013. Vol. 44. № 4. P. 1007-1034. DOI: 10.1590/S1517-838220140050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00004.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Guo Y., Ghirardo A., Weber B. et al. Trichodiene synthase promoter-driven overproduction and regulation of the sesquiterpenoid trichothecene pathways in transgenic Arabidopsis. Molecular Plant.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2015. Vol. 8. № 9. P. 1440-1443. DOI: 10.1016/j.molp.20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15.05.011.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Helfrich E.J.N., Vogel C.M., Ueoka R. et al. Bipartite interactions, antibiotic production and biosynthetic potential of the Pseudovibrio genus. Nature Microbiology.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2018. Vol. 3. № 5. P. 520-528. DOI: 10.1038/s41564-018-0139-4.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lastRenderedPageBreak/>
        <w:t>Hess M., Sczyrba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A., Egan R. et al. Metagenomic discovery of biomass-degrading genes and genomes from cow rumen. Science.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2011. Vol. 331. № 6016. P. 463-467. DOI: 10.1126/science.1200387.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Hoshino M., Khutia A., Xing H. et al. The crystal sponge method updated.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IUCrJ. 2016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Vol. 3. № 2. P. 139-151. DOI: 10.1107/S2052252515024379.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Hwang S., Lee N., Cho S. et al. Emerging prospects of computer-aided drug design in discovering potential fatty acid synthase inhibitors.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Antibiotics. 2020. Vol. 9. № 9. 583. DOI: 10.3390/antibioti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cs9090583.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Jezewska-Frackowiak J., Skowron K., Stasiak M. et al. The promises and risks of probiotic Bacillus species.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Acta Biochimica Polonica. 2018. Vol. 65. № 4. P. 509-519. DOI: 10.18388/abp.2018_2652.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Kalamara M., Yang S., Crewdson S. et al. The epiCR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ISPR screen identifies the antigenotoxin EpeX.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Science Advances. 2023. Vol. 9. № 26. eadg2883. DOI: 10.1126/sciadv.adg2883.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Kaspar, F.; Neubauer, P.; Gimpel, M. Bioactive Secondary Metabolites from </w:t>
      </w:r>
      <w:r w:rsidRPr="003E39E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Bacillus subtilis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: A Comprehensive Review.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J. Nat. Prod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2019, 82(7), 2038–2053. DOI: </w:t>
      </w:r>
      <w:hyperlink r:id="rId17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10.1021/acs.jnatprod.9b00110</w:t>
        </w:r>
      </w:hyperlink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Kautsar S.A., van der Hooft J.J.J., de Ridder D. et al. BiG-SLiCE: a highly scalable tool maps the diversity of 1.2 million biosynthetic gene clusters.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GigaScience. 2021. Vol. 10. № 1. giaa154. DOI: 10.1093/gigascience/giaa154.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Kempen M., Kim S.S., Tumesch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eit C. et al. Fast and accurate protein structure search with Foldseek.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Nature Biotechnology. 2024. Vol. 42. № 2. P. 243-246. DOI: 10.1038/s41587-023-01773-0.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Kenan G., Dogan-Karagoz Z., Oke P.K. et al. Investigation of biosynthetic potential and phylogeno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mic analysis of Ligilactobacillus.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BMC Microbiology. 2024. Vol. 24. 38. DOI: 10.1186/s12866-024-03192-0.</w:t>
      </w:r>
    </w:p>
    <w:p w:rsidR="008B59A6" w:rsidRPr="003E39E1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Kenshole E., Herisse M., Michael M. et al. Natural product discovery through microbial genome mining. Current Opinion in Chemical Biology. 2021. Vol. 6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0. P. 47-54. DOI: 10.1016/j.cbpa.2020.07.010.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lastRenderedPageBreak/>
        <w:t xml:space="preserve">Keun H.C., Athersuch T.J. Nuclear magnetic resonance (NMR)-based metabolomics.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Methods in Molecular Biology. 2011. Vol. 708. P. 321-334. DOI: 10.1007/978-1-61737-985-7_19.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Kevany B.M., Rasko D.A., Thomas M.G. C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haracterization of the complete Zwittermicin A biosynthesis gene cluster from Bacillus cereus.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Applied and Environmental Microbiology. 2009. Vol. 75. № 4. P. 1144-1155. DOI: 10.1128/AEM.02518-08.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Kiesewalter, H.T.; Lozano-Andrade, C.N.; Wibowo, M.; Strube,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M.L.; Maróti, G.; Snyder, D.; Jørgensen, T.S.; Larsen, T.O.; Coope,r V.S.; Weber, T.; Kovács, Á.T. Genomic and chemical diversity of </w:t>
      </w:r>
      <w:r w:rsidRPr="003E39E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Bacillus subtilis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secondary metabolites against plant pathogenic fungi. </w:t>
      </w:r>
      <w:r w:rsidRPr="003E39E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mSystems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2021, 6(1), e00770-20. </w:t>
      </w:r>
      <w:r>
        <w:rPr>
          <w:rFonts w:ascii="Times New Roman" w:eastAsia="Times New Roman" w:hAnsi="Times New Roman" w:cs="Times New Roman"/>
          <w:color w:val="0000FF"/>
          <w:sz w:val="28"/>
          <w:szCs w:val="28"/>
        </w:rPr>
        <w:t>https://doi.org/1</w:t>
      </w:r>
      <w:r>
        <w:rPr>
          <w:rFonts w:ascii="Times New Roman" w:eastAsia="Times New Roman" w:hAnsi="Times New Roman" w:cs="Times New Roman"/>
          <w:color w:val="0000FF"/>
          <w:sz w:val="28"/>
          <w:szCs w:val="28"/>
        </w:rPr>
        <w:t>0.1128/mSystems.00770-20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Kim D., Hofstaedter C.E., Zhao C. et al. Optimizing methods and dodging pitfalls in microbiome research.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Microbiome. 2017. Vol. 5. 52. DOI: 10.1186/s40168-017-0267-5.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Kramer J., Özkaya Ö., Kümmerli R. Bacterial siderophores in comm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unity and host interactions.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Nature Reviews Microbiology. 2020. Vol. 18. № 3. P. 152-163. DOI: 10.1038/s41579-019-0284-4.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Kries H. Biosynthetic engineering of nonribosomal peptide synthetases.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Journal of Peptide Science. 2016. Vol. 22. № 6. P. 564-570. DOI: 10.1002/psc.2907.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Le K.D., Yu N.H., Park A.R. et al. Streptomyces sp. AN090126 as a biocontrol agent against bacterial a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nd fungal plant diseases.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Microorganisms. 2022. Vol. 10. № 4. 791. DOI: 10.3390/microorganisms10040791.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Li H., Zhang X., Xu X. et al. Engineered biosynthesis of milbemycin A4 oxime: insights into ACP for expanding biosynthetic diversity.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ACS Synthetic Biol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ogy. 2025. Vol. 14. № 1. P. 214-224. DOI: 10.1021/acssynbio.4c00532.</w:t>
      </w:r>
    </w:p>
    <w:p w:rsidR="008B59A6" w:rsidRPr="003E39E1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Li W., Estrada-de los Santos P., Schmid M. et al. Reclassification of Bacillus amyloliquefaciens and related species as members of the emended genus Bacillus and proposal of the genus Pri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estia gen. nov. to accommodate Bacillus aryabhattai and 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lastRenderedPageBreak/>
        <w:t>related species. International Journal of Systematic and Evolutionary Microbiology. 2023. Vol. 73. № 6. 005852. DOI: 10.1099/ijsem.0.005852.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Lotz T.S., Suess P.M., Müller R. Diazo group formation in n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atural product biosynthesis.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Angewandte Chemie International Edition. 2018. Vol. 57. № 10. P. 2582-2584. DOI: 10.1002/anie.201711373.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Maksimov M.O., Pan S.J., Link A.J. Lasso peptides: structure, function, biosynthesis, and engineering.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Natural Product Rep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orts. 2012. Vol. 29. № 9. P. 996-1006. DOI: 10.1039/c2np20070h.</w:t>
      </w:r>
    </w:p>
    <w:p w:rsidR="008B59A6" w:rsidRPr="003E39E1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Mayegowda S.B., Kavitha S.J., Akhila M.A. et al. 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Pseudomonas aeruginosa as microbial cell factory for biosurfactant production and its applications. Journal of Genetic Engineering and Biotechn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ology. 2025. Vol. 23. № 1. 100417. DOI: 10.1016/j.jgeb.2024.100417.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McBride C.M., Forsberg K.J., Holden M.T.G. et al. Genomic and biochemical characterization of the highly reducing type II polyketide synthase responsible for the biosynthesis of enacyloxin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s.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ACS Chemical Biology. 2023. Vol. 18. № 4. P. 762-771. DOI: 10.1021/acschembio.2c00994.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McLean T.C., Wilkinson B., Hutchings M.I. et al. Dissolution of the disparate: co-ordinate regulation in antibiotic biosynthesis.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Antibiotics. 2019. Vol. 8. № 2. 83.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DOI: 10.3390/antibiotics8020083.</w:t>
      </w:r>
    </w:p>
    <w:p w:rsidR="008B59A6" w:rsidRPr="003E39E1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Meier-Kolthoff J.P., Carbasse J.S., Peinado-Olarte R.L. et al. TYGS and LPSN: a database tandem for fast and reliable genome-based classification and nomenclature of prokaryotes. Nucleic Acids Research. 2022. Vol. 50. № D1.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P. D801-D807. DOI: 10.1093/nar/gkab902.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Miao, S.; Liang, J.; Xu, Y.; Yu, G.; Shao, M. Bacillaene, sharp objects consist in the arsenal of antibiotics produced by </w:t>
      </w:r>
      <w:r w:rsidRPr="003E39E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Bacillus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Journal of Cellular Physiology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2024, 239, e30974. </w:t>
      </w:r>
      <w:hyperlink r:id="rId18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https://doi.org/10.1002/jcp.30974</w:t>
        </w:r>
      </w:hyperlink>
    </w:p>
    <w:p w:rsidR="008B59A6" w:rsidRDefault="003E39E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Montalbán-López M., Deng J., van Heel A.J. et al. Specificity and application of the lantibiotic protease NisP.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Frontiers in Microbiology. 2018. Vol. 9. 160. DOI: 10.3389/fmicb.2018.00160.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lastRenderedPageBreak/>
        <w:t xml:space="preserve">Montalbán-López M., Scott T.A., Ramesh S. et al. New developments in RiPP discovery, enzymology and engineering.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Natural Product Reports. 2021. Vol. 38. № 1. P. 130-239. DOI: 10.1039/d0np00027b.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Musaimi O. Recent developments in lasso peptide discovery, st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ructure, and function.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ChemBioChem. 2024. Vol. 25. № 3. e202300689. DOI: 10.1002/cbic.202300689.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Nair A.S., Al Khanjari S.S., Al Nabhani Z. Natural products in drug discovery: from microbial sources to genome mining approaches.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Current Topics in Medicinal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Chemistry. 2022. Vol. 22. № 20. P. 1628-1645. DOI: 10.2174/1568026622666220614150742..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Newton I.L.G., Sheehan K.B., Lee F.J. et al. Invertebrate systems for hypothesis-driven microbiome research.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Msphere. 2019. Vol. 4. № 5. e00110-19. DOI: 10.1128/mSphere.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00110-19.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Niehs S.P., Dose B., Scherlach K. et al. Genome mining reveals endopyrroles from a nonribosomal peptide assembly line triggered in fungal-bacterial symbiosis.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ACS Chemical Biology. 2019. Vol. 14. № 6. P. 1317-1323. DOI: 10.1021/acschembio.9b00406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Niehs S.P., Scherlach K., Hertweck C. Genomics-driven discovery of a linear lipopeptide promoting host colonization by endofungal bacteria.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Organic &amp; Biomolecular Chemistry. 2018. Vol. 16. № 48. P. 8345-8352. DOI: 10.1039/c8ob01515e.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Ogasawara Y., Yackle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D., Greenberg E.P. et al. Expanding our knowledge of epipeptides: identification of a novel epipeptide produced by a Paenibacillus species.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ChemBioChem. 2018. Vol. 19. № 20. P. 2178-2182. DOI: 10.1002/cbic.201800419.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Pateraki I., Andersen-Ranberg J., Hamberger B. et al. Manoyl oxide synthase: mechanism and catalytic site architecture.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ACS Chemical Biology. 2015. Vol. 10. № 10. P. 2501-2512. DOI: 10.1021/acschembio.5b00618.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Patowary K., Patowary R., Kalita M.C. et al. A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pplication of biosurfactant for enhancement of bioremediation process of crude oil contaminated soil.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International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Biodeterioration &amp; Biodegradation. 2016. Vol. 129. P. 50-60. DOI: 10.1016/j.ibiod.2017.12.013.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Pereira-Flores E., Glöckner F.O., Fernandez-G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uerra A. Fast and accurate average genome size and 16S rRNA gene average copy number computation in metagenomic data.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BMC Bioinformatics. 2019. Vol. 20. 453. DOI: 10.1186/s12859-019-3031-y.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Popp P.F., Dotzler M., Radeck J. et al. The Bacillus BioBrick Box 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2.0: expanding the genetic toolbox for the standardized work with Bacillus subtilis.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Scientific Reports. 2017. Vol. 7. 15058. DOI: 10.1038/s41598-017-15107-z.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Rappold B.A., Bencivenga N.E., Houk R.S. et al. The rise and future of discrete microfluidics in 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mass spectrometry.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TrAC Trends in Analytical Chemistry. 2022. Vol. 148. 116544. DOI: 10.1016/j.trac.2022.116544.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Reshi Z.A., Ahmad W., Lukatkin A.S. et al. From nature to lab: sustainable bacterial pigment production and applications.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Biologia. 2023. Vol.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78. № 12. P. 3333-3351. DOI: 10.1007/s11756-023-01483-5.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Samak N.A., Jia Y., Sharshar M.M. et al. Recent advances in biocatalysts engineering for polyethylene terephthalate plastic waste green recycling.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Environmental International. 2023. Vol. 178. 108113. DOI: 10.1016/j.envint.2023.108113.</w:t>
      </w:r>
    </w:p>
    <w:p w:rsidR="008B59A6" w:rsidRPr="003E39E1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Sayers E.W., Bolton E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.E., Brister J.R. et al. Database resources of the National Center for Biotechnology Information. Nucleic Acids Research. 2022. Vol. 50. № D1. P. D20-D26. DOI: 10.1093/nar/gkab1112.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Shettar S.S., Bagewadi Z.K., Ninnekar H.Z. Purification and characterizati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on of novel antimicrobial lipopeptide from Bacillus licheniformis ZK-31.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BMC Chemistry. 2025. Vol. 19. 18. DOI: 10.1007/s42452-025-07895-1.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Simonsen A.K., Brown S.P., Han S. et al. Genomic comparisons of Bacillus subtilis strains reveal signatures of plant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root-associated microbe adaptation.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BMC Genomics. 2022. Vol. 23. 438. DOI: 10.1186/s12864-022-08662-z.</w:t>
      </w:r>
    </w:p>
    <w:p w:rsidR="008B59A6" w:rsidRPr="003E39E1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lastRenderedPageBreak/>
        <w:t>Skinnider M.A., Merwin N.J., Johnston C.W. et al. PRISM 3: expanded prediction of natural product chemical structures from microbial genomes. Nucleic Ac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ids Research. 2017. Vol. 45. № W1. P. W49-W54. DOI: 10.1093/nar/gkx320.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Soares E.V. Perspective on the biotechnological production of bacterial siderophores and their use.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Applied Microbiology and Biotechnology. 2022. Vol. 106. № 13-16. P. 4985-4999. DOI: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10.1007/s00253-022-12067-x.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Stabb E.V., Jacobson L.M., Handelsman J. Zwittermicin A-producing strains of Bacillus cereus from diverse soils.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Applied and Environmental Microbiology. 1994. Vol. 60. № 12. P. 4404-4412. DOI: 10.1128/aem.60.12.4404-4412.1994.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V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ale G., Mehta P., Cheesman C. et al. Beyond lignocellulose: a roadmap to a circular bioeconomy for food waste.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Current Opinion in Biotechnology. 2022. Vol. 73. P. 377-383. DOI: 10.1016/j.copbio.2021.10.009.</w:t>
      </w:r>
    </w:p>
    <w:p w:rsidR="008B59A6" w:rsidRPr="003E39E1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van Heel A.J., de Jong A., Song C. et al. BAGEL4: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a user-friendly web server to thoroughly mine RiPPs and bacteriocins. Nucleic Acids Research. 2018. Vol. 46. № W1. P. W278-W281. DOI: 10.1093/nar/gky383.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Waschulin V., Borsetto C., James R. et al. Biosynthetic potential of the global ocean microbiome.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Nat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ure. 2022. Vol. 607. № 7917. P. 111-118. DOI: 10.1038/s41586-022-04862-3.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Winter M., Schirmer M., Strauss J. et al. dom2BGC: an integrated approach for the prediction of biosynthetic gene clusters from metagenomic data.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Environmental Microbiome. 2021. Vol.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16. 13. DOI: 10.1186/s40793-021-00381-9.</w:t>
      </w:r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Zhang, L.; Sun, C. Fengycins, Cyclic Lipopeptides from Marine </w:t>
      </w:r>
      <w:r w:rsidRPr="003E39E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Bacillus subtilis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Strains, Kill the Plant-Pathogenic Fungus Magnaporthe grisea by Inducing Reactive Oxygen Species Production and Chromatin Condensation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Applied and Environmental Microbiology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2018, 84(18), e00445-18. </w:t>
      </w:r>
      <w:hyperlink r:id="rId19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https://doi.org/10.1128/AEM.00445-18</w:t>
        </w:r>
      </w:hyperlink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Zhang, X.; Li, B.; Wang, Y.; Guo, Q.; Lu, X.; Li, S.; Ma, P. Lipopeptides, a novel protein, and 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volatile compounds contribute to the antifungal activity of the biocontrol agent </w:t>
      </w:r>
      <w:r w:rsidRPr="003E39E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Bacillus atrophaeus</w:t>
      </w: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CAB-1.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Applied and Environmental Microbiology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2013, 97(21), 9525–34. DOI: </w:t>
      </w:r>
      <w:hyperlink r:id="rId20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 xml:space="preserve">10.1007/s00253-013-5198-x </w:t>
        </w:r>
      </w:hyperlink>
    </w:p>
    <w:p w:rsidR="008B59A6" w:rsidRDefault="003E39E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39E1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lastRenderedPageBreak/>
        <w:t xml:space="preserve">Zhong Z., Xiao S., Chen K. et al. Recent advances in lasso peptide discovery, biosynthesis, and function.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ACS Chemical Biology. 2022. Vol. 17. № 9. P. 2147-2164. DOI: 10.1021/acschembio.2c00364.</w:t>
      </w:r>
    </w:p>
    <w:p w:rsidR="008B59A6" w:rsidRDefault="008B59A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B59A6" w:rsidRDefault="008B59A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8B59A6">
      <w:pgSz w:w="11906" w:h="16838"/>
      <w:pgMar w:top="850" w:right="850" w:bottom="850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E39E1">
      <w:pPr>
        <w:spacing w:after="0" w:line="240" w:lineRule="auto"/>
      </w:pPr>
      <w:r>
        <w:separator/>
      </w:r>
    </w:p>
  </w:endnote>
  <w:endnote w:type="continuationSeparator" w:id="0">
    <w:p w:rsidR="00000000" w:rsidRDefault="003E39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Roboto">
    <w:charset w:val="00"/>
    <w:family w:val="auto"/>
    <w:pitch w:val="default"/>
    <w:embedRegular r:id="rId1" w:fontKey="{C2EE79E2-837A-4B17-8C16-E867569ED046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oto Sans Symbols">
    <w:charset w:val="00"/>
    <w:family w:val="auto"/>
    <w:pitch w:val="default"/>
    <w:embedRegular r:id="rId2" w:fontKey="{A168A067-3511-401F-B870-B71B454556FD}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3" w:fontKey="{F4227570-89F6-4C76-95CD-A474C2F51FA9}"/>
    <w:embedBold r:id="rId4" w:fontKey="{B214FCF8-356E-47E7-A12E-F1E065F23D0B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5" w:fontKey="{BDF7E6DD-7B95-44D5-9DEF-7F7FC3E472FC}"/>
    <w:embedBold r:id="rId6" w:fontKey="{7F6BD376-EC5F-4454-B78D-39CB79744023}"/>
  </w:font>
  <w:font w:name="Aptos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7" w:fontKey="{7B3D49A8-B485-4F36-B487-E021E677C1EB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8" w:fontKey="{91927FE5-2C65-41BE-8B47-4EDEC5066224}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E39E1">
      <w:pPr>
        <w:spacing w:after="0" w:line="240" w:lineRule="auto"/>
      </w:pPr>
      <w:r>
        <w:separator/>
      </w:r>
    </w:p>
  </w:footnote>
  <w:footnote w:type="continuationSeparator" w:id="0">
    <w:p w:rsidR="00000000" w:rsidRDefault="003E39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59A6" w:rsidRDefault="003E39E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19</w:t>
    </w:r>
    <w:r>
      <w:rPr>
        <w:color w:val="000000"/>
      </w:rPr>
      <w:fldChar w:fldCharType="end"/>
    </w:r>
  </w:p>
  <w:p w:rsidR="008B59A6" w:rsidRDefault="008B59A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D626B"/>
    <w:multiLevelType w:val="multilevel"/>
    <w:tmpl w:val="C82496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>
    <w:nsid w:val="08AF40DF"/>
    <w:multiLevelType w:val="multilevel"/>
    <w:tmpl w:val="D0247BCC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17210312"/>
    <w:multiLevelType w:val="multilevel"/>
    <w:tmpl w:val="E1AC439C"/>
    <w:lvl w:ilvl="0">
      <w:start w:val="9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>
    <w:nsid w:val="1AF01D82"/>
    <w:multiLevelType w:val="multilevel"/>
    <w:tmpl w:val="930813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>
    <w:nsid w:val="275105DB"/>
    <w:multiLevelType w:val="multilevel"/>
    <w:tmpl w:val="9D705D1A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nsid w:val="29EA3327"/>
    <w:multiLevelType w:val="multilevel"/>
    <w:tmpl w:val="474C82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>
    <w:nsid w:val="3577522B"/>
    <w:multiLevelType w:val="multilevel"/>
    <w:tmpl w:val="E0580DE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>
    <w:nsid w:val="36DC4467"/>
    <w:multiLevelType w:val="multilevel"/>
    <w:tmpl w:val="B4CA49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>
    <w:nsid w:val="5017448D"/>
    <w:multiLevelType w:val="multilevel"/>
    <w:tmpl w:val="18B8BC68"/>
    <w:lvl w:ilvl="0">
      <w:start w:val="1"/>
      <w:numFmt w:val="bullet"/>
      <w:lvlText w:val="●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51807378"/>
    <w:multiLevelType w:val="multilevel"/>
    <w:tmpl w:val="174063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>
    <w:nsid w:val="618F6480"/>
    <w:multiLevelType w:val="multilevel"/>
    <w:tmpl w:val="A4607D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1">
    <w:nsid w:val="67F87509"/>
    <w:multiLevelType w:val="multilevel"/>
    <w:tmpl w:val="77CC48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011BC7"/>
    <w:multiLevelType w:val="multilevel"/>
    <w:tmpl w:val="AF32A4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>
    <w:nsid w:val="77C92A28"/>
    <w:multiLevelType w:val="multilevel"/>
    <w:tmpl w:val="E88E4A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5"/>
  </w:num>
  <w:num w:numId="2">
    <w:abstractNumId w:val="3"/>
  </w:num>
  <w:num w:numId="3">
    <w:abstractNumId w:val="11"/>
  </w:num>
  <w:num w:numId="4">
    <w:abstractNumId w:val="13"/>
  </w:num>
  <w:num w:numId="5">
    <w:abstractNumId w:val="0"/>
  </w:num>
  <w:num w:numId="6">
    <w:abstractNumId w:val="2"/>
  </w:num>
  <w:num w:numId="7">
    <w:abstractNumId w:val="4"/>
  </w:num>
  <w:num w:numId="8">
    <w:abstractNumId w:val="1"/>
  </w:num>
  <w:num w:numId="9">
    <w:abstractNumId w:val="8"/>
  </w:num>
  <w:num w:numId="10">
    <w:abstractNumId w:val="7"/>
  </w:num>
  <w:num w:numId="11">
    <w:abstractNumId w:val="6"/>
  </w:num>
  <w:num w:numId="12">
    <w:abstractNumId w:val="9"/>
  </w:num>
  <w:num w:numId="13">
    <w:abstractNumId w:val="1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TrueTypeFont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B59A6"/>
    <w:rsid w:val="003E39E1"/>
    <w:rsid w:val="008B5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pBdr>
        <w:top w:val="nil"/>
        <w:left w:val="nil"/>
        <w:bottom w:val="nil"/>
        <w:right w:val="nil"/>
        <w:between w:val="nil"/>
      </w:pBdr>
      <w:spacing w:after="160" w:line="259" w:lineRule="auto"/>
      <w:ind w:left="2832" w:firstLine="708"/>
      <w:outlineLvl w:val="0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styleId="2">
    <w:name w:val="heading 2"/>
    <w:basedOn w:val="a"/>
    <w:next w:val="a"/>
    <w:pPr>
      <w:keepNext/>
      <w:keepLines/>
      <w:spacing w:before="200" w:after="0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10">
    <w:name w:val="Заголовок 1 Знак"/>
    <w:basedOn w:val="a0"/>
    <w:rsid w:val="002C03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1">
    <w:name w:val="Обычный1"/>
    <w:rsid w:val="002C0354"/>
    <w:pPr>
      <w:spacing w:after="160" w:line="259" w:lineRule="auto"/>
    </w:pPr>
    <w:rPr>
      <w:rFonts w:ascii="Aptos" w:eastAsia="Aptos" w:hAnsi="Aptos" w:cs="Aptos"/>
      <w:sz w:val="24"/>
      <w:szCs w:val="24"/>
    </w:rPr>
  </w:style>
  <w:style w:type="character" w:styleId="a4">
    <w:name w:val="Strong"/>
    <w:basedOn w:val="a0"/>
    <w:uiPriority w:val="22"/>
    <w:qFormat/>
    <w:rsid w:val="002C0354"/>
    <w:rPr>
      <w:b/>
      <w:bCs/>
    </w:rPr>
  </w:style>
  <w:style w:type="character" w:styleId="a5">
    <w:name w:val="Hyperlink"/>
    <w:basedOn w:val="a0"/>
    <w:uiPriority w:val="99"/>
    <w:unhideWhenUsed/>
    <w:rsid w:val="002C0354"/>
    <w:rPr>
      <w:color w:val="0000FF"/>
      <w:u w:val="single"/>
    </w:rPr>
  </w:style>
  <w:style w:type="character" w:styleId="a6">
    <w:name w:val="Emphasis"/>
    <w:basedOn w:val="a0"/>
    <w:uiPriority w:val="20"/>
    <w:qFormat/>
    <w:rsid w:val="002C0354"/>
    <w:rPr>
      <w:i/>
      <w:iCs/>
    </w:rPr>
  </w:style>
  <w:style w:type="paragraph" w:customStyle="1" w:styleId="ds-markdown-paragraph">
    <w:name w:val="ds-markdown-paragraph"/>
    <w:rsid w:val="002C0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C578EF"/>
    <w:rPr>
      <w:rFonts w:ascii="Courier New" w:eastAsia="Times New Roman" w:hAnsi="Courier New" w:cs="Courier New"/>
      <w:sz w:val="20"/>
      <w:szCs w:val="20"/>
    </w:rPr>
  </w:style>
  <w:style w:type="table" w:customStyle="1" w:styleId="9">
    <w:name w:val="9"/>
    <w:basedOn w:val="a1"/>
    <w:rsid w:val="00C578EF"/>
    <w:pPr>
      <w:spacing w:after="160" w:line="259" w:lineRule="auto"/>
    </w:pPr>
    <w:rPr>
      <w:rFonts w:ascii="Aptos" w:eastAsia="Aptos" w:hAnsi="Aptos" w:cs="Aptos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a7">
    <w:name w:val="Balloon Text"/>
    <w:link w:val="a8"/>
    <w:uiPriority w:val="99"/>
    <w:semiHidden/>
    <w:unhideWhenUsed/>
    <w:rsid w:val="00C578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578E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uiPriority w:val="9"/>
    <w:rsid w:val="007A67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8">
    <w:name w:val="8"/>
    <w:basedOn w:val="a1"/>
    <w:rsid w:val="007A67DF"/>
    <w:pPr>
      <w:spacing w:after="0" w:line="240" w:lineRule="auto"/>
    </w:pPr>
    <w:rPr>
      <w:rFonts w:ascii="Aptos" w:eastAsia="Aptos" w:hAnsi="Aptos" w:cs="Aptos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7"/>
    <w:basedOn w:val="a1"/>
    <w:rsid w:val="007A67DF"/>
    <w:pPr>
      <w:spacing w:after="0" w:line="240" w:lineRule="auto"/>
    </w:pPr>
    <w:rPr>
      <w:rFonts w:ascii="Aptos" w:eastAsia="Aptos" w:hAnsi="Aptos" w:cs="Aptos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basedOn w:val="a0"/>
    <w:rsid w:val="007A67DF"/>
  </w:style>
  <w:style w:type="table" w:customStyle="1" w:styleId="60">
    <w:name w:val="6"/>
    <w:basedOn w:val="a1"/>
    <w:rsid w:val="008C4847"/>
    <w:pPr>
      <w:spacing w:after="0" w:line="240" w:lineRule="auto"/>
    </w:pPr>
    <w:rPr>
      <w:rFonts w:ascii="Aptos" w:eastAsia="Aptos" w:hAnsi="Aptos" w:cs="Aptos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uiPriority w:val="34"/>
    <w:qFormat/>
    <w:rsid w:val="009434B3"/>
    <w:pPr>
      <w:ind w:left="720"/>
      <w:contextualSpacing/>
    </w:pPr>
  </w:style>
  <w:style w:type="table" w:styleId="aa">
    <w:name w:val="Table Grid"/>
    <w:basedOn w:val="a1"/>
    <w:uiPriority w:val="39"/>
    <w:rsid w:val="00D668F9"/>
    <w:pPr>
      <w:spacing w:after="0" w:line="240" w:lineRule="auto"/>
    </w:pPr>
    <w:rPr>
      <w:rFonts w:ascii="Aptos" w:eastAsia="Aptos" w:hAnsi="Aptos" w:cs="Aptos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link w:val="ac"/>
    <w:uiPriority w:val="99"/>
    <w:unhideWhenUsed/>
    <w:rsid w:val="0073143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31437"/>
  </w:style>
  <w:style w:type="paragraph" w:styleId="ad">
    <w:name w:val="footer"/>
    <w:link w:val="ae"/>
    <w:uiPriority w:val="99"/>
    <w:semiHidden/>
    <w:unhideWhenUsed/>
    <w:rsid w:val="0073143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731437"/>
  </w:style>
  <w:style w:type="paragraph" w:styleId="af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"/>
    <w:pPr>
      <w:spacing w:after="0" w:line="240" w:lineRule="auto"/>
    </w:pPr>
    <w:rPr>
      <w:rFonts w:ascii="Aptos" w:eastAsia="Aptos" w:hAnsi="Aptos" w:cs="Aptos"/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pPr>
      <w:spacing w:after="160" w:line="259" w:lineRule="auto"/>
    </w:pPr>
    <w:rPr>
      <w:rFonts w:ascii="Aptos" w:eastAsia="Aptos" w:hAnsi="Aptos" w:cs="Aptos"/>
      <w:sz w:val="24"/>
      <w:szCs w:val="24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"/>
    <w:pPr>
      <w:spacing w:after="0" w:line="240" w:lineRule="auto"/>
    </w:pPr>
    <w:rPr>
      <w:rFonts w:ascii="Aptos" w:eastAsia="Aptos" w:hAnsi="Aptos" w:cs="Aptos"/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pPr>
      <w:spacing w:after="0" w:line="240" w:lineRule="auto"/>
    </w:pPr>
    <w:rPr>
      <w:rFonts w:ascii="Aptos" w:eastAsia="Aptos" w:hAnsi="Aptos" w:cs="Aptos"/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pPr>
      <w:spacing w:after="0" w:line="240" w:lineRule="auto"/>
    </w:pPr>
    <w:rPr>
      <w:rFonts w:ascii="Aptos" w:eastAsia="Aptos" w:hAnsi="Aptos" w:cs="Aptos"/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pBdr>
        <w:top w:val="nil"/>
        <w:left w:val="nil"/>
        <w:bottom w:val="nil"/>
        <w:right w:val="nil"/>
        <w:between w:val="nil"/>
      </w:pBdr>
      <w:spacing w:after="160" w:line="259" w:lineRule="auto"/>
      <w:ind w:left="2832" w:firstLine="708"/>
      <w:outlineLvl w:val="0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styleId="2">
    <w:name w:val="heading 2"/>
    <w:basedOn w:val="a"/>
    <w:next w:val="a"/>
    <w:pPr>
      <w:keepNext/>
      <w:keepLines/>
      <w:spacing w:before="200" w:after="0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10">
    <w:name w:val="Заголовок 1 Знак"/>
    <w:basedOn w:val="a0"/>
    <w:rsid w:val="002C03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1">
    <w:name w:val="Обычный1"/>
    <w:rsid w:val="002C0354"/>
    <w:pPr>
      <w:spacing w:after="160" w:line="259" w:lineRule="auto"/>
    </w:pPr>
    <w:rPr>
      <w:rFonts w:ascii="Aptos" w:eastAsia="Aptos" w:hAnsi="Aptos" w:cs="Aptos"/>
      <w:sz w:val="24"/>
      <w:szCs w:val="24"/>
    </w:rPr>
  </w:style>
  <w:style w:type="character" w:styleId="a4">
    <w:name w:val="Strong"/>
    <w:basedOn w:val="a0"/>
    <w:uiPriority w:val="22"/>
    <w:qFormat/>
    <w:rsid w:val="002C0354"/>
    <w:rPr>
      <w:b/>
      <w:bCs/>
    </w:rPr>
  </w:style>
  <w:style w:type="character" w:styleId="a5">
    <w:name w:val="Hyperlink"/>
    <w:basedOn w:val="a0"/>
    <w:uiPriority w:val="99"/>
    <w:unhideWhenUsed/>
    <w:rsid w:val="002C0354"/>
    <w:rPr>
      <w:color w:val="0000FF"/>
      <w:u w:val="single"/>
    </w:rPr>
  </w:style>
  <w:style w:type="character" w:styleId="a6">
    <w:name w:val="Emphasis"/>
    <w:basedOn w:val="a0"/>
    <w:uiPriority w:val="20"/>
    <w:qFormat/>
    <w:rsid w:val="002C0354"/>
    <w:rPr>
      <w:i/>
      <w:iCs/>
    </w:rPr>
  </w:style>
  <w:style w:type="paragraph" w:customStyle="1" w:styleId="ds-markdown-paragraph">
    <w:name w:val="ds-markdown-paragraph"/>
    <w:rsid w:val="002C0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C578EF"/>
    <w:rPr>
      <w:rFonts w:ascii="Courier New" w:eastAsia="Times New Roman" w:hAnsi="Courier New" w:cs="Courier New"/>
      <w:sz w:val="20"/>
      <w:szCs w:val="20"/>
    </w:rPr>
  </w:style>
  <w:style w:type="table" w:customStyle="1" w:styleId="9">
    <w:name w:val="9"/>
    <w:basedOn w:val="a1"/>
    <w:rsid w:val="00C578EF"/>
    <w:pPr>
      <w:spacing w:after="160" w:line="259" w:lineRule="auto"/>
    </w:pPr>
    <w:rPr>
      <w:rFonts w:ascii="Aptos" w:eastAsia="Aptos" w:hAnsi="Aptos" w:cs="Aptos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a7">
    <w:name w:val="Balloon Text"/>
    <w:link w:val="a8"/>
    <w:uiPriority w:val="99"/>
    <w:semiHidden/>
    <w:unhideWhenUsed/>
    <w:rsid w:val="00C578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578E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uiPriority w:val="9"/>
    <w:rsid w:val="007A67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8">
    <w:name w:val="8"/>
    <w:basedOn w:val="a1"/>
    <w:rsid w:val="007A67DF"/>
    <w:pPr>
      <w:spacing w:after="0" w:line="240" w:lineRule="auto"/>
    </w:pPr>
    <w:rPr>
      <w:rFonts w:ascii="Aptos" w:eastAsia="Aptos" w:hAnsi="Aptos" w:cs="Aptos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7"/>
    <w:basedOn w:val="a1"/>
    <w:rsid w:val="007A67DF"/>
    <w:pPr>
      <w:spacing w:after="0" w:line="240" w:lineRule="auto"/>
    </w:pPr>
    <w:rPr>
      <w:rFonts w:ascii="Aptos" w:eastAsia="Aptos" w:hAnsi="Aptos" w:cs="Aptos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basedOn w:val="a0"/>
    <w:rsid w:val="007A67DF"/>
  </w:style>
  <w:style w:type="table" w:customStyle="1" w:styleId="60">
    <w:name w:val="6"/>
    <w:basedOn w:val="a1"/>
    <w:rsid w:val="008C4847"/>
    <w:pPr>
      <w:spacing w:after="0" w:line="240" w:lineRule="auto"/>
    </w:pPr>
    <w:rPr>
      <w:rFonts w:ascii="Aptos" w:eastAsia="Aptos" w:hAnsi="Aptos" w:cs="Aptos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uiPriority w:val="34"/>
    <w:qFormat/>
    <w:rsid w:val="009434B3"/>
    <w:pPr>
      <w:ind w:left="720"/>
      <w:contextualSpacing/>
    </w:pPr>
  </w:style>
  <w:style w:type="table" w:styleId="aa">
    <w:name w:val="Table Grid"/>
    <w:basedOn w:val="a1"/>
    <w:uiPriority w:val="39"/>
    <w:rsid w:val="00D668F9"/>
    <w:pPr>
      <w:spacing w:after="0" w:line="240" w:lineRule="auto"/>
    </w:pPr>
    <w:rPr>
      <w:rFonts w:ascii="Aptos" w:eastAsia="Aptos" w:hAnsi="Aptos" w:cs="Aptos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link w:val="ac"/>
    <w:uiPriority w:val="99"/>
    <w:unhideWhenUsed/>
    <w:rsid w:val="0073143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31437"/>
  </w:style>
  <w:style w:type="paragraph" w:styleId="ad">
    <w:name w:val="footer"/>
    <w:link w:val="ae"/>
    <w:uiPriority w:val="99"/>
    <w:semiHidden/>
    <w:unhideWhenUsed/>
    <w:rsid w:val="0073143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731437"/>
  </w:style>
  <w:style w:type="paragraph" w:styleId="af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"/>
    <w:pPr>
      <w:spacing w:after="0" w:line="240" w:lineRule="auto"/>
    </w:pPr>
    <w:rPr>
      <w:rFonts w:ascii="Aptos" w:eastAsia="Aptos" w:hAnsi="Aptos" w:cs="Aptos"/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pPr>
      <w:spacing w:after="160" w:line="259" w:lineRule="auto"/>
    </w:pPr>
    <w:rPr>
      <w:rFonts w:ascii="Aptos" w:eastAsia="Aptos" w:hAnsi="Aptos" w:cs="Aptos"/>
      <w:sz w:val="24"/>
      <w:szCs w:val="24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"/>
    <w:pPr>
      <w:spacing w:after="0" w:line="240" w:lineRule="auto"/>
    </w:pPr>
    <w:rPr>
      <w:rFonts w:ascii="Aptos" w:eastAsia="Aptos" w:hAnsi="Aptos" w:cs="Aptos"/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pPr>
      <w:spacing w:after="0" w:line="240" w:lineRule="auto"/>
    </w:pPr>
    <w:rPr>
      <w:rFonts w:ascii="Aptos" w:eastAsia="Aptos" w:hAnsi="Aptos" w:cs="Aptos"/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pPr>
      <w:spacing w:after="0" w:line="240" w:lineRule="auto"/>
    </w:pPr>
    <w:rPr>
      <w:rFonts w:ascii="Aptos" w:eastAsia="Aptos" w:hAnsi="Aptos" w:cs="Aptos"/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pubmed.ncbi.nlm.nih.gov/?term=%22Eras-Mu%C3%B1oz%20E%22%5BAuthor%5D" TargetMode="External"/><Relationship Id="rId18" Type="http://schemas.openxmlformats.org/officeDocument/2006/relationships/hyperlink" Target="https://doi.org/10.1002/jcp.30974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pubmed.ncbi.nlm.nih.gov/?term=%22Mayegowda%20SB%22%5BAuthor%5D" TargetMode="External"/><Relationship Id="rId17" Type="http://schemas.openxmlformats.org/officeDocument/2006/relationships/hyperlink" Target="https://doi.org/10.1021/acs.jnatprod.9b0011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i.org/10.1080/1040841x.2018.1514365" TargetMode="External"/><Relationship Id="rId20" Type="http://schemas.openxmlformats.org/officeDocument/2006/relationships/hyperlink" Target="https://doi.org/10.1007/s00253-013-5198-x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ubmed.ncbi.nlm.nih.gov/?term=%22Avalon%20NE%22%5BAuthor%5D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doi.org/10.1007/s00253-021-11632-0" TargetMode="External"/><Relationship Id="rId10" Type="http://schemas.openxmlformats.org/officeDocument/2006/relationships/header" Target="header1.xml"/><Relationship Id="rId19" Type="http://schemas.openxmlformats.org/officeDocument/2006/relationships/hyperlink" Target="https://doi.org/10.1128/AEM.00445-18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6.png"/><Relationship Id="rId14" Type="http://schemas.openxmlformats.org/officeDocument/2006/relationships/hyperlink" Target="https://doi.org/10.1038/s41522-023-00418-z" TargetMode="External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ylQgh8ApcaoIY2Rf6nPg1It15w==">CgMxLjAaJQoBMBIgCh4IB0IaCg9UaW1lcyBOZXcgUm9tYW4SB0d1bmdzdWgyDmgubW56anI0bnlzYjA2OAByITFwaUlydkp4UFBTenQxYU1saWx6TTNtRjh6ck5PbGR5Xw==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4771</Words>
  <Characters>27201</Characters>
  <Application>Microsoft Office Word</Application>
  <DocSecurity>0</DocSecurity>
  <Lines>226</Lines>
  <Paragraphs>63</Paragraphs>
  <ScaleCrop>false</ScaleCrop>
  <Company>Reanimator Extreme Edition</Company>
  <LinksUpToDate>false</LinksUpToDate>
  <CharactersWithSpaces>31909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</dc:creator>
  <cp:lastModifiedBy>USER</cp:lastModifiedBy>
  <cp:revision>2</cp:revision>
  <dcterms:created xsi:type="dcterms:W3CDTF">2025-12-14T09:26:00Z</dcterms:created>
  <dcterms:modified xsi:type="dcterms:W3CDTF">2026-04-01T17:27:00Z</dcterms:modified>
</cp:coreProperties>
</file>