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EF5" w:rsidRPr="000C0848" w:rsidRDefault="000F1DBD" w:rsidP="004E1EF5">
      <w:pPr>
        <w:pBdr>
          <w:bottom w:val="single" w:sz="4" w:space="1" w:color="000000"/>
        </w:pBdr>
        <w:rPr>
          <w:sz w:val="28"/>
          <w:szCs w:val="28"/>
        </w:rPr>
      </w:pPr>
      <w:r>
        <w:rPr>
          <w:sz w:val="28"/>
          <w:szCs w:val="28"/>
        </w:rPr>
        <w:t xml:space="preserve">  </w:t>
      </w:r>
      <w:r w:rsidR="004E1EF5">
        <w:rPr>
          <w:sz w:val="28"/>
          <w:szCs w:val="28"/>
        </w:rPr>
        <w:t xml:space="preserve">  </w:t>
      </w:r>
      <w:r w:rsidR="004E1EF5" w:rsidRPr="000C0848">
        <w:rPr>
          <w:sz w:val="28"/>
          <w:szCs w:val="28"/>
        </w:rPr>
        <w:t>ОДЕСЬКИЙ НАЦІОНАЛЬНИЙ УНІВЕРСИТЕТ ІМЕНІ І. І. МЕЧНИКОВА</w:t>
      </w:r>
    </w:p>
    <w:p w:rsidR="004E1EF5" w:rsidRPr="00083E41" w:rsidRDefault="004E1EF5" w:rsidP="004E1EF5">
      <w:pPr>
        <w:pBdr>
          <w:bottom w:val="single" w:sz="4" w:space="1" w:color="000000"/>
        </w:pBdr>
        <w:tabs>
          <w:tab w:val="center" w:pos="4677"/>
        </w:tabs>
        <w:spacing w:before="240"/>
        <w:rPr>
          <w:sz w:val="28"/>
          <w:szCs w:val="28"/>
          <w:u w:val="single"/>
        </w:rPr>
      </w:pPr>
      <w:r w:rsidRPr="000C0848">
        <w:rPr>
          <w:sz w:val="28"/>
          <w:szCs w:val="28"/>
        </w:rPr>
        <w:tab/>
      </w:r>
      <w:r w:rsidRPr="00083E41">
        <w:rPr>
          <w:sz w:val="28"/>
          <w:szCs w:val="28"/>
          <w:u w:val="single"/>
        </w:rPr>
        <w:t>Факультет міжнародних відносин, політології та соціології</w:t>
      </w:r>
    </w:p>
    <w:p w:rsidR="004E1EF5" w:rsidRPr="000C0848" w:rsidRDefault="004E1EF5" w:rsidP="004E1EF5">
      <w:pPr>
        <w:pBdr>
          <w:bottom w:val="single" w:sz="4" w:space="1" w:color="000000"/>
        </w:pBdr>
        <w:spacing w:before="240"/>
        <w:jc w:val="center"/>
        <w:rPr>
          <w:sz w:val="28"/>
          <w:szCs w:val="28"/>
        </w:rPr>
      </w:pPr>
      <w:r w:rsidRPr="000C0848">
        <w:rPr>
          <w:sz w:val="28"/>
          <w:szCs w:val="28"/>
        </w:rPr>
        <w:t>Кафедра міжнародних відносин</w:t>
      </w:r>
    </w:p>
    <w:p w:rsidR="004E1EF5" w:rsidRPr="000C0848" w:rsidRDefault="004E1EF5" w:rsidP="004E1EF5">
      <w:pPr>
        <w:rPr>
          <w:b/>
          <w:sz w:val="28"/>
          <w:szCs w:val="40"/>
        </w:rPr>
      </w:pPr>
    </w:p>
    <w:p w:rsidR="004E1EF5" w:rsidRDefault="004E1EF5" w:rsidP="004E1EF5">
      <w:pPr>
        <w:jc w:val="center"/>
        <w:rPr>
          <w:b/>
          <w:sz w:val="32"/>
          <w:szCs w:val="32"/>
        </w:rPr>
      </w:pPr>
    </w:p>
    <w:p w:rsidR="004E1EF5" w:rsidRPr="000C0848" w:rsidRDefault="004E1EF5" w:rsidP="004E1EF5">
      <w:pPr>
        <w:jc w:val="center"/>
        <w:rPr>
          <w:b/>
          <w:sz w:val="32"/>
          <w:szCs w:val="32"/>
        </w:rPr>
      </w:pPr>
      <w:r w:rsidRPr="000C0848">
        <w:rPr>
          <w:b/>
          <w:sz w:val="32"/>
          <w:szCs w:val="32"/>
        </w:rPr>
        <w:t>Кваліфікаційна робота</w:t>
      </w:r>
    </w:p>
    <w:p w:rsidR="004E1EF5" w:rsidRPr="000C0848" w:rsidRDefault="004E1EF5" w:rsidP="004E1EF5">
      <w:pPr>
        <w:pBdr>
          <w:bottom w:val="single" w:sz="4" w:space="1" w:color="000000"/>
        </w:pBdr>
        <w:tabs>
          <w:tab w:val="center" w:pos="4819"/>
          <w:tab w:val="right" w:pos="8505"/>
        </w:tabs>
        <w:spacing w:before="240"/>
        <w:ind w:left="1134" w:right="850"/>
        <w:jc w:val="center"/>
        <w:rPr>
          <w:sz w:val="28"/>
          <w:szCs w:val="28"/>
        </w:rPr>
      </w:pPr>
      <w:r w:rsidRPr="000C0848">
        <w:rPr>
          <w:sz w:val="28"/>
          <w:szCs w:val="28"/>
        </w:rPr>
        <w:t>на здобуття ступеня вищої освіти «магістр»</w:t>
      </w:r>
    </w:p>
    <w:p w:rsidR="004E1EF5" w:rsidRPr="000C0848" w:rsidRDefault="004E1EF5" w:rsidP="004E1EF5">
      <w:pPr>
        <w:tabs>
          <w:tab w:val="right" w:pos="9355"/>
        </w:tabs>
        <w:jc w:val="center"/>
        <w:rPr>
          <w:b/>
          <w:sz w:val="28"/>
          <w:szCs w:val="28"/>
        </w:rPr>
      </w:pPr>
    </w:p>
    <w:p w:rsidR="004E1EF5" w:rsidRPr="0094266B" w:rsidRDefault="004E1EF5" w:rsidP="004E1EF5">
      <w:pPr>
        <w:tabs>
          <w:tab w:val="right" w:pos="9355"/>
        </w:tabs>
        <w:jc w:val="center"/>
        <w:rPr>
          <w:b/>
          <w:sz w:val="28"/>
          <w:szCs w:val="28"/>
          <w:u w:val="single"/>
        </w:rPr>
      </w:pPr>
      <w:r w:rsidRPr="00083E41">
        <w:rPr>
          <w:b/>
          <w:sz w:val="40"/>
          <w:szCs w:val="40"/>
          <w:u w:val="single"/>
        </w:rPr>
        <w:t>«</w:t>
      </w:r>
      <w:r w:rsidRPr="0094266B">
        <w:rPr>
          <w:b/>
          <w:sz w:val="28"/>
          <w:szCs w:val="28"/>
          <w:u w:val="single"/>
        </w:rPr>
        <w:t xml:space="preserve">Зовнішня політика Туреччини в Чорноморському регіоні після 2022 року» </w:t>
      </w:r>
    </w:p>
    <w:p w:rsidR="004E1EF5" w:rsidRPr="0094266B" w:rsidRDefault="004E1EF5" w:rsidP="004E1EF5">
      <w:pPr>
        <w:tabs>
          <w:tab w:val="right" w:pos="9355"/>
        </w:tabs>
        <w:jc w:val="center"/>
        <w:rPr>
          <w:b/>
          <w:sz w:val="28"/>
          <w:szCs w:val="28"/>
          <w:u w:val="single"/>
        </w:rPr>
      </w:pPr>
      <w:r w:rsidRPr="0094266B">
        <w:rPr>
          <w:b/>
          <w:sz w:val="28"/>
          <w:szCs w:val="28"/>
          <w:u w:val="single"/>
        </w:rPr>
        <w:t>«Turkish Foreign Policy in the Black Sea Region after 2022»</w:t>
      </w:r>
    </w:p>
    <w:p w:rsidR="004E1EF5" w:rsidRPr="000C0848" w:rsidRDefault="004E1EF5" w:rsidP="004E1EF5">
      <w:pPr>
        <w:tabs>
          <w:tab w:val="right" w:pos="9355"/>
        </w:tabs>
        <w:rPr>
          <w:sz w:val="20"/>
          <w:szCs w:val="28"/>
          <w:u w:val="single"/>
        </w:rPr>
      </w:pPr>
    </w:p>
    <w:p w:rsidR="004E1EF5" w:rsidRDefault="004E1EF5" w:rsidP="004E1EF5">
      <w:pPr>
        <w:jc w:val="right"/>
        <w:rPr>
          <w:sz w:val="28"/>
          <w:szCs w:val="28"/>
        </w:rPr>
      </w:pPr>
    </w:p>
    <w:p w:rsidR="004E1EF5" w:rsidRPr="00F94DB1" w:rsidRDefault="004E1EF5" w:rsidP="004E1EF5">
      <w:pPr>
        <w:jc w:val="left"/>
        <w:rPr>
          <w:sz w:val="16"/>
          <w:szCs w:val="16"/>
        </w:rPr>
      </w:pPr>
      <w:r w:rsidRPr="00F94DB1">
        <w:rPr>
          <w:sz w:val="28"/>
          <w:szCs w:val="28"/>
        </w:rPr>
        <w:t xml:space="preserve">                                 спеціальності </w:t>
      </w:r>
      <w:r w:rsidRPr="00F94DB1">
        <w:rPr>
          <w:sz w:val="28"/>
          <w:szCs w:val="28"/>
          <w:u w:val="single"/>
        </w:rPr>
        <w:t>291Міжнародні відносини, суспільні</w:t>
      </w:r>
      <w:r w:rsidRPr="00F94DB1">
        <w:rPr>
          <w:sz w:val="18"/>
          <w:szCs w:val="18"/>
        </w:rPr>
        <w:t>_____</w:t>
      </w:r>
    </w:p>
    <w:p w:rsidR="004E1EF5" w:rsidRPr="00F94DB1" w:rsidRDefault="004E1EF5" w:rsidP="004E1EF5">
      <w:pPr>
        <w:jc w:val="left"/>
        <w:rPr>
          <w:sz w:val="16"/>
          <w:szCs w:val="16"/>
        </w:rPr>
      </w:pPr>
      <w:r w:rsidRPr="00F94DB1">
        <w:rPr>
          <w:sz w:val="28"/>
          <w:szCs w:val="28"/>
        </w:rPr>
        <w:tab/>
      </w:r>
      <w:r w:rsidRPr="00F94DB1">
        <w:rPr>
          <w:sz w:val="28"/>
          <w:szCs w:val="28"/>
        </w:rPr>
        <w:tab/>
      </w:r>
      <w:r w:rsidRPr="00F94DB1">
        <w:rPr>
          <w:sz w:val="28"/>
          <w:szCs w:val="28"/>
        </w:rPr>
        <w:tab/>
        <w:t xml:space="preserve">  </w:t>
      </w:r>
      <w:r w:rsidRPr="00F94DB1">
        <w:rPr>
          <w:sz w:val="28"/>
          <w:szCs w:val="28"/>
          <w:u w:val="single"/>
        </w:rPr>
        <w:t>комунікації та регіональні студії</w:t>
      </w:r>
      <w:r w:rsidRPr="00F94DB1">
        <w:rPr>
          <w:sz w:val="18"/>
          <w:szCs w:val="18"/>
        </w:rPr>
        <w:t>______________________________</w:t>
      </w:r>
    </w:p>
    <w:p w:rsidR="004E1EF5" w:rsidRPr="00F94DB1" w:rsidRDefault="004E1EF5" w:rsidP="004E1EF5">
      <w:pPr>
        <w:jc w:val="left"/>
        <w:rPr>
          <w:sz w:val="20"/>
          <w:szCs w:val="20"/>
        </w:rPr>
      </w:pPr>
      <w:r w:rsidRPr="00F94DB1">
        <w:rPr>
          <w:sz w:val="20"/>
          <w:szCs w:val="20"/>
        </w:rPr>
        <w:t xml:space="preserve">                                                                   </w:t>
      </w:r>
      <w:r w:rsidRPr="00F94DB1">
        <w:rPr>
          <w:sz w:val="20"/>
          <w:szCs w:val="20"/>
        </w:rPr>
        <w:tab/>
      </w:r>
      <w:r w:rsidRPr="00F94DB1">
        <w:rPr>
          <w:sz w:val="20"/>
          <w:szCs w:val="20"/>
        </w:rPr>
        <w:tab/>
        <w:t xml:space="preserve">       (код, назва спеціальності)</w:t>
      </w:r>
    </w:p>
    <w:p w:rsidR="004E1EF5" w:rsidRPr="00F94DB1" w:rsidRDefault="004E1EF5" w:rsidP="004E1EF5">
      <w:pPr>
        <w:ind w:left="2325"/>
        <w:jc w:val="left"/>
        <w:rPr>
          <w:u w:val="single"/>
        </w:rPr>
      </w:pPr>
      <w:r w:rsidRPr="00F94DB1">
        <w:t xml:space="preserve">Освітня програма </w:t>
      </w:r>
      <w:r w:rsidRPr="00F94DB1">
        <w:rPr>
          <w:u w:val="single"/>
        </w:rPr>
        <w:t>Міжнародні відносини, суспільні комунікації</w:t>
      </w:r>
    </w:p>
    <w:p w:rsidR="004E1EF5" w:rsidRPr="00F94DB1" w:rsidRDefault="004E1EF5" w:rsidP="004E1EF5">
      <w:pPr>
        <w:ind w:left="2325"/>
        <w:jc w:val="left"/>
        <w:rPr>
          <w:sz w:val="20"/>
          <w:szCs w:val="20"/>
        </w:rPr>
      </w:pPr>
      <w:r w:rsidRPr="00F94DB1">
        <w:rPr>
          <w:u w:val="single"/>
        </w:rPr>
        <w:t xml:space="preserve"> та регіональні студії</w:t>
      </w:r>
      <w:r w:rsidRPr="00F94DB1">
        <w:rPr>
          <w:sz w:val="16"/>
          <w:szCs w:val="16"/>
        </w:rPr>
        <w:t>______________________________________________________</w:t>
      </w:r>
    </w:p>
    <w:p w:rsidR="004E1EF5" w:rsidRPr="00FA7CBD" w:rsidRDefault="004E1EF5" w:rsidP="004E1EF5">
      <w:pPr>
        <w:ind w:left="1617" w:firstLine="708"/>
        <w:jc w:val="left"/>
        <w:rPr>
          <w:sz w:val="28"/>
          <w:szCs w:val="28"/>
          <w:u w:val="single"/>
        </w:rPr>
      </w:pPr>
      <w:r w:rsidRPr="00FA7CBD">
        <w:rPr>
          <w:sz w:val="28"/>
          <w:szCs w:val="28"/>
          <w:u w:val="single"/>
        </w:rPr>
        <w:t>Гудзенко Жанна Сергіївна</w:t>
      </w:r>
    </w:p>
    <w:p w:rsidR="004E1EF5" w:rsidRPr="000C0848" w:rsidRDefault="004E1EF5" w:rsidP="004E1EF5">
      <w:pPr>
        <w:jc w:val="left"/>
        <w:rPr>
          <w:sz w:val="20"/>
          <w:szCs w:val="20"/>
        </w:rPr>
      </w:pPr>
      <w:r w:rsidRPr="000C0848">
        <w:rPr>
          <w:sz w:val="20"/>
          <w:szCs w:val="20"/>
          <w:lang w:val="ru-RU"/>
        </w:rPr>
        <w:tab/>
      </w:r>
      <w:r w:rsidRPr="000C0848">
        <w:rPr>
          <w:sz w:val="20"/>
          <w:szCs w:val="20"/>
          <w:lang w:val="ru-RU"/>
        </w:rPr>
        <w:tab/>
      </w:r>
      <w:r w:rsidRPr="000C0848">
        <w:rPr>
          <w:sz w:val="20"/>
          <w:szCs w:val="20"/>
          <w:lang w:val="ru-RU"/>
        </w:rPr>
        <w:tab/>
      </w:r>
      <w:r w:rsidRPr="000C0848">
        <w:rPr>
          <w:sz w:val="20"/>
          <w:szCs w:val="20"/>
          <w:lang w:val="ru-RU"/>
        </w:rPr>
        <w:tab/>
      </w:r>
      <w:r w:rsidRPr="000C0848">
        <w:rPr>
          <w:sz w:val="20"/>
          <w:szCs w:val="20"/>
        </w:rPr>
        <w:t xml:space="preserve"> </w:t>
      </w:r>
    </w:p>
    <w:p w:rsidR="004E1EF5" w:rsidRPr="000C0848" w:rsidRDefault="004E1EF5" w:rsidP="004E1EF5">
      <w:pPr>
        <w:jc w:val="left"/>
        <w:rPr>
          <w:sz w:val="20"/>
          <w:szCs w:val="20"/>
        </w:rPr>
      </w:pPr>
    </w:p>
    <w:p w:rsidR="004E1EF5" w:rsidRPr="000C0848" w:rsidRDefault="004E1EF5" w:rsidP="004E1EF5">
      <w:pPr>
        <w:tabs>
          <w:tab w:val="left" w:pos="5245"/>
          <w:tab w:val="right" w:pos="9355"/>
        </w:tabs>
        <w:spacing w:before="120"/>
        <w:jc w:val="left"/>
        <w:rPr>
          <w:sz w:val="28"/>
          <w:szCs w:val="28"/>
        </w:rPr>
      </w:pPr>
      <w:r>
        <w:rPr>
          <w:sz w:val="28"/>
          <w:szCs w:val="28"/>
        </w:rPr>
        <w:t xml:space="preserve">                                </w:t>
      </w:r>
      <w:r w:rsidRPr="000C0848">
        <w:rPr>
          <w:sz w:val="28"/>
          <w:szCs w:val="28"/>
        </w:rPr>
        <w:t xml:space="preserve">Керівник      </w:t>
      </w:r>
      <w:r w:rsidRPr="00282798">
        <w:rPr>
          <w:sz w:val="28"/>
          <w:szCs w:val="28"/>
          <w:u w:val="single"/>
        </w:rPr>
        <w:t xml:space="preserve">д. політ. н., проф. Коваль І.М.     </w:t>
      </w:r>
      <w:r w:rsidRPr="0094266B">
        <w:rPr>
          <w:sz w:val="28"/>
          <w:szCs w:val="28"/>
        </w:rPr>
        <w:t xml:space="preserve"> </w:t>
      </w:r>
      <w:r w:rsidRPr="000C0848">
        <w:rPr>
          <w:sz w:val="28"/>
          <w:szCs w:val="28"/>
        </w:rPr>
        <w:t>_________</w:t>
      </w:r>
    </w:p>
    <w:p w:rsidR="004E1EF5" w:rsidRPr="000C0848" w:rsidRDefault="004E1EF5" w:rsidP="004E1EF5">
      <w:pPr>
        <w:tabs>
          <w:tab w:val="left" w:pos="5245"/>
          <w:tab w:val="right" w:pos="9355"/>
        </w:tabs>
        <w:spacing w:before="120"/>
        <w:jc w:val="left"/>
        <w:rPr>
          <w:sz w:val="28"/>
          <w:szCs w:val="28"/>
        </w:rPr>
      </w:pPr>
    </w:p>
    <w:p w:rsidR="004E1EF5" w:rsidRPr="00282798" w:rsidRDefault="004E1EF5" w:rsidP="004E1EF5">
      <w:pPr>
        <w:tabs>
          <w:tab w:val="left" w:pos="5245"/>
          <w:tab w:val="right" w:pos="9355"/>
        </w:tabs>
        <w:spacing w:before="120"/>
        <w:jc w:val="left"/>
        <w:rPr>
          <w:sz w:val="28"/>
          <w:szCs w:val="28"/>
          <w:u w:val="single"/>
        </w:rPr>
      </w:pPr>
      <w:r>
        <w:rPr>
          <w:sz w:val="28"/>
          <w:szCs w:val="28"/>
        </w:rPr>
        <w:t xml:space="preserve">                                 </w:t>
      </w:r>
      <w:r w:rsidRPr="000C0848">
        <w:rPr>
          <w:sz w:val="28"/>
          <w:szCs w:val="28"/>
        </w:rPr>
        <w:t xml:space="preserve">Рецензент  </w:t>
      </w:r>
      <w:r w:rsidRPr="00282798">
        <w:rPr>
          <w:sz w:val="28"/>
          <w:szCs w:val="28"/>
          <w:u w:val="single"/>
        </w:rPr>
        <w:t>к.політ.н.,  доц. Майстренко Ю.І.</w:t>
      </w:r>
    </w:p>
    <w:p w:rsidR="004E1EF5" w:rsidRPr="000C0848" w:rsidRDefault="004E1EF5" w:rsidP="004E1EF5">
      <w:pPr>
        <w:tabs>
          <w:tab w:val="left" w:pos="5245"/>
          <w:tab w:val="right" w:pos="9355"/>
        </w:tabs>
        <w:spacing w:before="120"/>
        <w:rPr>
          <w:sz w:val="20"/>
          <w:szCs w:val="20"/>
        </w:rPr>
      </w:pPr>
    </w:p>
    <w:p w:rsidR="004E1EF5" w:rsidRPr="000C0848" w:rsidRDefault="004E1EF5" w:rsidP="004E1EF5">
      <w:pPr>
        <w:tabs>
          <w:tab w:val="left" w:pos="5245"/>
          <w:tab w:val="right" w:pos="9355"/>
        </w:tabs>
        <w:spacing w:before="120"/>
        <w:rPr>
          <w:sz w:val="20"/>
          <w:szCs w:val="20"/>
        </w:rPr>
      </w:pPr>
    </w:p>
    <w:tbl>
      <w:tblPr>
        <w:tblW w:w="9868" w:type="dxa"/>
        <w:tblLayout w:type="fixed"/>
        <w:tblLook w:val="0000" w:firstRow="0" w:lastRow="0" w:firstColumn="0" w:lastColumn="0" w:noHBand="0" w:noVBand="0"/>
      </w:tblPr>
      <w:tblGrid>
        <w:gridCol w:w="5082"/>
        <w:gridCol w:w="4786"/>
      </w:tblGrid>
      <w:tr w:rsidR="004E1EF5" w:rsidRPr="000C0848" w:rsidTr="00DE5612">
        <w:tc>
          <w:tcPr>
            <w:tcW w:w="5082" w:type="dxa"/>
          </w:tcPr>
          <w:p w:rsidR="004E1EF5" w:rsidRPr="000C0848" w:rsidRDefault="004E1EF5" w:rsidP="00DE5612">
            <w:pPr>
              <w:rPr>
                <w:sz w:val="28"/>
                <w:szCs w:val="28"/>
              </w:rPr>
            </w:pPr>
            <w:bookmarkStart w:id="0" w:name="_heading=h.gjdgxs" w:colFirst="0" w:colLast="0"/>
            <w:bookmarkEnd w:id="0"/>
            <w:r w:rsidRPr="000C0848">
              <w:rPr>
                <w:sz w:val="28"/>
                <w:szCs w:val="28"/>
              </w:rPr>
              <w:t>Рекомендовано до захисту:</w:t>
            </w:r>
          </w:p>
          <w:p w:rsidR="004E1EF5" w:rsidRPr="000C0848" w:rsidRDefault="004E1EF5" w:rsidP="00DE5612">
            <w:pPr>
              <w:rPr>
                <w:sz w:val="28"/>
                <w:szCs w:val="28"/>
              </w:rPr>
            </w:pPr>
            <w:r w:rsidRPr="000C0848">
              <w:rPr>
                <w:sz w:val="28"/>
                <w:szCs w:val="28"/>
              </w:rPr>
              <w:t>Протокол засідання кафедри</w:t>
            </w:r>
          </w:p>
          <w:p w:rsidR="004E1EF5" w:rsidRPr="000C0848" w:rsidRDefault="004E1EF5" w:rsidP="00DE5612">
            <w:pPr>
              <w:rPr>
                <w:sz w:val="28"/>
                <w:szCs w:val="28"/>
              </w:rPr>
            </w:pPr>
            <w:r w:rsidRPr="000C0848">
              <w:rPr>
                <w:sz w:val="28"/>
                <w:szCs w:val="28"/>
              </w:rPr>
              <w:t>__________________________</w:t>
            </w:r>
          </w:p>
          <w:p w:rsidR="004E1EF5" w:rsidRPr="000C0848" w:rsidRDefault="004E1EF5" w:rsidP="00DE5612">
            <w:pPr>
              <w:rPr>
                <w:sz w:val="28"/>
                <w:szCs w:val="28"/>
              </w:rPr>
            </w:pPr>
            <w:r w:rsidRPr="000C0848">
              <w:rPr>
                <w:sz w:val="28"/>
                <w:szCs w:val="28"/>
              </w:rPr>
              <w:t xml:space="preserve">№ ___   від ____.____. 20___ р. </w:t>
            </w:r>
          </w:p>
          <w:p w:rsidR="004E1EF5" w:rsidRPr="000C0848" w:rsidRDefault="004E1EF5" w:rsidP="00DE5612">
            <w:pPr>
              <w:rPr>
                <w:sz w:val="28"/>
                <w:szCs w:val="28"/>
              </w:rPr>
            </w:pPr>
          </w:p>
          <w:p w:rsidR="004E1EF5" w:rsidRPr="000C0848" w:rsidRDefault="004E1EF5" w:rsidP="00DE5612">
            <w:pPr>
              <w:rPr>
                <w:sz w:val="28"/>
                <w:szCs w:val="28"/>
              </w:rPr>
            </w:pPr>
            <w:r w:rsidRPr="000C0848">
              <w:rPr>
                <w:sz w:val="28"/>
                <w:szCs w:val="28"/>
              </w:rPr>
              <w:t>Завідувач(ка) кафедри</w:t>
            </w:r>
          </w:p>
          <w:p w:rsidR="004E1EF5" w:rsidRPr="000C0848" w:rsidRDefault="004E1EF5" w:rsidP="00DE5612">
            <w:pPr>
              <w:tabs>
                <w:tab w:val="left" w:pos="1168"/>
                <w:tab w:val="left" w:pos="3861"/>
              </w:tabs>
              <w:rPr>
                <w:sz w:val="28"/>
                <w:szCs w:val="28"/>
                <w:u w:val="single"/>
              </w:rPr>
            </w:pPr>
            <w:r w:rsidRPr="000C0848">
              <w:rPr>
                <w:sz w:val="28"/>
                <w:szCs w:val="28"/>
                <w:u w:val="single"/>
              </w:rPr>
              <w:tab/>
            </w:r>
            <w:r w:rsidRPr="000C0848">
              <w:rPr>
                <w:sz w:val="28"/>
                <w:szCs w:val="28"/>
              </w:rPr>
              <w:t xml:space="preserve">              Брусиловська О.І.</w:t>
            </w:r>
          </w:p>
          <w:p w:rsidR="004E1EF5" w:rsidRPr="000C0848" w:rsidRDefault="004E1EF5" w:rsidP="00DE5612">
            <w:pPr>
              <w:tabs>
                <w:tab w:val="left" w:pos="284"/>
                <w:tab w:val="left" w:pos="1767"/>
              </w:tabs>
              <w:rPr>
                <w:sz w:val="20"/>
                <w:szCs w:val="20"/>
              </w:rPr>
            </w:pPr>
            <w:r w:rsidRPr="000C0848">
              <w:rPr>
                <w:sz w:val="20"/>
                <w:szCs w:val="20"/>
              </w:rPr>
              <w:t xml:space="preserve">     (підпис)</w:t>
            </w:r>
            <w:r w:rsidRPr="000C0848">
              <w:rPr>
                <w:sz w:val="20"/>
                <w:szCs w:val="20"/>
              </w:rPr>
              <w:tab/>
              <w:t xml:space="preserve"> </w:t>
            </w:r>
          </w:p>
        </w:tc>
        <w:tc>
          <w:tcPr>
            <w:tcW w:w="4786" w:type="dxa"/>
          </w:tcPr>
          <w:p w:rsidR="004E1EF5" w:rsidRPr="000C0848" w:rsidRDefault="004E1EF5" w:rsidP="00DE5612">
            <w:pPr>
              <w:tabs>
                <w:tab w:val="right" w:pos="4462"/>
              </w:tabs>
              <w:rPr>
                <w:sz w:val="28"/>
                <w:szCs w:val="28"/>
              </w:rPr>
            </w:pPr>
            <w:r w:rsidRPr="000C0848">
              <w:rPr>
                <w:sz w:val="28"/>
                <w:szCs w:val="28"/>
              </w:rPr>
              <w:t>Захищено на засіданні ЕК № _____</w:t>
            </w:r>
          </w:p>
          <w:p w:rsidR="004E1EF5" w:rsidRPr="000C0848" w:rsidRDefault="004E1EF5" w:rsidP="00DE5612">
            <w:pPr>
              <w:rPr>
                <w:sz w:val="28"/>
                <w:szCs w:val="28"/>
              </w:rPr>
            </w:pPr>
            <w:r w:rsidRPr="000C0848">
              <w:rPr>
                <w:sz w:val="28"/>
                <w:szCs w:val="28"/>
              </w:rPr>
              <w:t>протокол № __від ____.____.20___ р.</w:t>
            </w:r>
          </w:p>
          <w:p w:rsidR="004E1EF5" w:rsidRPr="000C0848" w:rsidRDefault="004E1EF5" w:rsidP="00DE5612">
            <w:pPr>
              <w:rPr>
                <w:sz w:val="28"/>
                <w:szCs w:val="28"/>
              </w:rPr>
            </w:pPr>
          </w:p>
          <w:p w:rsidR="004E1EF5" w:rsidRPr="000C0848" w:rsidRDefault="004E1EF5" w:rsidP="00DE5612">
            <w:pPr>
              <w:tabs>
                <w:tab w:val="right" w:pos="4462"/>
              </w:tabs>
              <w:rPr>
                <w:sz w:val="28"/>
                <w:szCs w:val="28"/>
              </w:rPr>
            </w:pPr>
            <w:r w:rsidRPr="000C0848">
              <w:rPr>
                <w:sz w:val="28"/>
                <w:szCs w:val="28"/>
              </w:rPr>
              <w:t>Оцінка______________/___</w:t>
            </w:r>
            <w:r w:rsidRPr="000C0848">
              <w:rPr>
                <w:sz w:val="20"/>
                <w:szCs w:val="20"/>
              </w:rPr>
              <w:tab/>
            </w:r>
            <w:r w:rsidRPr="000C0848">
              <w:rPr>
                <w:sz w:val="28"/>
                <w:szCs w:val="28"/>
              </w:rPr>
              <w:t>___/_____</w:t>
            </w:r>
          </w:p>
          <w:p w:rsidR="004E1EF5" w:rsidRPr="000C0848" w:rsidRDefault="004E1EF5" w:rsidP="00DE5612">
            <w:pPr>
              <w:jc w:val="center"/>
              <w:rPr>
                <w:sz w:val="20"/>
                <w:szCs w:val="20"/>
              </w:rPr>
            </w:pPr>
          </w:p>
          <w:p w:rsidR="004E1EF5" w:rsidRPr="000C0848" w:rsidRDefault="004E1EF5" w:rsidP="00DE5612">
            <w:pPr>
              <w:rPr>
                <w:sz w:val="28"/>
                <w:szCs w:val="28"/>
              </w:rPr>
            </w:pPr>
            <w:r w:rsidRPr="000C0848">
              <w:rPr>
                <w:sz w:val="28"/>
                <w:szCs w:val="28"/>
              </w:rPr>
              <w:t>Голова ЕК</w:t>
            </w:r>
          </w:p>
          <w:p w:rsidR="004E1EF5" w:rsidRPr="000C0848" w:rsidRDefault="004E1EF5" w:rsidP="00DE5612">
            <w:pPr>
              <w:rPr>
                <w:sz w:val="28"/>
                <w:szCs w:val="28"/>
                <w:u w:val="single"/>
              </w:rPr>
            </w:pPr>
            <w:r w:rsidRPr="000C0848">
              <w:rPr>
                <w:sz w:val="28"/>
                <w:szCs w:val="28"/>
                <w:u w:val="single"/>
              </w:rPr>
              <w:tab/>
            </w:r>
            <w:r w:rsidRPr="000C0848">
              <w:rPr>
                <w:sz w:val="28"/>
                <w:szCs w:val="28"/>
              </w:rPr>
              <w:t xml:space="preserve">              Глебов В.В.</w:t>
            </w:r>
          </w:p>
          <w:p w:rsidR="004E1EF5" w:rsidRPr="000C0848" w:rsidRDefault="004E1EF5" w:rsidP="00DE5612">
            <w:pPr>
              <w:tabs>
                <w:tab w:val="left" w:pos="454"/>
                <w:tab w:val="left" w:pos="2155"/>
              </w:tabs>
              <w:rPr>
                <w:sz w:val="28"/>
                <w:szCs w:val="28"/>
                <w:lang w:val="ru-RU"/>
              </w:rPr>
            </w:pPr>
            <w:r w:rsidRPr="000C0848">
              <w:rPr>
                <w:sz w:val="20"/>
                <w:szCs w:val="20"/>
              </w:rPr>
              <w:t xml:space="preserve">                   </w:t>
            </w:r>
          </w:p>
        </w:tc>
      </w:tr>
      <w:tr w:rsidR="004E1EF5" w:rsidRPr="000C0848" w:rsidTr="00DE5612">
        <w:tc>
          <w:tcPr>
            <w:tcW w:w="5082" w:type="dxa"/>
          </w:tcPr>
          <w:p w:rsidR="004E1EF5" w:rsidRPr="000C0848" w:rsidRDefault="004E1EF5" w:rsidP="00DE5612">
            <w:pPr>
              <w:rPr>
                <w:sz w:val="28"/>
                <w:szCs w:val="28"/>
              </w:rPr>
            </w:pPr>
          </w:p>
        </w:tc>
        <w:tc>
          <w:tcPr>
            <w:tcW w:w="4786" w:type="dxa"/>
          </w:tcPr>
          <w:p w:rsidR="004E1EF5" w:rsidRPr="000C0848" w:rsidRDefault="004E1EF5" w:rsidP="00DE5612">
            <w:pPr>
              <w:rPr>
                <w:sz w:val="28"/>
                <w:szCs w:val="28"/>
              </w:rPr>
            </w:pPr>
          </w:p>
        </w:tc>
      </w:tr>
    </w:tbl>
    <w:p w:rsidR="004E1EF5" w:rsidRPr="000C0848" w:rsidRDefault="004E1EF5" w:rsidP="004E1EF5">
      <w:pPr>
        <w:rPr>
          <w:b/>
          <w:sz w:val="28"/>
          <w:szCs w:val="28"/>
        </w:rPr>
      </w:pPr>
    </w:p>
    <w:p w:rsidR="004E1EF5" w:rsidRPr="000C0848" w:rsidRDefault="004E1EF5" w:rsidP="004E1EF5">
      <w:pPr>
        <w:jc w:val="center"/>
        <w:rPr>
          <w:b/>
          <w:sz w:val="28"/>
          <w:szCs w:val="28"/>
        </w:rPr>
      </w:pPr>
    </w:p>
    <w:p w:rsidR="004E1EF5" w:rsidRPr="000C0848" w:rsidRDefault="004E1EF5" w:rsidP="004E1EF5">
      <w:pPr>
        <w:jc w:val="center"/>
        <w:rPr>
          <w:b/>
          <w:sz w:val="28"/>
          <w:szCs w:val="28"/>
        </w:rPr>
      </w:pPr>
    </w:p>
    <w:p w:rsidR="004E1EF5" w:rsidRPr="000C0848" w:rsidRDefault="004E1EF5" w:rsidP="004E1EF5">
      <w:pPr>
        <w:jc w:val="center"/>
        <w:rPr>
          <w:b/>
          <w:sz w:val="28"/>
          <w:szCs w:val="28"/>
          <w:lang w:val="en-US"/>
        </w:rPr>
        <w:sectPr w:rsidR="004E1EF5" w:rsidRPr="000C0848" w:rsidSect="00F32B23">
          <w:headerReference w:type="default" r:id="rId8"/>
          <w:pgSz w:w="11906" w:h="16838"/>
          <w:pgMar w:top="1134" w:right="851" w:bottom="1134" w:left="1701" w:header="709" w:footer="709" w:gutter="0"/>
          <w:pgNumType w:start="0"/>
          <w:cols w:space="708"/>
          <w:titlePg/>
          <w:docGrid w:linePitch="360"/>
        </w:sectPr>
      </w:pPr>
      <w:r w:rsidRPr="000C0848">
        <w:rPr>
          <w:b/>
          <w:sz w:val="28"/>
          <w:szCs w:val="28"/>
        </w:rPr>
        <w:t>Одеса 20</w:t>
      </w:r>
      <w:r w:rsidRPr="000C0848">
        <w:rPr>
          <w:b/>
          <w:sz w:val="28"/>
          <w:szCs w:val="28"/>
          <w:lang w:val="ru-RU"/>
        </w:rPr>
        <w:t>2</w:t>
      </w:r>
      <w:r w:rsidRPr="000C0848">
        <w:rPr>
          <w:b/>
          <w:sz w:val="28"/>
          <w:szCs w:val="28"/>
          <w:lang w:val="en-US"/>
        </w:rPr>
        <w:t>5</w:t>
      </w:r>
    </w:p>
    <w:p w:rsidR="00B31484" w:rsidRPr="00781762" w:rsidRDefault="00F32B23" w:rsidP="00C45199">
      <w:pPr>
        <w:spacing w:line="360" w:lineRule="auto"/>
        <w:jc w:val="center"/>
        <w:rPr>
          <w:b/>
          <w:sz w:val="28"/>
          <w:szCs w:val="28"/>
        </w:rPr>
      </w:pPr>
      <w:r w:rsidRPr="00781762">
        <w:rPr>
          <w:b/>
          <w:sz w:val="28"/>
          <w:szCs w:val="28"/>
        </w:rPr>
        <w:lastRenderedPageBreak/>
        <w:t>ЗМІСТ</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2"/>
        <w:gridCol w:w="702"/>
      </w:tblGrid>
      <w:tr w:rsidR="00F32B23" w:rsidRPr="00781762" w:rsidTr="009573B4">
        <w:tc>
          <w:tcPr>
            <w:tcW w:w="8642" w:type="dxa"/>
          </w:tcPr>
          <w:p w:rsidR="00F32B23" w:rsidRPr="00781762" w:rsidRDefault="00F32B23" w:rsidP="00C45199">
            <w:pPr>
              <w:spacing w:line="360" w:lineRule="auto"/>
              <w:jc w:val="left"/>
              <w:rPr>
                <w:b/>
                <w:sz w:val="28"/>
                <w:szCs w:val="28"/>
              </w:rPr>
            </w:pPr>
            <w:r w:rsidRPr="00781762">
              <w:rPr>
                <w:b/>
                <w:sz w:val="28"/>
                <w:szCs w:val="28"/>
              </w:rPr>
              <w:t>ВСТУП</w:t>
            </w:r>
            <w:r w:rsidR="00C45199" w:rsidRPr="00781762">
              <w:rPr>
                <w:b/>
                <w:sz w:val="28"/>
                <w:szCs w:val="28"/>
              </w:rPr>
              <w:t>……………………………………………………………………..</w:t>
            </w:r>
          </w:p>
        </w:tc>
        <w:tc>
          <w:tcPr>
            <w:tcW w:w="702" w:type="dxa"/>
          </w:tcPr>
          <w:p w:rsidR="00F32B23" w:rsidRPr="00781762" w:rsidRDefault="002040CF" w:rsidP="00C45199">
            <w:pPr>
              <w:spacing w:line="360" w:lineRule="auto"/>
              <w:jc w:val="left"/>
              <w:rPr>
                <w:b/>
                <w:sz w:val="28"/>
                <w:szCs w:val="28"/>
              </w:rPr>
            </w:pPr>
            <w:r w:rsidRPr="00781762">
              <w:rPr>
                <w:b/>
                <w:sz w:val="28"/>
                <w:szCs w:val="28"/>
              </w:rPr>
              <w:t>2</w:t>
            </w:r>
          </w:p>
        </w:tc>
      </w:tr>
      <w:tr w:rsidR="00F32B23" w:rsidRPr="00781762" w:rsidTr="009573B4">
        <w:tc>
          <w:tcPr>
            <w:tcW w:w="8642" w:type="dxa"/>
          </w:tcPr>
          <w:p w:rsidR="00F32B23" w:rsidRPr="00781762" w:rsidRDefault="00F32B23" w:rsidP="00C45199">
            <w:pPr>
              <w:spacing w:line="360" w:lineRule="auto"/>
              <w:jc w:val="left"/>
              <w:rPr>
                <w:b/>
                <w:sz w:val="28"/>
                <w:szCs w:val="28"/>
              </w:rPr>
            </w:pPr>
            <w:r w:rsidRPr="00781762">
              <w:rPr>
                <w:b/>
                <w:sz w:val="28"/>
                <w:szCs w:val="28"/>
              </w:rPr>
              <w:t>РОЗДІЛ 1. ТЕОРЕТИЧНІ ЗАСАДИ ДОСЛІДЖЕННЯ ЧИННИКІВ</w:t>
            </w:r>
            <w:r w:rsidR="00C45199" w:rsidRPr="00781762">
              <w:rPr>
                <w:b/>
                <w:sz w:val="28"/>
                <w:szCs w:val="28"/>
              </w:rPr>
              <w:t>………………………………………………………………..</w:t>
            </w:r>
          </w:p>
        </w:tc>
        <w:tc>
          <w:tcPr>
            <w:tcW w:w="702" w:type="dxa"/>
          </w:tcPr>
          <w:p w:rsidR="00F32B23" w:rsidRPr="00781762" w:rsidRDefault="002040CF" w:rsidP="00C45199">
            <w:pPr>
              <w:spacing w:line="360" w:lineRule="auto"/>
              <w:jc w:val="left"/>
              <w:rPr>
                <w:b/>
                <w:sz w:val="28"/>
                <w:szCs w:val="28"/>
              </w:rPr>
            </w:pPr>
            <w:r w:rsidRPr="00781762">
              <w:rPr>
                <w:b/>
                <w:sz w:val="28"/>
                <w:szCs w:val="28"/>
              </w:rPr>
              <w:t>6</w:t>
            </w:r>
          </w:p>
        </w:tc>
      </w:tr>
      <w:tr w:rsidR="00F32B23" w:rsidRPr="00781762" w:rsidTr="009573B4">
        <w:tc>
          <w:tcPr>
            <w:tcW w:w="8642" w:type="dxa"/>
          </w:tcPr>
          <w:p w:rsidR="00F32B23" w:rsidRPr="00781762" w:rsidRDefault="00F32B23" w:rsidP="00C45199">
            <w:pPr>
              <w:spacing w:line="360" w:lineRule="auto"/>
              <w:jc w:val="left"/>
              <w:rPr>
                <w:sz w:val="28"/>
                <w:szCs w:val="28"/>
              </w:rPr>
            </w:pPr>
            <w:r w:rsidRPr="00781762">
              <w:rPr>
                <w:sz w:val="28"/>
                <w:szCs w:val="28"/>
              </w:rPr>
              <w:t>1.1. Ідейне підґрунтя ведення зовнішньої політики Турецької Республіки у Чорноморському регіоні в контексті реалізму</w:t>
            </w:r>
            <w:r w:rsidR="00C45199" w:rsidRPr="00781762">
              <w:rPr>
                <w:sz w:val="28"/>
                <w:szCs w:val="28"/>
              </w:rPr>
              <w:t>…………...</w:t>
            </w:r>
          </w:p>
        </w:tc>
        <w:tc>
          <w:tcPr>
            <w:tcW w:w="702" w:type="dxa"/>
          </w:tcPr>
          <w:p w:rsidR="00F32B23" w:rsidRPr="00781762" w:rsidRDefault="002040CF" w:rsidP="00C45199">
            <w:pPr>
              <w:spacing w:line="360" w:lineRule="auto"/>
              <w:jc w:val="left"/>
              <w:rPr>
                <w:b/>
                <w:sz w:val="28"/>
                <w:szCs w:val="28"/>
              </w:rPr>
            </w:pPr>
            <w:r w:rsidRPr="00781762">
              <w:rPr>
                <w:b/>
                <w:sz w:val="28"/>
                <w:szCs w:val="28"/>
              </w:rPr>
              <w:t>6</w:t>
            </w:r>
          </w:p>
        </w:tc>
      </w:tr>
      <w:tr w:rsidR="00F32B23" w:rsidRPr="00781762" w:rsidTr="009573B4">
        <w:tc>
          <w:tcPr>
            <w:tcW w:w="8642" w:type="dxa"/>
          </w:tcPr>
          <w:p w:rsidR="00F32B23" w:rsidRPr="00781762" w:rsidRDefault="00807528" w:rsidP="00C45199">
            <w:pPr>
              <w:spacing w:line="360" w:lineRule="auto"/>
              <w:jc w:val="left"/>
              <w:rPr>
                <w:b/>
                <w:sz w:val="28"/>
                <w:szCs w:val="28"/>
              </w:rPr>
            </w:pPr>
            <w:r w:rsidRPr="00781762">
              <w:rPr>
                <w:sz w:val="28"/>
                <w:szCs w:val="28"/>
              </w:rPr>
              <w:t>1.2. Поняттєво-категоріальний апарат дослідження</w:t>
            </w:r>
            <w:r w:rsidR="00C45199" w:rsidRPr="00781762">
              <w:rPr>
                <w:sz w:val="28"/>
                <w:szCs w:val="28"/>
              </w:rPr>
              <w:t>…………………….</w:t>
            </w:r>
          </w:p>
        </w:tc>
        <w:tc>
          <w:tcPr>
            <w:tcW w:w="702" w:type="dxa"/>
          </w:tcPr>
          <w:p w:rsidR="00F32B23" w:rsidRPr="00781762" w:rsidRDefault="009348E3" w:rsidP="00C45199">
            <w:pPr>
              <w:spacing w:line="360" w:lineRule="auto"/>
              <w:jc w:val="left"/>
              <w:rPr>
                <w:b/>
                <w:sz w:val="28"/>
                <w:szCs w:val="28"/>
              </w:rPr>
            </w:pPr>
            <w:r w:rsidRPr="00781762">
              <w:rPr>
                <w:b/>
                <w:sz w:val="28"/>
                <w:szCs w:val="28"/>
              </w:rPr>
              <w:t>11</w:t>
            </w:r>
          </w:p>
        </w:tc>
      </w:tr>
      <w:tr w:rsidR="00F32B23" w:rsidRPr="00781762" w:rsidTr="009573B4">
        <w:tc>
          <w:tcPr>
            <w:tcW w:w="8642" w:type="dxa"/>
          </w:tcPr>
          <w:p w:rsidR="00F32B23" w:rsidRPr="00781762" w:rsidRDefault="004371C3" w:rsidP="00C45199">
            <w:pPr>
              <w:spacing w:line="360" w:lineRule="auto"/>
              <w:jc w:val="left"/>
              <w:rPr>
                <w:sz w:val="28"/>
                <w:szCs w:val="28"/>
              </w:rPr>
            </w:pPr>
            <w:r w:rsidRPr="00781762">
              <w:rPr>
                <w:sz w:val="28"/>
                <w:szCs w:val="28"/>
              </w:rPr>
              <w:t>1.3</w:t>
            </w:r>
            <w:r w:rsidR="00AF59F7" w:rsidRPr="00781762">
              <w:rPr>
                <w:sz w:val="28"/>
                <w:szCs w:val="28"/>
              </w:rPr>
              <w:t xml:space="preserve"> Джерельно-документальна база роботи</w:t>
            </w:r>
            <w:r w:rsidR="00C45199" w:rsidRPr="00781762">
              <w:rPr>
                <w:sz w:val="28"/>
                <w:szCs w:val="28"/>
              </w:rPr>
              <w:t>……………………………...</w:t>
            </w:r>
          </w:p>
        </w:tc>
        <w:tc>
          <w:tcPr>
            <w:tcW w:w="702" w:type="dxa"/>
          </w:tcPr>
          <w:p w:rsidR="00F32B23" w:rsidRPr="00781762" w:rsidRDefault="009457C9" w:rsidP="00C45199">
            <w:pPr>
              <w:spacing w:line="360" w:lineRule="auto"/>
              <w:jc w:val="left"/>
              <w:rPr>
                <w:b/>
                <w:sz w:val="28"/>
                <w:szCs w:val="28"/>
              </w:rPr>
            </w:pPr>
            <w:r>
              <w:rPr>
                <w:b/>
                <w:sz w:val="28"/>
                <w:szCs w:val="28"/>
              </w:rPr>
              <w:t>25</w:t>
            </w:r>
          </w:p>
        </w:tc>
      </w:tr>
      <w:tr w:rsidR="00F32B23" w:rsidRPr="00781762" w:rsidTr="009573B4">
        <w:tc>
          <w:tcPr>
            <w:tcW w:w="8642" w:type="dxa"/>
          </w:tcPr>
          <w:p w:rsidR="00F32B23" w:rsidRPr="00781762" w:rsidRDefault="00AF59F7" w:rsidP="00C45199">
            <w:pPr>
              <w:spacing w:line="360" w:lineRule="auto"/>
              <w:jc w:val="left"/>
              <w:rPr>
                <w:b/>
                <w:sz w:val="28"/>
                <w:szCs w:val="28"/>
              </w:rPr>
            </w:pPr>
            <w:r w:rsidRPr="00781762">
              <w:rPr>
                <w:sz w:val="28"/>
                <w:szCs w:val="28"/>
              </w:rPr>
              <w:t>Висновки до Розділу 1</w:t>
            </w:r>
            <w:r w:rsidR="00C45199" w:rsidRPr="00781762">
              <w:rPr>
                <w:sz w:val="28"/>
                <w:szCs w:val="28"/>
              </w:rPr>
              <w:t>…………………………………………………….</w:t>
            </w:r>
          </w:p>
        </w:tc>
        <w:tc>
          <w:tcPr>
            <w:tcW w:w="702" w:type="dxa"/>
          </w:tcPr>
          <w:p w:rsidR="00F32B23" w:rsidRPr="00781762" w:rsidRDefault="003460E7" w:rsidP="00C45199">
            <w:pPr>
              <w:spacing w:line="360" w:lineRule="auto"/>
              <w:jc w:val="left"/>
              <w:rPr>
                <w:b/>
                <w:sz w:val="28"/>
                <w:szCs w:val="28"/>
              </w:rPr>
            </w:pPr>
            <w:r>
              <w:rPr>
                <w:b/>
                <w:sz w:val="28"/>
                <w:szCs w:val="28"/>
              </w:rPr>
              <w:t>27</w:t>
            </w:r>
          </w:p>
        </w:tc>
      </w:tr>
      <w:tr w:rsidR="00E46190" w:rsidRPr="00781762" w:rsidTr="009573B4">
        <w:tc>
          <w:tcPr>
            <w:tcW w:w="8642" w:type="dxa"/>
          </w:tcPr>
          <w:p w:rsidR="00E46190" w:rsidRPr="00781762" w:rsidRDefault="002040CF" w:rsidP="00C45199">
            <w:pPr>
              <w:spacing w:line="360" w:lineRule="auto"/>
              <w:jc w:val="left"/>
              <w:rPr>
                <w:b/>
                <w:sz w:val="28"/>
                <w:szCs w:val="28"/>
              </w:rPr>
            </w:pPr>
            <w:r w:rsidRPr="00781762">
              <w:rPr>
                <w:b/>
                <w:sz w:val="28"/>
                <w:szCs w:val="28"/>
              </w:rPr>
              <w:t>РОЗДІЛ 2. ВІДНОСИНИ ТУРЕЦЬКОЇ РЕСПУБЛІКИ ТА РОСІЇ</w:t>
            </w:r>
            <w:r w:rsidR="00C45199" w:rsidRPr="00781762">
              <w:rPr>
                <w:b/>
                <w:sz w:val="28"/>
                <w:szCs w:val="28"/>
              </w:rPr>
              <w:t>..</w:t>
            </w:r>
          </w:p>
        </w:tc>
        <w:tc>
          <w:tcPr>
            <w:tcW w:w="702" w:type="dxa"/>
          </w:tcPr>
          <w:p w:rsidR="00E46190" w:rsidRPr="00781762" w:rsidRDefault="009457C9" w:rsidP="00C45199">
            <w:pPr>
              <w:spacing w:line="360" w:lineRule="auto"/>
              <w:jc w:val="left"/>
              <w:rPr>
                <w:b/>
                <w:sz w:val="28"/>
                <w:szCs w:val="28"/>
              </w:rPr>
            </w:pPr>
            <w:r>
              <w:rPr>
                <w:b/>
                <w:sz w:val="28"/>
                <w:szCs w:val="28"/>
              </w:rPr>
              <w:t>29</w:t>
            </w:r>
          </w:p>
        </w:tc>
      </w:tr>
      <w:tr w:rsidR="00E46190" w:rsidRPr="00781762" w:rsidTr="009573B4">
        <w:tc>
          <w:tcPr>
            <w:tcW w:w="8642" w:type="dxa"/>
          </w:tcPr>
          <w:p w:rsidR="00E46190" w:rsidRPr="00781762" w:rsidRDefault="0031284D" w:rsidP="00C45199">
            <w:pPr>
              <w:spacing w:line="360" w:lineRule="auto"/>
              <w:jc w:val="left"/>
              <w:rPr>
                <w:sz w:val="28"/>
                <w:szCs w:val="28"/>
              </w:rPr>
            </w:pPr>
            <w:r w:rsidRPr="00781762">
              <w:rPr>
                <w:sz w:val="28"/>
                <w:szCs w:val="28"/>
              </w:rPr>
              <w:t>2.1 Геополітичні засади зовнішньої політики Росії та Туреччини</w:t>
            </w:r>
            <w:r w:rsidR="00C45199" w:rsidRPr="00781762">
              <w:rPr>
                <w:sz w:val="28"/>
                <w:szCs w:val="28"/>
              </w:rPr>
              <w:t>……..</w:t>
            </w:r>
          </w:p>
        </w:tc>
        <w:tc>
          <w:tcPr>
            <w:tcW w:w="702" w:type="dxa"/>
          </w:tcPr>
          <w:p w:rsidR="00E46190" w:rsidRPr="00781762" w:rsidRDefault="009457C9" w:rsidP="00C45199">
            <w:pPr>
              <w:spacing w:line="360" w:lineRule="auto"/>
              <w:jc w:val="left"/>
              <w:rPr>
                <w:b/>
                <w:sz w:val="28"/>
                <w:szCs w:val="28"/>
              </w:rPr>
            </w:pPr>
            <w:r>
              <w:rPr>
                <w:b/>
                <w:sz w:val="28"/>
                <w:szCs w:val="28"/>
              </w:rPr>
              <w:t>29</w:t>
            </w:r>
          </w:p>
        </w:tc>
      </w:tr>
      <w:tr w:rsidR="00E46190" w:rsidRPr="00781762" w:rsidTr="009573B4">
        <w:tc>
          <w:tcPr>
            <w:tcW w:w="8642" w:type="dxa"/>
          </w:tcPr>
          <w:p w:rsidR="00E46190" w:rsidRPr="00781762" w:rsidRDefault="0031284D" w:rsidP="00C45199">
            <w:pPr>
              <w:spacing w:line="360" w:lineRule="auto"/>
              <w:jc w:val="left"/>
              <w:rPr>
                <w:b/>
                <w:sz w:val="28"/>
                <w:szCs w:val="28"/>
              </w:rPr>
            </w:pPr>
            <w:r w:rsidRPr="00781762">
              <w:rPr>
                <w:sz w:val="28"/>
                <w:szCs w:val="28"/>
              </w:rPr>
              <w:t>2.2</w:t>
            </w:r>
            <w:r w:rsidRPr="00781762">
              <w:rPr>
                <w:b/>
                <w:sz w:val="28"/>
                <w:szCs w:val="28"/>
              </w:rPr>
              <w:t xml:space="preserve"> </w:t>
            </w:r>
            <w:r w:rsidRPr="00781762">
              <w:rPr>
                <w:sz w:val="28"/>
                <w:szCs w:val="28"/>
              </w:rPr>
              <w:t>Спільні риси Росії та Туреччини</w:t>
            </w:r>
            <w:r w:rsidR="00C45199" w:rsidRPr="00781762">
              <w:rPr>
                <w:sz w:val="28"/>
                <w:szCs w:val="28"/>
              </w:rPr>
              <w:t>……………………………………...</w:t>
            </w:r>
          </w:p>
        </w:tc>
        <w:tc>
          <w:tcPr>
            <w:tcW w:w="702" w:type="dxa"/>
          </w:tcPr>
          <w:p w:rsidR="00E46190" w:rsidRPr="00781762" w:rsidRDefault="009457C9" w:rsidP="00C45199">
            <w:pPr>
              <w:spacing w:line="360" w:lineRule="auto"/>
              <w:jc w:val="left"/>
              <w:rPr>
                <w:b/>
                <w:sz w:val="28"/>
                <w:szCs w:val="28"/>
              </w:rPr>
            </w:pPr>
            <w:r>
              <w:rPr>
                <w:b/>
                <w:sz w:val="28"/>
                <w:szCs w:val="28"/>
              </w:rPr>
              <w:t>32</w:t>
            </w:r>
          </w:p>
        </w:tc>
      </w:tr>
      <w:tr w:rsidR="00E46190" w:rsidRPr="00781762" w:rsidTr="009573B4">
        <w:tc>
          <w:tcPr>
            <w:tcW w:w="8642" w:type="dxa"/>
          </w:tcPr>
          <w:p w:rsidR="00E46190" w:rsidRPr="00781762" w:rsidRDefault="0031284D" w:rsidP="00C45199">
            <w:pPr>
              <w:spacing w:line="360" w:lineRule="auto"/>
              <w:jc w:val="left"/>
              <w:rPr>
                <w:sz w:val="28"/>
                <w:szCs w:val="28"/>
              </w:rPr>
            </w:pPr>
            <w:r w:rsidRPr="00781762">
              <w:rPr>
                <w:sz w:val="28"/>
                <w:szCs w:val="28"/>
              </w:rPr>
              <w:t>2.3 Вплив геополітики на відносини між Росією та Туреччиною</w:t>
            </w:r>
            <w:r w:rsidR="00C45199" w:rsidRPr="00781762">
              <w:rPr>
                <w:sz w:val="28"/>
                <w:szCs w:val="28"/>
              </w:rPr>
              <w:t>……...</w:t>
            </w:r>
          </w:p>
        </w:tc>
        <w:tc>
          <w:tcPr>
            <w:tcW w:w="702" w:type="dxa"/>
          </w:tcPr>
          <w:p w:rsidR="00E46190" w:rsidRPr="00781762" w:rsidRDefault="009457C9" w:rsidP="00C45199">
            <w:pPr>
              <w:spacing w:line="360" w:lineRule="auto"/>
              <w:jc w:val="left"/>
              <w:rPr>
                <w:b/>
                <w:sz w:val="28"/>
                <w:szCs w:val="28"/>
              </w:rPr>
            </w:pPr>
            <w:r>
              <w:rPr>
                <w:b/>
                <w:sz w:val="28"/>
                <w:szCs w:val="28"/>
              </w:rPr>
              <w:t>34</w:t>
            </w:r>
          </w:p>
        </w:tc>
      </w:tr>
      <w:tr w:rsidR="00E46190" w:rsidRPr="00781762" w:rsidTr="009573B4">
        <w:tc>
          <w:tcPr>
            <w:tcW w:w="8642" w:type="dxa"/>
          </w:tcPr>
          <w:p w:rsidR="00E46190" w:rsidRPr="00781762" w:rsidRDefault="0031284D" w:rsidP="00C45199">
            <w:pPr>
              <w:spacing w:line="360" w:lineRule="auto"/>
              <w:jc w:val="left"/>
              <w:rPr>
                <w:sz w:val="28"/>
                <w:szCs w:val="28"/>
              </w:rPr>
            </w:pPr>
            <w:r w:rsidRPr="00781762">
              <w:rPr>
                <w:sz w:val="28"/>
                <w:szCs w:val="28"/>
              </w:rPr>
              <w:t>2.4 Росія і Туреччина. Між конкуренцією та співпрацею</w:t>
            </w:r>
            <w:r w:rsidR="00C45199" w:rsidRPr="00781762">
              <w:rPr>
                <w:sz w:val="28"/>
                <w:szCs w:val="28"/>
              </w:rPr>
              <w:t>…………........</w:t>
            </w:r>
          </w:p>
        </w:tc>
        <w:tc>
          <w:tcPr>
            <w:tcW w:w="702" w:type="dxa"/>
          </w:tcPr>
          <w:p w:rsidR="00E46190" w:rsidRPr="00781762" w:rsidRDefault="009457C9" w:rsidP="00C45199">
            <w:pPr>
              <w:spacing w:line="360" w:lineRule="auto"/>
              <w:jc w:val="left"/>
              <w:rPr>
                <w:b/>
                <w:sz w:val="28"/>
                <w:szCs w:val="28"/>
              </w:rPr>
            </w:pPr>
            <w:r>
              <w:rPr>
                <w:b/>
                <w:sz w:val="28"/>
                <w:szCs w:val="28"/>
              </w:rPr>
              <w:t>39</w:t>
            </w:r>
          </w:p>
        </w:tc>
      </w:tr>
      <w:tr w:rsidR="00F32B23" w:rsidRPr="00781762" w:rsidTr="009573B4">
        <w:tc>
          <w:tcPr>
            <w:tcW w:w="8642" w:type="dxa"/>
          </w:tcPr>
          <w:p w:rsidR="00F32B23" w:rsidRPr="00781762" w:rsidRDefault="005735A0" w:rsidP="00C45199">
            <w:pPr>
              <w:spacing w:line="360" w:lineRule="auto"/>
              <w:jc w:val="left"/>
              <w:rPr>
                <w:b/>
                <w:sz w:val="28"/>
                <w:szCs w:val="28"/>
              </w:rPr>
            </w:pPr>
            <w:r w:rsidRPr="00781762">
              <w:rPr>
                <w:sz w:val="28"/>
                <w:szCs w:val="28"/>
              </w:rPr>
              <w:t>Висновки до Розділу 2</w:t>
            </w:r>
            <w:r w:rsidR="00C45199" w:rsidRPr="00781762">
              <w:rPr>
                <w:sz w:val="28"/>
                <w:szCs w:val="28"/>
              </w:rPr>
              <w:t>…………………………………………………….</w:t>
            </w:r>
          </w:p>
        </w:tc>
        <w:tc>
          <w:tcPr>
            <w:tcW w:w="702" w:type="dxa"/>
          </w:tcPr>
          <w:p w:rsidR="00F32B23" w:rsidRPr="00781762" w:rsidRDefault="009457C9" w:rsidP="00C45199">
            <w:pPr>
              <w:spacing w:line="360" w:lineRule="auto"/>
              <w:jc w:val="left"/>
              <w:rPr>
                <w:b/>
                <w:sz w:val="28"/>
                <w:szCs w:val="28"/>
              </w:rPr>
            </w:pPr>
            <w:r>
              <w:rPr>
                <w:b/>
                <w:sz w:val="28"/>
                <w:szCs w:val="28"/>
              </w:rPr>
              <w:t>43</w:t>
            </w:r>
          </w:p>
        </w:tc>
      </w:tr>
      <w:tr w:rsidR="005735A0" w:rsidRPr="00781762" w:rsidTr="009573B4">
        <w:tc>
          <w:tcPr>
            <w:tcW w:w="8642" w:type="dxa"/>
          </w:tcPr>
          <w:p w:rsidR="005735A0" w:rsidRPr="00781762" w:rsidRDefault="005735A0" w:rsidP="00C45199">
            <w:pPr>
              <w:spacing w:line="360" w:lineRule="auto"/>
              <w:jc w:val="left"/>
              <w:rPr>
                <w:b/>
                <w:sz w:val="28"/>
                <w:szCs w:val="28"/>
              </w:rPr>
            </w:pPr>
            <w:r w:rsidRPr="00781762">
              <w:rPr>
                <w:b/>
                <w:sz w:val="28"/>
                <w:szCs w:val="28"/>
              </w:rPr>
              <w:t xml:space="preserve">РОЗДІЛ 3. </w:t>
            </w:r>
            <w:r w:rsidR="003B6C2D" w:rsidRPr="00781762">
              <w:rPr>
                <w:b/>
                <w:sz w:val="28"/>
                <w:szCs w:val="28"/>
              </w:rPr>
              <w:t>Туреччина та Україна в Чорноморському регіоні після 2022 року</w:t>
            </w:r>
            <w:r w:rsidR="00C45199" w:rsidRPr="00781762">
              <w:rPr>
                <w:b/>
                <w:sz w:val="28"/>
                <w:szCs w:val="28"/>
              </w:rPr>
              <w:t>…………………………………………………………………..</w:t>
            </w:r>
          </w:p>
        </w:tc>
        <w:tc>
          <w:tcPr>
            <w:tcW w:w="702" w:type="dxa"/>
          </w:tcPr>
          <w:p w:rsidR="005735A0" w:rsidRPr="00781762" w:rsidRDefault="003460E7" w:rsidP="00C45199">
            <w:pPr>
              <w:spacing w:line="360" w:lineRule="auto"/>
              <w:jc w:val="left"/>
              <w:rPr>
                <w:b/>
                <w:sz w:val="28"/>
                <w:szCs w:val="28"/>
              </w:rPr>
            </w:pPr>
            <w:r>
              <w:rPr>
                <w:b/>
                <w:sz w:val="28"/>
                <w:szCs w:val="28"/>
              </w:rPr>
              <w:t>46</w:t>
            </w:r>
          </w:p>
        </w:tc>
      </w:tr>
      <w:tr w:rsidR="005735A0" w:rsidRPr="00781762" w:rsidTr="009573B4">
        <w:tc>
          <w:tcPr>
            <w:tcW w:w="8642" w:type="dxa"/>
          </w:tcPr>
          <w:p w:rsidR="005735A0" w:rsidRPr="00781762" w:rsidRDefault="005735A0" w:rsidP="00C45199">
            <w:pPr>
              <w:spacing w:line="360" w:lineRule="auto"/>
              <w:jc w:val="left"/>
              <w:rPr>
                <w:sz w:val="28"/>
                <w:szCs w:val="28"/>
                <w:lang w:val="tr-TR"/>
              </w:rPr>
            </w:pPr>
            <w:r w:rsidRPr="00781762">
              <w:rPr>
                <w:sz w:val="28"/>
                <w:szCs w:val="28"/>
                <w:lang w:val="tr-TR"/>
              </w:rPr>
              <w:t xml:space="preserve">3.1 </w:t>
            </w:r>
            <w:r w:rsidR="007F2B79" w:rsidRPr="00781762">
              <w:rPr>
                <w:sz w:val="28"/>
                <w:szCs w:val="28"/>
              </w:rPr>
              <w:t>Загальний огляд поточної ситуації</w:t>
            </w:r>
            <w:r w:rsidR="00C45199" w:rsidRPr="00781762">
              <w:rPr>
                <w:sz w:val="28"/>
                <w:szCs w:val="28"/>
              </w:rPr>
              <w:t>…………………………………...</w:t>
            </w:r>
          </w:p>
        </w:tc>
        <w:tc>
          <w:tcPr>
            <w:tcW w:w="702" w:type="dxa"/>
          </w:tcPr>
          <w:p w:rsidR="005735A0" w:rsidRPr="00781762" w:rsidRDefault="003460E7" w:rsidP="00C45199">
            <w:pPr>
              <w:spacing w:line="360" w:lineRule="auto"/>
              <w:jc w:val="left"/>
              <w:rPr>
                <w:b/>
                <w:sz w:val="28"/>
                <w:szCs w:val="28"/>
              </w:rPr>
            </w:pPr>
            <w:r>
              <w:rPr>
                <w:b/>
                <w:sz w:val="28"/>
                <w:szCs w:val="28"/>
              </w:rPr>
              <w:t>46</w:t>
            </w:r>
          </w:p>
        </w:tc>
      </w:tr>
      <w:tr w:rsidR="005735A0" w:rsidRPr="00781762" w:rsidTr="009573B4">
        <w:tc>
          <w:tcPr>
            <w:tcW w:w="8642" w:type="dxa"/>
          </w:tcPr>
          <w:p w:rsidR="005735A0" w:rsidRPr="00781762" w:rsidRDefault="0082512F" w:rsidP="00C45199">
            <w:pPr>
              <w:spacing w:line="360" w:lineRule="auto"/>
              <w:jc w:val="left"/>
              <w:rPr>
                <w:sz w:val="28"/>
                <w:szCs w:val="28"/>
              </w:rPr>
            </w:pPr>
            <w:r w:rsidRPr="00781762">
              <w:rPr>
                <w:sz w:val="28"/>
                <w:szCs w:val="28"/>
              </w:rPr>
              <w:t xml:space="preserve">3.2 </w:t>
            </w:r>
            <w:r w:rsidR="002A36C6" w:rsidRPr="00781762">
              <w:rPr>
                <w:sz w:val="28"/>
                <w:szCs w:val="28"/>
              </w:rPr>
              <w:t>Можливий сценації змін у політиці Туреччини щодо регіону Чорного моря</w:t>
            </w:r>
            <w:r w:rsidR="00C45199" w:rsidRPr="00781762">
              <w:rPr>
                <w:sz w:val="28"/>
                <w:szCs w:val="28"/>
              </w:rPr>
              <w:t>………………………………………………………………</w:t>
            </w:r>
          </w:p>
        </w:tc>
        <w:tc>
          <w:tcPr>
            <w:tcW w:w="702" w:type="dxa"/>
          </w:tcPr>
          <w:p w:rsidR="005735A0" w:rsidRPr="00781762" w:rsidRDefault="003460E7" w:rsidP="00C45199">
            <w:pPr>
              <w:spacing w:line="360" w:lineRule="auto"/>
              <w:jc w:val="left"/>
              <w:rPr>
                <w:b/>
                <w:sz w:val="28"/>
                <w:szCs w:val="28"/>
              </w:rPr>
            </w:pPr>
            <w:r>
              <w:rPr>
                <w:b/>
                <w:sz w:val="28"/>
                <w:szCs w:val="28"/>
              </w:rPr>
              <w:t>55</w:t>
            </w:r>
          </w:p>
        </w:tc>
      </w:tr>
      <w:tr w:rsidR="005735A0" w:rsidRPr="00781762" w:rsidTr="009573B4">
        <w:tc>
          <w:tcPr>
            <w:tcW w:w="8642" w:type="dxa"/>
          </w:tcPr>
          <w:p w:rsidR="005735A0" w:rsidRPr="00781762" w:rsidRDefault="002A36C6" w:rsidP="00C45199">
            <w:pPr>
              <w:spacing w:line="360" w:lineRule="auto"/>
              <w:jc w:val="left"/>
              <w:rPr>
                <w:b/>
                <w:sz w:val="28"/>
                <w:szCs w:val="28"/>
              </w:rPr>
            </w:pPr>
            <w:r w:rsidRPr="00781762">
              <w:rPr>
                <w:b/>
                <w:sz w:val="28"/>
                <w:szCs w:val="28"/>
              </w:rPr>
              <w:t>Висновки до Розділу 3</w:t>
            </w:r>
            <w:r w:rsidR="00C45199" w:rsidRPr="00781762">
              <w:rPr>
                <w:b/>
                <w:sz w:val="28"/>
                <w:szCs w:val="28"/>
              </w:rPr>
              <w:t>……………………………………………………</w:t>
            </w:r>
          </w:p>
        </w:tc>
        <w:tc>
          <w:tcPr>
            <w:tcW w:w="702" w:type="dxa"/>
          </w:tcPr>
          <w:p w:rsidR="005735A0" w:rsidRPr="00781762" w:rsidRDefault="003460E7" w:rsidP="00C45199">
            <w:pPr>
              <w:spacing w:line="360" w:lineRule="auto"/>
              <w:jc w:val="left"/>
              <w:rPr>
                <w:b/>
                <w:sz w:val="28"/>
                <w:szCs w:val="28"/>
              </w:rPr>
            </w:pPr>
            <w:r>
              <w:rPr>
                <w:b/>
                <w:sz w:val="28"/>
                <w:szCs w:val="28"/>
              </w:rPr>
              <w:t>60</w:t>
            </w:r>
          </w:p>
        </w:tc>
      </w:tr>
      <w:tr w:rsidR="003B6C2D" w:rsidRPr="00781762" w:rsidTr="009573B4">
        <w:tc>
          <w:tcPr>
            <w:tcW w:w="8642" w:type="dxa"/>
          </w:tcPr>
          <w:p w:rsidR="003B6C2D" w:rsidRPr="00781762" w:rsidRDefault="004B33B8" w:rsidP="00C45199">
            <w:pPr>
              <w:spacing w:line="360" w:lineRule="auto"/>
              <w:jc w:val="left"/>
              <w:rPr>
                <w:b/>
                <w:sz w:val="28"/>
                <w:szCs w:val="28"/>
              </w:rPr>
            </w:pPr>
            <w:r w:rsidRPr="00781762">
              <w:rPr>
                <w:b/>
                <w:sz w:val="28"/>
                <w:szCs w:val="28"/>
              </w:rPr>
              <w:t>ВИСНОВКИ</w:t>
            </w:r>
            <w:r w:rsidR="005B462A" w:rsidRPr="00781762">
              <w:rPr>
                <w:b/>
                <w:sz w:val="28"/>
                <w:szCs w:val="28"/>
              </w:rPr>
              <w:t>…………………………………………………………</w:t>
            </w:r>
            <w:r w:rsidR="005B462A" w:rsidRPr="00781762">
              <w:rPr>
                <w:b/>
                <w:sz w:val="28"/>
                <w:szCs w:val="28"/>
                <w:lang w:val="tr-TR"/>
              </w:rPr>
              <w:t>..</w:t>
            </w:r>
            <w:r w:rsidR="00C45199" w:rsidRPr="00781762">
              <w:rPr>
                <w:b/>
                <w:sz w:val="28"/>
                <w:szCs w:val="28"/>
              </w:rPr>
              <w:t>….</w:t>
            </w:r>
          </w:p>
        </w:tc>
        <w:tc>
          <w:tcPr>
            <w:tcW w:w="702" w:type="dxa"/>
          </w:tcPr>
          <w:p w:rsidR="003B6C2D" w:rsidRPr="00781762" w:rsidRDefault="003460E7" w:rsidP="00C45199">
            <w:pPr>
              <w:spacing w:line="360" w:lineRule="auto"/>
              <w:jc w:val="left"/>
              <w:rPr>
                <w:b/>
                <w:sz w:val="28"/>
                <w:szCs w:val="28"/>
              </w:rPr>
            </w:pPr>
            <w:r>
              <w:rPr>
                <w:b/>
                <w:sz w:val="28"/>
                <w:szCs w:val="28"/>
              </w:rPr>
              <w:t>62</w:t>
            </w:r>
          </w:p>
        </w:tc>
      </w:tr>
      <w:tr w:rsidR="003B6C2D" w:rsidRPr="00781762" w:rsidTr="009573B4">
        <w:tc>
          <w:tcPr>
            <w:tcW w:w="8642" w:type="dxa"/>
          </w:tcPr>
          <w:p w:rsidR="003B6C2D" w:rsidRPr="00781762" w:rsidRDefault="004B33B8" w:rsidP="00C45199">
            <w:pPr>
              <w:spacing w:line="360" w:lineRule="auto"/>
              <w:jc w:val="left"/>
              <w:rPr>
                <w:b/>
                <w:sz w:val="28"/>
                <w:szCs w:val="28"/>
              </w:rPr>
            </w:pPr>
            <w:r w:rsidRPr="00781762">
              <w:rPr>
                <w:b/>
                <w:sz w:val="28"/>
                <w:szCs w:val="28"/>
              </w:rPr>
              <w:t>СПИСОК ВИКОРИСТАНИХ ДЖЕРЕЛ</w:t>
            </w:r>
            <w:r w:rsidR="00C45199" w:rsidRPr="00781762">
              <w:rPr>
                <w:b/>
                <w:sz w:val="28"/>
                <w:szCs w:val="28"/>
              </w:rPr>
              <w:t>………………………………</w:t>
            </w:r>
          </w:p>
        </w:tc>
        <w:tc>
          <w:tcPr>
            <w:tcW w:w="702" w:type="dxa"/>
          </w:tcPr>
          <w:p w:rsidR="003B6C2D" w:rsidRPr="000A1818" w:rsidRDefault="003460E7" w:rsidP="00C45199">
            <w:pPr>
              <w:spacing w:line="360" w:lineRule="auto"/>
              <w:jc w:val="left"/>
              <w:rPr>
                <w:b/>
                <w:sz w:val="28"/>
                <w:szCs w:val="28"/>
                <w:lang w:val="tr-TR"/>
              </w:rPr>
            </w:pPr>
            <w:r>
              <w:rPr>
                <w:b/>
                <w:sz w:val="28"/>
                <w:szCs w:val="28"/>
              </w:rPr>
              <w:t>67</w:t>
            </w:r>
          </w:p>
        </w:tc>
      </w:tr>
    </w:tbl>
    <w:p w:rsidR="004F58D4" w:rsidRDefault="004F58D4" w:rsidP="009348E3">
      <w:pPr>
        <w:spacing w:line="360" w:lineRule="auto"/>
        <w:jc w:val="center"/>
        <w:rPr>
          <w:b/>
          <w:sz w:val="28"/>
          <w:szCs w:val="28"/>
        </w:rPr>
      </w:pPr>
    </w:p>
    <w:p w:rsidR="004F58D4" w:rsidRDefault="004F58D4">
      <w:pPr>
        <w:spacing w:line="360" w:lineRule="auto"/>
        <w:ind w:firstLine="720"/>
        <w:rPr>
          <w:b/>
          <w:sz w:val="28"/>
          <w:szCs w:val="28"/>
        </w:rPr>
      </w:pPr>
      <w:r>
        <w:rPr>
          <w:b/>
          <w:sz w:val="28"/>
          <w:szCs w:val="28"/>
        </w:rPr>
        <w:br w:type="page"/>
      </w:r>
    </w:p>
    <w:p w:rsidR="002040CF" w:rsidRPr="00781762" w:rsidRDefault="002040CF" w:rsidP="009348E3">
      <w:pPr>
        <w:spacing w:line="360" w:lineRule="auto"/>
        <w:jc w:val="center"/>
        <w:rPr>
          <w:b/>
          <w:sz w:val="28"/>
          <w:szCs w:val="28"/>
        </w:rPr>
      </w:pPr>
      <w:r w:rsidRPr="00781762">
        <w:rPr>
          <w:b/>
          <w:sz w:val="28"/>
          <w:szCs w:val="28"/>
        </w:rPr>
        <w:lastRenderedPageBreak/>
        <w:t>ВСТУП</w:t>
      </w:r>
    </w:p>
    <w:p w:rsidR="002040CF" w:rsidRPr="000C0848" w:rsidRDefault="002040CF" w:rsidP="009348E3">
      <w:pPr>
        <w:spacing w:line="360" w:lineRule="auto"/>
        <w:ind w:firstLine="851"/>
        <w:rPr>
          <w:sz w:val="28"/>
          <w:szCs w:val="28"/>
        </w:rPr>
      </w:pPr>
      <w:r w:rsidRPr="000C0848">
        <w:rPr>
          <w:sz w:val="28"/>
          <w:szCs w:val="28"/>
        </w:rPr>
        <w:t xml:space="preserve">Чорноморський регіон став важливою ареною для зовнішньої політики Туреччини, особливо після 2022 року, оскільки зміна геополітичної динаміки знову привернула увагу до безпеки та стратегічної важливості регіону. Актуальність цього дослідження зумовлена еволюцією ролі Туреччини в Чорному морі на тлі складної глобальної та регіональної напруженості, особливо під впливом війни в Україні, енергетичної конкуренції та стратегічних інтересів НАТО. Незважаючи на історичний вплив Туреччини та безпосередню близькість до цього регіону, все ще існує потреба критично оцінити її поточну політику та стратегічні імперативи у світлі останніх подій та нових геополітичних викликів. </w:t>
      </w:r>
    </w:p>
    <w:p w:rsidR="002040CF" w:rsidRPr="000C0848" w:rsidRDefault="002040CF" w:rsidP="009348E3">
      <w:pPr>
        <w:spacing w:line="360" w:lineRule="auto"/>
        <w:ind w:firstLine="851"/>
        <w:rPr>
          <w:sz w:val="28"/>
          <w:szCs w:val="28"/>
          <w:lang w:val="ru-RU"/>
        </w:rPr>
      </w:pPr>
      <w:r w:rsidRPr="000C0848">
        <w:rPr>
          <w:b/>
          <w:sz w:val="28"/>
          <w:szCs w:val="28"/>
        </w:rPr>
        <w:t xml:space="preserve">Практичне значення </w:t>
      </w:r>
      <w:r w:rsidRPr="000C0848">
        <w:rPr>
          <w:sz w:val="28"/>
          <w:szCs w:val="28"/>
        </w:rPr>
        <w:t>цього дослідження поляга</w:t>
      </w:r>
      <w:r w:rsidR="00DA279E">
        <w:rPr>
          <w:sz w:val="28"/>
          <w:szCs w:val="28"/>
        </w:rPr>
        <w:t>є в тому, що воно надає</w:t>
      </w:r>
      <w:r w:rsidRPr="000C0848">
        <w:rPr>
          <w:sz w:val="28"/>
          <w:szCs w:val="28"/>
        </w:rPr>
        <w:t xml:space="preserve"> аналіз зовнішньої політики Туреччини в Чорноморському регіоні після 2022 року, що є важливим для формування ефективних стратегій взаємодії з цією країною. Крім того, дослідження сприятиме розумінню того, як регіональні та глобальні виклики, такі як війна в Україні чи напруженість між НАТО та Росією, впливають на стратегічні пріоритети Анкари. </w:t>
      </w:r>
      <w:r w:rsidRPr="000C0848">
        <w:rPr>
          <w:sz w:val="28"/>
          <w:szCs w:val="28"/>
          <w:lang w:val="ru-RU"/>
        </w:rPr>
        <w:t>Це дозволить Україні та її партнерам ефективніше реагувати на зміни в регіоні, формувати довгострокові партнерства та підтримувати стабільність у Чорноморському басейні.</w:t>
      </w:r>
    </w:p>
    <w:p w:rsidR="002040CF" w:rsidRPr="000C0848" w:rsidRDefault="002040CF" w:rsidP="009348E3">
      <w:pPr>
        <w:spacing w:line="360" w:lineRule="auto"/>
        <w:ind w:firstLine="851"/>
        <w:rPr>
          <w:sz w:val="28"/>
          <w:szCs w:val="28"/>
        </w:rPr>
      </w:pPr>
      <w:r w:rsidRPr="000C0848">
        <w:rPr>
          <w:i/>
          <w:sz w:val="28"/>
          <w:szCs w:val="28"/>
        </w:rPr>
        <w:t>З наукової точки зору</w:t>
      </w:r>
      <w:r w:rsidRPr="000C0848">
        <w:rPr>
          <w:sz w:val="28"/>
          <w:szCs w:val="28"/>
        </w:rPr>
        <w:t>, вивчення еволюції ролі Туреччини в Чорноморському регіоні пропонує унікальну можливість розширити існуючі дослідження і вдосконалити теоретичні погляди на регіональну геополітику. Цей аналіз має на меті заповнити прогалини в сучасній літературі, зокрема, шляхом переоцінки стратегії Туреччини за допомогою нових теоретичних підходів і методів, що сприятиме більш повному розумінню міжнародних відносин у цьому спірному регіоні.</w:t>
      </w:r>
    </w:p>
    <w:p w:rsidR="002040CF" w:rsidRPr="000C0848" w:rsidRDefault="002040CF" w:rsidP="009348E3">
      <w:pPr>
        <w:spacing w:line="360" w:lineRule="auto"/>
        <w:ind w:firstLine="851"/>
        <w:rPr>
          <w:sz w:val="28"/>
          <w:szCs w:val="28"/>
        </w:rPr>
      </w:pPr>
      <w:r w:rsidRPr="000C0848">
        <w:rPr>
          <w:sz w:val="28"/>
          <w:szCs w:val="28"/>
        </w:rPr>
        <w:t xml:space="preserve">У цьому дослідженні застосовано </w:t>
      </w:r>
      <w:r w:rsidRPr="000C0848">
        <w:rPr>
          <w:b/>
          <w:sz w:val="28"/>
          <w:szCs w:val="28"/>
        </w:rPr>
        <w:t>емпіричний</w:t>
      </w:r>
      <w:r w:rsidRPr="000C0848">
        <w:rPr>
          <w:sz w:val="28"/>
          <w:szCs w:val="28"/>
        </w:rPr>
        <w:t xml:space="preserve"> підхід для аналізу зовнішньої політики Туреччини в Чорноморському регіоні після 2022 року. Незалежною змінною в цьому дослідженні є зовнішня політика Туреччини в </w:t>
      </w:r>
      <w:r w:rsidRPr="000C0848">
        <w:rPr>
          <w:sz w:val="28"/>
          <w:szCs w:val="28"/>
        </w:rPr>
        <w:lastRenderedPageBreak/>
        <w:t xml:space="preserve">Чорноморському регіоні. Залежною змінною є зміни у Чорноморському регіоні (кейси України та Росії) після 2022 року. </w:t>
      </w:r>
    </w:p>
    <w:p w:rsidR="002040CF" w:rsidRPr="000C0848" w:rsidRDefault="002040CF" w:rsidP="009348E3">
      <w:pPr>
        <w:spacing w:line="360" w:lineRule="auto"/>
        <w:ind w:firstLine="851"/>
        <w:rPr>
          <w:sz w:val="28"/>
          <w:szCs w:val="28"/>
        </w:rPr>
      </w:pPr>
      <w:r w:rsidRPr="000C0848">
        <w:rPr>
          <w:b/>
          <w:sz w:val="28"/>
          <w:szCs w:val="28"/>
        </w:rPr>
        <w:t>Дослідницьке питання</w:t>
      </w:r>
      <w:r w:rsidRPr="000C0848">
        <w:rPr>
          <w:sz w:val="28"/>
          <w:szCs w:val="28"/>
        </w:rPr>
        <w:t>: Як зовнішня політика Туреччини вплинула на загальну ситуацію в Україні та Росії після 2022 року?</w:t>
      </w:r>
    </w:p>
    <w:p w:rsidR="002040CF" w:rsidRPr="000C0848" w:rsidRDefault="002040CF" w:rsidP="009348E3">
      <w:pPr>
        <w:spacing w:line="360" w:lineRule="auto"/>
        <w:ind w:firstLine="851"/>
        <w:rPr>
          <w:sz w:val="28"/>
          <w:szCs w:val="28"/>
        </w:rPr>
      </w:pPr>
      <w:r w:rsidRPr="000C0848">
        <w:rPr>
          <w:b/>
          <w:sz w:val="28"/>
          <w:szCs w:val="28"/>
        </w:rPr>
        <w:t xml:space="preserve">Мета </w:t>
      </w:r>
      <w:r w:rsidRPr="000C0848">
        <w:rPr>
          <w:sz w:val="28"/>
          <w:szCs w:val="28"/>
        </w:rPr>
        <w:t xml:space="preserve">цього дослідження – виявити особливості впливу зовнішньої політики Туреччини на зміни у Чорноморському регіоні після 2022 року. Для досягнення цієї мети були сформульовані конкретні </w:t>
      </w:r>
      <w:r w:rsidRPr="000C0848">
        <w:rPr>
          <w:b/>
          <w:sz w:val="28"/>
          <w:szCs w:val="28"/>
        </w:rPr>
        <w:t>завдання</w:t>
      </w:r>
      <w:r w:rsidR="008B1766">
        <w:rPr>
          <w:sz w:val="28"/>
          <w:szCs w:val="28"/>
        </w:rPr>
        <w:t>: 1) </w:t>
      </w:r>
      <w:r w:rsidR="008B1766" w:rsidRPr="008B1766">
        <w:rPr>
          <w:sz w:val="28"/>
          <w:szCs w:val="28"/>
        </w:rPr>
        <w:t>Проаналізувати теоретичні засади та ідейне підґрунтя зовнішньої політики Турецької Республіки в Чорноморському регіоні в контексті реалістичної</w:t>
      </w:r>
      <w:r w:rsidR="008B1766">
        <w:rPr>
          <w:sz w:val="28"/>
          <w:szCs w:val="28"/>
        </w:rPr>
        <w:t xml:space="preserve"> парадигми міжнародних відносин. 2) </w:t>
      </w:r>
      <w:r w:rsidR="008B1766" w:rsidRPr="008B1766">
        <w:rPr>
          <w:bCs/>
          <w:sz w:val="28"/>
          <w:szCs w:val="28"/>
        </w:rPr>
        <w:t xml:space="preserve">Дослідити особливості та динаміку відносин між Турецькою Республікою та Російською Федерацією в Чорноморському регіоні крізь призму геополітичних чинників, конкуренції та співпраці. </w:t>
      </w:r>
      <w:r w:rsidRPr="000C0848">
        <w:rPr>
          <w:sz w:val="28"/>
          <w:szCs w:val="28"/>
        </w:rPr>
        <w:t>3)</w:t>
      </w:r>
      <w:r w:rsidR="008B1766">
        <w:rPr>
          <w:sz w:val="28"/>
          <w:szCs w:val="28"/>
        </w:rPr>
        <w:t xml:space="preserve"> </w:t>
      </w:r>
      <w:r w:rsidR="008B1766" w:rsidRPr="008B1766">
        <w:rPr>
          <w:sz w:val="28"/>
          <w:szCs w:val="28"/>
        </w:rPr>
        <w:t>Проаналізувати політику Туреччини щодо України в Чорноморському регіоні після 2022 року та визначити можливі сценарії її подальшої трансформації.</w:t>
      </w:r>
      <w:r w:rsidRPr="000C0848">
        <w:rPr>
          <w:sz w:val="28"/>
          <w:szCs w:val="28"/>
        </w:rPr>
        <w:t>.</w:t>
      </w:r>
    </w:p>
    <w:p w:rsidR="002040CF" w:rsidRPr="000C0848" w:rsidRDefault="002040CF" w:rsidP="009348E3">
      <w:pPr>
        <w:spacing w:line="360" w:lineRule="auto"/>
        <w:ind w:firstLine="851"/>
        <w:rPr>
          <w:sz w:val="28"/>
          <w:szCs w:val="28"/>
        </w:rPr>
      </w:pPr>
      <w:r w:rsidRPr="000C0848">
        <w:rPr>
          <w:b/>
          <w:sz w:val="28"/>
          <w:szCs w:val="28"/>
        </w:rPr>
        <w:t>Об'єктом</w:t>
      </w:r>
      <w:r w:rsidR="0086039E">
        <w:rPr>
          <w:sz w:val="28"/>
          <w:szCs w:val="28"/>
        </w:rPr>
        <w:t xml:space="preserve"> </w:t>
      </w:r>
      <w:r w:rsidR="0086039E" w:rsidRPr="0086039E">
        <w:rPr>
          <w:sz w:val="28"/>
          <w:szCs w:val="28"/>
        </w:rPr>
        <w:t>даного дослідження є зовнішня політика Туреччини в Чорноморському регіоні в умовах трансформації регіонально</w:t>
      </w:r>
      <w:r w:rsidR="0086039E">
        <w:rPr>
          <w:sz w:val="28"/>
          <w:szCs w:val="28"/>
        </w:rPr>
        <w:t>ї системи міждержавних відносин</w:t>
      </w:r>
      <w:r w:rsidRPr="000C0848">
        <w:rPr>
          <w:sz w:val="28"/>
          <w:szCs w:val="28"/>
        </w:rPr>
        <w:t xml:space="preserve">. </w:t>
      </w:r>
      <w:r w:rsidRPr="000C0848">
        <w:rPr>
          <w:b/>
          <w:sz w:val="28"/>
          <w:szCs w:val="28"/>
        </w:rPr>
        <w:t>Предметом</w:t>
      </w:r>
      <w:r w:rsidRPr="000C0848">
        <w:rPr>
          <w:sz w:val="28"/>
          <w:szCs w:val="28"/>
        </w:rPr>
        <w:t xml:space="preserve"> дослідження є зовнішня політика ТР у Чорноморському регіоні після 2022 року. </w:t>
      </w:r>
    </w:p>
    <w:p w:rsidR="002040CF" w:rsidRPr="000C0848" w:rsidRDefault="002040CF" w:rsidP="009348E3">
      <w:pPr>
        <w:spacing w:line="360" w:lineRule="auto"/>
        <w:ind w:firstLine="851"/>
        <w:rPr>
          <w:sz w:val="28"/>
          <w:szCs w:val="28"/>
        </w:rPr>
      </w:pPr>
      <w:r w:rsidRPr="000C0848">
        <w:rPr>
          <w:b/>
          <w:sz w:val="28"/>
          <w:szCs w:val="28"/>
        </w:rPr>
        <w:t>Гіпотезами</w:t>
      </w:r>
      <w:r w:rsidRPr="000C0848">
        <w:rPr>
          <w:sz w:val="28"/>
          <w:szCs w:val="28"/>
        </w:rPr>
        <w:t xml:space="preserve"> даного дослідження є: </w:t>
      </w:r>
      <w:r w:rsidRPr="000C0848">
        <w:rPr>
          <w:b/>
          <w:sz w:val="28"/>
          <w:szCs w:val="28"/>
        </w:rPr>
        <w:t>Гіпотеза 1</w:t>
      </w:r>
      <w:r w:rsidRPr="000C0848">
        <w:rPr>
          <w:sz w:val="28"/>
          <w:szCs w:val="28"/>
        </w:rPr>
        <w:t xml:space="preserve">: Зовнішня політика Туреччини в Чорноморському регіоні після 2022 року радикально впливає на дії інших регіональних акторів у регіоні. </w:t>
      </w:r>
      <w:r w:rsidRPr="000C0848">
        <w:rPr>
          <w:b/>
          <w:sz w:val="28"/>
          <w:szCs w:val="28"/>
        </w:rPr>
        <w:t>Гіпотеза 2</w:t>
      </w:r>
      <w:r w:rsidRPr="000C0848">
        <w:rPr>
          <w:sz w:val="28"/>
          <w:szCs w:val="28"/>
        </w:rPr>
        <w:t xml:space="preserve">: Роль Туреччини підвищилась після початку російсько-української війни, але протягом наступних років вона знову зменшується.  </w:t>
      </w:r>
    </w:p>
    <w:p w:rsidR="002040CF" w:rsidRPr="000C0848" w:rsidRDefault="002040CF" w:rsidP="009348E3">
      <w:pPr>
        <w:spacing w:line="360" w:lineRule="auto"/>
        <w:ind w:firstLine="851"/>
        <w:rPr>
          <w:sz w:val="28"/>
          <w:szCs w:val="28"/>
        </w:rPr>
      </w:pPr>
      <w:r w:rsidRPr="000C0848">
        <w:rPr>
          <w:b/>
          <w:sz w:val="28"/>
          <w:szCs w:val="28"/>
        </w:rPr>
        <w:t>Хронологічні рамки</w:t>
      </w:r>
      <w:r w:rsidRPr="000C0848">
        <w:rPr>
          <w:sz w:val="28"/>
          <w:szCs w:val="28"/>
        </w:rPr>
        <w:t xml:space="preserve"> дослідження охоплюють період із 2022 року по сьогодення. Вибір 2022 року як відправної точки є важливим, оскільки він є точною відліку повномаштабного вторгнення Росії проти України та зміни динаміки безпеки в Чорноморському регіоні. </w:t>
      </w:r>
    </w:p>
    <w:p w:rsidR="002040CF" w:rsidRPr="000C0848" w:rsidRDefault="002040CF" w:rsidP="009348E3">
      <w:pPr>
        <w:spacing w:line="360" w:lineRule="auto"/>
        <w:ind w:firstLine="851"/>
        <w:rPr>
          <w:sz w:val="28"/>
          <w:szCs w:val="28"/>
        </w:rPr>
      </w:pPr>
      <w:r w:rsidRPr="000C0848">
        <w:rPr>
          <w:sz w:val="28"/>
          <w:szCs w:val="28"/>
        </w:rPr>
        <w:t xml:space="preserve">Для вивчення динаміки зовнішньої політики Турецької Республіки у Чорноморському регіоні після 2022 року, було обрано кейс-стаді як основний </w:t>
      </w:r>
      <w:r w:rsidRPr="000C0848">
        <w:rPr>
          <w:b/>
          <w:sz w:val="28"/>
          <w:szCs w:val="28"/>
        </w:rPr>
        <w:lastRenderedPageBreak/>
        <w:t xml:space="preserve">метод </w:t>
      </w:r>
      <w:r w:rsidRPr="000C0848">
        <w:rPr>
          <w:sz w:val="28"/>
          <w:szCs w:val="28"/>
        </w:rPr>
        <w:t>дослідження. Він дозволить всебічно проаналізувати конкретний випадок, ситуацію та динаміку явища в реальному контексті. Цей підхід є оптимальним для даного дослідження,</w:t>
      </w:r>
      <w:r w:rsidR="00DA279E">
        <w:rPr>
          <w:sz w:val="28"/>
          <w:szCs w:val="28"/>
        </w:rPr>
        <w:t xml:space="preserve"> оскільки він забезпечує</w:t>
      </w:r>
      <w:r w:rsidRPr="000C0848">
        <w:rPr>
          <w:sz w:val="28"/>
          <w:szCs w:val="28"/>
        </w:rPr>
        <w:t xml:space="preserve"> розуміння специфіки зовнішньої політики Туреччини, враховуючи багатогранність факторів, що впливають на її формування: геополітичні, економічні, безпекові та ідеологічні аспекти. Кейс-стаді дозволяє дослідити конкретні дії Туреччини в контексті змін міжнародної системи, зокрема вплив війни в Україні, взаємодію з НАТО, Росією та регіональними акторами, а також оцінити ефективність її багатовекторного підходу в умовах сучасних викликів. Додатковими методами дослідження є такі загальнонаукові методи як аналіз та синтез, для комплексного вивчення відносин у їх складових елементах (аналіз) та в цілому (синтез). Метод індукції та дедукції, для переходу від конкретних фактів до загальних висновків (індукція) і навпаки, від загальних положень до конкретних висновків (дедукція), та метод абстракції допомагає  висвітлити найважливіші аспекти характеристик та зв’язків між ними. Також були використані такі специфічні методи наук про міжнародні відносини як: 1) статистичний метод – для отримання та аналізу кількісних показників, що характеризують двосторонні відносини із сторонами конфлікту; 2) історичний метод – для дослідження еволюції зовнішньої політики Туреччини відносно міжнародних акторів в басейні Чорного моря; 3) метод аналізу документів – для вивчення офіційних угод, дипломатичних заяв, звітів тощо з метою визначення позицій та політики сторін; 4) метод дослідження ЗМІ – для виявлення медійних дискурсів щодо міжнародних викликів та їх вплив на зовнішню політику Туреччини; 5) методом аналізу даних було обрано дискурс-аналіз, який дозволяє виявити, як Турецька Республіка формує свою зовнішньополітичну риторику в контексті Чорноморського регіону після 2022 року, зокрема через офіційні заяви, дипломатичні документи та публічні виступи своїх лідерів. Дискурс-аналіз допомагає з'ясувати, якими засобами Туреччина представляє свої інтереси в регіоні, акцентуючи на питаннях безпеки, енергетики та </w:t>
      </w:r>
      <w:r w:rsidRPr="000C0848">
        <w:rPr>
          <w:sz w:val="28"/>
          <w:szCs w:val="28"/>
        </w:rPr>
        <w:lastRenderedPageBreak/>
        <w:t>стратегічного партнерства з іншими країнами Чорноморського басейну. Таким чином, тріангуляція методів досягається через поєднання аналізу дискурсу з іншими якісними методами, що дозволяє глибше зрозуміти вплив Туреччини на регіональну політику та визначити стратегічні пріоритети в умовах нових глобальних викликів.</w:t>
      </w:r>
    </w:p>
    <w:p w:rsidR="002040CF" w:rsidRPr="000C0848" w:rsidRDefault="002040CF" w:rsidP="009348E3">
      <w:pPr>
        <w:spacing w:line="360" w:lineRule="auto"/>
        <w:ind w:firstLine="851"/>
        <w:rPr>
          <w:sz w:val="28"/>
          <w:szCs w:val="28"/>
        </w:rPr>
      </w:pPr>
      <w:r w:rsidRPr="000C0848">
        <w:rPr>
          <w:b/>
          <w:sz w:val="28"/>
          <w:szCs w:val="28"/>
        </w:rPr>
        <w:t>Наукова новизна</w:t>
      </w:r>
      <w:r w:rsidRPr="000C0848">
        <w:rPr>
          <w:sz w:val="28"/>
          <w:szCs w:val="28"/>
        </w:rPr>
        <w:t xml:space="preserve"> полягає в дослідженні нових тенденцій і стратегій, які Туреччина застосовує в своїй політиці щодо Чорноморського регіону в умовах постійно змінюваного геополітичного контексту.</w:t>
      </w:r>
    </w:p>
    <w:p w:rsidR="002040CF" w:rsidRPr="000C0848" w:rsidRDefault="002040CF" w:rsidP="009348E3">
      <w:pPr>
        <w:spacing w:line="360" w:lineRule="auto"/>
        <w:ind w:firstLine="851"/>
        <w:rPr>
          <w:sz w:val="28"/>
          <w:szCs w:val="28"/>
        </w:rPr>
      </w:pPr>
      <w:r w:rsidRPr="000C0848">
        <w:rPr>
          <w:b/>
          <w:sz w:val="28"/>
          <w:szCs w:val="28"/>
        </w:rPr>
        <w:t>Структура</w:t>
      </w:r>
      <w:r w:rsidRPr="000C0848">
        <w:rPr>
          <w:sz w:val="28"/>
          <w:szCs w:val="28"/>
        </w:rPr>
        <w:t xml:space="preserve"> цієї наукової роботи покликана забезпечити логічне просування крізь складні аспекти зовнішньої політики Туреччини в Чорноморському регіоні після 2022 року. Дана робота складається із вступу, 3 розділів, висновків і списку ви</w:t>
      </w:r>
      <w:r w:rsidR="00066259">
        <w:rPr>
          <w:sz w:val="28"/>
          <w:szCs w:val="28"/>
        </w:rPr>
        <w:t>вчених</w:t>
      </w:r>
      <w:r w:rsidRPr="000C0848">
        <w:rPr>
          <w:sz w:val="28"/>
          <w:szCs w:val="28"/>
        </w:rPr>
        <w:t xml:space="preserve"> джерел. У першому розділі метою є створення теоретичного підґрунтя дослідження через аналіз школи політичного реалізму на прикладі Г. Моргентау та Р. Арона. Другий розділ заглиблюється в конкретні стратегії та дії Туреччини в регіоні з 2022 року, аналізуючи, як вони узгоджуються або розходяться з її історичною позицією. У заключному 3 розділі оцінюються наслідки цих стратегій для регіональної стабільності та відносин Туреччини з великими державами, забезпечуючи комплексне розуміння регіональної динаміки та майбутніх перспектив.</w:t>
      </w:r>
    </w:p>
    <w:p w:rsidR="002040CF" w:rsidRPr="000C0848" w:rsidRDefault="002040CF" w:rsidP="009348E3">
      <w:pPr>
        <w:spacing w:line="360" w:lineRule="auto"/>
        <w:ind w:firstLine="851"/>
        <w:rPr>
          <w:sz w:val="28"/>
          <w:szCs w:val="28"/>
        </w:rPr>
      </w:pPr>
      <w:r w:rsidRPr="000C0848">
        <w:rPr>
          <w:b/>
          <w:sz w:val="28"/>
          <w:szCs w:val="28"/>
        </w:rPr>
        <w:t>Загальний обсяг роботи</w:t>
      </w:r>
      <w:r w:rsidR="00F70510">
        <w:rPr>
          <w:sz w:val="28"/>
          <w:szCs w:val="28"/>
        </w:rPr>
        <w:t xml:space="preserve"> становить </w:t>
      </w:r>
      <w:r w:rsidR="00E045E5">
        <w:rPr>
          <w:sz w:val="28"/>
          <w:szCs w:val="28"/>
          <w:lang w:val="tr-TR"/>
        </w:rPr>
        <w:t>7</w:t>
      </w:r>
      <w:r w:rsidR="000E580F">
        <w:rPr>
          <w:sz w:val="28"/>
          <w:szCs w:val="28"/>
        </w:rPr>
        <w:t>4</w:t>
      </w:r>
      <w:r w:rsidR="00C45199">
        <w:rPr>
          <w:sz w:val="28"/>
          <w:szCs w:val="28"/>
        </w:rPr>
        <w:t xml:space="preserve"> сторінка</w:t>
      </w:r>
      <w:r w:rsidR="003A0E9E">
        <w:rPr>
          <w:sz w:val="28"/>
          <w:szCs w:val="28"/>
        </w:rPr>
        <w:t>,</w:t>
      </w:r>
      <w:r w:rsidR="00625E0C">
        <w:rPr>
          <w:sz w:val="28"/>
          <w:szCs w:val="28"/>
        </w:rPr>
        <w:t xml:space="preserve"> включно із основним тестом – 6</w:t>
      </w:r>
      <w:r w:rsidR="000E580F">
        <w:rPr>
          <w:sz w:val="28"/>
          <w:szCs w:val="28"/>
        </w:rPr>
        <w:t>6</w:t>
      </w:r>
      <w:r w:rsidR="003A0E9E">
        <w:rPr>
          <w:sz w:val="28"/>
          <w:szCs w:val="28"/>
        </w:rPr>
        <w:t xml:space="preserve"> сторінки</w:t>
      </w:r>
      <w:r w:rsidRPr="000C0848">
        <w:rPr>
          <w:sz w:val="28"/>
          <w:szCs w:val="28"/>
        </w:rPr>
        <w:t xml:space="preserve"> (кількість сторінок без списку джерел). Список використаних джерел містить</w:t>
      </w:r>
      <w:r w:rsidR="003A0E9E">
        <w:rPr>
          <w:sz w:val="28"/>
          <w:szCs w:val="28"/>
        </w:rPr>
        <w:t xml:space="preserve"> 79 найменувань</w:t>
      </w:r>
      <w:r w:rsidRPr="000C0848">
        <w:rPr>
          <w:sz w:val="28"/>
          <w:szCs w:val="28"/>
        </w:rPr>
        <w:t xml:space="preserve"> (</w:t>
      </w:r>
      <w:r w:rsidR="00625E0C">
        <w:rPr>
          <w:sz w:val="28"/>
          <w:szCs w:val="28"/>
        </w:rPr>
        <w:t>8</w:t>
      </w:r>
      <w:r w:rsidR="003A0E9E">
        <w:rPr>
          <w:sz w:val="28"/>
          <w:szCs w:val="28"/>
        </w:rPr>
        <w:t xml:space="preserve"> сторінок</w:t>
      </w:r>
      <w:r w:rsidRPr="000C0848">
        <w:rPr>
          <w:sz w:val="28"/>
          <w:szCs w:val="28"/>
        </w:rPr>
        <w:t>)</w:t>
      </w:r>
      <w:r w:rsidR="003A0E9E">
        <w:rPr>
          <w:sz w:val="28"/>
          <w:szCs w:val="28"/>
        </w:rPr>
        <w:t>.</w:t>
      </w:r>
    </w:p>
    <w:p w:rsidR="002040CF" w:rsidRPr="000C0848" w:rsidRDefault="002040CF" w:rsidP="009348E3">
      <w:pPr>
        <w:spacing w:line="360" w:lineRule="auto"/>
        <w:ind w:firstLine="851"/>
        <w:rPr>
          <w:sz w:val="28"/>
          <w:szCs w:val="28"/>
        </w:rPr>
      </w:pPr>
    </w:p>
    <w:p w:rsidR="002040CF" w:rsidRPr="000C0848" w:rsidRDefault="002040CF" w:rsidP="009348E3">
      <w:pPr>
        <w:spacing w:line="360" w:lineRule="auto"/>
        <w:ind w:firstLine="851"/>
        <w:rPr>
          <w:sz w:val="28"/>
          <w:szCs w:val="28"/>
        </w:rPr>
      </w:pPr>
    </w:p>
    <w:p w:rsidR="002040CF" w:rsidRDefault="002040CF" w:rsidP="009348E3">
      <w:pPr>
        <w:spacing w:line="360" w:lineRule="auto"/>
        <w:ind w:firstLine="851"/>
        <w:rPr>
          <w:sz w:val="28"/>
          <w:szCs w:val="28"/>
        </w:rPr>
      </w:pPr>
    </w:p>
    <w:p w:rsidR="003A0E9E" w:rsidRDefault="003A0E9E" w:rsidP="009348E3">
      <w:pPr>
        <w:spacing w:line="360" w:lineRule="auto"/>
        <w:ind w:firstLine="851"/>
        <w:rPr>
          <w:sz w:val="28"/>
          <w:szCs w:val="28"/>
        </w:rPr>
      </w:pPr>
    </w:p>
    <w:p w:rsidR="003A0E9E" w:rsidRDefault="003A0E9E" w:rsidP="009348E3">
      <w:pPr>
        <w:spacing w:line="360" w:lineRule="auto"/>
        <w:ind w:firstLine="851"/>
        <w:rPr>
          <w:sz w:val="28"/>
          <w:szCs w:val="28"/>
        </w:rPr>
      </w:pPr>
    </w:p>
    <w:p w:rsidR="003A0E9E" w:rsidRDefault="003A0E9E" w:rsidP="009348E3">
      <w:pPr>
        <w:spacing w:line="360" w:lineRule="auto"/>
        <w:ind w:firstLine="851"/>
        <w:rPr>
          <w:sz w:val="28"/>
          <w:szCs w:val="28"/>
        </w:rPr>
      </w:pPr>
    </w:p>
    <w:p w:rsidR="003A0E9E" w:rsidRDefault="003A0E9E" w:rsidP="009348E3">
      <w:pPr>
        <w:spacing w:line="360" w:lineRule="auto"/>
        <w:ind w:firstLine="851"/>
        <w:rPr>
          <w:sz w:val="28"/>
          <w:szCs w:val="28"/>
        </w:rPr>
      </w:pPr>
    </w:p>
    <w:p w:rsidR="00066259" w:rsidRDefault="00066259" w:rsidP="002417DF">
      <w:pPr>
        <w:spacing w:line="360" w:lineRule="auto"/>
        <w:rPr>
          <w:sz w:val="28"/>
          <w:szCs w:val="28"/>
        </w:rPr>
      </w:pPr>
    </w:p>
    <w:p w:rsidR="002040CF" w:rsidRPr="00781762" w:rsidRDefault="002040CF" w:rsidP="009348E3">
      <w:pPr>
        <w:spacing w:line="360" w:lineRule="auto"/>
        <w:ind w:firstLine="851"/>
        <w:jc w:val="center"/>
        <w:rPr>
          <w:b/>
          <w:sz w:val="28"/>
          <w:szCs w:val="28"/>
        </w:rPr>
      </w:pPr>
      <w:r w:rsidRPr="00781762">
        <w:rPr>
          <w:b/>
          <w:sz w:val="28"/>
          <w:szCs w:val="28"/>
        </w:rPr>
        <w:lastRenderedPageBreak/>
        <w:t>РОЗДІЛ 1 ТЕОРЕТИЧНІ ЗАСАДИ ДОСЛІДЖЕННЯ</w:t>
      </w:r>
    </w:p>
    <w:p w:rsidR="002040CF" w:rsidRPr="00781762" w:rsidRDefault="002040CF" w:rsidP="009348E3">
      <w:pPr>
        <w:spacing w:line="360" w:lineRule="auto"/>
        <w:ind w:firstLine="851"/>
        <w:jc w:val="center"/>
        <w:rPr>
          <w:b/>
          <w:sz w:val="28"/>
          <w:szCs w:val="28"/>
        </w:rPr>
      </w:pPr>
    </w:p>
    <w:p w:rsidR="002040CF" w:rsidRPr="00781762" w:rsidRDefault="002040CF" w:rsidP="000A1818">
      <w:pPr>
        <w:spacing w:line="360" w:lineRule="auto"/>
        <w:ind w:firstLine="851"/>
        <w:rPr>
          <w:sz w:val="28"/>
          <w:szCs w:val="28"/>
        </w:rPr>
      </w:pPr>
      <w:r w:rsidRPr="00781762">
        <w:rPr>
          <w:b/>
          <w:sz w:val="28"/>
          <w:szCs w:val="28"/>
        </w:rPr>
        <w:t>1.1. Ідейне підґрунтя ведення зовнішньої політики Турецької Республіки у Чорноморському регіоні в контексті політичного реалізму</w:t>
      </w:r>
    </w:p>
    <w:p w:rsidR="002040CF" w:rsidRPr="00781762" w:rsidRDefault="002040CF" w:rsidP="009348E3">
      <w:pPr>
        <w:spacing w:line="360" w:lineRule="auto"/>
        <w:ind w:firstLine="851"/>
        <w:jc w:val="left"/>
        <w:rPr>
          <w:sz w:val="28"/>
          <w:szCs w:val="28"/>
        </w:rPr>
      </w:pPr>
    </w:p>
    <w:p w:rsidR="005401C4" w:rsidRPr="005401C4" w:rsidRDefault="005401C4" w:rsidP="005401C4">
      <w:pPr>
        <w:spacing w:line="360" w:lineRule="auto"/>
        <w:ind w:firstLine="851"/>
        <w:rPr>
          <w:sz w:val="28"/>
          <w:szCs w:val="28"/>
          <w:lang w:val="ru-RU"/>
        </w:rPr>
      </w:pPr>
      <w:r w:rsidRPr="005401C4">
        <w:rPr>
          <w:sz w:val="28"/>
          <w:szCs w:val="28"/>
          <w:lang w:val="ru-RU"/>
        </w:rPr>
        <w:t>Школа політичного реалізму, як одна з основних парадигм міжнародних відносин, надає аналітичний інструментарій для розгляду дій держав у міжнародній системі. Основною тезою реалізму є визнання анархічного характеру міжнародного середовища, що спонукає держави керуватися власними національними інтересами, орієнтуючись переважно на питання безпеки, влади та впливу (Morgenthau, 1947; Aron, 1984). Ключові ідеї викладені у працях класичних реалістів, таких як Моргентау та Арон. У межах цієї парадигми міжнародна політика розглядається як структура, де основними гравцями є суверенні держави, які раціонально діють у власних інтересах в умовах постійної конкуренції за владу та ресурси.</w:t>
      </w:r>
    </w:p>
    <w:p w:rsidR="005401C4" w:rsidRPr="005401C4" w:rsidRDefault="005401C4" w:rsidP="005401C4">
      <w:pPr>
        <w:spacing w:line="360" w:lineRule="auto"/>
        <w:ind w:firstLine="851"/>
        <w:rPr>
          <w:sz w:val="28"/>
          <w:szCs w:val="28"/>
          <w:lang w:val="ru-RU"/>
        </w:rPr>
      </w:pPr>
      <w:r w:rsidRPr="005401C4">
        <w:rPr>
          <w:sz w:val="28"/>
          <w:szCs w:val="28"/>
          <w:lang w:val="ru-RU"/>
        </w:rPr>
        <w:t xml:space="preserve">Теоретична база даного дослідження базується перш за все на ідеях Моргентау, викладених у праці </w:t>
      </w:r>
      <w:r w:rsidRPr="005401C4">
        <w:rPr>
          <w:i/>
          <w:iCs/>
          <w:sz w:val="28"/>
          <w:szCs w:val="28"/>
          <w:lang w:val="ru-RU"/>
        </w:rPr>
        <w:t>Politics Among Nations: The Struggle for Power and Peace</w:t>
      </w:r>
      <w:r w:rsidRPr="005401C4">
        <w:rPr>
          <w:sz w:val="28"/>
          <w:szCs w:val="28"/>
          <w:lang w:val="ru-RU"/>
        </w:rPr>
        <w:t xml:space="preserve"> (Morgenthau, 1947), яку багато дослідників вважають «найбільш важливою книгою з теорії міжнародних відносин, що будь-коли була написана» (Aron, 1984). У своїй концепції Моргентау виходить із шести принципів політичного реалізму.</w:t>
      </w:r>
    </w:p>
    <w:p w:rsidR="005401C4" w:rsidRDefault="005401C4" w:rsidP="005401C4">
      <w:pPr>
        <w:spacing w:line="360" w:lineRule="auto"/>
        <w:ind w:firstLine="851"/>
        <w:rPr>
          <w:sz w:val="28"/>
          <w:szCs w:val="28"/>
          <w:lang w:val="ru-RU"/>
        </w:rPr>
      </w:pPr>
      <w:r w:rsidRPr="005401C4">
        <w:rPr>
          <w:sz w:val="28"/>
          <w:szCs w:val="28"/>
          <w:lang w:val="ru-RU"/>
        </w:rPr>
        <w:t xml:space="preserve">Моргентау зазначає, що перший принцип полягає в тому, що політика підпорядкована об'єктивним законам, підґрунтя яких знаходиться у вічній і незмінній людській природі. Тому можна створити раціональну теорію, яка дозволяє відносно об'єктивно відтворити зміст міжнародної політики (Morgenthau, 1947, p. 73). Це означає, що будь-яка держава, включаючи Турецьку Республіку, діє відповідно до логіки національного інтересу, зумовленого постійними факторами, такими як безпека, виживання та влада. У випадку зовнішньої політики Туреччини в Чорноморському регіоні після 2022 року цей принцип реалізму дозволяє пояснити її поведінку як </w:t>
      </w:r>
      <w:r w:rsidRPr="005401C4">
        <w:rPr>
          <w:sz w:val="28"/>
          <w:szCs w:val="28"/>
          <w:lang w:val="ru-RU"/>
        </w:rPr>
        <w:lastRenderedPageBreak/>
        <w:t>раціональну та передбачувану відповідь на виклики регіону, що переживає трансформацію через війну в Україні, зміну балансів сил і економічну нестабільність (Aydın, 2023; Davutoğlu, 2001).</w:t>
      </w:r>
    </w:p>
    <w:p w:rsidR="005401C4" w:rsidRPr="005401C4" w:rsidRDefault="005401C4" w:rsidP="005401C4">
      <w:pPr>
        <w:spacing w:line="360" w:lineRule="auto"/>
        <w:ind w:firstLine="851"/>
        <w:rPr>
          <w:sz w:val="28"/>
          <w:szCs w:val="28"/>
          <w:lang w:val="ru-RU"/>
        </w:rPr>
      </w:pPr>
      <w:r w:rsidRPr="005401C4">
        <w:rPr>
          <w:sz w:val="28"/>
          <w:szCs w:val="28"/>
          <w:lang w:val="ru-RU"/>
        </w:rPr>
        <w:t>Другий принцип політичного реалізму Ганса Моргентау — «поняття інтересу, вираженого в термінах влади» — підкреслює, що основна мета державної політики полягає у мінімізації ризиків і максимізації переваг, при цьому збереження раціональності є ключовим фактором. Моргентау наголошував, що держави керуються своїми інтересами, а не моральними принципами (Morgenthau, 1947, p. 74). Це проявляється у багатовекторній політиці Туреччини, яка підтримує баланс між НАТО (підтримка України), ЄС (економічна співпраця) та Росією (енергетика, уникнення конфліктів) (Aydın, 2023; Davutoğlu, 2001). Туреччина уникає зайвої ескалації з жодним із великих акторів, зберігаючи стратегічну автономію. В умовах відсутності наддержави, яка б гарантувала стабільність у Чорноморському регіоні, Туреччина орієнтується на політику балансу сил, підтримуючи відносини з НАТО, ЄС та Росією. Співпраця з НАТО забезпечує підтримку безпеки, але Туреччина прагне уникати прямої конфронтації з Росією, розвиваючи відносини у сфері енергетики та дипломатії. Туреччина також посилює свої регіональні позиції через роль посередника у війні в Україні, зокрема в рамках зернової угоди (Ünlühisarcıklı, 2023; Özdemir, 2023).</w:t>
      </w:r>
    </w:p>
    <w:p w:rsidR="005401C4" w:rsidRPr="005401C4" w:rsidRDefault="005401C4" w:rsidP="005401C4">
      <w:pPr>
        <w:spacing w:line="360" w:lineRule="auto"/>
        <w:ind w:firstLine="851"/>
        <w:rPr>
          <w:sz w:val="28"/>
          <w:szCs w:val="28"/>
          <w:lang w:val="ru-RU"/>
        </w:rPr>
      </w:pPr>
      <w:r w:rsidRPr="005401C4">
        <w:rPr>
          <w:sz w:val="28"/>
          <w:szCs w:val="28"/>
          <w:lang w:val="ru-RU"/>
        </w:rPr>
        <w:t xml:space="preserve">Третій принцип реалізму Моргентау наголошує на необхідності врахування об’єктивних законів міжнародної політики для зміни світу, замість сліпого слідування абстрактним ідеалам (Morgenthau, 1947, p. 77). Це означає, що реальна політика повинна базуватися на прагматичному підході, який враховує закономірності міжнародної системи, а не на утопічних ідеях чи моральних мріях. У контексті зовнішньої політики Туреччини в Чорноморському регіоні після 2022 року цей принцип пояснює, чому Анкара діє раціонально і прагматично. Чорноморський регіон після 2022 року став епіцентром геополітичної нестабільності через війну в Україні, посилення </w:t>
      </w:r>
      <w:r w:rsidRPr="005401C4">
        <w:rPr>
          <w:sz w:val="28"/>
          <w:szCs w:val="28"/>
          <w:lang w:val="ru-RU"/>
        </w:rPr>
        <w:lastRenderedPageBreak/>
        <w:t>санкційного тиску на Росію та військову активність НАТО (Gürcan, 2022; Aydın, 2023).</w:t>
      </w:r>
    </w:p>
    <w:p w:rsidR="005401C4" w:rsidRPr="005401C4" w:rsidRDefault="005401C4" w:rsidP="005401C4">
      <w:pPr>
        <w:spacing w:line="360" w:lineRule="auto"/>
        <w:ind w:firstLine="851"/>
        <w:rPr>
          <w:sz w:val="28"/>
          <w:szCs w:val="28"/>
          <w:lang w:val="ru-RU"/>
        </w:rPr>
      </w:pPr>
      <w:r w:rsidRPr="005401C4">
        <w:rPr>
          <w:sz w:val="28"/>
          <w:szCs w:val="28"/>
          <w:lang w:val="ru-RU"/>
        </w:rPr>
        <w:t>Четвертий принцип політичного реалізму Моргентау визнає важливість морального значення політичної дії, проте наголошує, що моральні вимоги мають враховувати конкретні обставини місця і часу. У міжнародній політиці ключовою чеснотою є поміркованість і обережність, які забезпечують раціональне балансування між ідеалами та реальністю (Morgenthau, 1947, p. 78). У зовнішній політиці Туреччини в Чорноморському регіоні після 2022 року цей принцип реалізується через прагматичний підхід, що дозволяє Анкарі уникати конфронтацій та одночасно зміцнювати власні позиції. Туреччина демонструє обережність і адаптацію до специфічних обставин, уникаючи значних ризиків. Зокрема, Анкара співпрацює з НАТО, підтримує Україну надаючи допомогу, але уникає відкритої конфронтації з Росією, усвідомлюючи ризики для власної безпеки та економіки (Kirişci &amp; Toygür, 2023; Özdemir, 2023).</w:t>
      </w:r>
    </w:p>
    <w:p w:rsidR="005401C4" w:rsidRPr="005401C4" w:rsidRDefault="005401C4" w:rsidP="005401C4">
      <w:pPr>
        <w:spacing w:line="360" w:lineRule="auto"/>
        <w:ind w:firstLine="851"/>
        <w:rPr>
          <w:sz w:val="28"/>
          <w:szCs w:val="28"/>
          <w:lang w:val="ru-RU"/>
        </w:rPr>
      </w:pPr>
      <w:r w:rsidRPr="005401C4">
        <w:rPr>
          <w:sz w:val="28"/>
          <w:szCs w:val="28"/>
          <w:lang w:val="ru-RU"/>
        </w:rPr>
        <w:t>П’ятий принцип реалізму Ганса Моргентау наголошує, що моральні прагнення нації не можна ототожнювати з універсальними моральними нормами. Міжнародні відносини є ареною, де кожна держава захищає свої інтереси, і важливо розуміти, що оцінка того, що «добре» чи «погано», залежить від контексту конкретної ситуації (Morgenthau, 1947, p. 79). У зовнішній політиці Туреччини цей принцип реалізується через прагматичний підхід до розв’язання конфліктів та взаємодії з різними державами. Туреччина уникає нав’язування своїх моральних поглядів іншим акторам, зосереджуючись на національних інтересах та адаптації до реалій міжнародної системи. Держава, визнаючи відсутність універсальних моральних стандартів у міжнародних відносинах, зосереджується на реалістичних цілях — забезпеченні економічної стабільності, безпеки та розширенні впливу через дипломатію та військову присутність (Kirişci &amp; Toygür, 2023; Özdemir, 2023).</w:t>
      </w:r>
    </w:p>
    <w:p w:rsidR="005401C4" w:rsidRPr="005401C4" w:rsidRDefault="005401C4" w:rsidP="005401C4">
      <w:pPr>
        <w:spacing w:line="360" w:lineRule="auto"/>
        <w:ind w:firstLine="851"/>
        <w:rPr>
          <w:sz w:val="28"/>
          <w:szCs w:val="28"/>
          <w:lang w:val="ru-RU"/>
        </w:rPr>
      </w:pPr>
      <w:r w:rsidRPr="005401C4">
        <w:rPr>
          <w:sz w:val="28"/>
          <w:szCs w:val="28"/>
          <w:lang w:val="ru-RU"/>
        </w:rPr>
        <w:lastRenderedPageBreak/>
        <w:t>Шостий принцип політичного реалізму Ганса Моргентау наголошує на плюралістичній концепції природи людини. Людина має розглядатися як багатогранна істота, чиї економічні, моральні, релігійні та інші аспекти буття є взаємопов’язаними, але в певних обставинах можуть проявлятися відносно самостійно (Morgenthau, 1947, p. 80). У контексті зовнішньої політики Туреччини в Чорноморському регіоні після 2022 року цей принцип пояснює, як багатогранність турецьких інтересів (економічних, безпекових, релігійних, моральних) впливає на її дії в регіоні. Туреччина, як актор міжнародних відносин, використовує комплексний підхід у формуванні політики, враховуючи різні сторони своєї національної ідентичності та реалії сучасного світу. Туреччина є перехрестям між Європою, Азією та Близьким Сходом, і її політика в Чорноморському регіоні поєднує економічні, релігійні, військові та моральні аспекти, які мають велике значення для стабільності цього стратегічного простору (Aydın, 2023; Davutoğlu, 2001).</w:t>
      </w:r>
    </w:p>
    <w:p w:rsidR="005401C4" w:rsidRPr="005401C4" w:rsidRDefault="005401C4" w:rsidP="005401C4">
      <w:pPr>
        <w:spacing w:line="360" w:lineRule="auto"/>
        <w:ind w:firstLine="851"/>
        <w:rPr>
          <w:sz w:val="28"/>
          <w:szCs w:val="28"/>
          <w:lang w:val="ru-RU"/>
        </w:rPr>
      </w:pPr>
      <w:r w:rsidRPr="005401C4">
        <w:rPr>
          <w:sz w:val="28"/>
          <w:szCs w:val="28"/>
          <w:lang w:val="ru-RU"/>
        </w:rPr>
        <w:t>У дусі політичного реалізму міжнародні відносини розглядав і відомий французький соціолог та політолог Р. Арон. Він прагнув доповнити політичний аналіз міжнародних реалій соціологічним підходом. На думку Арона, в епоху індустріальної цивілізації та ядерної зброї завойовницькі війни стають невигідними й ризикованими. Але це не означає докорінної зміни основної особливості міжнародних відносин, яка полягає у законності використання сили їх учасниками (Aron, 1984, p. 17). Тому Арон вважав, що мир неможливий, але й війна невірогідна. Нормальним для міжнародних відносин є конфлікт, а не його відсутність. Головне, що вимагає пояснення, — це не стан миру, а стан війни (Aron, 1984, p. 22). Звідси Р. Арон виходить на специфіку соціології міжнародних відносин.</w:t>
      </w:r>
    </w:p>
    <w:p w:rsidR="005401C4" w:rsidRPr="005401C4" w:rsidRDefault="005401C4" w:rsidP="005401C4">
      <w:pPr>
        <w:spacing w:line="360" w:lineRule="auto"/>
        <w:ind w:firstLine="851"/>
        <w:rPr>
          <w:sz w:val="28"/>
          <w:szCs w:val="28"/>
          <w:lang w:val="ru-RU"/>
        </w:rPr>
      </w:pPr>
      <w:r w:rsidRPr="005401C4">
        <w:rPr>
          <w:sz w:val="28"/>
          <w:szCs w:val="28"/>
          <w:lang w:val="ru-RU"/>
        </w:rPr>
        <w:t xml:space="preserve">Раймон Арон розглядав міжнародну політику через призму взаємодії політики сили, національних інтересів та ідеологій, акцентуючи на подвійній природі міжнародних відносин — поєднанні конфліктів і співпраці (Aron, 1984, p. 103). Туреччина, як ключовий актор Чорноморського регіону, діє, спираючись на потребу забезпечення власної територіальної цілісності та </w:t>
      </w:r>
      <w:r w:rsidRPr="005401C4">
        <w:rPr>
          <w:sz w:val="28"/>
          <w:szCs w:val="28"/>
          <w:lang w:val="ru-RU"/>
        </w:rPr>
        <w:lastRenderedPageBreak/>
        <w:t>безпеки. Війна в Україні, що загострилася після 2022 року, актуалізувала необхідність Туреччини зміцнювати оборонні спроможності та одночасно підтримувати стратегічний баланс між Заходом (НАТО) і Росією.</w:t>
      </w:r>
    </w:p>
    <w:p w:rsidR="005401C4" w:rsidRPr="005401C4" w:rsidRDefault="005401C4" w:rsidP="005401C4">
      <w:pPr>
        <w:spacing w:line="360" w:lineRule="auto"/>
        <w:ind w:firstLine="851"/>
        <w:rPr>
          <w:sz w:val="28"/>
          <w:szCs w:val="28"/>
          <w:lang w:val="ru-RU"/>
        </w:rPr>
      </w:pPr>
      <w:r w:rsidRPr="005401C4">
        <w:rPr>
          <w:sz w:val="28"/>
          <w:szCs w:val="28"/>
          <w:lang w:val="ru-RU"/>
        </w:rPr>
        <w:t>Згідно з концепцією Арона, ідеологія є невід’ємною частиною міжнародної політики, але вона підпорядкована національним інтересам (Aron, 1984, p. 17). Туреччина використовує ідеологічні аспекти — наприклад, релігійний і культурний вплив — для зміцнення своїх позицій у мусульманському світі та серед країн Чорноморського регіону. Арон підкреслював значення як військових, так і дипломатичних інструментів для досягнення політичних цілей. Туреччина демонструє це через посередницькі зусилля у війні в Україні (зокрема зернові угоди між Україною та Росією) та використання військових ресурсів (дрони Bayraktar, зміцнення оборонного потенціалу) як важливих елементів своєї зовнішньої політики.</w:t>
      </w:r>
    </w:p>
    <w:p w:rsidR="005401C4" w:rsidRPr="005401C4" w:rsidRDefault="005401C4" w:rsidP="005401C4">
      <w:pPr>
        <w:spacing w:line="360" w:lineRule="auto"/>
        <w:ind w:firstLine="851"/>
        <w:rPr>
          <w:sz w:val="28"/>
          <w:szCs w:val="28"/>
          <w:lang w:val="ru-RU"/>
        </w:rPr>
      </w:pPr>
      <w:r w:rsidRPr="005401C4">
        <w:rPr>
          <w:sz w:val="28"/>
          <w:szCs w:val="28"/>
          <w:lang w:val="ru-RU"/>
        </w:rPr>
        <w:t>Туреччина враховує стратегічну необхідність балансування між великими гравцями: США, Росією, Європейським Союзом та регіональними акторами (Україна, Грузія). Аронова ідея балансу сил є ключовою для пояснення того, як Туреччина уникає прямого конфлікту з великими державами, зберігаючи автономію у прийнятті рішень. Він зазначав, що міжнародна політика значною мірою визначається прагненням держав забезпечити свої інтереси шляхом концентрації влади та військових спроможностей (Aron, 1984, pp. 188–193). Туреччина, як геополітичний актор, що займає стратегічну позицію на перетині Європи, Азії та Чорного моря, реалізує політику сили через контроль над морськими шляхами (протоки Босфор і Дарданелли), посилення військової присутності та модернізацію збройних сил, що відповідає її стратегічним інтересам в умовах посилення нестабільності в регіоні після 2022 року.</w:t>
      </w:r>
    </w:p>
    <w:p w:rsidR="005401C4" w:rsidRPr="005401C4" w:rsidRDefault="005401C4" w:rsidP="005401C4">
      <w:pPr>
        <w:spacing w:line="360" w:lineRule="auto"/>
        <w:ind w:firstLine="851"/>
        <w:rPr>
          <w:sz w:val="28"/>
          <w:szCs w:val="28"/>
          <w:lang w:val="ru-RU"/>
        </w:rPr>
      </w:pPr>
      <w:r w:rsidRPr="005401C4">
        <w:rPr>
          <w:sz w:val="28"/>
          <w:szCs w:val="28"/>
          <w:lang w:val="ru-RU"/>
        </w:rPr>
        <w:t xml:space="preserve">Таким чином, зовнішня політика Турецької Республіки в Чорноморському регіоні після 2022 року може бути зрозуміла через призму концепцій політичного реалізму, що надає раціональні аналітичні інструменти для аналізу поведінки держав у анархічному міжнародному </w:t>
      </w:r>
      <w:r w:rsidRPr="005401C4">
        <w:rPr>
          <w:sz w:val="28"/>
          <w:szCs w:val="28"/>
          <w:lang w:val="ru-RU"/>
        </w:rPr>
        <w:lastRenderedPageBreak/>
        <w:t>середовищі. Виходячи з принципів Ганса Моргентау, дії Туреччини орієнтуються на національні інтереси, які реалізуються через прагматичний підхід до балансування між великими державами, посилення безпеки та зміцнення впливу в регіоні (Morgenthau, 1947). Теоретичні підходи Раймона Арона доповнюють аналіз, підкреслюючи роль поєднання сили, дипломатії та ідеології у формуванні зовнішньої політики. Туреччина демонструє здатність адаптуватися до змін у регіоні через багатовекторний підхід, уникаючи жорсткої прив’язки до одного актора та одночасно реалізуючи свої інтереси.</w:t>
      </w:r>
    </w:p>
    <w:p w:rsidR="005401C4" w:rsidRPr="005401C4" w:rsidRDefault="005401C4" w:rsidP="0086039E">
      <w:pPr>
        <w:spacing w:line="360" w:lineRule="auto"/>
        <w:ind w:firstLine="851"/>
        <w:rPr>
          <w:sz w:val="28"/>
          <w:szCs w:val="28"/>
          <w:lang w:val="ru-RU"/>
        </w:rPr>
      </w:pPr>
      <w:r w:rsidRPr="005401C4">
        <w:rPr>
          <w:sz w:val="28"/>
          <w:szCs w:val="28"/>
          <w:lang w:val="ru-RU"/>
        </w:rPr>
        <w:t>Чорноморський регіон, що став епіцентром уваги після повномасштабного збройного нападу у 2022 році, залишає стратегічний простір для Анкари, яка діє як ключовий регіональний гравець. Збереження багатовекторної зовнішньої політики, поєднання військових і дипломатичних підходів, а також використання економічних і релігійних важелів впливу дозволяють Туреччині зберігати стабільність і розширювати свій вплив. У цілому, зовнішня політика Туреччини у Чорноморському регіоні після 2022 року демонструє ефективність реалістичних підходів у вирішенні складних викликів міжнародного середовища.</w:t>
      </w:r>
    </w:p>
    <w:p w:rsidR="002040CF" w:rsidRPr="000C0848" w:rsidRDefault="002040CF" w:rsidP="009348E3">
      <w:pPr>
        <w:spacing w:line="360" w:lineRule="auto"/>
        <w:ind w:firstLine="851"/>
        <w:rPr>
          <w:sz w:val="28"/>
          <w:szCs w:val="28"/>
        </w:rPr>
      </w:pPr>
    </w:p>
    <w:p w:rsidR="002040CF" w:rsidRPr="000C0848" w:rsidRDefault="002040CF" w:rsidP="009348E3">
      <w:pPr>
        <w:spacing w:line="360" w:lineRule="auto"/>
        <w:ind w:firstLine="709"/>
        <w:rPr>
          <w:b/>
          <w:sz w:val="28"/>
          <w:szCs w:val="28"/>
        </w:rPr>
      </w:pPr>
      <w:r w:rsidRPr="000C0848">
        <w:rPr>
          <w:b/>
          <w:sz w:val="28"/>
          <w:szCs w:val="28"/>
        </w:rPr>
        <w:t>1.2 Поняттєво-категоріальний апарат</w:t>
      </w:r>
    </w:p>
    <w:p w:rsidR="002040CF" w:rsidRDefault="002040CF" w:rsidP="009348E3">
      <w:pPr>
        <w:spacing w:line="360" w:lineRule="auto"/>
        <w:ind w:firstLine="851"/>
        <w:rPr>
          <w:sz w:val="28"/>
          <w:szCs w:val="28"/>
        </w:rPr>
      </w:pPr>
    </w:p>
    <w:p w:rsidR="003E1CD4" w:rsidRPr="003E1CD4" w:rsidRDefault="003E1CD4" w:rsidP="003E1CD4">
      <w:pPr>
        <w:spacing w:line="360" w:lineRule="auto"/>
        <w:ind w:firstLine="851"/>
        <w:rPr>
          <w:sz w:val="28"/>
          <w:szCs w:val="28"/>
        </w:rPr>
      </w:pPr>
      <w:r w:rsidRPr="003E1CD4">
        <w:rPr>
          <w:sz w:val="28"/>
          <w:szCs w:val="28"/>
        </w:rPr>
        <w:t>Основні поняття цієї магістерської роботи формуються на засадах сучасної геополітики, регіональних студій та теорій зовнішньої політики, із залученням концепцій провідних західних та турецьких дослідників: Баррі Бузана (</w:t>
      </w:r>
      <w:r w:rsidRPr="003E1CD4">
        <w:rPr>
          <w:sz w:val="28"/>
          <w:szCs w:val="28"/>
          <w:lang w:val="ru-RU"/>
        </w:rPr>
        <w:t>Buzan</w:t>
      </w:r>
      <w:r w:rsidRPr="003E1CD4">
        <w:rPr>
          <w:sz w:val="28"/>
          <w:szCs w:val="28"/>
        </w:rPr>
        <w:t>, 1998), Роберта Каплана (</w:t>
      </w:r>
      <w:r w:rsidRPr="003E1CD4">
        <w:rPr>
          <w:sz w:val="28"/>
          <w:szCs w:val="28"/>
          <w:lang w:val="ru-RU"/>
        </w:rPr>
        <w:t>Kaplan</w:t>
      </w:r>
      <w:r w:rsidRPr="003E1CD4">
        <w:rPr>
          <w:sz w:val="28"/>
          <w:szCs w:val="28"/>
        </w:rPr>
        <w:t>, 2012), Стівена Волта (</w:t>
      </w:r>
      <w:r w:rsidRPr="003E1CD4">
        <w:rPr>
          <w:sz w:val="28"/>
          <w:szCs w:val="28"/>
          <w:lang w:val="ru-RU"/>
        </w:rPr>
        <w:t>Walt</w:t>
      </w:r>
      <w:r w:rsidRPr="003E1CD4">
        <w:rPr>
          <w:sz w:val="28"/>
          <w:szCs w:val="28"/>
        </w:rPr>
        <w:t>, 1987), Олександра Вендта (</w:t>
      </w:r>
      <w:r w:rsidRPr="003E1CD4">
        <w:rPr>
          <w:sz w:val="28"/>
          <w:szCs w:val="28"/>
          <w:lang w:val="ru-RU"/>
        </w:rPr>
        <w:t>Wendt</w:t>
      </w:r>
      <w:r w:rsidRPr="003E1CD4">
        <w:rPr>
          <w:sz w:val="28"/>
          <w:szCs w:val="28"/>
        </w:rPr>
        <w:t>, 1999), Ф. Шміттера (</w:t>
      </w:r>
      <w:r w:rsidRPr="003E1CD4">
        <w:rPr>
          <w:sz w:val="28"/>
          <w:szCs w:val="28"/>
          <w:lang w:val="ru-RU"/>
        </w:rPr>
        <w:t>Schmitter</w:t>
      </w:r>
      <w:r w:rsidRPr="003E1CD4">
        <w:rPr>
          <w:sz w:val="28"/>
          <w:szCs w:val="28"/>
        </w:rPr>
        <w:t>, 2004), а також турецьких експертів з зовнішньої політики — А. Давутоглу (</w:t>
      </w:r>
      <w:r w:rsidRPr="003E1CD4">
        <w:rPr>
          <w:sz w:val="28"/>
          <w:szCs w:val="28"/>
          <w:lang w:val="ru-RU"/>
        </w:rPr>
        <w:t>Davuto</w:t>
      </w:r>
      <w:r w:rsidRPr="003E1CD4">
        <w:rPr>
          <w:sz w:val="28"/>
          <w:szCs w:val="28"/>
        </w:rPr>
        <w:t>ğ</w:t>
      </w:r>
      <w:r w:rsidRPr="003E1CD4">
        <w:rPr>
          <w:sz w:val="28"/>
          <w:szCs w:val="28"/>
          <w:lang w:val="ru-RU"/>
        </w:rPr>
        <w:t>lu</w:t>
      </w:r>
      <w:r w:rsidRPr="003E1CD4">
        <w:rPr>
          <w:sz w:val="28"/>
          <w:szCs w:val="28"/>
        </w:rPr>
        <w:t>, 2001), М. Акгюна (</w:t>
      </w:r>
      <w:r w:rsidRPr="003E1CD4">
        <w:rPr>
          <w:sz w:val="28"/>
          <w:szCs w:val="28"/>
          <w:lang w:val="ru-RU"/>
        </w:rPr>
        <w:t>Akg</w:t>
      </w:r>
      <w:r w:rsidRPr="003E1CD4">
        <w:rPr>
          <w:sz w:val="28"/>
          <w:szCs w:val="28"/>
        </w:rPr>
        <w:t>ü</w:t>
      </w:r>
      <w:r w:rsidRPr="003E1CD4">
        <w:rPr>
          <w:sz w:val="28"/>
          <w:szCs w:val="28"/>
          <w:lang w:val="ru-RU"/>
        </w:rPr>
        <w:t>n</w:t>
      </w:r>
      <w:r w:rsidRPr="003E1CD4">
        <w:rPr>
          <w:sz w:val="28"/>
          <w:szCs w:val="28"/>
        </w:rPr>
        <w:t>, 2010), М. Йєшілташа (</w:t>
      </w:r>
      <w:r w:rsidRPr="003E1CD4">
        <w:rPr>
          <w:sz w:val="28"/>
          <w:szCs w:val="28"/>
          <w:lang w:val="ru-RU"/>
        </w:rPr>
        <w:t>Ye</w:t>
      </w:r>
      <w:r w:rsidRPr="003E1CD4">
        <w:rPr>
          <w:sz w:val="28"/>
          <w:szCs w:val="28"/>
        </w:rPr>
        <w:t>ş</w:t>
      </w:r>
      <w:r w:rsidRPr="003E1CD4">
        <w:rPr>
          <w:sz w:val="28"/>
          <w:szCs w:val="28"/>
          <w:lang w:val="ru-RU"/>
        </w:rPr>
        <w:t>ilta</w:t>
      </w:r>
      <w:r w:rsidRPr="003E1CD4">
        <w:rPr>
          <w:sz w:val="28"/>
          <w:szCs w:val="28"/>
        </w:rPr>
        <w:t xml:space="preserve">ş, 2022). У межах дослідження ключовими є такі категорії: </w:t>
      </w:r>
      <w:r w:rsidRPr="003E1CD4">
        <w:rPr>
          <w:bCs/>
          <w:sz w:val="28"/>
          <w:szCs w:val="28"/>
        </w:rPr>
        <w:t>«геополітичний простір»</w:t>
      </w:r>
      <w:r w:rsidRPr="003E1CD4">
        <w:rPr>
          <w:sz w:val="28"/>
          <w:szCs w:val="28"/>
        </w:rPr>
        <w:t xml:space="preserve">, </w:t>
      </w:r>
      <w:r w:rsidRPr="003E1CD4">
        <w:rPr>
          <w:bCs/>
          <w:sz w:val="28"/>
          <w:szCs w:val="28"/>
        </w:rPr>
        <w:t>«регіональна безпекова підсистема»</w:t>
      </w:r>
      <w:r w:rsidRPr="003E1CD4">
        <w:rPr>
          <w:sz w:val="28"/>
          <w:szCs w:val="28"/>
        </w:rPr>
        <w:t xml:space="preserve">, </w:t>
      </w:r>
      <w:r w:rsidRPr="003E1CD4">
        <w:rPr>
          <w:bCs/>
          <w:sz w:val="28"/>
          <w:szCs w:val="28"/>
        </w:rPr>
        <w:t>«стратегічна автономія»</w:t>
      </w:r>
      <w:r w:rsidRPr="003E1CD4">
        <w:rPr>
          <w:sz w:val="28"/>
          <w:szCs w:val="28"/>
        </w:rPr>
        <w:t xml:space="preserve">, </w:t>
      </w:r>
      <w:r w:rsidRPr="003E1CD4">
        <w:rPr>
          <w:bCs/>
          <w:sz w:val="28"/>
          <w:szCs w:val="28"/>
        </w:rPr>
        <w:lastRenderedPageBreak/>
        <w:t>«балансування»</w:t>
      </w:r>
      <w:r w:rsidRPr="003E1CD4">
        <w:rPr>
          <w:sz w:val="28"/>
          <w:szCs w:val="28"/>
        </w:rPr>
        <w:t xml:space="preserve">, </w:t>
      </w:r>
      <w:r w:rsidRPr="003E1CD4">
        <w:rPr>
          <w:bCs/>
          <w:sz w:val="28"/>
          <w:szCs w:val="28"/>
        </w:rPr>
        <w:t>«</w:t>
      </w:r>
      <w:r w:rsidRPr="003E1CD4">
        <w:rPr>
          <w:bCs/>
          <w:sz w:val="28"/>
          <w:szCs w:val="28"/>
          <w:lang w:val="ru-RU"/>
        </w:rPr>
        <w:t>Mavi</w:t>
      </w:r>
      <w:r w:rsidRPr="003E1CD4">
        <w:rPr>
          <w:bCs/>
          <w:sz w:val="28"/>
          <w:szCs w:val="28"/>
        </w:rPr>
        <w:t xml:space="preserve"> </w:t>
      </w:r>
      <w:r w:rsidRPr="003E1CD4">
        <w:rPr>
          <w:bCs/>
          <w:sz w:val="28"/>
          <w:szCs w:val="28"/>
          <w:lang w:val="ru-RU"/>
        </w:rPr>
        <w:t>Vatan</w:t>
      </w:r>
      <w:r w:rsidRPr="003E1CD4">
        <w:rPr>
          <w:bCs/>
          <w:sz w:val="28"/>
          <w:szCs w:val="28"/>
        </w:rPr>
        <w:t xml:space="preserve"> (Блакитна Батьківщина)»</w:t>
      </w:r>
      <w:r w:rsidRPr="003E1CD4">
        <w:rPr>
          <w:sz w:val="28"/>
          <w:szCs w:val="28"/>
        </w:rPr>
        <w:t xml:space="preserve">, </w:t>
      </w:r>
      <w:r w:rsidRPr="003E1CD4">
        <w:rPr>
          <w:bCs/>
          <w:sz w:val="28"/>
          <w:szCs w:val="28"/>
        </w:rPr>
        <w:t>«середовище безпеки»</w:t>
      </w:r>
      <w:r w:rsidRPr="003E1CD4">
        <w:rPr>
          <w:sz w:val="28"/>
          <w:szCs w:val="28"/>
        </w:rPr>
        <w:t xml:space="preserve">, </w:t>
      </w:r>
      <w:r w:rsidRPr="003E1CD4">
        <w:rPr>
          <w:bCs/>
          <w:sz w:val="28"/>
          <w:szCs w:val="28"/>
        </w:rPr>
        <w:t>«медіація»</w:t>
      </w:r>
      <w:r w:rsidRPr="003E1CD4">
        <w:rPr>
          <w:sz w:val="28"/>
          <w:szCs w:val="28"/>
        </w:rPr>
        <w:t>.</w:t>
      </w:r>
    </w:p>
    <w:p w:rsidR="003E1CD4" w:rsidRPr="004243C1" w:rsidRDefault="003E1CD4" w:rsidP="003E1CD4">
      <w:pPr>
        <w:spacing w:line="360" w:lineRule="auto"/>
        <w:ind w:firstLine="851"/>
        <w:rPr>
          <w:sz w:val="28"/>
          <w:szCs w:val="28"/>
        </w:rPr>
      </w:pPr>
      <w:r w:rsidRPr="004243C1">
        <w:rPr>
          <w:sz w:val="28"/>
          <w:szCs w:val="28"/>
        </w:rPr>
        <w:t xml:space="preserve">Поняття </w:t>
      </w:r>
      <w:r w:rsidRPr="004243C1">
        <w:rPr>
          <w:b/>
          <w:bCs/>
          <w:sz w:val="28"/>
          <w:szCs w:val="28"/>
        </w:rPr>
        <w:t>«</w:t>
      </w:r>
      <w:r w:rsidRPr="004243C1">
        <w:rPr>
          <w:bCs/>
          <w:sz w:val="28"/>
          <w:szCs w:val="28"/>
        </w:rPr>
        <w:t>геополітичний простір»</w:t>
      </w:r>
      <w:r w:rsidRPr="004243C1">
        <w:rPr>
          <w:sz w:val="28"/>
          <w:szCs w:val="28"/>
        </w:rPr>
        <w:t xml:space="preserve"> у даній роботі розглядається як комплекс територіальних, морських та повітряних кордонів, а також як сфера стратегічної взаємодії держав, у межах якої формується політична поведінка, розподіл влади та регіональний баланс. У трактуванні Р. Каплана географія виступає як «постійна координата», що визначає стратегічні можливості держави та її довгострокові інтереси (</w:t>
      </w:r>
      <w:r w:rsidRPr="003E1CD4">
        <w:rPr>
          <w:sz w:val="28"/>
          <w:szCs w:val="28"/>
          <w:lang w:val="ru-RU"/>
        </w:rPr>
        <w:t>Kaplan</w:t>
      </w:r>
      <w:r w:rsidRPr="004243C1">
        <w:rPr>
          <w:sz w:val="28"/>
          <w:szCs w:val="28"/>
        </w:rPr>
        <w:t xml:space="preserve">, 2012, </w:t>
      </w:r>
      <w:r w:rsidRPr="003E1CD4">
        <w:rPr>
          <w:sz w:val="28"/>
          <w:szCs w:val="28"/>
          <w:lang w:val="ru-RU"/>
        </w:rPr>
        <w:t>p</w:t>
      </w:r>
      <w:r w:rsidRPr="004243C1">
        <w:rPr>
          <w:sz w:val="28"/>
          <w:szCs w:val="28"/>
        </w:rPr>
        <w:t>. 26). У Чорноморському регіоні геополітичний простір формується взаємодією прибережних держав та зовнішніх акторів (НАТО, ЄС, США), а також конфігурацією морських шляхів, енергетичної інфраструктури та військово-морських потужностей (</w:t>
      </w:r>
      <w:r w:rsidRPr="003E1CD4">
        <w:rPr>
          <w:sz w:val="28"/>
          <w:szCs w:val="28"/>
          <w:lang w:val="ru-RU"/>
        </w:rPr>
        <w:t>Gorenburg</w:t>
      </w:r>
      <w:r w:rsidRPr="004243C1">
        <w:rPr>
          <w:sz w:val="28"/>
          <w:szCs w:val="28"/>
        </w:rPr>
        <w:t>, 2022).</w:t>
      </w:r>
    </w:p>
    <w:p w:rsidR="003E1CD4" w:rsidRPr="003E1CD4" w:rsidRDefault="003E1CD4" w:rsidP="003E1CD4">
      <w:pPr>
        <w:spacing w:line="360" w:lineRule="auto"/>
        <w:ind w:firstLine="851"/>
        <w:rPr>
          <w:sz w:val="28"/>
          <w:szCs w:val="28"/>
          <w:lang w:val="ru-RU"/>
        </w:rPr>
      </w:pPr>
      <w:r w:rsidRPr="003E1CD4">
        <w:rPr>
          <w:sz w:val="28"/>
          <w:szCs w:val="28"/>
          <w:lang w:val="ru-RU"/>
        </w:rPr>
        <w:t>Для Туреччини Чорне море є не просто периферійним напрямом, а ключовим геостратегічним простором, у якому перетинаються її національні інтереси з інтересами Росії, України та держав ЄС. Після 2022 року цей простір набув ознак високої конфліктності та непередбачуваності, що зумовлює необхідність адаптації зовнішньої політики Анкари (Kirişci &amp; Toygür, 2023).</w:t>
      </w:r>
    </w:p>
    <w:p w:rsidR="003E1CD4" w:rsidRPr="003E1CD4" w:rsidRDefault="003E1CD4" w:rsidP="003E1CD4">
      <w:pPr>
        <w:spacing w:line="360" w:lineRule="auto"/>
        <w:ind w:firstLine="851"/>
        <w:rPr>
          <w:sz w:val="28"/>
          <w:szCs w:val="28"/>
          <w:lang w:val="ru-RU"/>
        </w:rPr>
      </w:pPr>
      <w:r w:rsidRPr="003E1CD4">
        <w:rPr>
          <w:sz w:val="28"/>
          <w:szCs w:val="28"/>
          <w:lang w:val="ru-RU"/>
        </w:rPr>
        <w:t xml:space="preserve">Відповідно до теорії регіональних комплексів безпеки Б. Бузана, </w:t>
      </w:r>
      <w:r w:rsidRPr="003E1CD4">
        <w:rPr>
          <w:bCs/>
          <w:sz w:val="28"/>
          <w:szCs w:val="28"/>
          <w:lang w:val="ru-RU"/>
        </w:rPr>
        <w:t>регіональна безпекова підсистема</w:t>
      </w:r>
      <w:r w:rsidRPr="003E1CD4">
        <w:rPr>
          <w:sz w:val="28"/>
          <w:szCs w:val="28"/>
          <w:lang w:val="ru-RU"/>
        </w:rPr>
        <w:t xml:space="preserve"> — це сукупність держав, рівень загроз та вразливостей яких є взаємопов’язаним настільки, що жодну державу не можна розглядати поза контекстом регіональної взаємодії (Buzan, 1998, p. 45). У Чорноморському регіоні до такої підсистеми належать Туреччина, Україна, Румунія, Болгарія, Грузія та Росія (Buzan, 1998).</w:t>
      </w:r>
    </w:p>
    <w:p w:rsidR="003E1CD4" w:rsidRPr="003E1CD4" w:rsidRDefault="003E1CD4" w:rsidP="003E1CD4">
      <w:pPr>
        <w:spacing w:line="360" w:lineRule="auto"/>
        <w:ind w:firstLine="851"/>
        <w:rPr>
          <w:sz w:val="28"/>
          <w:szCs w:val="28"/>
          <w:lang w:val="ru-RU"/>
        </w:rPr>
      </w:pPr>
      <w:r w:rsidRPr="003E1CD4">
        <w:rPr>
          <w:sz w:val="28"/>
          <w:szCs w:val="28"/>
          <w:lang w:val="ru-RU"/>
        </w:rPr>
        <w:t xml:space="preserve">Після початку повномасштабної агресії Росії проти України у 2022 році регіональна підсистема зазнала радикальних структурних зрушень. Баланс сил став асиметричним, а безпекова взаємозалежність вийшла за межі виключно військової сфери, включивши економічні, енергетичні та морські виміри (Cornell &amp; Nilsson, 2023). У цих умовах роль Туреччини значно зросла, оскільки вона є членом НАТО, контролює протоки Босфор і </w:t>
      </w:r>
      <w:r w:rsidRPr="003E1CD4">
        <w:rPr>
          <w:sz w:val="28"/>
          <w:szCs w:val="28"/>
          <w:lang w:val="ru-RU"/>
        </w:rPr>
        <w:lastRenderedPageBreak/>
        <w:t>Дарданелли, та водночас підтримує робочі канали діалогу з Москвою (Kirişci &amp; Toygür, 2023).</w:t>
      </w:r>
    </w:p>
    <w:p w:rsidR="003E1CD4" w:rsidRPr="003E1CD4" w:rsidRDefault="003E1CD4" w:rsidP="003E1CD4">
      <w:pPr>
        <w:spacing w:line="360" w:lineRule="auto"/>
        <w:ind w:firstLine="851"/>
        <w:rPr>
          <w:sz w:val="28"/>
          <w:szCs w:val="28"/>
          <w:lang w:val="ru-RU"/>
        </w:rPr>
      </w:pPr>
      <w:r w:rsidRPr="003E1CD4">
        <w:rPr>
          <w:sz w:val="28"/>
          <w:szCs w:val="28"/>
          <w:lang w:val="ru-RU"/>
        </w:rPr>
        <w:t>У дослідженні поняття «стратегічна автономія» застосовується для пояснення моделі зовнішньої політики Туреччини, яка прагне зберігати свободу стратегічного маневру між Заходом і Росією, не відмовляючись ані від союзницьких зобов’язань, ані від прагматичного партнерства. Турецькі дослідники (Yeşiltaş, 2022; Akgün, 2010) визначають стратегічну автономію як здатність держави самостійно формувати пріоритети, уникати жорсткої залежності від однієї коаліції та орієнтуватися на багатовекторність взаємодії.</w:t>
      </w:r>
    </w:p>
    <w:p w:rsidR="003E1CD4" w:rsidRPr="003E1CD4" w:rsidRDefault="003E1CD4" w:rsidP="003E1CD4">
      <w:pPr>
        <w:spacing w:line="360" w:lineRule="auto"/>
        <w:ind w:firstLine="851"/>
        <w:rPr>
          <w:sz w:val="28"/>
          <w:szCs w:val="28"/>
          <w:lang w:val="ru-RU"/>
        </w:rPr>
      </w:pPr>
      <w:r w:rsidRPr="003E1CD4">
        <w:rPr>
          <w:sz w:val="28"/>
          <w:szCs w:val="28"/>
          <w:lang w:val="ru-RU"/>
        </w:rPr>
        <w:t>Стратегічна автономія як аналітична категорія у дослідженні зовнішньої політики Туреччини після 2022 року дозволяє глибше осмислити особливості її поведінки в Чорноморському регіоні. У сучасних умовах багатополярності та трансформації системи міжнародних відносин держави дедалі частіше прагнуть поєднувати зобов’язання в рамках союзів із розширенням власного політичного маневру (Keyman, 2021). Туреччина, яка традиційно балансує між Заходом та Сходом, демонструє зразковий варіант такого підходу, активно використовуючи багатовекторність як інструмент посилення своїх позицій у регіональних процесах.</w:t>
      </w:r>
    </w:p>
    <w:p w:rsidR="003E1CD4" w:rsidRPr="003E1CD4" w:rsidRDefault="003E1CD4" w:rsidP="003E1CD4">
      <w:pPr>
        <w:spacing w:line="360" w:lineRule="auto"/>
        <w:ind w:firstLine="851"/>
        <w:rPr>
          <w:sz w:val="28"/>
          <w:szCs w:val="28"/>
          <w:lang w:val="ru-RU"/>
        </w:rPr>
      </w:pPr>
      <w:r w:rsidRPr="003E1CD4">
        <w:rPr>
          <w:sz w:val="28"/>
          <w:szCs w:val="28"/>
          <w:lang w:val="ru-RU"/>
        </w:rPr>
        <w:t xml:space="preserve">У цьому дослідженні стратегічна автономія Туреччини розглядається як режим зовнішньополітичної поведінки, що характеризується поєднанням декількох взаємопов’язаних елементів. По-перше, йдеться про одночасне членство Анкари в НАТО та реалізацію поглибленої співпраці з Росією в окремих стратегічно важливих секторах, включно із енергетикою, оборонною промисловістю та торгівлею (Aydın et al., 2022, p. 26). По-друге, така автономія проявляється у багатовекторності — свідомому поєднанні західного, російського, близькосхідного та тюркського напрямів зовнішньої політики з метою мінімізації залежності від будь-якого окремого центру сили. По-третє, вагомим чинником виступає прагматичне використання регіональних криз, зокрема російсько-української війни, як можливості для </w:t>
      </w:r>
      <w:r w:rsidRPr="003E1CD4">
        <w:rPr>
          <w:sz w:val="28"/>
          <w:szCs w:val="28"/>
          <w:lang w:val="ru-RU"/>
        </w:rPr>
        <w:lastRenderedPageBreak/>
        <w:t>перегляду розподілу впливу в Чорноморському просторі та посилення статусу Туреччини як посередника та гаранта безпеки. По-четверте, стратегічна автономія у турецькому вимірі відображає ширше прагнення Анкари переосмислити власну роль у міжнародній системі та перетворитися на регіонально-глобального актора, здатного самостійно визначати пріоритети своєї зовнішньої політики (Keyman, 2021).</w:t>
      </w:r>
    </w:p>
    <w:p w:rsidR="003E1CD4" w:rsidRPr="003E1CD4" w:rsidRDefault="003E1CD4" w:rsidP="003E1CD4">
      <w:pPr>
        <w:spacing w:line="360" w:lineRule="auto"/>
        <w:ind w:firstLine="851"/>
        <w:rPr>
          <w:sz w:val="28"/>
          <w:szCs w:val="28"/>
          <w:lang w:val="ru-RU"/>
        </w:rPr>
      </w:pPr>
      <w:r w:rsidRPr="003E1CD4">
        <w:rPr>
          <w:sz w:val="28"/>
          <w:szCs w:val="28"/>
          <w:lang w:val="ru-RU"/>
        </w:rPr>
        <w:t>Після 2022 року прояви турецької стратегічної автономії стають особливо помітними. Анкара одночасно надає військово-технічну підтримку Україні, відіграє ключову роль посередника у Чорноморській зерновій ініціативі, чітко дотримується положень Конвенції Монтре і водночас підтримує активну енергетичну та торговельну взаємодію з Російською Федерацією (Aydın, 2023; Davutoğlu, 2001). Такий комплексний підхід формує нестандартну конфігурацію зовнішньої політики, в межах якої Туреччина балансує між різними центрами сили, не втрачаючи можливості формувати власний регіональний порядок денний.</w:t>
      </w:r>
    </w:p>
    <w:p w:rsidR="003E1CD4" w:rsidRPr="003E1CD4" w:rsidRDefault="003E1CD4" w:rsidP="003E1CD4">
      <w:pPr>
        <w:spacing w:line="360" w:lineRule="auto"/>
        <w:ind w:firstLine="851"/>
        <w:rPr>
          <w:sz w:val="28"/>
          <w:szCs w:val="28"/>
          <w:lang w:val="ru-RU"/>
        </w:rPr>
      </w:pPr>
      <w:r w:rsidRPr="003E1CD4">
        <w:rPr>
          <w:sz w:val="28"/>
          <w:szCs w:val="28"/>
          <w:lang w:val="ru-RU"/>
        </w:rPr>
        <w:t>У межах цього дослідження стратегічна автономія розглядається як базова доктринальна рамка, що визначає поведінку Туреччини в Чорноморському регіоні після 2022 року (Duran, 2023). Розуміння зовнішньої політики Анкари є неможливим без залучення двох ключових категорій — балансування та багатовекторності.</w:t>
      </w:r>
    </w:p>
    <w:p w:rsidR="003E1CD4" w:rsidRPr="003E1CD4" w:rsidRDefault="003E1CD4" w:rsidP="003E1CD4">
      <w:pPr>
        <w:spacing w:line="360" w:lineRule="auto"/>
        <w:ind w:firstLine="851"/>
        <w:rPr>
          <w:sz w:val="28"/>
          <w:szCs w:val="28"/>
          <w:lang w:val="ru-RU"/>
        </w:rPr>
      </w:pPr>
      <w:r w:rsidRPr="003E1CD4">
        <w:rPr>
          <w:sz w:val="28"/>
          <w:szCs w:val="28"/>
          <w:lang w:val="ru-RU"/>
        </w:rPr>
        <w:t>Балансування трактується як системна поведінка держави, спрямована на уникнення надмірної залежності від одного центру сили шляхом дипломатичного маневрування між альтернативними акторами (Walt, 1987). Після початку повномасштабної агресії Росії проти України Туреччина активно балансує між колективним Заходом і РФ: надає Україні військову допомогу, підтримує принцип територіальної цілісності України, але водночас зберігає економічні та енергетичні зв’язки з Москвою, що дає їй можливість виступати посередником у переговорах (Aydın, 2023; Till, 2018).</w:t>
      </w:r>
    </w:p>
    <w:p w:rsidR="003E1CD4" w:rsidRPr="003E1CD4" w:rsidRDefault="003E1CD4" w:rsidP="003E1CD4">
      <w:pPr>
        <w:spacing w:line="360" w:lineRule="auto"/>
        <w:ind w:firstLine="851"/>
        <w:rPr>
          <w:sz w:val="28"/>
          <w:szCs w:val="28"/>
          <w:lang w:val="ru-RU"/>
        </w:rPr>
      </w:pPr>
      <w:r w:rsidRPr="003E1CD4">
        <w:rPr>
          <w:sz w:val="28"/>
          <w:szCs w:val="28"/>
          <w:lang w:val="ru-RU"/>
        </w:rPr>
        <w:t xml:space="preserve">Багатовекторність у цьому дослідженні розглядається як ширша стратегічна орієнтація, що передбачає розвиток відносин не лише з </w:t>
      </w:r>
      <w:r w:rsidRPr="003E1CD4">
        <w:rPr>
          <w:sz w:val="28"/>
          <w:szCs w:val="28"/>
          <w:lang w:val="ru-RU"/>
        </w:rPr>
        <w:lastRenderedPageBreak/>
        <w:t>основними глобальними та регіональними акторами, але й з альтернативними центрами сили — державами Кавказу, Центральної Азії, Близького Сходу та глобального Півдня (Yeşiltaş, 2022). Для Чорноморського регіону багатовекторність забезпечує Анкарі значно більшу гнучкість у реагуванні на російсько-українську війну та сприяє просуванню власних інтересів незалежно від позиції союзників по НАТО.</w:t>
      </w:r>
    </w:p>
    <w:p w:rsidR="003E1CD4" w:rsidRPr="003E1CD4" w:rsidRDefault="003E1CD4" w:rsidP="003E1CD4">
      <w:pPr>
        <w:spacing w:line="360" w:lineRule="auto"/>
        <w:ind w:firstLine="851"/>
        <w:rPr>
          <w:sz w:val="28"/>
          <w:szCs w:val="28"/>
          <w:lang w:val="ru-RU"/>
        </w:rPr>
      </w:pPr>
      <w:r w:rsidRPr="003E1CD4">
        <w:rPr>
          <w:sz w:val="28"/>
          <w:szCs w:val="28"/>
          <w:lang w:val="ru-RU"/>
        </w:rPr>
        <w:t xml:space="preserve">Окреме місце в поняттєво-категоріальному апараті посідає концепція </w:t>
      </w:r>
      <w:r w:rsidRPr="003E1CD4">
        <w:rPr>
          <w:i/>
          <w:iCs/>
          <w:sz w:val="28"/>
          <w:szCs w:val="28"/>
          <w:lang w:val="ru-RU"/>
        </w:rPr>
        <w:t>Mavi Vatan</w:t>
      </w:r>
      <w:r w:rsidRPr="003E1CD4">
        <w:rPr>
          <w:sz w:val="28"/>
          <w:szCs w:val="28"/>
          <w:lang w:val="ru-RU"/>
        </w:rPr>
        <w:t xml:space="preserve"> — стратегічне бачення морської присутності Туреччини, що сформувалося у 2010-х роках та істотно вплинуло на її поведінку в Чорноморському регіоні (Gürdeniz, 2019). </w:t>
      </w:r>
      <w:r w:rsidRPr="003E1CD4">
        <w:rPr>
          <w:i/>
          <w:iCs/>
          <w:sz w:val="28"/>
          <w:szCs w:val="28"/>
          <w:lang w:val="ru-RU"/>
        </w:rPr>
        <w:t>«Блакитна Батьківщина»</w:t>
      </w:r>
      <w:r w:rsidRPr="003E1CD4">
        <w:rPr>
          <w:sz w:val="28"/>
          <w:szCs w:val="28"/>
          <w:lang w:val="ru-RU"/>
        </w:rPr>
        <w:t xml:space="preserve"> передбачає:</w:t>
      </w:r>
    </w:p>
    <w:p w:rsidR="003E1CD4" w:rsidRPr="003E1CD4" w:rsidRDefault="003E1CD4" w:rsidP="003E1CD4">
      <w:pPr>
        <w:numPr>
          <w:ilvl w:val="0"/>
          <w:numId w:val="9"/>
        </w:numPr>
        <w:spacing w:line="360" w:lineRule="auto"/>
        <w:rPr>
          <w:sz w:val="28"/>
          <w:szCs w:val="28"/>
          <w:lang w:val="ru-RU"/>
        </w:rPr>
      </w:pPr>
      <w:r w:rsidRPr="003E1CD4">
        <w:rPr>
          <w:sz w:val="28"/>
          <w:szCs w:val="28"/>
          <w:lang w:val="ru-RU"/>
        </w:rPr>
        <w:t>захист морських кордонів і прибережних зон;</w:t>
      </w:r>
    </w:p>
    <w:p w:rsidR="003E1CD4" w:rsidRPr="003E1CD4" w:rsidRDefault="003E1CD4" w:rsidP="003E1CD4">
      <w:pPr>
        <w:numPr>
          <w:ilvl w:val="0"/>
          <w:numId w:val="9"/>
        </w:numPr>
        <w:spacing w:line="360" w:lineRule="auto"/>
        <w:rPr>
          <w:sz w:val="28"/>
          <w:szCs w:val="28"/>
          <w:lang w:val="ru-RU"/>
        </w:rPr>
      </w:pPr>
      <w:r w:rsidRPr="003E1CD4">
        <w:rPr>
          <w:sz w:val="28"/>
          <w:szCs w:val="28"/>
          <w:lang w:val="ru-RU"/>
        </w:rPr>
        <w:t>розширення впливу Туреччини на морські ресурси та енергетичні маршрути;</w:t>
      </w:r>
    </w:p>
    <w:p w:rsidR="003E1CD4" w:rsidRPr="003E1CD4" w:rsidRDefault="003E1CD4" w:rsidP="003E1CD4">
      <w:pPr>
        <w:numPr>
          <w:ilvl w:val="0"/>
          <w:numId w:val="9"/>
        </w:numPr>
        <w:spacing w:line="360" w:lineRule="auto"/>
        <w:rPr>
          <w:sz w:val="28"/>
          <w:szCs w:val="28"/>
          <w:lang w:val="ru-RU"/>
        </w:rPr>
      </w:pPr>
      <w:r w:rsidRPr="003E1CD4">
        <w:rPr>
          <w:sz w:val="28"/>
          <w:szCs w:val="28"/>
          <w:lang w:val="ru-RU"/>
        </w:rPr>
        <w:t>посилення військово-морської проєкції сили;</w:t>
      </w:r>
    </w:p>
    <w:p w:rsidR="003E1CD4" w:rsidRPr="003E1CD4" w:rsidRDefault="003E1CD4" w:rsidP="003E1CD4">
      <w:pPr>
        <w:numPr>
          <w:ilvl w:val="0"/>
          <w:numId w:val="9"/>
        </w:numPr>
        <w:spacing w:line="360" w:lineRule="auto"/>
        <w:rPr>
          <w:sz w:val="28"/>
          <w:szCs w:val="28"/>
          <w:lang w:val="ru-RU"/>
        </w:rPr>
      </w:pPr>
      <w:r w:rsidRPr="003E1CD4">
        <w:rPr>
          <w:sz w:val="28"/>
          <w:szCs w:val="28"/>
          <w:lang w:val="ru-RU"/>
        </w:rPr>
        <w:t>формування Туреччини як провідної морської держави регіону.</w:t>
      </w:r>
    </w:p>
    <w:p w:rsidR="003E1CD4" w:rsidRPr="003E1CD4" w:rsidRDefault="003E1CD4" w:rsidP="003E1CD4">
      <w:pPr>
        <w:spacing w:line="360" w:lineRule="auto"/>
        <w:ind w:firstLine="851"/>
        <w:rPr>
          <w:sz w:val="28"/>
          <w:szCs w:val="28"/>
          <w:lang w:val="ru-RU"/>
        </w:rPr>
      </w:pPr>
      <w:r w:rsidRPr="003E1CD4">
        <w:rPr>
          <w:sz w:val="28"/>
          <w:szCs w:val="28"/>
          <w:lang w:val="ru-RU"/>
        </w:rPr>
        <w:t xml:space="preserve">Після 2022 року концепція </w:t>
      </w:r>
      <w:r w:rsidRPr="003E1CD4">
        <w:rPr>
          <w:i/>
          <w:iCs/>
          <w:sz w:val="28"/>
          <w:szCs w:val="28"/>
          <w:lang w:val="ru-RU"/>
        </w:rPr>
        <w:t>Mavi Vatan</w:t>
      </w:r>
      <w:r w:rsidRPr="003E1CD4">
        <w:rPr>
          <w:sz w:val="28"/>
          <w:szCs w:val="28"/>
          <w:lang w:val="ru-RU"/>
        </w:rPr>
        <w:t xml:space="preserve"> набула нового змісту: Туреччина активно застосовує військово-морські інструменти для забезпечення навігаційної безпеки, підтримання зернової ініціативи та демонстрації здатності контролювати ключові морські комунікації без залучення зовнішніх великих держав (Till, 2018; Kuzio, 2023).</w:t>
      </w:r>
    </w:p>
    <w:p w:rsidR="003E1CD4" w:rsidRPr="003E1CD4" w:rsidRDefault="003E1CD4" w:rsidP="003E1CD4">
      <w:pPr>
        <w:spacing w:line="360" w:lineRule="auto"/>
        <w:ind w:firstLine="851"/>
        <w:rPr>
          <w:sz w:val="28"/>
          <w:szCs w:val="28"/>
          <w:lang w:val="ru-RU"/>
        </w:rPr>
      </w:pPr>
      <w:r w:rsidRPr="003E1CD4">
        <w:rPr>
          <w:sz w:val="28"/>
          <w:szCs w:val="28"/>
          <w:lang w:val="ru-RU"/>
        </w:rPr>
        <w:t xml:space="preserve">Серед понять, що доповнюють аналітичну рамку дослідження, окреме місце посідає неоосманізм — ідеологічний підхід, який підкреслює історичні, культурні та політичні зв’язки Туреччини з просторами, що колись перебували під впливом Османської імперії (Taşpınar, 2011). У Чорноморському контексті неоосманізм проявляється не стільки у територіальних амбіціях, скільки у прагненні Анкари розширити економічну, політичну та гуманітарну присутність у регіоні. Це поняття безпосередньо пов’язане зі стратегічною культурою Туреччини, що поєднує елементи </w:t>
      </w:r>
      <w:r w:rsidRPr="003E1CD4">
        <w:rPr>
          <w:sz w:val="28"/>
          <w:szCs w:val="28"/>
          <w:lang w:val="ru-RU"/>
        </w:rPr>
        <w:lastRenderedPageBreak/>
        <w:t>жорсткої сили, активної дипломатії, історичної пам’яті та прагматичного підходу до союзництва (Davutoğlu, 2001; Taşpınar, 2011).</w:t>
      </w:r>
    </w:p>
    <w:p w:rsidR="003E1CD4" w:rsidRPr="003E1CD4" w:rsidRDefault="003E1CD4" w:rsidP="003E1CD4">
      <w:pPr>
        <w:spacing w:line="360" w:lineRule="auto"/>
        <w:ind w:firstLine="851"/>
        <w:rPr>
          <w:sz w:val="28"/>
          <w:szCs w:val="28"/>
          <w:lang w:val="ru-RU"/>
        </w:rPr>
      </w:pPr>
      <w:r w:rsidRPr="003E1CD4">
        <w:rPr>
          <w:sz w:val="28"/>
          <w:szCs w:val="28"/>
          <w:lang w:val="ru-RU"/>
        </w:rPr>
        <w:t>Поняття «безпекова дилема» традиційно використовується для пояснення динаміки зростання напруженості між державами у ситуаціях, коли оборонні заходи однієї сторони сприймаються іншою як загроза. У трактуванні Дж. Герца та Р. Джервіса безпекова дилема є структурною властивістю міжнародної системи, що виникає внаслідок анархічного характеру міжнародних відносин та неможливості повністю перевірити наміри іншої держави (Davutoğlu, 2001). У Чорноморському регіоні цей феномен проявився особливо яскраво після 2014 року, а після 2022 року став домінуючою логікою взаємодії між прибережними державами. Посилення військової присутності Росії, розгортання ракетних систем, використання Криму як військової платформи, а також агресія проти України створили ситуацію, у якій інші держави регіону вимушені активізувати власні оборонні механізми або поглиблювати співпрацю з колективними структурами безпеки (Herd &amp; Kriendler, 2013).</w:t>
      </w:r>
    </w:p>
    <w:p w:rsidR="00837B15" w:rsidRPr="00837B15" w:rsidRDefault="00837B15" w:rsidP="00837B15">
      <w:pPr>
        <w:spacing w:line="360" w:lineRule="auto"/>
        <w:ind w:firstLine="851"/>
        <w:rPr>
          <w:sz w:val="28"/>
          <w:szCs w:val="28"/>
          <w:lang w:val="ru-RU"/>
        </w:rPr>
      </w:pPr>
      <w:r w:rsidRPr="00837B15">
        <w:rPr>
          <w:sz w:val="28"/>
          <w:szCs w:val="28"/>
          <w:lang w:val="ru-RU"/>
        </w:rPr>
        <w:t>Для Туреччини безпекова дилема у Чорному морі проявляється подвійно. З одного боку, Анкара намагається уникати прямої конфронтації з Росією, зберігаючи стратегічну рівновагу. З іншого — об’єктивні зміни безпекового середовища змушують її посилювати військово-морські можливості, модернізувати флот, поглиблювати взаємодію з НАТО та зміцнювати контроль над протоками відповідно до Конвенції Монтре (Kirişci &amp; Toygür, 2023). Таким чином, безпекова дилема стає концептуальною рамкою для пояснення причинно-наслідкових зв’язків між діями Росії та реакцією Туреччини у пост-2022 періоді.</w:t>
      </w:r>
    </w:p>
    <w:p w:rsidR="00837B15" w:rsidRPr="00837B15" w:rsidRDefault="00837B15" w:rsidP="00837B15">
      <w:pPr>
        <w:spacing w:line="360" w:lineRule="auto"/>
        <w:ind w:firstLine="851"/>
        <w:rPr>
          <w:sz w:val="28"/>
          <w:szCs w:val="28"/>
          <w:lang w:val="ru-RU"/>
        </w:rPr>
      </w:pPr>
      <w:r w:rsidRPr="00837B15">
        <w:rPr>
          <w:sz w:val="28"/>
          <w:szCs w:val="28"/>
          <w:lang w:val="ru-RU"/>
        </w:rPr>
        <w:t xml:space="preserve">Поняття «військово-морська безпека» у межах цього дослідження охоплює весь комплекс заходів, спрямованих на забезпечення безпеки морських комунікацій, захист критичної інфраструктури, портів, енергетичних проектів та судноплавства. За визначенням Б. Базіля та Е. Тіллі, морська безпека передбачає не лише захист територіальних вод, але й </w:t>
      </w:r>
      <w:r w:rsidRPr="00837B15">
        <w:rPr>
          <w:sz w:val="28"/>
          <w:szCs w:val="28"/>
          <w:lang w:val="ru-RU"/>
        </w:rPr>
        <w:lastRenderedPageBreak/>
        <w:t>контроль над морськими торговельними шляхами та управління ризиками, пов’язаними з військовою активністю, піратством, тероризмом чи гібридними операціями (Till, 2018).</w:t>
      </w:r>
    </w:p>
    <w:p w:rsidR="00837B15" w:rsidRPr="00837B15" w:rsidRDefault="00837B15" w:rsidP="00837B15">
      <w:pPr>
        <w:spacing w:line="360" w:lineRule="auto"/>
        <w:ind w:firstLine="851"/>
        <w:rPr>
          <w:sz w:val="28"/>
          <w:szCs w:val="28"/>
          <w:lang w:val="ru-RU"/>
        </w:rPr>
      </w:pPr>
      <w:r w:rsidRPr="00837B15">
        <w:rPr>
          <w:sz w:val="28"/>
          <w:szCs w:val="28"/>
          <w:lang w:val="ru-RU"/>
        </w:rPr>
        <w:t>Після 2022 року військово-морська безпека стала центральним елементом регіональної політики Туреччини. Зростання ризиків для цивільного судноплавства, атаки на портову інфраструктуру України, руйнування «зернової угоди» та мілітаризація російської присутності в акваторії Чорного моря суттєво змінили стратегічні пріоритети Анкари. Туреччина дедалі активніше позиціонує себе як стабілізуючий актор, відповідальний за гарантування навігаційної безпеки, підтримання діяльності торговельних коридорів та посилення регіональної військово-морської співпраці (Walt, 1987).</w:t>
      </w:r>
    </w:p>
    <w:p w:rsidR="00837B15" w:rsidRPr="00837B15" w:rsidRDefault="00837B15" w:rsidP="00837B15">
      <w:pPr>
        <w:spacing w:line="360" w:lineRule="auto"/>
        <w:ind w:firstLine="851"/>
        <w:rPr>
          <w:sz w:val="28"/>
          <w:szCs w:val="28"/>
          <w:lang w:val="ru-RU"/>
        </w:rPr>
      </w:pPr>
      <w:r w:rsidRPr="00837B15">
        <w:rPr>
          <w:sz w:val="28"/>
          <w:szCs w:val="28"/>
          <w:lang w:val="ru-RU"/>
        </w:rPr>
        <w:t>Одним із ключових понять, що дозволяє адекватно інтерпретувати турецьку зовнішню політику після 2022 року, є «енергетична безпека». У класичному розумінні, сформульованому Д. Юергенсом, вона означає здатність держави гарантувати безперешкодний доступ до енергоресурсів за прийнятними цінами, а також забезпечувати стійкість до зовнішніх шоків та політичного тиску (Yergin, 2006). Для Туреччини питання енергетичної безпеки є стратегічно важливим уже кілька десятиліть, однак після 2022 року вони набули нового змісту.</w:t>
      </w:r>
    </w:p>
    <w:p w:rsidR="00C548BA" w:rsidRPr="00C548BA" w:rsidRDefault="00C548BA" w:rsidP="00C548BA">
      <w:pPr>
        <w:spacing w:line="360" w:lineRule="auto"/>
        <w:ind w:firstLine="851"/>
        <w:rPr>
          <w:sz w:val="28"/>
          <w:szCs w:val="28"/>
          <w:lang w:val="ru-RU"/>
        </w:rPr>
      </w:pPr>
      <w:r w:rsidRPr="00C548BA">
        <w:rPr>
          <w:sz w:val="28"/>
          <w:szCs w:val="28"/>
          <w:lang w:val="ru-RU"/>
        </w:rPr>
        <w:t>Енергетична безпека Туреччини має подвійний вимір:</w:t>
      </w:r>
    </w:p>
    <w:p w:rsidR="00C548BA" w:rsidRPr="00C548BA" w:rsidRDefault="00C548BA" w:rsidP="00C548BA">
      <w:pPr>
        <w:numPr>
          <w:ilvl w:val="0"/>
          <w:numId w:val="10"/>
        </w:numPr>
        <w:spacing w:line="360" w:lineRule="auto"/>
        <w:rPr>
          <w:sz w:val="28"/>
          <w:szCs w:val="28"/>
          <w:lang w:val="ru-RU"/>
        </w:rPr>
      </w:pPr>
      <w:r w:rsidRPr="00C548BA">
        <w:rPr>
          <w:sz w:val="28"/>
          <w:szCs w:val="28"/>
          <w:lang w:val="ru-RU"/>
        </w:rPr>
        <w:t>висока залежність від імпорту газу та нафти, зокрема з Російської Федерації, що створює як економічні, так і політичні ризики;</w:t>
      </w:r>
    </w:p>
    <w:p w:rsidR="00C548BA" w:rsidRPr="00C548BA" w:rsidRDefault="00C548BA" w:rsidP="00C548BA">
      <w:pPr>
        <w:numPr>
          <w:ilvl w:val="0"/>
          <w:numId w:val="10"/>
        </w:numPr>
        <w:spacing w:line="360" w:lineRule="auto"/>
        <w:rPr>
          <w:sz w:val="28"/>
          <w:szCs w:val="28"/>
          <w:lang w:val="ru-RU"/>
        </w:rPr>
      </w:pPr>
      <w:r w:rsidRPr="00C548BA">
        <w:rPr>
          <w:sz w:val="28"/>
          <w:szCs w:val="28"/>
          <w:lang w:val="ru-RU"/>
        </w:rPr>
        <w:t>прагнення перетворитися на регіональний енергетичний хаб, який забезпечує транзит енергоресурсів до Європи та Близького Сходу, мінімізуючи залежність від зовнішніх постачальників.</w:t>
      </w:r>
    </w:p>
    <w:p w:rsidR="00C548BA" w:rsidRPr="00C548BA" w:rsidRDefault="00C548BA" w:rsidP="00C548BA">
      <w:pPr>
        <w:spacing w:line="360" w:lineRule="auto"/>
        <w:ind w:firstLine="851"/>
        <w:rPr>
          <w:sz w:val="28"/>
          <w:szCs w:val="28"/>
          <w:lang w:val="ru-RU"/>
        </w:rPr>
      </w:pPr>
      <w:r w:rsidRPr="00C548BA">
        <w:rPr>
          <w:sz w:val="28"/>
          <w:szCs w:val="28"/>
          <w:lang w:val="ru-RU"/>
        </w:rPr>
        <w:t xml:space="preserve">Відкриття Туреччиною власних газових родовищ у Чорному морі та розвиток відповідної інфраструктури істотно змінили енергетичний баланс регіону. Як зазначають турецькі дослідники, контроль над енергетичними маршрутами і диверсифікація джерел постачання підсилюють економічну </w:t>
      </w:r>
      <w:r w:rsidRPr="00C548BA">
        <w:rPr>
          <w:sz w:val="28"/>
          <w:szCs w:val="28"/>
          <w:lang w:val="ru-RU"/>
        </w:rPr>
        <w:lastRenderedPageBreak/>
        <w:t>автономію та посилюють політичні позиції Анкари у взаємодії з ЄС і Росією (Balta &amp; Özer, 2022).</w:t>
      </w:r>
    </w:p>
    <w:p w:rsidR="00C548BA" w:rsidRPr="00C548BA" w:rsidRDefault="00C548BA" w:rsidP="00C548BA">
      <w:pPr>
        <w:spacing w:line="360" w:lineRule="auto"/>
        <w:ind w:firstLine="851"/>
        <w:rPr>
          <w:sz w:val="28"/>
          <w:szCs w:val="28"/>
          <w:lang w:val="ru-RU"/>
        </w:rPr>
      </w:pPr>
      <w:r w:rsidRPr="00C548BA">
        <w:rPr>
          <w:sz w:val="28"/>
          <w:szCs w:val="28"/>
          <w:lang w:val="ru-RU"/>
        </w:rPr>
        <w:t>У контексті цього дослідження енергетична безпека виступає концептом, що дозволяє пояснити прагнення Туреччини стабілізувати регіональне середовище, підтримувати вільну навігацію, захищати морську інфраструктуру і водночас зберігати роль одного з головних енергетичних транзитерів Чорноморського простору.</w:t>
      </w:r>
    </w:p>
    <w:p w:rsidR="00C548BA" w:rsidRPr="00C548BA" w:rsidRDefault="00C548BA" w:rsidP="00C548BA">
      <w:pPr>
        <w:spacing w:line="360" w:lineRule="auto"/>
        <w:ind w:firstLine="851"/>
        <w:rPr>
          <w:sz w:val="28"/>
          <w:szCs w:val="28"/>
          <w:lang w:val="ru-RU"/>
        </w:rPr>
      </w:pPr>
      <w:r w:rsidRPr="00C548BA">
        <w:rPr>
          <w:sz w:val="28"/>
          <w:szCs w:val="28"/>
          <w:lang w:val="ru-RU"/>
        </w:rPr>
        <w:t>Початок повномасштабної російсько-української війни у 2022 році радикально змінив характер безпеки у Чорноморському регіоні, що вимагає застосування категорії «гібридні загрози». У науковій літературі цей термін визначається як поєднання військових, кібернетичних, інформаційних, економічних та інших інструментів, що використовуються державою або недержавними акторами для досягнення політичних цілей без офіційного оголошення війни (Hoffman, 2007). Така багатовимірність робить гібридні загрози особливо ефективними у регіонах зі слабким або нестійким безпековим балансом.</w:t>
      </w:r>
    </w:p>
    <w:p w:rsidR="00C548BA" w:rsidRPr="00C548BA" w:rsidRDefault="00C548BA" w:rsidP="00C548BA">
      <w:pPr>
        <w:spacing w:line="360" w:lineRule="auto"/>
        <w:ind w:firstLine="851"/>
        <w:rPr>
          <w:sz w:val="28"/>
          <w:szCs w:val="28"/>
          <w:lang w:val="ru-RU"/>
        </w:rPr>
      </w:pPr>
      <w:r w:rsidRPr="00C548BA">
        <w:rPr>
          <w:sz w:val="28"/>
          <w:szCs w:val="28"/>
          <w:lang w:val="ru-RU"/>
        </w:rPr>
        <w:t>У контексті Чорного моря гібридні методи, що застосовуються Російською Федерацією, формують нову реальність, у якій Туреччина змушена адаптувати свою політику. Для Анкари ці загрози проявляються у кількох критичних сферах: ризики для морської інфраструктури та цивільного судноплавства, зокрема після виходу Росії з «зернової ініціативи» та атак на українські порти; необхідність реагування на дестабілізаційні дії РФ, що включають провокації у морських водах та порушення свободи навігації; зростання кіберзагроз, спрямованих як проти державних структур, так і проти енергетичної інфраструктури; масштабні кампанії дезінформації, спрямовані на турецьке суспільство, з метою впливу на громадську думку та зовнішньополітичні рішення Туреччини (Hoffman, 2007).</w:t>
      </w:r>
    </w:p>
    <w:p w:rsidR="00C548BA" w:rsidRPr="00C548BA" w:rsidRDefault="00C548BA" w:rsidP="00C548BA">
      <w:pPr>
        <w:spacing w:line="360" w:lineRule="auto"/>
        <w:ind w:firstLine="851"/>
        <w:rPr>
          <w:sz w:val="28"/>
          <w:szCs w:val="28"/>
          <w:lang w:val="ru-RU"/>
        </w:rPr>
      </w:pPr>
      <w:r w:rsidRPr="00C548BA">
        <w:rPr>
          <w:sz w:val="28"/>
          <w:szCs w:val="28"/>
          <w:lang w:val="ru-RU"/>
        </w:rPr>
        <w:t xml:space="preserve">Однією з фундаментальних категорій, що визначає стратегічну поведінку Туреччини у Чорному морі, є режим Чорноморських проток, закріплений Конвенцією Монтре 1936 року. У міжнародному праві він </w:t>
      </w:r>
      <w:r w:rsidRPr="00C548BA">
        <w:rPr>
          <w:sz w:val="28"/>
          <w:szCs w:val="28"/>
          <w:lang w:val="ru-RU"/>
        </w:rPr>
        <w:lastRenderedPageBreak/>
        <w:t>визначає особливий статус Босфору і Дарданелл, надаючи Туреччині суверенне право контролювати прохід військових кораблів, регулювати присутність позарегіональних держав у Чорному морі та встановлювати обмеження на тоннаж і клас кораблів (Özkan, 2020).</w:t>
      </w:r>
    </w:p>
    <w:p w:rsidR="000D74D8" w:rsidRPr="000D74D8" w:rsidRDefault="000D74D8" w:rsidP="000D74D8">
      <w:pPr>
        <w:spacing w:line="360" w:lineRule="auto"/>
        <w:ind w:firstLine="851"/>
        <w:rPr>
          <w:sz w:val="28"/>
          <w:szCs w:val="28"/>
          <w:lang w:val="ru-RU"/>
        </w:rPr>
      </w:pPr>
      <w:r w:rsidRPr="000D74D8">
        <w:rPr>
          <w:sz w:val="28"/>
          <w:szCs w:val="28"/>
          <w:lang w:val="ru-RU"/>
        </w:rPr>
        <w:t>Після початку повномасштабної війни Туреччина активувала статтю 19 Конвенції Монтре, обмеживши прохід військових кораблів усіх воюючих сторін, що суттєво вплинуло на стратегічну динаміку у регіоні. У цьому дослідженні Конвенція Монтре розглядається як інструмент Туреччини у кількох ключових вимірах:</w:t>
      </w:r>
    </w:p>
    <w:p w:rsidR="000D74D8" w:rsidRPr="000D74D8" w:rsidRDefault="000D74D8" w:rsidP="000D74D8">
      <w:pPr>
        <w:numPr>
          <w:ilvl w:val="0"/>
          <w:numId w:val="11"/>
        </w:numPr>
        <w:spacing w:line="360" w:lineRule="auto"/>
        <w:rPr>
          <w:sz w:val="28"/>
          <w:szCs w:val="28"/>
          <w:lang w:val="ru-RU"/>
        </w:rPr>
      </w:pPr>
      <w:r w:rsidRPr="000D74D8">
        <w:rPr>
          <w:bCs/>
          <w:sz w:val="28"/>
          <w:szCs w:val="28"/>
          <w:lang w:val="ru-RU"/>
        </w:rPr>
        <w:t>Балансування між інтересами НАТО та Росії</w:t>
      </w:r>
      <w:r w:rsidRPr="000D74D8">
        <w:rPr>
          <w:sz w:val="28"/>
          <w:szCs w:val="28"/>
          <w:lang w:val="ru-RU"/>
        </w:rPr>
        <w:t>, що дозволяє Анкарі уникати прямої конфронтації з будь-якою зі сторін, зберігаючи статус нейтрального регулятора доступу до Чорного моря (Özkan, 2020);</w:t>
      </w:r>
    </w:p>
    <w:p w:rsidR="000D74D8" w:rsidRPr="000D74D8" w:rsidRDefault="000D74D8" w:rsidP="000D74D8">
      <w:pPr>
        <w:numPr>
          <w:ilvl w:val="0"/>
          <w:numId w:val="11"/>
        </w:numPr>
        <w:spacing w:line="360" w:lineRule="auto"/>
        <w:rPr>
          <w:sz w:val="28"/>
          <w:szCs w:val="28"/>
          <w:lang w:val="ru-RU"/>
        </w:rPr>
      </w:pPr>
      <w:r w:rsidRPr="000D74D8">
        <w:rPr>
          <w:bCs/>
          <w:sz w:val="28"/>
          <w:szCs w:val="28"/>
          <w:lang w:val="ru-RU"/>
        </w:rPr>
        <w:t>Стримування мілітаризації регіону</w:t>
      </w:r>
      <w:r w:rsidRPr="000D74D8">
        <w:rPr>
          <w:sz w:val="28"/>
          <w:szCs w:val="28"/>
          <w:lang w:val="ru-RU"/>
        </w:rPr>
        <w:t>, адже режим проток обмежує присутність позарегіональних військових флотів і не дозволяє перетворити Чорне море на арену великої сили (Karaosmanoğlu, 2022);</w:t>
      </w:r>
    </w:p>
    <w:p w:rsidR="000D74D8" w:rsidRPr="000D74D8" w:rsidRDefault="000D74D8" w:rsidP="000D74D8">
      <w:pPr>
        <w:numPr>
          <w:ilvl w:val="0"/>
          <w:numId w:val="11"/>
        </w:numPr>
        <w:spacing w:line="360" w:lineRule="auto"/>
        <w:rPr>
          <w:sz w:val="28"/>
          <w:szCs w:val="28"/>
          <w:lang w:val="ru-RU"/>
        </w:rPr>
      </w:pPr>
      <w:r w:rsidRPr="000D74D8">
        <w:rPr>
          <w:bCs/>
          <w:sz w:val="28"/>
          <w:szCs w:val="28"/>
          <w:lang w:val="ru-RU"/>
        </w:rPr>
        <w:t>Зміцнення стратегічної автономії Туреччини</w:t>
      </w:r>
      <w:r w:rsidRPr="000D74D8">
        <w:rPr>
          <w:sz w:val="28"/>
          <w:szCs w:val="28"/>
          <w:lang w:val="ru-RU"/>
        </w:rPr>
        <w:t>, оскільки її унікальна роль у регулюванні проходу військових кораблів надає значний дипломатичний ресурс і підвищує статус ключового гаранта стабільності (Aydın, 2023).</w:t>
      </w:r>
    </w:p>
    <w:p w:rsidR="000D74D8" w:rsidRPr="000D74D8" w:rsidRDefault="000D74D8" w:rsidP="000D74D8">
      <w:pPr>
        <w:spacing w:line="360" w:lineRule="auto"/>
        <w:ind w:firstLine="851"/>
        <w:rPr>
          <w:sz w:val="28"/>
          <w:szCs w:val="28"/>
          <w:lang w:val="ru-RU"/>
        </w:rPr>
      </w:pPr>
      <w:r w:rsidRPr="000D74D8">
        <w:rPr>
          <w:sz w:val="28"/>
          <w:szCs w:val="28"/>
          <w:lang w:val="ru-RU"/>
        </w:rPr>
        <w:t>У цьому контексті режим Монтре виступає не лише юридичною нормою, але й інструментом зовнішньої політики, через який Туреччина формує регіональний баланс, зберігає важелі впливу на НАТО та Росію і утверджує власну роль як головного «воротаря» Чорного моря.</w:t>
      </w:r>
    </w:p>
    <w:p w:rsidR="000D74D8" w:rsidRPr="000D74D8" w:rsidRDefault="000D74D8" w:rsidP="000D74D8">
      <w:pPr>
        <w:spacing w:line="360" w:lineRule="auto"/>
        <w:ind w:firstLine="851"/>
        <w:rPr>
          <w:sz w:val="28"/>
          <w:szCs w:val="28"/>
          <w:lang w:val="ru-RU"/>
        </w:rPr>
      </w:pPr>
      <w:r w:rsidRPr="000D74D8">
        <w:rPr>
          <w:sz w:val="28"/>
          <w:szCs w:val="28"/>
          <w:lang w:val="ru-RU"/>
        </w:rPr>
        <w:t xml:space="preserve">Серед понять, що визначають поведінку Туреччини після 2022 року, особливе місце посідає </w:t>
      </w:r>
      <w:r w:rsidRPr="000D74D8">
        <w:rPr>
          <w:bCs/>
          <w:sz w:val="28"/>
          <w:szCs w:val="28"/>
          <w:lang w:val="ru-RU"/>
        </w:rPr>
        <w:t>посередництво</w:t>
      </w:r>
      <w:r w:rsidRPr="000D74D8">
        <w:rPr>
          <w:sz w:val="28"/>
          <w:szCs w:val="28"/>
          <w:lang w:val="ru-RU"/>
        </w:rPr>
        <w:t xml:space="preserve"> як інструмент зовнішньої політики. Туреччина активно використовує дипломатію врегулювання, виступаючи посередником між Україною та Росією, а також між іншими сторонами конфліктів у регіоні (Ünlühisarcıklı, 2023). Посередництво визначається як діяльність держави, спрямована на сприяння діалогу, зниження ескалації та пошук компромісних рішень (Aron, 1984, p. 26).</w:t>
      </w:r>
    </w:p>
    <w:p w:rsidR="00EE703F" w:rsidRPr="000D74D8" w:rsidRDefault="00EE703F" w:rsidP="009348E3">
      <w:pPr>
        <w:spacing w:line="360" w:lineRule="auto"/>
        <w:ind w:firstLine="851"/>
        <w:rPr>
          <w:sz w:val="28"/>
          <w:szCs w:val="28"/>
          <w:lang w:val="ru-RU"/>
        </w:rPr>
      </w:pPr>
      <w:r w:rsidRPr="000D74D8">
        <w:rPr>
          <w:sz w:val="28"/>
          <w:szCs w:val="28"/>
          <w:lang w:val="ru-RU"/>
        </w:rPr>
        <w:lastRenderedPageBreak/>
        <w:t>У межах чорноморської політики Туреччини це поняття проявляється через:</w:t>
      </w:r>
      <w:r w:rsidRPr="000D74D8">
        <w:rPr>
          <w:sz w:val="28"/>
          <w:szCs w:val="28"/>
        </w:rPr>
        <w:t xml:space="preserve"> </w:t>
      </w:r>
      <w:r w:rsidRPr="000D74D8">
        <w:rPr>
          <w:sz w:val="28"/>
          <w:szCs w:val="28"/>
          <w:lang w:val="ru-RU"/>
        </w:rPr>
        <w:t>укладання Чорно</w:t>
      </w:r>
      <w:r w:rsidR="000D74D8" w:rsidRPr="000D74D8">
        <w:rPr>
          <w:sz w:val="28"/>
          <w:szCs w:val="28"/>
          <w:lang w:val="ru-RU"/>
        </w:rPr>
        <w:t xml:space="preserve">морської зернової ініціативи </w:t>
      </w:r>
      <w:r w:rsidR="000D74D8" w:rsidRPr="000D74D8">
        <w:rPr>
          <w:sz w:val="28"/>
          <w:szCs w:val="28"/>
        </w:rPr>
        <w:t>(United Nations, 2022)</w:t>
      </w:r>
      <w:r w:rsidRPr="000D74D8">
        <w:rPr>
          <w:sz w:val="28"/>
          <w:szCs w:val="28"/>
          <w:lang w:val="ru-RU"/>
        </w:rPr>
        <w:t>;</w:t>
      </w:r>
      <w:r w:rsidRPr="000D74D8">
        <w:rPr>
          <w:sz w:val="28"/>
          <w:szCs w:val="28"/>
        </w:rPr>
        <w:t xml:space="preserve"> </w:t>
      </w:r>
      <w:r w:rsidRPr="000D74D8">
        <w:rPr>
          <w:sz w:val="28"/>
          <w:szCs w:val="28"/>
          <w:lang w:val="ru-RU"/>
        </w:rPr>
        <w:t>організацію переговорних май</w:t>
      </w:r>
      <w:r w:rsidR="000D74D8" w:rsidRPr="000D74D8">
        <w:rPr>
          <w:sz w:val="28"/>
          <w:szCs w:val="28"/>
          <w:lang w:val="ru-RU"/>
        </w:rPr>
        <w:t xml:space="preserve">данчиків у Стамбулі й Анкарі </w:t>
      </w:r>
      <w:r w:rsidR="000D74D8" w:rsidRPr="000D74D8">
        <w:rPr>
          <w:sz w:val="28"/>
          <w:szCs w:val="28"/>
        </w:rPr>
        <w:t>(Aras &amp; Özbay, 2022)</w:t>
      </w:r>
      <w:r w:rsidRPr="000D74D8">
        <w:rPr>
          <w:sz w:val="28"/>
          <w:szCs w:val="28"/>
          <w:lang w:val="ru-RU"/>
        </w:rPr>
        <w:t>;</w:t>
      </w:r>
      <w:r w:rsidRPr="000D74D8">
        <w:rPr>
          <w:sz w:val="28"/>
          <w:szCs w:val="28"/>
        </w:rPr>
        <w:t xml:space="preserve"> </w:t>
      </w:r>
      <w:r w:rsidRPr="000D74D8">
        <w:rPr>
          <w:sz w:val="28"/>
          <w:szCs w:val="28"/>
          <w:lang w:val="ru-RU"/>
        </w:rPr>
        <w:t>підтримання каналів комунік</w:t>
      </w:r>
      <w:r w:rsidR="000D74D8" w:rsidRPr="000D74D8">
        <w:rPr>
          <w:sz w:val="28"/>
          <w:szCs w:val="28"/>
          <w:lang w:val="ru-RU"/>
        </w:rPr>
        <w:t xml:space="preserve">ації з обома сторонами війни </w:t>
      </w:r>
      <w:r w:rsidR="000D74D8" w:rsidRPr="000D74D8">
        <w:rPr>
          <w:sz w:val="28"/>
          <w:szCs w:val="28"/>
        </w:rPr>
        <w:t>(Özkan, 2020)</w:t>
      </w:r>
      <w:r w:rsidRPr="000D74D8">
        <w:rPr>
          <w:sz w:val="28"/>
          <w:szCs w:val="28"/>
          <w:lang w:val="ru-RU"/>
        </w:rPr>
        <w:t>;</w:t>
      </w:r>
      <w:r w:rsidRPr="000D74D8">
        <w:rPr>
          <w:sz w:val="28"/>
          <w:szCs w:val="28"/>
        </w:rPr>
        <w:t xml:space="preserve"> </w:t>
      </w:r>
      <w:r w:rsidRPr="000D74D8">
        <w:rPr>
          <w:sz w:val="28"/>
          <w:szCs w:val="28"/>
          <w:lang w:val="ru-RU"/>
        </w:rPr>
        <w:t>прагнення позиціонувати себе як відповід</w:t>
      </w:r>
      <w:r w:rsidR="000D74D8" w:rsidRPr="000D74D8">
        <w:rPr>
          <w:sz w:val="28"/>
          <w:szCs w:val="28"/>
          <w:lang w:val="ru-RU"/>
        </w:rPr>
        <w:t xml:space="preserve">ального регіонального актора </w:t>
      </w:r>
      <w:r w:rsidR="000D74D8" w:rsidRPr="000D74D8">
        <w:rPr>
          <w:sz w:val="28"/>
          <w:szCs w:val="28"/>
        </w:rPr>
        <w:t>(Gürdeniz, 2019)</w:t>
      </w:r>
      <w:r w:rsidRPr="000D74D8">
        <w:rPr>
          <w:sz w:val="28"/>
          <w:szCs w:val="28"/>
          <w:lang w:val="ru-RU"/>
        </w:rPr>
        <w:t>.</w:t>
      </w:r>
    </w:p>
    <w:p w:rsidR="000D74D8" w:rsidRPr="000D74D8" w:rsidRDefault="000D74D8" w:rsidP="000D74D8">
      <w:pPr>
        <w:spacing w:line="360" w:lineRule="auto"/>
        <w:ind w:firstLine="851"/>
        <w:rPr>
          <w:sz w:val="28"/>
          <w:szCs w:val="28"/>
          <w:lang w:val="ru-RU"/>
        </w:rPr>
      </w:pPr>
      <w:r w:rsidRPr="000D74D8">
        <w:rPr>
          <w:sz w:val="28"/>
          <w:szCs w:val="28"/>
          <w:lang w:val="ru-RU"/>
        </w:rPr>
        <w:t xml:space="preserve">У цьому дослідженні посередництво інтерпретується не лише як дипломатична діяльність, але й як засіб підсилення ролі Туреччини у регіональному порядку (Ünlühisarcıklı, 2023). Для пояснення дій Туреччини у Чорноморському регіоні необхідним є застосування поняття </w:t>
      </w:r>
      <w:r w:rsidRPr="000D74D8">
        <w:rPr>
          <w:bCs/>
          <w:sz w:val="28"/>
          <w:szCs w:val="28"/>
          <w:lang w:val="ru-RU"/>
        </w:rPr>
        <w:t>регіональної гегемонії</w:t>
      </w:r>
      <w:r w:rsidRPr="000D74D8">
        <w:rPr>
          <w:sz w:val="28"/>
          <w:szCs w:val="28"/>
          <w:lang w:val="ru-RU"/>
        </w:rPr>
        <w:t>. Згідно з неореалістичними підходами, жодна держава не здатна досягти повного домінування у стратегічно важливому регіоні без конфлікту з іншими великими силами (Buzan, Wæver, &amp; de Wilde, 1998). Туреччина, перебуваючи у складних відносинах як із Росією, так і з окремими членами НАТО, вимушена уникати прямого суперництва, обираючи модель «обмеженого регіонального лідерства» (Cornell &amp; Nilsson, 2023).</w:t>
      </w:r>
    </w:p>
    <w:p w:rsidR="000D74D8" w:rsidRPr="000D74D8" w:rsidRDefault="000D74D8" w:rsidP="000D74D8">
      <w:pPr>
        <w:spacing w:line="360" w:lineRule="auto"/>
        <w:ind w:firstLine="851"/>
        <w:rPr>
          <w:sz w:val="28"/>
          <w:szCs w:val="28"/>
          <w:lang w:val="ru-RU"/>
        </w:rPr>
      </w:pPr>
      <w:r w:rsidRPr="000D74D8">
        <w:rPr>
          <w:sz w:val="28"/>
          <w:szCs w:val="28"/>
          <w:lang w:val="ru-RU"/>
        </w:rPr>
        <w:t>У цьому контексті роль НАТО розглядається як фактор, що одночасно розширює та обмежує можливості Туреччини: з одного боку, Альянс забезпечує колективні механізми стримування Росії (Balta &amp; Özer, 2022); з іншого — високий рівень військової присутності НАТО у Чорному морі створює для Туреччини дилему між союзницькими зобов’язаннями та прагненням уникнути прямої конфронтації з Москвою (Özkan, 2020).</w:t>
      </w:r>
    </w:p>
    <w:p w:rsidR="000D74D8" w:rsidRPr="000D74D8" w:rsidRDefault="000D74D8" w:rsidP="000D74D8">
      <w:pPr>
        <w:spacing w:line="360" w:lineRule="auto"/>
        <w:ind w:firstLine="851"/>
        <w:rPr>
          <w:sz w:val="28"/>
          <w:szCs w:val="28"/>
          <w:lang w:val="ru-RU"/>
        </w:rPr>
      </w:pPr>
      <w:r w:rsidRPr="000D74D8">
        <w:rPr>
          <w:sz w:val="28"/>
          <w:szCs w:val="28"/>
          <w:lang w:val="ru-RU"/>
        </w:rPr>
        <w:t xml:space="preserve">Не менш важливим є поняття </w:t>
      </w:r>
      <w:r w:rsidRPr="000D74D8">
        <w:rPr>
          <w:bCs/>
          <w:sz w:val="28"/>
          <w:szCs w:val="28"/>
          <w:lang w:val="ru-RU"/>
        </w:rPr>
        <w:t>регіонального порядку</w:t>
      </w:r>
      <w:r w:rsidRPr="000D74D8">
        <w:rPr>
          <w:sz w:val="28"/>
          <w:szCs w:val="28"/>
          <w:lang w:val="ru-RU"/>
        </w:rPr>
        <w:t>, яке вказує на специфічну конфігурацію взаємодій між державами певного макрорегіону, засновану на усталених нормах, балансі сил та інституційних механізмах. У політичній науці регіональний порядок трактується як система формальних і неформальних правил, що визначають способи конкуренції, координації та співпраці між державами, а також ролі зовнішніх</w:t>
      </w:r>
      <w:r>
        <w:rPr>
          <w:sz w:val="28"/>
          <w:szCs w:val="28"/>
          <w:lang w:val="ru-RU"/>
        </w:rPr>
        <w:t xml:space="preserve"> акторів у регіоні (Buzan,</w:t>
      </w:r>
      <w:r>
        <w:rPr>
          <w:sz w:val="28"/>
          <w:szCs w:val="28"/>
          <w:lang w:val="es-ES"/>
        </w:rPr>
        <w:t> </w:t>
      </w:r>
      <w:r w:rsidRPr="000D74D8">
        <w:rPr>
          <w:sz w:val="28"/>
          <w:szCs w:val="28"/>
          <w:lang w:val="ru-RU"/>
        </w:rPr>
        <w:t>1998).</w:t>
      </w:r>
    </w:p>
    <w:p w:rsidR="000D74D8" w:rsidRPr="000D74D8" w:rsidRDefault="000D74D8" w:rsidP="000D74D8">
      <w:pPr>
        <w:spacing w:line="360" w:lineRule="auto"/>
        <w:ind w:firstLine="851"/>
        <w:rPr>
          <w:sz w:val="28"/>
          <w:szCs w:val="28"/>
          <w:lang w:val="ru-RU"/>
        </w:rPr>
      </w:pPr>
      <w:r w:rsidRPr="000D74D8">
        <w:rPr>
          <w:sz w:val="28"/>
          <w:szCs w:val="28"/>
          <w:lang w:val="ru-RU"/>
        </w:rPr>
        <w:lastRenderedPageBreak/>
        <w:t>До 2022 року Чорноморський регіон характеризувався відносно стабільним, хоча й асиметричним балансом між Росією, Туреччиною, Румунією, Болгарією та Україною. Такий порядок спирався на обмежене стримування російської активності, багаторівневу взаємодію Туреччини з НАТО, а також на інституційні механізми, зокрема Організацію чорноморського економічного співробітництва (Demirtaş, 2023). У цьому контексті Туреччина виступала як ключовий регулятор морського доступу до регіону завдяки Конвенції Монтре, однак її стратегічна поведінка залишалася збалансованою між Заходом та Росією (Karaosmanoğlu, 2022).</w:t>
      </w:r>
    </w:p>
    <w:p w:rsidR="000D74D8" w:rsidRPr="000D74D8" w:rsidRDefault="000D74D8" w:rsidP="000D74D8">
      <w:pPr>
        <w:spacing w:line="360" w:lineRule="auto"/>
        <w:ind w:firstLine="851"/>
        <w:rPr>
          <w:sz w:val="28"/>
          <w:szCs w:val="28"/>
          <w:lang w:val="ru-RU"/>
        </w:rPr>
      </w:pPr>
      <w:r w:rsidRPr="000D74D8">
        <w:rPr>
          <w:sz w:val="28"/>
          <w:szCs w:val="28"/>
          <w:lang w:val="ru-RU"/>
        </w:rPr>
        <w:t>Після повномасштабного вторгнення Росії регіональний порядок зазнав глибинної трансформації, що фактично призвело до руйнування старої конфігурації безпеки у Чорному морі. З одного боку, зросла роль України як військово-стратегічного актора, здатного завдавати ударів по російській інфраструктурі та змінювати морську динаміку безпеки (Kuzio, 2023). З іншого — Росія стала джерелом постійної та системної нестабільності, застосовуючи широкий спектр військових та гібридних інструментів, що підірвало колишню модель регіональної рівноваги (Gürcan, 2022).</w:t>
      </w:r>
    </w:p>
    <w:p w:rsidR="00C94986" w:rsidRPr="00C94986" w:rsidRDefault="00C94986" w:rsidP="00C94986">
      <w:pPr>
        <w:spacing w:line="360" w:lineRule="auto"/>
        <w:ind w:firstLine="851"/>
        <w:rPr>
          <w:sz w:val="28"/>
          <w:szCs w:val="28"/>
          <w:lang w:val="ru-RU"/>
        </w:rPr>
      </w:pPr>
      <w:r w:rsidRPr="00C94986">
        <w:rPr>
          <w:sz w:val="28"/>
          <w:szCs w:val="28"/>
          <w:lang w:val="ru-RU"/>
        </w:rPr>
        <w:t>Паралельно НАТО посилило свою присутність у суміжних регіонах, зокрема у Чорноморському та Східному Середземномор’ї, розширивши повітряно-морські патрулі та збільшивши військову інтеграцію Румунії та Болгарії в інфраструктуру Альянсу (NATO, 2023). Це створило нові обмеження та водночас можливості для Туреччини, яка мусила адаптувати власну політику до посилення західної безпекової архітектури.</w:t>
      </w:r>
    </w:p>
    <w:p w:rsidR="00C94986" w:rsidRPr="00C94986" w:rsidRDefault="00C94986" w:rsidP="00C94986">
      <w:pPr>
        <w:spacing w:line="360" w:lineRule="auto"/>
        <w:ind w:firstLine="851"/>
        <w:rPr>
          <w:sz w:val="28"/>
          <w:szCs w:val="28"/>
          <w:lang w:val="ru-RU"/>
        </w:rPr>
      </w:pPr>
      <w:r w:rsidRPr="00C94986">
        <w:rPr>
          <w:sz w:val="28"/>
          <w:szCs w:val="28"/>
          <w:lang w:val="ru-RU"/>
        </w:rPr>
        <w:t>У цій конфігурації Туреччина отримала можливість посилити власну позицію як держави-посередника та гаранта стабільності, використовуючи поєднання військово-політичних, дипломатичних та правових інструментів. Її стратегічна автономія, посилена здатністю контролювати морські протоки, дозволила Анкарі зберігати маневр між сторонами конфлікту, водночас підтримуючи власний статус незамінного регіонального актора (Ildem, 2023).</w:t>
      </w:r>
    </w:p>
    <w:p w:rsidR="000D74D8" w:rsidRDefault="0086039E" w:rsidP="00C94986">
      <w:pPr>
        <w:spacing w:line="360" w:lineRule="auto"/>
        <w:ind w:firstLine="851"/>
        <w:rPr>
          <w:sz w:val="28"/>
          <w:szCs w:val="28"/>
          <w:lang w:val="ru-RU"/>
        </w:rPr>
      </w:pPr>
      <w:r>
        <w:rPr>
          <w:sz w:val="28"/>
          <w:szCs w:val="28"/>
          <w:lang w:val="ru-RU"/>
        </w:rPr>
        <w:lastRenderedPageBreak/>
        <w:t xml:space="preserve">У </w:t>
      </w:r>
      <w:r w:rsidR="00C94986" w:rsidRPr="00C94986">
        <w:rPr>
          <w:sz w:val="28"/>
          <w:szCs w:val="28"/>
          <w:lang w:val="ru-RU"/>
        </w:rPr>
        <w:t>межах цього дослідження трансформація регіонального порядку використовується як аналітична рамка, що дозволяє оцінити, яким чином Анкара пристосовує свою зовнішню політику до нових реалій — зокрема, між посиленням ролі НАТО, зростанням загроз з боку Росії та необхідністю збереження стратегічної автономії в умовах постійної нестабільності (Buzan, Wæver, &amp; de Wilde, 1998).</w:t>
      </w:r>
    </w:p>
    <w:p w:rsidR="00475405" w:rsidRPr="00475405" w:rsidRDefault="00475405" w:rsidP="00475405">
      <w:pPr>
        <w:spacing w:line="360" w:lineRule="auto"/>
        <w:ind w:firstLine="851"/>
        <w:rPr>
          <w:sz w:val="28"/>
          <w:szCs w:val="28"/>
          <w:lang w:val="ru-RU"/>
        </w:rPr>
      </w:pPr>
      <w:r w:rsidRPr="00475405">
        <w:rPr>
          <w:sz w:val="28"/>
          <w:szCs w:val="28"/>
          <w:lang w:val="ru-RU"/>
        </w:rPr>
        <w:t>Поняття морської безпеки відіграє центральну роль у дослідженні турецької політики в Чорноморському басейні. У сучасних дослідженнях морська безпека визначається як система заходів, спрямованих на забезпечення стабільності морського простору, захист морських шляхів, портової інфраструктури, торговельного судноплавства та енергетичних маршрутів від військових, кримінальних та гібридних загроз (Bueger &amp; Edmunds, 2020). У контексті післявоєнної трансформації Чорноморського регіону це поняття набуває особливої ваги, оскільки поєднує традиційні військово-морські компоненти з нетрадиційними ризиками, пов’язаними з кібератаками, блокуванням торговельних шляхів, підривами підводної інфраструктури та політичним тиском (Ringis, 2023).</w:t>
      </w:r>
    </w:p>
    <w:p w:rsidR="00475405" w:rsidRPr="00475405" w:rsidRDefault="00475405" w:rsidP="00475405">
      <w:pPr>
        <w:spacing w:line="360" w:lineRule="auto"/>
        <w:ind w:firstLine="851"/>
        <w:rPr>
          <w:sz w:val="28"/>
          <w:szCs w:val="28"/>
          <w:lang w:val="ru-RU"/>
        </w:rPr>
      </w:pPr>
      <w:r w:rsidRPr="00475405">
        <w:rPr>
          <w:sz w:val="28"/>
          <w:szCs w:val="28"/>
          <w:lang w:val="ru-RU"/>
        </w:rPr>
        <w:t>Для Туреччини морська безпека має кілька ключових вимірів. Насамперед йдеться про підтримання свободи навігації у Чорному морі, що є критичним з огляду на роль Анкари як регулятора проток і впливового прибережного актора. Окремого значення набуває захист зернових коридорів та морської торгівлі, що було особливо актуалізовано після укладання Чорноморської зернової ініціативи та подальших спроб її відновлення (Özdemir, 2023).</w:t>
      </w:r>
    </w:p>
    <w:p w:rsidR="00475405" w:rsidRPr="00475405" w:rsidRDefault="00475405" w:rsidP="00475405">
      <w:pPr>
        <w:spacing w:line="360" w:lineRule="auto"/>
        <w:ind w:firstLine="851"/>
        <w:rPr>
          <w:sz w:val="28"/>
          <w:szCs w:val="28"/>
          <w:lang w:val="ru-RU"/>
        </w:rPr>
      </w:pPr>
      <w:r w:rsidRPr="00475405">
        <w:rPr>
          <w:sz w:val="28"/>
          <w:szCs w:val="28"/>
          <w:lang w:val="ru-RU"/>
        </w:rPr>
        <w:t xml:space="preserve">Ще одним виміром є стримування мілітаризації регіону, що передбачає балансування між необхідністю обмежувати присутність позарегіональних військово-морських сил і водночас реагувати на агресивну поведінку Росії. Важливим компонентом морської безпеки виступає контроль над стратегічними протоками відповідно до Конвенції Монтре, яка забезпечує Туреччині унікальні повноваження у регулюванні військової </w:t>
      </w:r>
      <w:r w:rsidRPr="00475405">
        <w:rPr>
          <w:sz w:val="28"/>
          <w:szCs w:val="28"/>
          <w:lang w:val="ru-RU"/>
        </w:rPr>
        <w:lastRenderedPageBreak/>
        <w:t>активності в регіоні та визначає контури регіонального безпекового режиму (Karaosmanoğlu, 2022).</w:t>
      </w:r>
    </w:p>
    <w:p w:rsidR="00475405" w:rsidRPr="00475405" w:rsidRDefault="00475405" w:rsidP="00475405">
      <w:pPr>
        <w:spacing w:line="360" w:lineRule="auto"/>
        <w:ind w:firstLine="851"/>
        <w:rPr>
          <w:sz w:val="28"/>
          <w:szCs w:val="28"/>
          <w:lang w:val="ru-RU"/>
        </w:rPr>
      </w:pPr>
      <w:r w:rsidRPr="00475405">
        <w:rPr>
          <w:sz w:val="28"/>
          <w:szCs w:val="28"/>
          <w:lang w:val="ru-RU"/>
        </w:rPr>
        <w:t>У даному дослідженні морська безпека використовується як концепт, що пояснює активність Туреччини у формуванні нової архітектури регіональної безпеки, зокрема її зусилля зі збереження стабільності морської логістики, підтримання балансу сил та протидії загрозам, які виникли після 2022 року. Таким чином, морська безпека є не лише оперативною категорією, але й ключовою аналітичною рамкою, що дозволяє оцінити стратегічні рішення Анкари в умовах глибокої регіональної турбулентності (Bueger &amp; Edmunds, 2020).</w:t>
      </w:r>
    </w:p>
    <w:p w:rsidR="00475405" w:rsidRPr="00475405" w:rsidRDefault="00475405" w:rsidP="00475405">
      <w:pPr>
        <w:spacing w:line="360" w:lineRule="auto"/>
        <w:ind w:firstLine="851"/>
        <w:rPr>
          <w:sz w:val="28"/>
          <w:szCs w:val="28"/>
          <w:lang w:val="ru-RU"/>
        </w:rPr>
      </w:pPr>
      <w:r w:rsidRPr="00475405">
        <w:rPr>
          <w:sz w:val="28"/>
          <w:szCs w:val="28"/>
          <w:lang w:val="ru-RU"/>
        </w:rPr>
        <w:t>У дослідженні зовнішньої політики Туреччини важливе місце посідає категорія «транзитна держава», що використовується для опису країн, територією яких проходять ключові транспортні, енергетичні та логістичні маршрути, необхідні для забезпечення регіональної стабільності та економічної взаємодії. Згідно з теоретичними підходами до вивчення енергетичної та транспортної геополітики, транзитні держави здатні формувати власні механізми впливу на міжнародні процеси через контроль інфраструктурних вузлів, регулювання потоків та участь у багатосторонніх проєктах (Yanik, 2021).</w:t>
      </w:r>
    </w:p>
    <w:p w:rsidR="00475405" w:rsidRPr="00475405" w:rsidRDefault="00475405" w:rsidP="00475405">
      <w:pPr>
        <w:spacing w:line="360" w:lineRule="auto"/>
        <w:ind w:firstLine="851"/>
        <w:rPr>
          <w:sz w:val="28"/>
          <w:szCs w:val="28"/>
          <w:lang w:val="ru-RU"/>
        </w:rPr>
      </w:pPr>
      <w:r w:rsidRPr="00475405">
        <w:rPr>
          <w:sz w:val="28"/>
          <w:szCs w:val="28"/>
          <w:lang w:val="ru-RU"/>
        </w:rPr>
        <w:t xml:space="preserve">Туреччина традиційно розглядається як одна з ключових транзитних держав Євразії завдяки декільком чинникам: її унікальному розташуванню між Європою, Кавказом і Близьким Сходом; контролю над стратегічними протоками Босфор і Дарданелли; участі у великих міжнародних енергетичних коридорах, зокрема TANAP, TAP, TurkStream; зростаючій ролі у забезпеченні продовольчих потоків, включно із запуском «зернового коридору» між Україною та світовими ринками (Özdemir, 2023). У межах дослідження поняття транзитної держави дозволяє інтерпретувати прагнення Анкари посилити свою економічну та геополітичну вагу через розвиток транспортної, енергетичної та логістичної інфраструктури. Таким чином, Туреччина не лише забезпечує транзит ресурсів, але й використовує </w:t>
      </w:r>
      <w:r w:rsidRPr="00475405">
        <w:rPr>
          <w:sz w:val="28"/>
          <w:szCs w:val="28"/>
          <w:lang w:val="ru-RU"/>
        </w:rPr>
        <w:lastRenderedPageBreak/>
        <w:t>транзитний статус як інструмент політичного впливу на регіональні процеси (Yanik, 2021).</w:t>
      </w:r>
    </w:p>
    <w:p w:rsidR="00475405" w:rsidRPr="00475405" w:rsidRDefault="00475405" w:rsidP="00475405">
      <w:pPr>
        <w:spacing w:line="360" w:lineRule="auto"/>
        <w:ind w:firstLine="851"/>
        <w:rPr>
          <w:sz w:val="28"/>
          <w:szCs w:val="28"/>
          <w:lang w:val="ru-RU"/>
        </w:rPr>
      </w:pPr>
      <w:r w:rsidRPr="00475405">
        <w:rPr>
          <w:sz w:val="28"/>
          <w:szCs w:val="28"/>
          <w:lang w:val="ru-RU"/>
        </w:rPr>
        <w:t>Одним з ключових аналітичних інструментів даного дослідження виступає поняття «контрольована взаємозалежність», яке широко застосовується в сучасних студіях міжнародних відносин для опису ситуацій, коли держави, попри суперечності у стратегічних інтересах, підтримують стійкі канали співпраці в економічних та енергетичних сферах (Buzan, Wæver, &amp; de Wilde, 1998). На відміну від класичного підходу до асиметричної залежності, модель контрольованої взаємозалежності передбачає усвідомлену політику обмеження критичних залежностей і диверсифікацію партнерських зв’язків (Keyman, 2021).</w:t>
      </w:r>
    </w:p>
    <w:p w:rsidR="00475405" w:rsidRPr="00475405" w:rsidRDefault="00475405" w:rsidP="00475405">
      <w:pPr>
        <w:spacing w:line="360" w:lineRule="auto"/>
        <w:ind w:firstLine="851"/>
        <w:rPr>
          <w:sz w:val="28"/>
          <w:szCs w:val="28"/>
          <w:lang w:val="ru-RU"/>
        </w:rPr>
      </w:pPr>
      <w:r w:rsidRPr="00475405">
        <w:rPr>
          <w:sz w:val="28"/>
          <w:szCs w:val="28"/>
          <w:lang w:val="ru-RU"/>
        </w:rPr>
        <w:t>Після 2022 року дана категорія є особливо релевантною для оцінки турецько-російських відносин. Туреччина, з одного боку, зберігає економічні вигоди від співпраці з Росією, зокрема у сфері туризму, торгівлі та енергетики; з іншого — намагається мінімізувати ризики стратегічної залежності, розвиваючи альтернативні механізми взаємодії із західними партнерами, Близьким Сходом та Кавказом (Yeşiltaş, 2022). Основними елементами турецької політики контрольованої взаємозалежності є:</w:t>
      </w:r>
    </w:p>
    <w:p w:rsidR="00475405" w:rsidRPr="00475405" w:rsidRDefault="00475405" w:rsidP="00475405">
      <w:pPr>
        <w:numPr>
          <w:ilvl w:val="0"/>
          <w:numId w:val="12"/>
        </w:numPr>
        <w:spacing w:line="360" w:lineRule="auto"/>
        <w:rPr>
          <w:sz w:val="28"/>
          <w:szCs w:val="28"/>
          <w:lang w:val="ru-RU"/>
        </w:rPr>
      </w:pPr>
      <w:r w:rsidRPr="00475405">
        <w:rPr>
          <w:sz w:val="28"/>
          <w:szCs w:val="28"/>
          <w:lang w:val="ru-RU"/>
        </w:rPr>
        <w:t>збереження економічної співпраці з Росією в некритичних секторах;</w:t>
      </w:r>
    </w:p>
    <w:p w:rsidR="00475405" w:rsidRPr="00475405" w:rsidRDefault="00475405" w:rsidP="00475405">
      <w:pPr>
        <w:numPr>
          <w:ilvl w:val="0"/>
          <w:numId w:val="12"/>
        </w:numPr>
        <w:spacing w:line="360" w:lineRule="auto"/>
        <w:rPr>
          <w:sz w:val="28"/>
          <w:szCs w:val="28"/>
          <w:lang w:val="ru-RU"/>
        </w:rPr>
      </w:pPr>
      <w:r w:rsidRPr="00475405">
        <w:rPr>
          <w:sz w:val="28"/>
          <w:szCs w:val="28"/>
          <w:lang w:val="ru-RU"/>
        </w:rPr>
        <w:t>зменшення енергетичної залежності через диверсифікацію маршрутів і джерел (Yergin, 2006);</w:t>
      </w:r>
    </w:p>
    <w:p w:rsidR="00475405" w:rsidRPr="00475405" w:rsidRDefault="00475405" w:rsidP="00475405">
      <w:pPr>
        <w:numPr>
          <w:ilvl w:val="0"/>
          <w:numId w:val="12"/>
        </w:numPr>
        <w:spacing w:line="360" w:lineRule="auto"/>
        <w:rPr>
          <w:sz w:val="28"/>
          <w:szCs w:val="28"/>
          <w:lang w:val="ru-RU"/>
        </w:rPr>
      </w:pPr>
      <w:r w:rsidRPr="00475405">
        <w:rPr>
          <w:sz w:val="28"/>
          <w:szCs w:val="28"/>
          <w:lang w:val="ru-RU"/>
        </w:rPr>
        <w:t>паралельний розвиток військово-політичних форматів із НАТО та ЄС (Ildem, 2023);</w:t>
      </w:r>
    </w:p>
    <w:p w:rsidR="00EE703F" w:rsidRPr="00475405" w:rsidRDefault="00475405" w:rsidP="00475405">
      <w:pPr>
        <w:numPr>
          <w:ilvl w:val="0"/>
          <w:numId w:val="12"/>
        </w:numPr>
        <w:spacing w:line="360" w:lineRule="auto"/>
        <w:rPr>
          <w:sz w:val="28"/>
          <w:szCs w:val="28"/>
          <w:lang w:val="ru-RU"/>
        </w:rPr>
      </w:pPr>
      <w:r w:rsidRPr="00475405">
        <w:rPr>
          <w:sz w:val="28"/>
          <w:szCs w:val="28"/>
          <w:lang w:val="ru-RU"/>
        </w:rPr>
        <w:t>використання економічної взаємозалежності як інструменту впливу на російську поведінку у Чорноморському регіоні (Gürcan, 2022).</w:t>
      </w:r>
    </w:p>
    <w:p w:rsidR="00EE703F" w:rsidRPr="000C0848" w:rsidRDefault="00EE703F" w:rsidP="009348E3">
      <w:pPr>
        <w:spacing w:line="360" w:lineRule="auto"/>
        <w:ind w:firstLine="851"/>
        <w:rPr>
          <w:sz w:val="28"/>
          <w:szCs w:val="28"/>
          <w:lang w:val="ru-RU"/>
        </w:rPr>
      </w:pPr>
      <w:r w:rsidRPr="000C0848">
        <w:rPr>
          <w:sz w:val="28"/>
          <w:szCs w:val="28"/>
          <w:lang w:val="ru-RU"/>
        </w:rPr>
        <w:t>Застосування цієї аналітичної категорії у дослідженні дозволяє структурувати логіку турецького балансування між Заходом і Росією, а також пояснити специфіку гнучкої зовнішньополітичної поведінки Анкари після 2022 року.</w:t>
      </w:r>
    </w:p>
    <w:p w:rsidR="00EE703F" w:rsidRPr="000C0848" w:rsidRDefault="00EE703F" w:rsidP="009348E3">
      <w:pPr>
        <w:spacing w:line="360" w:lineRule="auto"/>
        <w:rPr>
          <w:sz w:val="28"/>
          <w:szCs w:val="28"/>
          <w:lang w:val="ru-RU"/>
        </w:rPr>
      </w:pPr>
    </w:p>
    <w:p w:rsidR="00EE703F" w:rsidRPr="000C0848" w:rsidRDefault="00EE703F" w:rsidP="000A1818">
      <w:pPr>
        <w:spacing w:line="360" w:lineRule="auto"/>
        <w:ind w:firstLine="851"/>
        <w:jc w:val="left"/>
        <w:rPr>
          <w:b/>
          <w:sz w:val="28"/>
          <w:szCs w:val="28"/>
        </w:rPr>
      </w:pPr>
      <w:r w:rsidRPr="000C0848">
        <w:rPr>
          <w:b/>
          <w:sz w:val="28"/>
          <w:szCs w:val="28"/>
        </w:rPr>
        <w:lastRenderedPageBreak/>
        <w:t>1.3 Джерельно-документальна база роботи</w:t>
      </w:r>
    </w:p>
    <w:p w:rsidR="0031284D" w:rsidRPr="00475405" w:rsidRDefault="0031284D" w:rsidP="009348E3">
      <w:pPr>
        <w:spacing w:line="360" w:lineRule="auto"/>
        <w:ind w:firstLine="851"/>
        <w:rPr>
          <w:b/>
          <w:sz w:val="28"/>
          <w:szCs w:val="28"/>
        </w:rPr>
      </w:pPr>
    </w:p>
    <w:p w:rsidR="008630C8" w:rsidRPr="00475405" w:rsidRDefault="008630C8" w:rsidP="009348E3">
      <w:pPr>
        <w:spacing w:line="360" w:lineRule="auto"/>
        <w:ind w:firstLine="851"/>
        <w:rPr>
          <w:sz w:val="28"/>
          <w:szCs w:val="28"/>
        </w:rPr>
      </w:pPr>
      <w:r w:rsidRPr="00475405">
        <w:rPr>
          <w:sz w:val="28"/>
          <w:szCs w:val="28"/>
        </w:rPr>
        <w:t>Джерельну базу дослідження становить комплекс нормативно-правових документів, офіційних заяв, міжнародних конвенцій, аналітичних звітів провідних дослідницьких центрів, матеріалів міжнародних організацій, наукової літератури, а також публікацій у світових медіа та експертних онлайн-платформах. Сукупність цих джерел дозволяє всебічно проаналізувати трансформацію зовнішньої політики Туреччини в Чорноморському регіоні після 2022 року, а також оцінити її взаємодію з ключовими державами — зокрема Україною та Російською Федерацією.</w:t>
      </w:r>
    </w:p>
    <w:p w:rsidR="008630C8" w:rsidRPr="00475405" w:rsidRDefault="008B1766" w:rsidP="009348E3">
      <w:pPr>
        <w:spacing w:line="360" w:lineRule="auto"/>
        <w:ind w:firstLine="851"/>
        <w:rPr>
          <w:sz w:val="28"/>
          <w:szCs w:val="28"/>
        </w:rPr>
      </w:pPr>
      <w:r w:rsidRPr="008B1766">
        <w:rPr>
          <w:sz w:val="28"/>
          <w:szCs w:val="28"/>
        </w:rPr>
        <w:t xml:space="preserve">До цієї групи належать </w:t>
      </w:r>
      <w:r w:rsidRPr="008B1766">
        <w:rPr>
          <w:bCs/>
          <w:sz w:val="28"/>
          <w:szCs w:val="28"/>
        </w:rPr>
        <w:t>Конвенція про режим проток (Конвенція Монтре) 1936 року</w:t>
      </w:r>
      <w:r w:rsidRPr="008B1766">
        <w:rPr>
          <w:sz w:val="28"/>
          <w:szCs w:val="28"/>
        </w:rPr>
        <w:t xml:space="preserve"> (Özkan, 2020; Karaosmanoğlu, 2022), </w:t>
      </w:r>
      <w:r w:rsidRPr="008B1766">
        <w:rPr>
          <w:bCs/>
          <w:sz w:val="28"/>
          <w:szCs w:val="28"/>
        </w:rPr>
        <w:t>Конвенція про режим судноплавства на Дунаї (Белградська конвенція) 1948 року</w:t>
      </w:r>
      <w:r w:rsidRPr="008B1766">
        <w:rPr>
          <w:sz w:val="28"/>
          <w:szCs w:val="28"/>
        </w:rPr>
        <w:t xml:space="preserve">, а також </w:t>
      </w:r>
      <w:r w:rsidRPr="008B1766">
        <w:rPr>
          <w:bCs/>
          <w:sz w:val="28"/>
          <w:szCs w:val="28"/>
        </w:rPr>
        <w:t>офіційні стратегічні та концептуальні документи НАТО</w:t>
      </w:r>
      <w:r w:rsidRPr="008B1766">
        <w:rPr>
          <w:sz w:val="28"/>
          <w:szCs w:val="28"/>
        </w:rPr>
        <w:t xml:space="preserve">, зокрема </w:t>
      </w:r>
      <w:r w:rsidRPr="008B1766">
        <w:rPr>
          <w:bCs/>
          <w:sz w:val="28"/>
          <w:szCs w:val="28"/>
        </w:rPr>
        <w:t>Стратегічна концепція НАТО 2022 року</w:t>
      </w:r>
      <w:r w:rsidRPr="008B1766">
        <w:rPr>
          <w:sz w:val="28"/>
          <w:szCs w:val="28"/>
        </w:rPr>
        <w:t xml:space="preserve">, </w:t>
      </w:r>
      <w:r w:rsidRPr="008B1766">
        <w:rPr>
          <w:bCs/>
          <w:sz w:val="28"/>
          <w:szCs w:val="28"/>
        </w:rPr>
        <w:t>Комюніке Мадридського саміту НАТО 2022 року</w:t>
      </w:r>
      <w:r w:rsidRPr="008B1766">
        <w:rPr>
          <w:sz w:val="28"/>
          <w:szCs w:val="28"/>
        </w:rPr>
        <w:t xml:space="preserve"> та </w:t>
      </w:r>
      <w:r w:rsidRPr="008B1766">
        <w:rPr>
          <w:bCs/>
          <w:sz w:val="28"/>
          <w:szCs w:val="28"/>
        </w:rPr>
        <w:t>Вільнюського саміту НАТО 2023 року</w:t>
      </w:r>
      <w:r w:rsidRPr="008B1766">
        <w:rPr>
          <w:sz w:val="28"/>
          <w:szCs w:val="28"/>
        </w:rPr>
        <w:t>, що визначають підходи Альянсу до безпеки Чорноморського регіону (NATO, 2023).</w:t>
      </w:r>
      <w:r>
        <w:rPr>
          <w:sz w:val="28"/>
          <w:szCs w:val="28"/>
        </w:rPr>
        <w:t xml:space="preserve"> </w:t>
      </w:r>
      <w:r w:rsidR="008630C8" w:rsidRPr="00475405">
        <w:rPr>
          <w:sz w:val="28"/>
          <w:szCs w:val="28"/>
        </w:rPr>
        <w:t>Зазначені джерела формують правову основу для аналізу стратегічної ролі Туреччини у контролі за Протоками, обмеженні військово-морської активності третіх країн та функціонуванні регіональної безпекової архітектури. Конвенція Монтре є ключовим документом, що визначає поведінку Анкари під час російсько-української війни, тому її аналіз має фундаментальне значення.</w:t>
      </w:r>
    </w:p>
    <w:p w:rsidR="008630C8" w:rsidRPr="00AF39F1" w:rsidRDefault="00AF39F1" w:rsidP="009348E3">
      <w:pPr>
        <w:spacing w:line="360" w:lineRule="auto"/>
        <w:ind w:firstLine="851"/>
        <w:rPr>
          <w:sz w:val="28"/>
          <w:szCs w:val="28"/>
        </w:rPr>
      </w:pPr>
      <w:r w:rsidRPr="00AF39F1">
        <w:rPr>
          <w:sz w:val="28"/>
          <w:szCs w:val="28"/>
        </w:rPr>
        <w:t xml:space="preserve">Зокрема, у роботі використовуються </w:t>
      </w:r>
      <w:r w:rsidRPr="00AF39F1">
        <w:rPr>
          <w:bCs/>
          <w:sz w:val="28"/>
          <w:szCs w:val="28"/>
        </w:rPr>
        <w:t>офіційні заяви Центру протидії дезінформації при Директораті з комунікацій Адміністрації Президента Турецької Республіки</w:t>
      </w:r>
      <w:r w:rsidRPr="00AF39F1">
        <w:rPr>
          <w:sz w:val="28"/>
          <w:szCs w:val="28"/>
        </w:rPr>
        <w:t xml:space="preserve">, оприлюднені через офіційний акаунт </w:t>
      </w:r>
      <w:r w:rsidRPr="00AF39F1">
        <w:rPr>
          <w:bCs/>
          <w:sz w:val="28"/>
          <w:szCs w:val="28"/>
        </w:rPr>
        <w:t>@dmmiletisim</w:t>
      </w:r>
      <w:r w:rsidRPr="00AF39F1">
        <w:rPr>
          <w:sz w:val="28"/>
          <w:szCs w:val="28"/>
        </w:rPr>
        <w:t xml:space="preserve"> у 2024 році. Зокрема, у заяві щодо проходу через протоки британських мінних мисливців, переданих Україні, наголошується, що твердження окремих медіа про дозвіл на їхній прохід є неправдивими, а Туреччина, класифікувавши дії Росії проти України як «війну», відповідно до </w:t>
      </w:r>
      <w:r w:rsidRPr="00AF39F1">
        <w:rPr>
          <w:bCs/>
          <w:sz w:val="28"/>
          <w:szCs w:val="28"/>
        </w:rPr>
        <w:t>статті 19 Конвенції Монтре про режим проток</w:t>
      </w:r>
      <w:r w:rsidRPr="00AF39F1">
        <w:rPr>
          <w:sz w:val="28"/>
          <w:szCs w:val="28"/>
        </w:rPr>
        <w:t xml:space="preserve">, закрила протоки для військових кораблів воюючих сторін </w:t>
      </w:r>
      <w:r w:rsidRPr="00AF39F1">
        <w:rPr>
          <w:sz w:val="28"/>
          <w:szCs w:val="28"/>
        </w:rPr>
        <w:lastRenderedPageBreak/>
        <w:t>та підтвердила, що такі судна не будуть допущені до Чорного моря до завершення війни (@dmmiletisim, 2024).</w:t>
      </w:r>
      <w:r>
        <w:rPr>
          <w:sz w:val="28"/>
          <w:szCs w:val="28"/>
        </w:rPr>
        <w:t xml:space="preserve"> </w:t>
      </w:r>
      <w:r w:rsidR="008630C8" w:rsidRPr="00AF39F1">
        <w:rPr>
          <w:sz w:val="28"/>
          <w:szCs w:val="28"/>
        </w:rPr>
        <w:t>Ці джерела дозволяють простежити «офіційну лінію» турецької зовнішньої політики, включаючи реакції Анкари на події війни, контроль за протоками, ініціативу щодо експорту зерна, а також позиціонування Туреччини у відносинах з НАТО.</w:t>
      </w:r>
    </w:p>
    <w:p w:rsidR="008630C8" w:rsidRPr="00475405" w:rsidRDefault="008630C8" w:rsidP="009348E3">
      <w:pPr>
        <w:spacing w:line="360" w:lineRule="auto"/>
        <w:ind w:firstLine="851"/>
        <w:rPr>
          <w:sz w:val="28"/>
          <w:szCs w:val="28"/>
          <w:lang w:val="ru-RU"/>
        </w:rPr>
      </w:pPr>
      <w:r w:rsidRPr="00475405">
        <w:rPr>
          <w:sz w:val="28"/>
          <w:szCs w:val="28"/>
          <w:lang w:val="ru-RU"/>
        </w:rPr>
        <w:t xml:space="preserve">Важливе місце займають матеріали </w:t>
      </w:r>
      <w:r w:rsidRPr="00475405">
        <w:rPr>
          <w:bCs/>
          <w:sz w:val="28"/>
          <w:szCs w:val="28"/>
          <w:lang w:val="ru-RU"/>
        </w:rPr>
        <w:t>Atlantic Council, Hudson Institute, Brookings Institution, Kadir Has University, EDAM, GMFUS</w:t>
      </w:r>
      <w:r w:rsidR="00DA279E" w:rsidRPr="00475405">
        <w:rPr>
          <w:sz w:val="28"/>
          <w:szCs w:val="28"/>
          <w:lang w:val="ru-RU"/>
        </w:rPr>
        <w:t>, які забезпечують</w:t>
      </w:r>
      <w:r w:rsidRPr="00475405">
        <w:rPr>
          <w:sz w:val="28"/>
          <w:szCs w:val="28"/>
          <w:lang w:val="ru-RU"/>
        </w:rPr>
        <w:t xml:space="preserve"> аналіз стратегічних намірів Туреччини, її «балансування» між Росією та Україною, а також прогнозують еволюцію безпеки в Чорноморському регіоні (Coffey &amp; Kasapoğlu, 2023; Kirişci &amp; Toygür, 2023; EDAM, 2023). Ці джерела відзначаються високим рівнем експертизи та оперативністю, що дозволяє доповнити офіційні документи аналітичними оцінками.</w:t>
      </w:r>
    </w:p>
    <w:p w:rsidR="008630C8" w:rsidRPr="00475405" w:rsidRDefault="008630C8" w:rsidP="009348E3">
      <w:pPr>
        <w:spacing w:line="360" w:lineRule="auto"/>
        <w:ind w:firstLine="851"/>
        <w:rPr>
          <w:sz w:val="28"/>
          <w:szCs w:val="28"/>
          <w:lang w:val="ru-RU"/>
        </w:rPr>
      </w:pPr>
      <w:r w:rsidRPr="00475405">
        <w:rPr>
          <w:sz w:val="28"/>
          <w:szCs w:val="28"/>
          <w:lang w:val="ru-RU"/>
        </w:rPr>
        <w:t>Суттєву частину джерельної бази складають праці з теорії міжнародних відносин, геополітики та безпекових студій — роботи М. Аїдина, Б. Араса, Ф. Озбая, М. Демірташа, а також класичні праці Р. Арона, Г. Морґентау, Дж. Міршаймера, С. Волта, О. Вендта, Б. Бузана та О. Веверa. Теоретичні джерела забезпечують методологічну основу дослідження, дозволяють розкрити концептуальні характеристики стратегічної автономії, балансування та регіональної безпеки.</w:t>
      </w:r>
    </w:p>
    <w:p w:rsidR="008630C8" w:rsidRPr="00475405" w:rsidRDefault="008630C8" w:rsidP="009348E3">
      <w:pPr>
        <w:spacing w:line="360" w:lineRule="auto"/>
        <w:ind w:firstLine="851"/>
        <w:rPr>
          <w:sz w:val="28"/>
          <w:szCs w:val="28"/>
          <w:lang w:val="ru-RU"/>
        </w:rPr>
      </w:pPr>
      <w:r w:rsidRPr="00475405">
        <w:rPr>
          <w:sz w:val="28"/>
          <w:szCs w:val="28"/>
          <w:lang w:val="ru-RU"/>
        </w:rPr>
        <w:t xml:space="preserve">Сучасні публікації у </w:t>
      </w:r>
      <w:r w:rsidRPr="00475405">
        <w:rPr>
          <w:iCs/>
          <w:sz w:val="28"/>
          <w:szCs w:val="28"/>
          <w:lang w:val="ru-RU"/>
        </w:rPr>
        <w:t>Journal of Maritime Affairs</w:t>
      </w:r>
      <w:r w:rsidRPr="00475405">
        <w:rPr>
          <w:sz w:val="28"/>
          <w:szCs w:val="28"/>
          <w:lang w:val="ru-RU"/>
        </w:rPr>
        <w:t xml:space="preserve">, </w:t>
      </w:r>
      <w:r w:rsidRPr="00475405">
        <w:rPr>
          <w:iCs/>
          <w:sz w:val="28"/>
          <w:szCs w:val="28"/>
          <w:lang w:val="ru-RU"/>
        </w:rPr>
        <w:t>Marine Policy</w:t>
      </w:r>
      <w:r w:rsidRPr="00475405">
        <w:rPr>
          <w:sz w:val="28"/>
          <w:szCs w:val="28"/>
          <w:lang w:val="ru-RU"/>
        </w:rPr>
        <w:t xml:space="preserve">, </w:t>
      </w:r>
      <w:r w:rsidRPr="00475405">
        <w:rPr>
          <w:iCs/>
          <w:sz w:val="28"/>
          <w:szCs w:val="28"/>
          <w:lang w:val="ru-RU"/>
        </w:rPr>
        <w:t>Security and Defence Quarterly</w:t>
      </w:r>
      <w:r w:rsidRPr="00475405">
        <w:rPr>
          <w:sz w:val="28"/>
          <w:szCs w:val="28"/>
          <w:lang w:val="ru-RU"/>
        </w:rPr>
        <w:t xml:space="preserve">, </w:t>
      </w:r>
      <w:r w:rsidRPr="00475405">
        <w:rPr>
          <w:iCs/>
          <w:sz w:val="28"/>
          <w:szCs w:val="28"/>
          <w:lang w:val="ru-RU"/>
        </w:rPr>
        <w:t>Eurasian Studies Review</w:t>
      </w:r>
      <w:r w:rsidRPr="00475405">
        <w:rPr>
          <w:sz w:val="28"/>
          <w:szCs w:val="28"/>
          <w:lang w:val="ru-RU"/>
        </w:rPr>
        <w:t xml:space="preserve"> розкривають питання мілітаризації Чорного моря, гібридних загроз, енергетичної інфраструктури та морської доктрини «Синя Батьківщина» (Mavi Vatan) (Gürdeniz, 2019; Gökmen, 2022; Ringis, 2023).</w:t>
      </w:r>
    </w:p>
    <w:p w:rsidR="008630C8" w:rsidRPr="002417DF" w:rsidRDefault="008630C8" w:rsidP="002417DF">
      <w:pPr>
        <w:spacing w:line="360" w:lineRule="auto"/>
        <w:ind w:firstLine="851"/>
        <w:rPr>
          <w:sz w:val="28"/>
          <w:szCs w:val="28"/>
          <w:lang w:val="ru-RU"/>
        </w:rPr>
      </w:pPr>
      <w:r w:rsidRPr="00475405">
        <w:rPr>
          <w:sz w:val="28"/>
          <w:szCs w:val="28"/>
          <w:lang w:val="ru-RU"/>
        </w:rPr>
        <w:t xml:space="preserve">Значну частину джерел становлять публікації у авторитетних міжнародних медіа — </w:t>
      </w:r>
      <w:r w:rsidRPr="00475405">
        <w:rPr>
          <w:iCs/>
          <w:sz w:val="28"/>
          <w:szCs w:val="28"/>
          <w:lang w:val="ru-RU"/>
        </w:rPr>
        <w:t>Financial Times, Bloomberg, Politico, Reuters, Washington Post, Daily Sabah, Al Monitor,</w:t>
      </w:r>
      <w:r w:rsidRPr="00475405">
        <w:rPr>
          <w:sz w:val="28"/>
          <w:szCs w:val="28"/>
          <w:lang w:val="ru-RU"/>
        </w:rPr>
        <w:t xml:space="preserve"> а також аналітичні огляди експертів Middle East Institute, IAEA та Atlantic Council. Ці джерела фіксують оперативні зміни у політиці Туреччини, висвітлюють її дипломатичні контакти, оборонні програми та позицію щодо зернової угоди.</w:t>
      </w:r>
    </w:p>
    <w:p w:rsidR="00EE703F" w:rsidRPr="000C0848" w:rsidRDefault="0031284D" w:rsidP="000A1818">
      <w:pPr>
        <w:spacing w:line="360" w:lineRule="auto"/>
        <w:ind w:firstLine="851"/>
        <w:jc w:val="left"/>
        <w:rPr>
          <w:b/>
          <w:sz w:val="28"/>
          <w:szCs w:val="28"/>
        </w:rPr>
      </w:pPr>
      <w:r w:rsidRPr="000C0848">
        <w:rPr>
          <w:b/>
          <w:sz w:val="28"/>
          <w:szCs w:val="28"/>
        </w:rPr>
        <w:lastRenderedPageBreak/>
        <w:t>Висновки до Розділу 1</w:t>
      </w:r>
    </w:p>
    <w:p w:rsidR="008630C8" w:rsidRPr="00DA279E" w:rsidRDefault="008630C8" w:rsidP="009348E3">
      <w:pPr>
        <w:spacing w:line="360" w:lineRule="auto"/>
        <w:ind w:firstLine="851"/>
        <w:rPr>
          <w:b/>
          <w:sz w:val="28"/>
          <w:szCs w:val="28"/>
        </w:rPr>
      </w:pPr>
    </w:p>
    <w:p w:rsidR="000B2C68" w:rsidRPr="00DA279E" w:rsidRDefault="000B2C68" w:rsidP="009348E3">
      <w:pPr>
        <w:spacing w:line="360" w:lineRule="auto"/>
        <w:ind w:firstLine="851"/>
        <w:rPr>
          <w:sz w:val="28"/>
          <w:szCs w:val="28"/>
        </w:rPr>
      </w:pPr>
      <w:r w:rsidRPr="00DA279E">
        <w:rPr>
          <w:sz w:val="28"/>
          <w:szCs w:val="28"/>
        </w:rPr>
        <w:t>У першому розділі було здійснено теоретичне обґрунтування зовнішньої політики Турецької Республіки в Чорноморському регіоні після 2022 року, що дозволило визначити концептуальні рамки дослідження та уточнити ключовий поняттєво-категоріальний апарат.</w:t>
      </w:r>
    </w:p>
    <w:p w:rsidR="000B2C68" w:rsidRPr="000C0848" w:rsidRDefault="000B2C68" w:rsidP="009348E3">
      <w:pPr>
        <w:spacing w:line="360" w:lineRule="auto"/>
        <w:ind w:firstLine="851"/>
        <w:rPr>
          <w:sz w:val="28"/>
          <w:szCs w:val="28"/>
          <w:lang w:val="ru-RU"/>
        </w:rPr>
      </w:pPr>
      <w:r w:rsidRPr="00DA279E">
        <w:rPr>
          <w:sz w:val="28"/>
          <w:szCs w:val="28"/>
        </w:rPr>
        <w:t xml:space="preserve">По-перше, аналіз ідейної основи зовнішньої політики Туреччини у межах політичного реалізму продемонстрував, що реалістична парадигма є адекватною теоретичною оптикою для пояснення дій Анкари в умовах регіональної нестабільності. Принципи Г. Моргентау – раціональність державної поведінки, пріоритет національного інтересу, влади та безпеки, важливість балансування між акторами – дозволяють зрозуміти, чому Туреччина дотримується прагматичної багатовекторності, уникає різкої конфронтації з великими державами та поєднує співпрацю з НАТО із збереженням діалогу з Росією. </w:t>
      </w:r>
      <w:r w:rsidRPr="000C0848">
        <w:rPr>
          <w:sz w:val="28"/>
          <w:szCs w:val="28"/>
          <w:lang w:val="ru-RU"/>
        </w:rPr>
        <w:t>У наднаціональному середовищі Туреччина діє як держава, що вибудовує автономну стратегію, реагуючи на зміни у структурі сил у регіоні.</w:t>
      </w:r>
    </w:p>
    <w:p w:rsidR="000B2C68" w:rsidRPr="000C0848" w:rsidRDefault="000B2C68" w:rsidP="009348E3">
      <w:pPr>
        <w:spacing w:line="360" w:lineRule="auto"/>
        <w:ind w:firstLine="851"/>
        <w:rPr>
          <w:sz w:val="28"/>
          <w:szCs w:val="28"/>
          <w:lang w:val="ru-RU"/>
        </w:rPr>
      </w:pPr>
      <w:r w:rsidRPr="000C0848">
        <w:rPr>
          <w:sz w:val="28"/>
          <w:szCs w:val="28"/>
          <w:lang w:val="ru-RU"/>
        </w:rPr>
        <w:t>По-друге, концептуальні підходи Р. Арона поглиблюють реалістичне пояснення, підкреслюючи поєднання сили, дипломатії та ідеологічних чинників у зовнішньополітичній поведінці. Туреччина, відповідно до цього підходу, використовує як військові інструменти (зміцнення флоту, модернізація оборонної галузі, зокрема дрони), так і дипломатичні механізми (медіація, зокрема у зерновій угоді). Аронова логіка конфліктності міжнародних відносин дозволяє пояснити, чому Анкара діє в умовах постійного протиборства інтересів, прагнучи зберігати стратегічну рівновагу.</w:t>
      </w:r>
    </w:p>
    <w:p w:rsidR="000B2C68" w:rsidRPr="000C0848" w:rsidRDefault="000B2C68" w:rsidP="009348E3">
      <w:pPr>
        <w:spacing w:line="360" w:lineRule="auto"/>
        <w:ind w:firstLine="851"/>
        <w:rPr>
          <w:sz w:val="28"/>
          <w:szCs w:val="28"/>
          <w:lang w:val="ru-RU"/>
        </w:rPr>
      </w:pPr>
      <w:r w:rsidRPr="000C0848">
        <w:rPr>
          <w:sz w:val="28"/>
          <w:szCs w:val="28"/>
          <w:lang w:val="ru-RU"/>
        </w:rPr>
        <w:t xml:space="preserve">По-третє, у підрозділі 1.2 було сформовано поняттєво-категоріальний апарат, який забезпечує аналітичну рамку подальшого дослідження. До ключових понять віднесено «геополітичний простір», «регіональну безпекову підсистему», «стратегічну автономію», «балансування», «середовище безпеки», «медіацію» та концепт «Mavi Vatan». Таке визначення термінів </w:t>
      </w:r>
      <w:r w:rsidRPr="000C0848">
        <w:rPr>
          <w:sz w:val="28"/>
          <w:szCs w:val="28"/>
          <w:lang w:val="ru-RU"/>
        </w:rPr>
        <w:lastRenderedPageBreak/>
        <w:t>дозволяє розглядати зовнішню політику Туреччини як багатовимірне явище, де географічні, військово-морські, економічні та дипломатичні фактори інтегруються в єдину стратегічну логіку. Підхід Б. Бузана дав можливість осмислити Чорноморський регіон як регіональну безпекову підсистему, у якій Туреччина відіграє роль балансира між Заходом та Росією.</w:t>
      </w:r>
    </w:p>
    <w:p w:rsidR="000B2C68" w:rsidRPr="000C0848" w:rsidRDefault="000B2C68" w:rsidP="009348E3">
      <w:pPr>
        <w:spacing w:line="360" w:lineRule="auto"/>
        <w:ind w:firstLine="851"/>
        <w:rPr>
          <w:sz w:val="28"/>
          <w:szCs w:val="28"/>
          <w:lang w:val="ru-RU"/>
        </w:rPr>
      </w:pPr>
      <w:r w:rsidRPr="000C0848">
        <w:rPr>
          <w:sz w:val="28"/>
          <w:szCs w:val="28"/>
          <w:lang w:val="ru-RU"/>
        </w:rPr>
        <w:t>У цілому, результати першого розділу засвідчують, що політичний реалізм та його сучасні інтерпретації є релевантною теоретичною основою для аналізу поведінки Туреччини у Чорноморському регіоні. Концептуалізація базових дефініцій створює необхідну методологічну основу для подальшого розгляду інструментів і практик турецької зовнішньої політики в наступних розділах роботи.</w:t>
      </w:r>
    </w:p>
    <w:p w:rsidR="00C40047" w:rsidRDefault="00C40047">
      <w:pPr>
        <w:spacing w:line="360" w:lineRule="auto"/>
        <w:ind w:firstLine="720"/>
        <w:rPr>
          <w:sz w:val="28"/>
          <w:szCs w:val="28"/>
          <w:lang w:val="ru-RU"/>
        </w:rPr>
      </w:pPr>
      <w:r>
        <w:rPr>
          <w:sz w:val="28"/>
          <w:szCs w:val="28"/>
          <w:lang w:val="ru-RU"/>
        </w:rPr>
        <w:br w:type="page"/>
      </w:r>
    </w:p>
    <w:p w:rsidR="0031284D" w:rsidRPr="00781762" w:rsidRDefault="0031284D" w:rsidP="009348E3">
      <w:pPr>
        <w:spacing w:line="360" w:lineRule="auto"/>
        <w:ind w:firstLine="709"/>
        <w:jc w:val="center"/>
        <w:rPr>
          <w:rFonts w:eastAsia="Calibri"/>
          <w:b/>
          <w:sz w:val="28"/>
          <w:szCs w:val="28"/>
        </w:rPr>
      </w:pPr>
      <w:r w:rsidRPr="00781762">
        <w:rPr>
          <w:rFonts w:eastAsia="Calibri"/>
          <w:b/>
          <w:sz w:val="28"/>
          <w:szCs w:val="28"/>
        </w:rPr>
        <w:lastRenderedPageBreak/>
        <w:t>РОЗДІЛ 2.</w:t>
      </w:r>
    </w:p>
    <w:p w:rsidR="0031284D" w:rsidRPr="00781762" w:rsidRDefault="0031284D" w:rsidP="009348E3">
      <w:pPr>
        <w:spacing w:line="360" w:lineRule="auto"/>
        <w:ind w:firstLine="709"/>
        <w:jc w:val="center"/>
        <w:rPr>
          <w:rFonts w:eastAsia="Calibri"/>
          <w:b/>
          <w:sz w:val="28"/>
          <w:szCs w:val="28"/>
        </w:rPr>
      </w:pPr>
      <w:r w:rsidRPr="00781762">
        <w:rPr>
          <w:rFonts w:eastAsia="Calibri"/>
          <w:b/>
          <w:sz w:val="28"/>
          <w:szCs w:val="28"/>
        </w:rPr>
        <w:t>ВІДНОСИНИ ТУРЕЦЬКОЇ РЕСПУБЛІКИ ТА РОСІЇ</w:t>
      </w:r>
    </w:p>
    <w:p w:rsidR="005735A0" w:rsidRPr="00781762" w:rsidRDefault="005735A0" w:rsidP="009348E3">
      <w:pPr>
        <w:spacing w:line="360" w:lineRule="auto"/>
        <w:ind w:firstLine="709"/>
        <w:jc w:val="center"/>
        <w:rPr>
          <w:rFonts w:eastAsia="Calibri"/>
          <w:b/>
          <w:sz w:val="28"/>
          <w:szCs w:val="28"/>
        </w:rPr>
      </w:pPr>
    </w:p>
    <w:p w:rsidR="005735A0" w:rsidRPr="00781762" w:rsidRDefault="005735A0" w:rsidP="000A1818">
      <w:pPr>
        <w:spacing w:line="360" w:lineRule="auto"/>
        <w:ind w:firstLine="851"/>
        <w:jc w:val="left"/>
        <w:rPr>
          <w:b/>
          <w:sz w:val="28"/>
          <w:szCs w:val="28"/>
        </w:rPr>
      </w:pPr>
      <w:r w:rsidRPr="00781762">
        <w:rPr>
          <w:b/>
          <w:sz w:val="28"/>
          <w:szCs w:val="28"/>
        </w:rPr>
        <w:t>2.1 Геополітичні засади зовнішньої політики Росії та Туреччини</w:t>
      </w:r>
    </w:p>
    <w:p w:rsidR="005735A0" w:rsidRPr="000C0848" w:rsidRDefault="005735A0" w:rsidP="009348E3">
      <w:pPr>
        <w:spacing w:line="360" w:lineRule="auto"/>
        <w:ind w:firstLine="851"/>
        <w:rPr>
          <w:b/>
          <w:sz w:val="28"/>
          <w:szCs w:val="28"/>
        </w:rPr>
      </w:pPr>
    </w:p>
    <w:p w:rsidR="006C5BA1" w:rsidRPr="006C5BA1" w:rsidRDefault="006C5BA1" w:rsidP="006C5BA1">
      <w:pPr>
        <w:spacing w:line="360" w:lineRule="auto"/>
        <w:ind w:firstLine="851"/>
        <w:rPr>
          <w:sz w:val="28"/>
          <w:szCs w:val="28"/>
        </w:rPr>
      </w:pPr>
      <w:r w:rsidRPr="006C5BA1">
        <w:rPr>
          <w:sz w:val="28"/>
          <w:szCs w:val="28"/>
        </w:rPr>
        <w:t>Росія та Туреччина – це держави, які мають експансивну геополітичну концепцію і р</w:t>
      </w:r>
      <w:bookmarkStart w:id="1" w:name="_GoBack"/>
      <w:bookmarkEnd w:id="1"/>
      <w:r w:rsidRPr="006C5BA1">
        <w:rPr>
          <w:sz w:val="28"/>
          <w:szCs w:val="28"/>
        </w:rPr>
        <w:t>озуміють, що найкращий спосіб забезпечити внутрішню стабільність і регіональний баланс – це контроль над географічними територіями, що їх оточують (</w:t>
      </w:r>
      <w:r w:rsidRPr="006C5BA1">
        <w:rPr>
          <w:sz w:val="28"/>
          <w:szCs w:val="28"/>
          <w:lang w:val="ru-RU"/>
        </w:rPr>
        <w:t>Kaplan</w:t>
      </w:r>
      <w:r w:rsidRPr="006C5BA1">
        <w:rPr>
          <w:sz w:val="28"/>
          <w:szCs w:val="28"/>
        </w:rPr>
        <w:t xml:space="preserve">, 2012; </w:t>
      </w:r>
      <w:r w:rsidRPr="006C5BA1">
        <w:rPr>
          <w:sz w:val="28"/>
          <w:szCs w:val="28"/>
          <w:lang w:val="ru-RU"/>
        </w:rPr>
        <w:t>Cornell</w:t>
      </w:r>
      <w:r w:rsidRPr="006C5BA1">
        <w:rPr>
          <w:sz w:val="28"/>
          <w:szCs w:val="28"/>
        </w:rPr>
        <w:t xml:space="preserve"> &amp; </w:t>
      </w:r>
      <w:r w:rsidRPr="006C5BA1">
        <w:rPr>
          <w:sz w:val="28"/>
          <w:szCs w:val="28"/>
          <w:lang w:val="ru-RU"/>
        </w:rPr>
        <w:t>Nilsson</w:t>
      </w:r>
      <w:r w:rsidRPr="006C5BA1">
        <w:rPr>
          <w:sz w:val="28"/>
          <w:szCs w:val="28"/>
        </w:rPr>
        <w:t>, 2023). Це концепція безпеки, яка має історичні корені і ґрунтується на незадоволенні розподілом влади в міжнародному порядку, який вони вважають несправедливим і з яким вони не відчувають себе комфортно (</w:t>
      </w:r>
      <w:r w:rsidRPr="006C5BA1">
        <w:rPr>
          <w:sz w:val="28"/>
          <w:szCs w:val="28"/>
          <w:lang w:val="ru-RU"/>
        </w:rPr>
        <w:t>Buzan</w:t>
      </w:r>
      <w:r w:rsidRPr="006C5BA1">
        <w:rPr>
          <w:sz w:val="28"/>
          <w:szCs w:val="28"/>
        </w:rPr>
        <w:t xml:space="preserve"> </w:t>
      </w:r>
      <w:r w:rsidRPr="006C5BA1">
        <w:rPr>
          <w:sz w:val="28"/>
          <w:szCs w:val="28"/>
          <w:lang w:val="ru-RU"/>
        </w:rPr>
        <w:t>et</w:t>
      </w:r>
      <w:r w:rsidRPr="006C5BA1">
        <w:rPr>
          <w:sz w:val="28"/>
          <w:szCs w:val="28"/>
        </w:rPr>
        <w:t xml:space="preserve"> </w:t>
      </w:r>
      <w:r w:rsidRPr="006C5BA1">
        <w:rPr>
          <w:sz w:val="28"/>
          <w:szCs w:val="28"/>
          <w:lang w:val="ru-RU"/>
        </w:rPr>
        <w:t>al</w:t>
      </w:r>
      <w:r w:rsidRPr="006C5BA1">
        <w:rPr>
          <w:sz w:val="28"/>
          <w:szCs w:val="28"/>
        </w:rPr>
        <w:t xml:space="preserve">., 1998; </w:t>
      </w:r>
      <w:r w:rsidRPr="006C5BA1">
        <w:rPr>
          <w:sz w:val="28"/>
          <w:szCs w:val="28"/>
          <w:lang w:val="ru-RU"/>
        </w:rPr>
        <w:t>Aras</w:t>
      </w:r>
      <w:r w:rsidRPr="006C5BA1">
        <w:rPr>
          <w:sz w:val="28"/>
          <w:szCs w:val="28"/>
        </w:rPr>
        <w:t xml:space="preserve"> &amp; Ö</w:t>
      </w:r>
      <w:r w:rsidRPr="006C5BA1">
        <w:rPr>
          <w:sz w:val="28"/>
          <w:szCs w:val="28"/>
          <w:lang w:val="ru-RU"/>
        </w:rPr>
        <w:t>zbay</w:t>
      </w:r>
      <w:r w:rsidRPr="006C5BA1">
        <w:rPr>
          <w:sz w:val="28"/>
          <w:szCs w:val="28"/>
        </w:rPr>
        <w:t>, 2022). Ці дві держави є суверенними, але також мають високий ступінь взаємозалежності, що випливає з географічної близькості, регіональної конкуренції та збігу інтересів (</w:t>
      </w:r>
      <w:r w:rsidRPr="006C5BA1">
        <w:rPr>
          <w:sz w:val="28"/>
          <w:szCs w:val="28"/>
          <w:lang w:val="ru-RU"/>
        </w:rPr>
        <w:t>Demirta</w:t>
      </w:r>
      <w:r w:rsidRPr="006C5BA1">
        <w:rPr>
          <w:sz w:val="28"/>
          <w:szCs w:val="28"/>
        </w:rPr>
        <w:t xml:space="preserve">ş, 2023; </w:t>
      </w:r>
      <w:r w:rsidRPr="006C5BA1">
        <w:rPr>
          <w:sz w:val="28"/>
          <w:szCs w:val="28"/>
          <w:lang w:val="ru-RU"/>
        </w:rPr>
        <w:t>Kiri</w:t>
      </w:r>
      <w:r w:rsidRPr="006C5BA1">
        <w:rPr>
          <w:sz w:val="28"/>
          <w:szCs w:val="28"/>
        </w:rPr>
        <w:t>ş</w:t>
      </w:r>
      <w:r w:rsidRPr="006C5BA1">
        <w:rPr>
          <w:sz w:val="28"/>
          <w:szCs w:val="28"/>
          <w:lang w:val="ru-RU"/>
        </w:rPr>
        <w:t>ci</w:t>
      </w:r>
      <w:r w:rsidRPr="006C5BA1">
        <w:rPr>
          <w:sz w:val="28"/>
          <w:szCs w:val="28"/>
        </w:rPr>
        <w:t xml:space="preserve"> &amp; </w:t>
      </w:r>
      <w:r w:rsidRPr="006C5BA1">
        <w:rPr>
          <w:sz w:val="28"/>
          <w:szCs w:val="28"/>
          <w:lang w:val="ru-RU"/>
        </w:rPr>
        <w:t>Toyg</w:t>
      </w:r>
      <w:r w:rsidRPr="006C5BA1">
        <w:rPr>
          <w:sz w:val="28"/>
          <w:szCs w:val="28"/>
        </w:rPr>
        <w:t>ü</w:t>
      </w:r>
      <w:r w:rsidRPr="006C5BA1">
        <w:rPr>
          <w:sz w:val="28"/>
          <w:szCs w:val="28"/>
          <w:lang w:val="ru-RU"/>
        </w:rPr>
        <w:t>r</w:t>
      </w:r>
      <w:r w:rsidRPr="006C5BA1">
        <w:rPr>
          <w:sz w:val="28"/>
          <w:szCs w:val="28"/>
        </w:rPr>
        <w:t>, 2023). Проблема виникає, коли території, які кожна з них вважає своєю зоною впливу, збігаються з територіями сусідів, що призводить до різних форм конкуренції або співпраці в Чорному морі, на Кавказі або в Центральній Азії, а також у Північній Африці та на Близькому Сході (</w:t>
      </w:r>
      <w:r w:rsidRPr="006C5BA1">
        <w:rPr>
          <w:sz w:val="28"/>
          <w:szCs w:val="28"/>
          <w:lang w:val="ru-RU"/>
        </w:rPr>
        <w:t>Gorenburg</w:t>
      </w:r>
      <w:r w:rsidRPr="006C5BA1">
        <w:rPr>
          <w:sz w:val="28"/>
          <w:szCs w:val="28"/>
        </w:rPr>
        <w:t xml:space="preserve">, 2022; </w:t>
      </w:r>
      <w:r w:rsidRPr="006C5BA1">
        <w:rPr>
          <w:sz w:val="28"/>
          <w:szCs w:val="28"/>
          <w:lang w:val="ru-RU"/>
        </w:rPr>
        <w:t>G</w:t>
      </w:r>
      <w:r w:rsidRPr="006C5BA1">
        <w:rPr>
          <w:sz w:val="28"/>
          <w:szCs w:val="28"/>
        </w:rPr>
        <w:t>ü</w:t>
      </w:r>
      <w:r w:rsidRPr="006C5BA1">
        <w:rPr>
          <w:sz w:val="28"/>
          <w:szCs w:val="28"/>
          <w:lang w:val="ru-RU"/>
        </w:rPr>
        <w:t>rcan</w:t>
      </w:r>
      <w:r w:rsidRPr="006C5BA1">
        <w:rPr>
          <w:sz w:val="28"/>
          <w:szCs w:val="28"/>
        </w:rPr>
        <w:t>, 2022). Нинішній конфлікт в Україні дав їм історичну можливість об'єднатися і відіграти провідну роль на шахівниці нового світового порядку, чого досі їм відмовляли, але тепер вони мають хорошу нагоду цього досягти (</w:t>
      </w:r>
      <w:r w:rsidRPr="006C5BA1">
        <w:rPr>
          <w:sz w:val="28"/>
          <w:szCs w:val="28"/>
          <w:lang w:val="ru-RU"/>
        </w:rPr>
        <w:t>Dalay</w:t>
      </w:r>
      <w:r w:rsidRPr="006C5BA1">
        <w:rPr>
          <w:sz w:val="28"/>
          <w:szCs w:val="28"/>
        </w:rPr>
        <w:t xml:space="preserve">, 2022; </w:t>
      </w:r>
      <w:r w:rsidRPr="006C5BA1">
        <w:rPr>
          <w:sz w:val="28"/>
          <w:szCs w:val="28"/>
          <w:lang w:val="ru-RU"/>
        </w:rPr>
        <w:t>Cornell</w:t>
      </w:r>
      <w:r w:rsidRPr="006C5BA1">
        <w:rPr>
          <w:sz w:val="28"/>
          <w:szCs w:val="28"/>
        </w:rPr>
        <w:t xml:space="preserve"> &amp; </w:t>
      </w:r>
      <w:r w:rsidRPr="006C5BA1">
        <w:rPr>
          <w:sz w:val="28"/>
          <w:szCs w:val="28"/>
          <w:lang w:val="ru-RU"/>
        </w:rPr>
        <w:t>Nilsson</w:t>
      </w:r>
      <w:r w:rsidRPr="006C5BA1">
        <w:rPr>
          <w:sz w:val="28"/>
          <w:szCs w:val="28"/>
        </w:rPr>
        <w:t>, 2023).</w:t>
      </w:r>
    </w:p>
    <w:p w:rsidR="006C5BA1" w:rsidRPr="006C5BA1" w:rsidRDefault="006C5BA1" w:rsidP="006C5BA1">
      <w:pPr>
        <w:spacing w:line="360" w:lineRule="auto"/>
        <w:ind w:firstLine="851"/>
        <w:rPr>
          <w:sz w:val="28"/>
          <w:szCs w:val="28"/>
          <w:lang w:val="ru-RU"/>
        </w:rPr>
      </w:pPr>
      <w:r w:rsidRPr="006C5BA1">
        <w:rPr>
          <w:sz w:val="28"/>
          <w:szCs w:val="28"/>
          <w:lang w:val="ru-RU"/>
        </w:rPr>
        <w:t xml:space="preserve">Кілька років тому американський мислитель Роберт Каплан написав книгу під назвою «Помста географії», в якій стверджував, що сила нації та її стратегія безпеки пов'язані з географією, і що саме використання географії підтримує процвітання та сприяє розширенню її впливу (Kaplan, 2012). Це стосується Росії та Туреччини, двох держав, для яких лише контроль над природними географічними просторами, що їх оточують, гарантує внутрішню стабільність та регіональну рівновагу (Aydın, 2023). Проблема </w:t>
      </w:r>
      <w:r w:rsidRPr="006C5BA1">
        <w:rPr>
          <w:sz w:val="28"/>
          <w:szCs w:val="28"/>
          <w:lang w:val="ru-RU"/>
        </w:rPr>
        <w:lastRenderedPageBreak/>
        <w:t>виникає, коли простори, які кожна з них вважає такими, що знаходяться в зоні її впливу, збігаються з просторами сусідніх держав (Gökmen, 2022; Gürcan, 2022).</w:t>
      </w:r>
    </w:p>
    <w:p w:rsidR="006C5BA1" w:rsidRPr="006C5BA1" w:rsidRDefault="006C5BA1" w:rsidP="006C5BA1">
      <w:pPr>
        <w:spacing w:line="360" w:lineRule="auto"/>
        <w:ind w:firstLine="851"/>
        <w:rPr>
          <w:sz w:val="28"/>
          <w:szCs w:val="28"/>
          <w:lang w:val="ru-RU"/>
        </w:rPr>
      </w:pPr>
      <w:r w:rsidRPr="006C5BA1">
        <w:rPr>
          <w:sz w:val="28"/>
          <w:szCs w:val="28"/>
          <w:lang w:val="ru-RU"/>
        </w:rPr>
        <w:t>Росія та Туреччина — це дві держави, поведінка яких у міжнародному порядку досить добре відповідає реалістичному уявленню про відносини між державами з геополітичними амбіціями (Morgenthau, 1947; Walt, 1987). Ці дві держави є суверенними, але також підтримують між собою високий рівень взаємозалежності, що випливає з географічної близькості, регіональної конкуренції та збігу інтересів (Aras &amp; Özbay, 2022). Суверенітет вони розуміють як здатність кожної з них вирішувати власні проблеми безпеки відповідно до своєї національної потужності, вимірюваної в термінах розміру, демографії, багатства та військової сили (Mearsheimer, 2021; Buzan et al., 1998). Таким чином, їхня поведінка визначається з точки зору національних інтересів, тобто залежно від обсягу влади, яку кожна з них має по відношенню до інших держав як на регіональному, так і на глобальному рівні (Walt, 1987; Aydın, 2023). Чим більше вони мають цих факторів, тим сильнішими є. Їх різне ставлення до конфронтації або співпраці, яке вони демонструють у географічних регіонах Чорного моря, Кавказу або Центральної Азії, а також у Північній Африці або на Близькому Сході, відповідає концепції безпеки, яка має історичні корені і ґрунтується на незгоді з розподілом влади в міжнародному порядку, який вони вважають несправедливим і в якому вони не почуваються комфортно (Cornell &amp; Nilsson, 2023; Gorenburg, 2022).</w:t>
      </w:r>
    </w:p>
    <w:p w:rsidR="006C5BA1" w:rsidRPr="006C5BA1" w:rsidRDefault="006C5BA1" w:rsidP="006C5BA1">
      <w:pPr>
        <w:spacing w:line="360" w:lineRule="auto"/>
        <w:ind w:firstLine="851"/>
        <w:rPr>
          <w:sz w:val="28"/>
          <w:szCs w:val="28"/>
          <w:lang w:val="ru-RU"/>
        </w:rPr>
      </w:pPr>
      <w:r w:rsidRPr="006C5BA1">
        <w:rPr>
          <w:sz w:val="28"/>
          <w:szCs w:val="28"/>
          <w:lang w:val="ru-RU"/>
        </w:rPr>
        <w:t xml:space="preserve">У будь-який момент або за будь-яких історичних обставин кожна з них прагнула збільшити свою національну владу, зазвичай нав'язуючи свою волю сусідам, а якщо це було неможливо, то співпрацюючи з ними (Hill, 2003). Їхня національна політика є по суті геополітичною і базується на принципі, що єдиний «адекватний» рівень безпеки полягає в тому, щоб бути домінуючими в географічних просторах, де вони конкурують, або, якщо це неможливо, утворювати союзи за обставинами, щоб запобігти домінуванню </w:t>
      </w:r>
      <w:r w:rsidRPr="006C5BA1">
        <w:rPr>
          <w:sz w:val="28"/>
          <w:szCs w:val="28"/>
          <w:lang w:val="ru-RU"/>
        </w:rPr>
        <w:lastRenderedPageBreak/>
        <w:t>будь-кого з інших (Öniş &amp; Yılmaz, 2015). Це не означає, що протистояння є постійним природним станом між ними, ані що конкуренція обмежується виключно суміжними географічними просторами або військовою сферою, але кожна з них прагматично визначає стратегію, яка найкраще відповідає її інтересам, часто за рахунок інших (Dedeoğlu, 2022). Таким чином, Росія та Туреччина можуть вирішувати, чи доцільно застосовувати силу, і коли це робити, виходячи з важливості, яку вони надають своїм національним інтересам у кожному географічному регіоні (Kardaş, 2020). Це робить протистояння постійною рисою їхньої історії, а також означає, що війна між ними може спалахнути в будь-який момент. Однак, як прагматичні держави, їхня політика керується національними інтересами більше, ніж ідеологією, тому вони здатні об'єднуватися між собою, якщо вважають, що альтернативні витрати, які це передбачає, є прийнятними, і робити це як тимчасово, так і географічно (Dalay, 2022).</w:t>
      </w:r>
    </w:p>
    <w:p w:rsidR="006C5BA1" w:rsidRPr="006C5BA1" w:rsidRDefault="006C5BA1" w:rsidP="006C5BA1">
      <w:pPr>
        <w:spacing w:line="360" w:lineRule="auto"/>
        <w:ind w:firstLine="851"/>
        <w:rPr>
          <w:sz w:val="28"/>
          <w:szCs w:val="28"/>
          <w:lang w:val="ru-RU"/>
        </w:rPr>
      </w:pPr>
      <w:r w:rsidRPr="006C5BA1">
        <w:rPr>
          <w:sz w:val="28"/>
          <w:szCs w:val="28"/>
          <w:lang w:val="ru-RU"/>
        </w:rPr>
        <w:t>Після 2022 року, на тлі повномасштабної агресії Росії проти України, взаємини між Туреччиною та Росією набули нової конфігурації (Kuzio, 2023). Туреччина, будучи членом НАТО, зайняла унікальну позицію: з одного боку, вона підтримала територіальну цілісність України та надала їй військово-технічну допомогу, а з іншого — зберегла канали політичного діалогу з Москвою та відмовилася приєднуватися до західних санкцій (Fidan, 2022). Це дозволило Анкарі перетворитися на ключового посередника у Чорноморському регіоні, насамперед через запуск та реалізацію Чорноморської зернової ініціативи (UN, 2022).</w:t>
      </w:r>
    </w:p>
    <w:p w:rsidR="005735A0" w:rsidRDefault="006C5BA1" w:rsidP="006C5BA1">
      <w:pPr>
        <w:spacing w:line="360" w:lineRule="auto"/>
        <w:ind w:firstLine="851"/>
        <w:rPr>
          <w:sz w:val="28"/>
          <w:szCs w:val="28"/>
          <w:lang w:val="ru-RU"/>
        </w:rPr>
      </w:pPr>
      <w:r w:rsidRPr="006C5BA1">
        <w:rPr>
          <w:sz w:val="28"/>
          <w:szCs w:val="28"/>
          <w:lang w:val="ru-RU"/>
        </w:rPr>
        <w:t xml:space="preserve">У Чорному морі обидві держави прагнуть зберегти власні зони впливу, однак застосовують різні інструменти. Росія намагається забезпечити військовий контроль над акваторією, тоді як Туреччина використовує комбінацію дипломатії, посередництва та регіональної інтеграції, спираючись на Конвенцію Монтре як інструмент контролю над проходом військових кораблів (Yorulmaz, 2023). Таким чином, конфлікт в Україні створив для Анкари унікальне «вікно можливостей» для посилення власної </w:t>
      </w:r>
      <w:r w:rsidRPr="006C5BA1">
        <w:rPr>
          <w:sz w:val="28"/>
          <w:szCs w:val="28"/>
          <w:lang w:val="ru-RU"/>
        </w:rPr>
        <w:lastRenderedPageBreak/>
        <w:t>ролі у регіоні та переосмислення відносин із Росією з позиції сильнішого, ніж у попередні роки (Aydın-Düzgit, 2023).</w:t>
      </w:r>
    </w:p>
    <w:p w:rsidR="00AF39F1" w:rsidRPr="000C0848" w:rsidRDefault="00AF39F1" w:rsidP="006C5BA1">
      <w:pPr>
        <w:spacing w:line="360" w:lineRule="auto"/>
        <w:ind w:firstLine="851"/>
        <w:rPr>
          <w:sz w:val="28"/>
          <w:szCs w:val="28"/>
          <w:lang w:val="ru-RU"/>
        </w:rPr>
      </w:pPr>
    </w:p>
    <w:p w:rsidR="005735A0" w:rsidRPr="000C0848" w:rsidRDefault="005735A0" w:rsidP="009348E3">
      <w:pPr>
        <w:spacing w:line="360" w:lineRule="auto"/>
        <w:ind w:firstLine="851"/>
        <w:rPr>
          <w:b/>
          <w:sz w:val="28"/>
          <w:szCs w:val="28"/>
        </w:rPr>
      </w:pPr>
      <w:r w:rsidRPr="000C0848">
        <w:rPr>
          <w:b/>
          <w:sz w:val="28"/>
          <w:szCs w:val="28"/>
        </w:rPr>
        <w:t>2.2 Спільні риси Росії та Туреччини</w:t>
      </w:r>
    </w:p>
    <w:p w:rsidR="005735A0" w:rsidRPr="000C0848" w:rsidRDefault="005735A0" w:rsidP="009348E3">
      <w:pPr>
        <w:spacing w:line="360" w:lineRule="auto"/>
        <w:ind w:firstLine="851"/>
        <w:rPr>
          <w:b/>
          <w:sz w:val="28"/>
          <w:szCs w:val="28"/>
        </w:rPr>
      </w:pPr>
    </w:p>
    <w:p w:rsidR="004243C1" w:rsidRPr="004243C1" w:rsidRDefault="004243C1" w:rsidP="004243C1">
      <w:pPr>
        <w:spacing w:line="360" w:lineRule="auto"/>
        <w:ind w:firstLine="851"/>
        <w:rPr>
          <w:sz w:val="28"/>
          <w:szCs w:val="28"/>
          <w:lang w:val="ru-RU"/>
        </w:rPr>
      </w:pPr>
      <w:r w:rsidRPr="004243C1">
        <w:rPr>
          <w:sz w:val="28"/>
          <w:szCs w:val="28"/>
          <w:lang w:val="ru-RU"/>
        </w:rPr>
        <w:t xml:space="preserve">Якщо проаналізувати ці дві держави та порівняти їх у геополітичному плані, Росія виявляється потужнішою (Cornell &amp; Nilsson, 2023). Її територія є найбільшою у світі (Kaplan, 2012). Її населення, що становить 140 мільйонів осіб, значно перевищує населення, яке становить лише 85 мільйонів осіб в Туреччині (Cornell &amp; Nilsson, 2023). Також в економічному плані Росія багатша, з валовим внутрішнім продуктом у перерахунку на купівельну спроможність в півтора рази більшим за Туреччину (Mearsheimer, 2021). Якщо говорити про військові аспекти і не брати до уваги збитки, спричинені війною в Україні, то російські збройні сили за кількісними показниками дорівнюють сукупним збройним силам Туреччини та, наприклад, Ірану (Gorenburg, 2022; Gürcan, 2022). Також російська військова промисловість є набагато потужнішою, ніж у інших країн, хоча турецька промисловість останніми роками швидко зростає і має деякі галузі спеціалізації, де вона є технологічним лідером, як, наприклад, у випадку з дронами (Yanik, 2021; Daily Sabah, 2023). Тобто, з чисто кількісної точки зору, Росія має деякі характеристики великої держави (Walt, 1987), хоча її участь у війні в Україні, слабкість її демографії та нездатність отримати доступ до найсучасніших технологій дозволяють також визначити її як державу, що занепадає (Ohanyan, 2018; Mearsheimer, 2021), оскільки її військова та економічна потужність слабшає і віддаляється від великих держав світових домінуючих держав, якими є США та Китай (Kaplan, 2012; Mearsheimer, 2021). Навпаки, неучасть Туреччини у війні в Україні, її краща демографічна ситуація та більший економічний ріст в останні роки, незважаючи на поточну кризу в Туреччині, призвели до зростання її геополітичної ваги в абсолютному вираженні та зменшення її відставання від Росії в відносному вираженні </w:t>
      </w:r>
      <w:r w:rsidRPr="004243C1">
        <w:rPr>
          <w:sz w:val="28"/>
          <w:szCs w:val="28"/>
          <w:lang w:val="ru-RU"/>
        </w:rPr>
        <w:lastRenderedPageBreak/>
        <w:t>(Aydın, 2023; Demirtaş, 2023; Yeşiltaş, 2022; EDAM, 2023). Це більша рівність двох держав має природне відображення у відносинах влади між ними (Wendt, 1999; Jervis, 1978).</w:t>
      </w:r>
    </w:p>
    <w:p w:rsidR="004243C1" w:rsidRPr="004243C1" w:rsidRDefault="004243C1" w:rsidP="004243C1">
      <w:pPr>
        <w:spacing w:line="360" w:lineRule="auto"/>
        <w:ind w:firstLine="851"/>
        <w:rPr>
          <w:sz w:val="28"/>
          <w:szCs w:val="28"/>
          <w:lang w:val="ru-RU"/>
        </w:rPr>
      </w:pPr>
      <w:r w:rsidRPr="004243C1">
        <w:rPr>
          <w:sz w:val="28"/>
          <w:szCs w:val="28"/>
          <w:lang w:val="ru-RU"/>
        </w:rPr>
        <w:t>Якщо проаналізувати геополітичну ситуацію та спробувати визначити деякі спільні риси, що характеризують ці дві держави, можна виділити наступні. По-перше, вони мають месіанське бачення себе і вірять, що покликані відігравати фундаментальну роль у розвитку історії (Kaplan, 2012; Davutoğlu, 2001).</w:t>
      </w:r>
    </w:p>
    <w:p w:rsidR="004243C1" w:rsidRPr="004243C1" w:rsidRDefault="004243C1" w:rsidP="004243C1">
      <w:pPr>
        <w:spacing w:line="360" w:lineRule="auto"/>
        <w:ind w:firstLine="851"/>
        <w:rPr>
          <w:sz w:val="28"/>
          <w:szCs w:val="28"/>
          <w:lang w:val="ru-RU"/>
        </w:rPr>
      </w:pPr>
      <w:r w:rsidRPr="004243C1">
        <w:rPr>
          <w:sz w:val="28"/>
          <w:szCs w:val="28"/>
          <w:lang w:val="ru-RU"/>
        </w:rPr>
        <w:t>По-друге, це ревізіоністські держави, які вважають себе жертвами ліберального порядку і, отже, ставлять його під сумнів (Mearsheimer, 2021; Walt, 1987). З різних позицій вони вважають, що такий порядок, як він задуманий, шкодить їм (Keyman, 2021). Росія прагне створити спільно з Китаєм альтернативний порядок, в якому міжнародна влада буде краще розподілена і в якому США вже не будуть домінуючою державою (Kaplan, 2012; Mearsheimer, 2021). Туреччина, у свою чергу, не ставить під сумнів ліберальний порядок відкрито, вона скоріше вважає, що в нинішній ситуації невизначеності може отримати від нього вигоду, скориставшись можливостями, які надає їй конкуренція між великими державами (Yeşiltaş, 2022; EDAM, 2023).</w:t>
      </w:r>
    </w:p>
    <w:p w:rsidR="004243C1" w:rsidRPr="004243C1" w:rsidRDefault="004243C1" w:rsidP="004243C1">
      <w:pPr>
        <w:spacing w:line="360" w:lineRule="auto"/>
        <w:ind w:firstLine="851"/>
        <w:rPr>
          <w:sz w:val="28"/>
          <w:szCs w:val="28"/>
          <w:lang w:val="ru-RU"/>
        </w:rPr>
      </w:pPr>
      <w:r w:rsidRPr="004243C1">
        <w:rPr>
          <w:sz w:val="28"/>
          <w:szCs w:val="28"/>
          <w:lang w:val="ru-RU"/>
        </w:rPr>
        <w:t>По-третє, міжнародна поведінка цих держав має сильний ідеологічний компонент, і вони керуються авторитарними лідерами (Davutoğlu, 2001; Seyrek, 2023). Також вони мають експансіоністські амбіції. Вони мають або геополітичний характер, спрямований на розширення впливу в периферійних регіонах — які Росія називає своїм «близьким зарубіжжям» (Kaplan, 2012; Gürcan, 2022) — або як у випадку Туреччини, яка все більше зсувається в бік ісламізму, але також має геополітичні амбіції в сусідніх регіонах, які колись належали до Османської імперії і які вона вважає такими, що залишаються в її сфері впливу (Davutoğlu, 2001; Taşpınar, 2011; Yeşiltaş, 2022).</w:t>
      </w:r>
    </w:p>
    <w:p w:rsidR="004243C1" w:rsidRPr="004243C1" w:rsidRDefault="004243C1" w:rsidP="004243C1">
      <w:pPr>
        <w:spacing w:line="360" w:lineRule="auto"/>
        <w:ind w:firstLine="851"/>
        <w:rPr>
          <w:sz w:val="28"/>
          <w:szCs w:val="28"/>
          <w:lang w:val="ru-RU"/>
        </w:rPr>
      </w:pPr>
      <w:r w:rsidRPr="004243C1">
        <w:rPr>
          <w:sz w:val="28"/>
          <w:szCs w:val="28"/>
          <w:lang w:val="ru-RU"/>
        </w:rPr>
        <w:t xml:space="preserve">По-четверте, ці держави готові застосовувати силу для просування своїх інтересів або безпосередньо, або через посередників — так званих </w:t>
      </w:r>
      <w:r w:rsidRPr="004243C1">
        <w:rPr>
          <w:sz w:val="28"/>
          <w:szCs w:val="28"/>
          <w:lang w:val="ru-RU"/>
        </w:rPr>
        <w:lastRenderedPageBreak/>
        <w:t>проксі — або ж використовуючи гібридні стратегії, як у випадку Росії з використанням компанії «Вагнер» у Сирії, Лівії або Сахелі (Hoffman, 2007; Gürcan, 2022), або Туреччини, яка використовує Азербайджан як делегованого актора проти Вірменії у своїй спробі завоювати Кавказ (Kirişci &amp; Toygür, 2023; Coffey &amp; Kasapoğlu, 2023). Зрештою, ці країни є прагматичними державами, здатними досягати угод з антагоністичними державами та об'єднуватися між собою в певних ситуаціях, і водночас конкурувати в інших (Wendt, 1999; Jervis, 1978; Aras &amp; Özbay, 2022).</w:t>
      </w:r>
    </w:p>
    <w:p w:rsidR="004243C1" w:rsidRPr="004243C1" w:rsidRDefault="004243C1" w:rsidP="009348E3">
      <w:pPr>
        <w:spacing w:line="360" w:lineRule="auto"/>
        <w:ind w:firstLine="851"/>
        <w:rPr>
          <w:sz w:val="28"/>
          <w:szCs w:val="28"/>
          <w:lang w:val="ru-RU"/>
        </w:rPr>
      </w:pPr>
    </w:p>
    <w:p w:rsidR="005735A0" w:rsidRPr="000C0848" w:rsidRDefault="005735A0" w:rsidP="009348E3">
      <w:pPr>
        <w:spacing w:line="360" w:lineRule="auto"/>
        <w:ind w:firstLine="851"/>
        <w:rPr>
          <w:sz w:val="28"/>
          <w:szCs w:val="28"/>
        </w:rPr>
      </w:pPr>
    </w:p>
    <w:p w:rsidR="005735A0" w:rsidRPr="000C0848" w:rsidRDefault="005735A0" w:rsidP="009348E3">
      <w:pPr>
        <w:spacing w:line="360" w:lineRule="auto"/>
        <w:ind w:firstLine="851"/>
        <w:rPr>
          <w:b/>
          <w:sz w:val="28"/>
          <w:szCs w:val="28"/>
          <w:lang w:val="ru-RU"/>
        </w:rPr>
      </w:pPr>
      <w:r w:rsidRPr="000C0848">
        <w:rPr>
          <w:b/>
          <w:sz w:val="28"/>
          <w:szCs w:val="28"/>
        </w:rPr>
        <w:t xml:space="preserve">2.3 </w:t>
      </w:r>
      <w:r w:rsidRPr="000C0848">
        <w:rPr>
          <w:b/>
          <w:sz w:val="28"/>
          <w:szCs w:val="28"/>
          <w:lang w:val="ru-RU"/>
        </w:rPr>
        <w:t>Вплив геополітики на відносини між Росією та Туреччиною</w:t>
      </w:r>
    </w:p>
    <w:p w:rsidR="005735A0" w:rsidRDefault="005735A0" w:rsidP="009348E3">
      <w:pPr>
        <w:spacing w:line="360" w:lineRule="auto"/>
        <w:ind w:firstLine="851"/>
        <w:rPr>
          <w:b/>
          <w:sz w:val="28"/>
          <w:szCs w:val="28"/>
          <w:lang w:val="ru-RU"/>
        </w:rPr>
      </w:pPr>
    </w:p>
    <w:p w:rsidR="004243C1" w:rsidRPr="004243C1" w:rsidRDefault="004243C1" w:rsidP="004243C1">
      <w:pPr>
        <w:spacing w:line="360" w:lineRule="auto"/>
        <w:ind w:firstLine="851"/>
        <w:rPr>
          <w:sz w:val="28"/>
          <w:szCs w:val="28"/>
          <w:lang w:val="ru-RU"/>
        </w:rPr>
      </w:pPr>
      <w:r w:rsidRPr="004243C1">
        <w:rPr>
          <w:sz w:val="28"/>
          <w:szCs w:val="28"/>
          <w:lang w:val="ru-RU"/>
        </w:rPr>
        <w:t xml:space="preserve">Хоча ці держави мають геополітичні моделі з численними спільними рисами, кожна з них має власні особливості, що відрізняють її від інших. Росія завжди мала імперські амбіції і завжди вважала себе однією з націй, обраних провидінням для здійснення месіанського проекту: виступати посередником між Сходом і Заходом, стаючи водночас гарантом прав слов'янських народів (Kaplan, 2012; Ohanyan, 2018). Її історія традиційно характеризувалася експансіоністською політикою, заснованою на використанні сили для завоювання величезних територій, що простягаються від Західної Європи до Тихого океану (Mearsheimer, 2021; Gürcan, 2022). Протягом століть експансія прямувала на південь, до гір Кавказу та гірських хребтів Центральної Азії; на схід, до Тихого океану, та на північ, до крижаних вод Арктичного океану (Kaplan, 2012). Однак російська експансія на захід мала такий недолік, як відсутність природних перешкод, які б слугували природним кордоном, та зіткнення з європейськими державами, які історично були потужними (Kaplan, 2012; Buzan, Wæver, &amp; de Wilde, 1998). Російська геополітична концепція в цьому регіоні базувалася на створенні буферних зон, так званих «буферних держав», які б запобігали прямій конфронтації з центральноєвропейськими державами, які завжди з </w:t>
      </w:r>
      <w:r w:rsidRPr="004243C1">
        <w:rPr>
          <w:sz w:val="28"/>
          <w:szCs w:val="28"/>
          <w:lang w:val="ru-RU"/>
        </w:rPr>
        <w:lastRenderedPageBreak/>
        <w:t>підозрою ставилися до російського експансіонізму (Kaplan, 2012; Gürcan, 2022).</w:t>
      </w:r>
    </w:p>
    <w:p w:rsidR="004243C1" w:rsidRPr="004243C1" w:rsidRDefault="004243C1" w:rsidP="004243C1">
      <w:pPr>
        <w:spacing w:line="360" w:lineRule="auto"/>
        <w:ind w:firstLine="851"/>
        <w:rPr>
          <w:sz w:val="28"/>
          <w:szCs w:val="28"/>
          <w:lang w:val="ru-RU"/>
        </w:rPr>
      </w:pPr>
      <w:r w:rsidRPr="004243C1">
        <w:rPr>
          <w:sz w:val="28"/>
          <w:szCs w:val="28"/>
          <w:lang w:val="ru-RU"/>
        </w:rPr>
        <w:t>Отже, російська геополітика з моменту заснування держави відповідає пошуку безпечних кордонів. Але ця експансія не була мирною, а глибоко агресивною (Ohanyan, 2018; Hoffman, 2007). З часів Петра I, справжнього творця російської нації, російські лідери неодноразово проголошували необхідність застосування сили в інтересах процвітання і величі Росії, навіть якщо це означало утримання нації в постійному стані війни (Kaplan, 2012; Morgenthau, 1947). У цьому сенсі бачення російської держави було в основному геополітичним, використовуючи на свою користь переваги, які надає їй її географія — з великою кількістю потужних річок, що протікають з півночі на південь і з півдня на північ і сприяють проникненню (Kaplan, 2012; Gürcan, 2022) — та особливості її суворого клімату, який захищав її в критичні моменти від європейських вторгнень (Kaplan, 2012; Buzan, Wæver, &amp; de Wilde, 1998). Також євразійська степ була природним шляхом комунікації та експансії до і з Східної Сибіру та Тихого океану (Kaplan, 2012; Gürcan, 2022).</w:t>
      </w:r>
    </w:p>
    <w:p w:rsidR="004243C1" w:rsidRPr="004243C1" w:rsidRDefault="004243C1" w:rsidP="004243C1">
      <w:pPr>
        <w:spacing w:line="360" w:lineRule="auto"/>
        <w:ind w:firstLine="851"/>
        <w:rPr>
          <w:sz w:val="28"/>
          <w:szCs w:val="28"/>
          <w:lang w:val="ru-RU"/>
        </w:rPr>
      </w:pPr>
      <w:r w:rsidRPr="004243C1">
        <w:rPr>
          <w:sz w:val="28"/>
          <w:szCs w:val="28"/>
          <w:lang w:val="ru-RU"/>
        </w:rPr>
        <w:t xml:space="preserve">Така позиція Росії зумовлена геополітичною поведінкою, яку реалістичні теоретики, такі як Джон Міршаймер, вважають нормальною для великих держав: спочатку вони розширюються на регіональному рівні, а потім — на глобальному, і при цьому стикаються з іншими державами, які до того часу були домінуючими (Mearsheimer, 2021, с. 48–58). Апогей експансії Росії припав на період холодної війни, а її закінчення, з відповідним географічним скороченням, стало глибокою травмою для російської держави, яка завжди вважала себе світовою державою (Kaplan, 2012; Morgenthau, 1947). Її сучасна геополітика спрямована на відновлення, наскільки це можливо, втрачених територій (Gürcan, 2022; Ohanyan, 2018). Євразійський союз, який Росія збирається просувати починаючи з другого десятиліття цього століття, відповідає цій регенеративній меті, в якій поєднуються центральноазіатські країни, що історично належали до тюркського світу, і з </w:t>
      </w:r>
      <w:r w:rsidRPr="004243C1">
        <w:rPr>
          <w:sz w:val="28"/>
          <w:szCs w:val="28"/>
          <w:lang w:val="ru-RU"/>
        </w:rPr>
        <w:lastRenderedPageBreak/>
        <w:t>іншими європейськими країнами, такими як Білорусь (Kaplan, 2012; Gürcan, 2022). У цьому політичному експерименті Україна відіграє вирішальну роль у запобіганні надмірному зміщенню центру ваги Росії в бік Азії (Cornell &amp; Nilsson, 2023; Kirişci &amp; Toygür, 2023). Те саме стосується Кавказу, який, на думку Росії, належить до її найближчого закордону і, отже, знаходиться в зоні її впливу (Gürcan, 2022; Kaplan, 2012).</w:t>
      </w:r>
    </w:p>
    <w:p w:rsidR="004243C1" w:rsidRPr="004243C1" w:rsidRDefault="004243C1" w:rsidP="004243C1">
      <w:pPr>
        <w:spacing w:line="360" w:lineRule="auto"/>
        <w:ind w:firstLine="851"/>
        <w:rPr>
          <w:sz w:val="28"/>
          <w:szCs w:val="28"/>
          <w:lang w:val="ru-RU"/>
        </w:rPr>
      </w:pPr>
      <w:r w:rsidRPr="004243C1">
        <w:rPr>
          <w:sz w:val="28"/>
          <w:szCs w:val="28"/>
          <w:lang w:val="ru-RU"/>
        </w:rPr>
        <w:t>Проблема такого амбітного задуму полягає в тому, що Росія не має достатнього геополітичного впливу, щоб здійснити реорганізацію своєї зони впливу, не вступивши в конфлікт зі своїми сусідами, зокрема Туреччиною, тому її геополітичні амбіції перевищують її власні можливості досягти успіху (Gürcan, 2022; Kaplan, 2012). Незначний ВВП у порівнянні з іншими великими державами та відчутне демографічне скорочення населення означають, що лише військова та ядерна потужність, а також природні ресурси, переважно енергетичні, дозволяють Росії підтримувати свої амбіції глобальної держави, що буде залежати від результату війни в Україні (Yergin, 2006; Kaplan, 2012; Gürcan, 2022). Експансіоністська поведінка Росії історично приводила її до конфронтації з Туреччиною та сусідніми державами, створюючи стан майже постійного конфлікту, в якому Росія традиційно брала гору (Kaplan, 2012; Gürcan, 2022; Buzan, Wæver, &amp; de Wilde, 1998). Однак сьогодні ситуація змінилася. Війна в Україні дозволяє Туреччині, яка також має інтереси в тих самих прикордонних районах, скористатися нинішньою ситуацією більшої слабкості Росії, щоб просунути свої позиції в регіонах, які традиційно перебували під впливом Росії (Kirişci &amp; Toygür, 2023; Coffey &amp; Kasapoğlu, 2023).</w:t>
      </w:r>
    </w:p>
    <w:p w:rsidR="004243C1" w:rsidRPr="004243C1" w:rsidRDefault="004243C1" w:rsidP="004243C1">
      <w:pPr>
        <w:spacing w:line="360" w:lineRule="auto"/>
        <w:ind w:firstLine="851"/>
        <w:rPr>
          <w:sz w:val="28"/>
          <w:szCs w:val="28"/>
          <w:lang w:val="ru-RU"/>
        </w:rPr>
      </w:pPr>
      <w:r w:rsidRPr="004243C1">
        <w:rPr>
          <w:sz w:val="28"/>
          <w:szCs w:val="28"/>
          <w:lang w:val="ru-RU"/>
        </w:rPr>
        <w:t xml:space="preserve">У цьому сенсі геополітична поведінка Туреччини відповідає тому, що ми могли б назвати «пробудженням середніх держав» (The new world order and the rise of the middle powers, 2022). У випадку Туреччини її положення між Азією, Африкою та Європою дозволяє їй сильно впливати на Кавказ, Центральну Азію, Балкани та Близький Схід і скористатися можливостями, які надає ситуація безладу в міжнародній системі, щоб стати домінуючою </w:t>
      </w:r>
      <w:r w:rsidRPr="004243C1">
        <w:rPr>
          <w:sz w:val="28"/>
          <w:szCs w:val="28"/>
          <w:lang w:val="ru-RU"/>
        </w:rPr>
        <w:lastRenderedPageBreak/>
        <w:t>регіональною державою, здатною конкурувати на рівних з Росією (Kirişci &amp; Toygür, 2023; Coffey &amp; Kasapoğlu, 2023). В останні роки Туреччина розвиває розумну політику експансії — яку підсилила війна в Україні (Khan, 2022) —, засновану на використанні конфліктів і створенні напруженості, а також на використанні вакууму влади, що виник внаслідок виходу інших держав, таких як Росія, США або Франція, з певних географічних регіонів (Sinan, 2023; Coffey &amp; Kasapoğlu, 2023).</w:t>
      </w:r>
    </w:p>
    <w:p w:rsidR="004243C1" w:rsidRPr="004243C1" w:rsidRDefault="004243C1" w:rsidP="004243C1">
      <w:pPr>
        <w:spacing w:line="360" w:lineRule="auto"/>
        <w:ind w:firstLine="851"/>
        <w:rPr>
          <w:sz w:val="28"/>
          <w:szCs w:val="28"/>
          <w:lang w:val="ru-RU"/>
        </w:rPr>
      </w:pPr>
      <w:r w:rsidRPr="004243C1">
        <w:rPr>
          <w:sz w:val="28"/>
          <w:szCs w:val="28"/>
          <w:lang w:val="ru-RU"/>
        </w:rPr>
        <w:t>Для цього вона використовувала сумнівні, але успішні інструменти влади, такі як подвійна гра в НАТО для такого сценарію, як Україна, де її роль є щонайменше суперечливою (EDAM, n.d.; Ildem, 2023). До цього поняття також належить використання в геополітичних цілях своєї «м'якої сили» — як, наприклад, посередництво в угоді про експорт зерна з України через Чорне море (Özdemir, 2023), союз з Росією в певні моменти на сирійській арені (Aras &amp; Özbay, 2022) або використання таких держав-представників, як Азербайджан, для просування своїх інтересів на Кавказі (Taşpınar, 2011; Coffey &amp; Kasapoğlu, 2023).</w:t>
      </w:r>
    </w:p>
    <w:p w:rsidR="004243C1" w:rsidRPr="004243C1" w:rsidRDefault="004243C1" w:rsidP="004243C1">
      <w:pPr>
        <w:spacing w:line="360" w:lineRule="auto"/>
        <w:ind w:firstLine="851"/>
        <w:rPr>
          <w:sz w:val="28"/>
          <w:szCs w:val="28"/>
          <w:lang w:val="ru-RU"/>
        </w:rPr>
      </w:pPr>
      <w:r w:rsidRPr="004243C1">
        <w:rPr>
          <w:sz w:val="28"/>
          <w:szCs w:val="28"/>
          <w:lang w:val="ru-RU"/>
        </w:rPr>
        <w:t>Традиційна турецька геополітика, розроблена за часів Кемаля Ататюрка, заснована на принципі «мир у Туреччині, мир у світі» (Seyrek, 2023), була замінена певним неоімперіалізмом, кінцевою метою якого є відновлення в максимально можливих географічних межах колишньої Османської імперії (Denizeau, 2021). Це означало кардинальну зміну у зовнішній політиці партії AKP президента Ердогана, яка на початку століття базувалася на принципі «нульових проблем із сусідами», за допомогою якого Анкара прагнула розширити вплив Туреччини, налагоджуючи торговельні зв'язки, сприяючи демократії та підкреслюючи свою ісламську ідентичність (Davutoğlu, 2010).</w:t>
      </w:r>
    </w:p>
    <w:p w:rsidR="004243C1" w:rsidRPr="004243C1" w:rsidRDefault="004243C1" w:rsidP="004243C1">
      <w:pPr>
        <w:spacing w:line="360" w:lineRule="auto"/>
        <w:ind w:firstLine="851"/>
        <w:rPr>
          <w:sz w:val="28"/>
          <w:szCs w:val="28"/>
          <w:lang w:val="ru-RU"/>
        </w:rPr>
      </w:pPr>
      <w:r w:rsidRPr="004243C1">
        <w:rPr>
          <w:sz w:val="28"/>
          <w:szCs w:val="28"/>
          <w:lang w:val="ru-RU"/>
        </w:rPr>
        <w:t xml:space="preserve">Однак з 2000-х років ця політика стала більш авторитарною всередині країни і більш наполегливою на міжнародному рівні. Зараз Туреччина вважає, за словами колишнього міністра закордонних справ Ахмета Давутоглу (Davutoğlu, 2001, 2010), що вона має «стратегічну глибину» як </w:t>
      </w:r>
      <w:r w:rsidRPr="004243C1">
        <w:rPr>
          <w:sz w:val="28"/>
          <w:szCs w:val="28"/>
          <w:lang w:val="ru-RU"/>
        </w:rPr>
        <w:lastRenderedPageBreak/>
        <w:t>країна Близького Сходу, Балкан, Кавказу, Центральної Азії, Каспію, Середземномор'я, Перської затоки та Чорного моря, що дозволяє їй реалізовувати багатовекторну зовнішню політику та претендувати на центральну роль у світовій політиці. Доктрина стратегічної глибини, що стала керівним принципом зовнішньої політики ПСР, передбачає, що Туреччина може одночасно впливати на всі ці регіони та претендувати на стратегічну роль у світі (Murinson, 2010; Davutoğlu, 2001). Туреччина повинна розвивати проактивну політику, що відповідає її історичній та географічній глибині, підсиленій османською спадщиною. Ця доктрина, розвинена в усій її повноті, ставить Туреччину на шлях зіткнення з її російськими сусідами (Murinson, 2010; Coffey &amp; Kasapoğlu, 2023).</w:t>
      </w:r>
    </w:p>
    <w:p w:rsidR="004243C1" w:rsidRPr="004243C1" w:rsidRDefault="004243C1" w:rsidP="004243C1">
      <w:pPr>
        <w:spacing w:line="360" w:lineRule="auto"/>
        <w:ind w:firstLine="851"/>
        <w:rPr>
          <w:sz w:val="28"/>
          <w:szCs w:val="28"/>
          <w:lang w:val="ru-RU"/>
        </w:rPr>
      </w:pPr>
      <w:r w:rsidRPr="004243C1">
        <w:rPr>
          <w:sz w:val="28"/>
          <w:szCs w:val="28"/>
          <w:lang w:val="ru-RU"/>
        </w:rPr>
        <w:t>Так само її стратегія, відома як «Блакитна батьківщина» (Denizeau, 2021), спрямована на розширення турецького впливу в регіоні, а кінцевою метою є домінування Туреччини в Середземномор'ї та відновлення торговельної та морської могутності, яку колись мали османи (Gürdeniz, 2019; Akgün, 2010). Ця експансіоністська стратегія представляє, крім розширеного бачення морських кордонів Туреччини в Середземному морі, спробу перепозиціонувати країну як морську потугу (Gürdeniz, 2019; Coffey &amp; Kasapoğlu, 2023). У цьому сенсі, і згідно з наративом її творців, геополітичні інтереси Туреччини будуть в основному обумовлені геополітичними мотивами, а в їх основі лежатиме невдоволення Туреччини Заходом (Yeşiltaş, 2022; Keyman, 2021).</w:t>
      </w:r>
    </w:p>
    <w:p w:rsidR="004243C1" w:rsidRPr="004243C1" w:rsidRDefault="004243C1" w:rsidP="004243C1">
      <w:pPr>
        <w:spacing w:line="360" w:lineRule="auto"/>
        <w:ind w:firstLine="851"/>
        <w:rPr>
          <w:sz w:val="28"/>
          <w:szCs w:val="28"/>
          <w:lang w:val="ru-RU"/>
        </w:rPr>
      </w:pPr>
      <w:r w:rsidRPr="004243C1">
        <w:rPr>
          <w:sz w:val="28"/>
          <w:szCs w:val="28"/>
          <w:lang w:val="ru-RU"/>
        </w:rPr>
        <w:t>З іншого боку, Туреччина має географічний актив, що має велике геополітичне значення, а саме протоки Босфор і Дарданелли, життєво важливі морські шляхи, що з'єднують Чорне і Егейське моря і через які щороку проходять сотні мільйонів тонн вантажів. Контроль над ними був наданий Туреччині Конвенцією Монтре 1936 року (Karaosmanoğlu, 2022; Özkan, 2020), а війна між Росією та Україною надзвичайно підвищила їх стратегічну цінність (Coffey &amp; Kasapoğlu, 2023; The Kyiv Independent, 2024).</w:t>
      </w:r>
      <w:r>
        <w:rPr>
          <w:sz w:val="28"/>
          <w:szCs w:val="28"/>
          <w:lang w:val="ru-RU"/>
        </w:rPr>
        <w:t xml:space="preserve"> </w:t>
      </w:r>
      <w:r w:rsidRPr="004243C1">
        <w:rPr>
          <w:sz w:val="28"/>
          <w:szCs w:val="28"/>
          <w:lang w:val="ru-RU"/>
        </w:rPr>
        <w:t xml:space="preserve">Але амбіції Туреччини на цьому не закінчуються. Президент Ердоган прагне </w:t>
      </w:r>
      <w:r w:rsidRPr="004243C1">
        <w:rPr>
          <w:sz w:val="28"/>
          <w:szCs w:val="28"/>
          <w:lang w:val="ru-RU"/>
        </w:rPr>
        <w:lastRenderedPageBreak/>
        <w:t>ще більше розширити вплив Туреччини, особливо на Близькому Сході, де зменшення присутності США та слабкість Росії залишили вакуум, який Анкара сподівається заповнити (Sinan, 2023; Khan, 2022). Це означає рішучу зміну в турецькій зовнішній політиці, спрямовану на розширення її військового та дипломатичного впливу. В останні роки Туреччина розпочала військові інтервенції в таких країнах, як Ірак, Лівія та Сирія (Aras &amp; Özbay, 2022; Coffey &amp; Kasapoğlu, 2023); постачала дрони своїм партнерам, таким як Ефіопія та Україна (Aydın, 2023); будувала ісламські школи за кордоном (Taşpınar, 2011); і використовувала Азербайджан як «делегованого гравця» у своєму конфлікті з Вірменією щодо регіону Нагірний Карабах (Champion &amp; Halpin, 2023; Coffey &amp; Kasapoğlu, 2023).</w:t>
      </w:r>
    </w:p>
    <w:p w:rsidR="004243C1" w:rsidRPr="004243C1" w:rsidRDefault="004243C1" w:rsidP="009348E3">
      <w:pPr>
        <w:spacing w:line="360" w:lineRule="auto"/>
        <w:ind w:firstLine="851"/>
        <w:rPr>
          <w:sz w:val="28"/>
          <w:szCs w:val="28"/>
          <w:lang w:val="ru-RU"/>
        </w:rPr>
      </w:pPr>
    </w:p>
    <w:p w:rsidR="00C45199" w:rsidRDefault="00C45199" w:rsidP="009348E3">
      <w:pPr>
        <w:spacing w:line="360" w:lineRule="auto"/>
        <w:ind w:firstLine="851"/>
        <w:rPr>
          <w:b/>
          <w:sz w:val="28"/>
          <w:szCs w:val="28"/>
        </w:rPr>
      </w:pPr>
    </w:p>
    <w:p w:rsidR="005735A0" w:rsidRPr="000C0848" w:rsidRDefault="005735A0" w:rsidP="000A1818">
      <w:pPr>
        <w:spacing w:line="360" w:lineRule="auto"/>
        <w:ind w:firstLine="851"/>
        <w:rPr>
          <w:b/>
          <w:sz w:val="28"/>
          <w:szCs w:val="28"/>
          <w:lang w:val="ru-RU"/>
        </w:rPr>
      </w:pPr>
      <w:r w:rsidRPr="000C0848">
        <w:rPr>
          <w:b/>
          <w:sz w:val="28"/>
          <w:szCs w:val="28"/>
        </w:rPr>
        <w:t xml:space="preserve">2.4 </w:t>
      </w:r>
      <w:r w:rsidRPr="000C0848">
        <w:rPr>
          <w:b/>
          <w:sz w:val="28"/>
          <w:szCs w:val="28"/>
          <w:lang w:val="ru-RU"/>
        </w:rPr>
        <w:t>Росія і Туреччина. Між конкуренцією та співпрацею</w:t>
      </w:r>
    </w:p>
    <w:p w:rsidR="005735A0" w:rsidRPr="000C0848" w:rsidRDefault="005735A0" w:rsidP="009348E3">
      <w:pPr>
        <w:spacing w:line="360" w:lineRule="auto"/>
        <w:ind w:firstLine="851"/>
        <w:rPr>
          <w:b/>
          <w:sz w:val="28"/>
          <w:szCs w:val="28"/>
          <w:lang w:val="ru-RU"/>
        </w:rPr>
      </w:pPr>
    </w:p>
    <w:p w:rsidR="004243C1" w:rsidRPr="004243C1" w:rsidRDefault="004243C1" w:rsidP="004243C1">
      <w:pPr>
        <w:spacing w:line="360" w:lineRule="auto"/>
        <w:ind w:firstLine="851"/>
        <w:rPr>
          <w:sz w:val="28"/>
          <w:szCs w:val="28"/>
          <w:lang w:val="ru-RU"/>
        </w:rPr>
      </w:pPr>
      <w:r w:rsidRPr="004243C1">
        <w:rPr>
          <w:sz w:val="28"/>
          <w:szCs w:val="28"/>
          <w:lang w:val="ru-RU"/>
        </w:rPr>
        <w:t>Відносини між Росією і Туреччиною традиційно були конкурентними, що багато разів призводило до конфронтації. Експансія Росії до Чорного моря відбувалася за рахунок Туреччини, з якою вона вела тринадцять воєн, починаючи з середини XVI століття і до початку XX століття (Kaplan, 2012; Kaplan, 2012). Не дивно, що під час Першої світової війни відносини між цими двома державами були відкрито ворожими, хоча Росія, більш потужна у військовому плані, займала домінуюче становище в прилеглих регіонах Чорного моря, на Балканах, Кавказі та в Центральній Азії, де її інтереси збігалися з інтересами Туреччини (Gökmen, 2022; Cornell &amp; Nilsson, 2023).</w:t>
      </w:r>
    </w:p>
    <w:p w:rsidR="004243C1" w:rsidRPr="004243C1" w:rsidRDefault="004243C1" w:rsidP="004243C1">
      <w:pPr>
        <w:spacing w:line="360" w:lineRule="auto"/>
        <w:ind w:firstLine="851"/>
        <w:rPr>
          <w:sz w:val="28"/>
          <w:szCs w:val="28"/>
          <w:lang w:val="ru-RU"/>
        </w:rPr>
      </w:pPr>
      <w:r w:rsidRPr="004243C1">
        <w:rPr>
          <w:sz w:val="28"/>
          <w:szCs w:val="28"/>
          <w:lang w:val="ru-RU"/>
        </w:rPr>
        <w:t xml:space="preserve">З кінця холодної війни відносини між Туреччиною та Росією коливалися від геополітичної конкуренції до взаємовигідної співпраці, що дозволило, незважаючи на розбіжності, обом державам дотримуватися паралельних стратегій співпраці, які принесли їм взаємну вигоду. Прикладом цього є атомна електростанція Аккую, грандіозний проект, фінансуваний російською компанією на турецькій території, який був відкритий у 2023 році </w:t>
      </w:r>
      <w:r w:rsidRPr="004243C1">
        <w:rPr>
          <w:sz w:val="28"/>
          <w:szCs w:val="28"/>
          <w:lang w:val="ru-RU"/>
        </w:rPr>
        <w:lastRenderedPageBreak/>
        <w:t>в розпал вторгнення в Україну і який, за прогнозами, у 2026 році забезпечить 10 % споживання електроенергії всієї Туреччини (Burge, 2023). Іншим яскравим прикладом такої політики співпраці є угоди про придбання Туреччиною системи протиракетної оборони С-400. Ця покупка збігається з бажанням Туреччини досягти більшої стратегічної автономії від Заходом в аерокосмічній та оборонній промисловості шляхом диверсифікації закупок своїх систем озброєння (Sánchez Tapia, 2022), одночасно задовольняючи свої потреби в безпеці.</w:t>
      </w:r>
    </w:p>
    <w:p w:rsidR="004243C1" w:rsidRPr="004243C1" w:rsidRDefault="004243C1" w:rsidP="004243C1">
      <w:pPr>
        <w:spacing w:line="360" w:lineRule="auto"/>
        <w:ind w:firstLine="851"/>
        <w:rPr>
          <w:sz w:val="28"/>
          <w:szCs w:val="28"/>
          <w:lang w:val="ru-RU"/>
        </w:rPr>
      </w:pPr>
      <w:r w:rsidRPr="004243C1">
        <w:rPr>
          <w:sz w:val="28"/>
          <w:szCs w:val="28"/>
          <w:lang w:val="ru-RU"/>
        </w:rPr>
        <w:t>Однак Анкара, здається, не зацікавлена в надмірному розвитку своїх відносин з Росією, щоб уникнути незручної залежності. У війні між Росією та Україною Туреччина намагалася знайти складний баланс між обома країнами, не виявляючи надто великих докорів сумління, «тримаючи ногу в обох таборах» (Edwards, 2023) і використовуючи на свою користь виснаження Росії. Туреччина постачала критично важливе військове обладнання для української оборони, таке як грізні бойові дрони Bayraktar Tb2, підтримала голосування в Генеральній Асамблеї ООН, яке засуджувало російське вторгнення, заборонила прохід усіх військових кораблів через турецькі протоки та заблокувала свій повітряний простір для російських літаків, що прямували до Сирії. Але, з іншого боку, Туреччина виступила проти західних санкцій проти Росії через власні енергетичні потреби і залишила відкритими двері для російського туризму (Gaber, 2022; Akar, 2025). Ця амбівалентна позиція дозволила їй позиціонувати себе як посередника в конфлікті і використовувати свою м’яку силу для сприяння у переговорах щодо угоди про постачання українського зерна на світові ринки (Gaber, 2022; Özdemir, 2023).</w:t>
      </w:r>
    </w:p>
    <w:p w:rsidR="004243C1" w:rsidRPr="00D26238" w:rsidRDefault="00D26238" w:rsidP="009348E3">
      <w:pPr>
        <w:spacing w:line="360" w:lineRule="auto"/>
        <w:ind w:firstLine="851"/>
        <w:rPr>
          <w:sz w:val="28"/>
          <w:szCs w:val="28"/>
        </w:rPr>
      </w:pPr>
      <w:r w:rsidRPr="00D26238">
        <w:rPr>
          <w:sz w:val="28"/>
          <w:szCs w:val="28"/>
        </w:rPr>
        <w:t xml:space="preserve">Ці амбівалентні відносини між Росією і Туреччиною мають додатковий стратегічний вимір у периферійних регіонах, де мінлива ситуація в Чорному морі змусила обидві країни зайняти нові геополітичні позиції. Росія проводить політику безпеки на своїх кордонах, прагнучи контролювати території, розташовані в її найближчому зарубіжжі, але при цьому </w:t>
      </w:r>
      <w:r w:rsidRPr="00D26238">
        <w:rPr>
          <w:sz w:val="28"/>
          <w:szCs w:val="28"/>
        </w:rPr>
        <w:lastRenderedPageBreak/>
        <w:t>утримуючи витрати і ризики на прийнятному рівні (Mearsheimer, 2014). Її впевнена політика супроводжувалася стратегією асиметричної «дружби», яка дозволила Росії, завдяки більш тісним взаємозалежним відносинам, уникнути виникнення блоку сусідніх держав на чолі з Туреччиною, спрямованого проти не</w:t>
      </w:r>
      <w:r>
        <w:rPr>
          <w:sz w:val="28"/>
          <w:szCs w:val="28"/>
        </w:rPr>
        <w:t>ї (Dalay, </w:t>
      </w:r>
      <w:r w:rsidRPr="00D26238">
        <w:rPr>
          <w:sz w:val="28"/>
          <w:szCs w:val="28"/>
        </w:rPr>
        <w:t>2022).</w:t>
      </w:r>
    </w:p>
    <w:p w:rsidR="00D26238" w:rsidRPr="00D26238" w:rsidRDefault="00D26238" w:rsidP="00D26238">
      <w:pPr>
        <w:spacing w:line="360" w:lineRule="auto"/>
        <w:ind w:firstLine="851"/>
        <w:rPr>
          <w:sz w:val="28"/>
          <w:szCs w:val="28"/>
        </w:rPr>
      </w:pPr>
      <w:r w:rsidRPr="00D26238">
        <w:rPr>
          <w:sz w:val="28"/>
          <w:szCs w:val="28"/>
        </w:rPr>
        <w:t>Зі свого боку, Туреччина виступає як ревізіоністська держава, яка вміє дуже добре використовувати можливості, що надає їй нинішня нестабільність міжнародного порядку, для збалансування асиметрії у двосторонніх відносинах з Росією та досягнення більшої незалежності у міжнародних справах (</w:t>
      </w:r>
      <w:r w:rsidRPr="00D26238">
        <w:rPr>
          <w:sz w:val="28"/>
          <w:szCs w:val="28"/>
          <w:lang w:val="ru-RU"/>
        </w:rPr>
        <w:t>Ta</w:t>
      </w:r>
      <w:r w:rsidRPr="00D26238">
        <w:rPr>
          <w:sz w:val="28"/>
          <w:szCs w:val="28"/>
        </w:rPr>
        <w:t>ş</w:t>
      </w:r>
      <w:r w:rsidRPr="00D26238">
        <w:rPr>
          <w:sz w:val="28"/>
          <w:szCs w:val="28"/>
          <w:lang w:val="ru-RU"/>
        </w:rPr>
        <w:t>p</w:t>
      </w:r>
      <w:r w:rsidRPr="00D26238">
        <w:rPr>
          <w:sz w:val="28"/>
          <w:szCs w:val="28"/>
        </w:rPr>
        <w:t>ı</w:t>
      </w:r>
      <w:r w:rsidRPr="00D26238">
        <w:rPr>
          <w:sz w:val="28"/>
          <w:szCs w:val="28"/>
          <w:lang w:val="ru-RU"/>
        </w:rPr>
        <w:t>nar</w:t>
      </w:r>
      <w:r w:rsidRPr="00D26238">
        <w:rPr>
          <w:sz w:val="28"/>
          <w:szCs w:val="28"/>
        </w:rPr>
        <w:t>, 2023). Це вилилося у більшу інтервенціоністську активність у регіонах, що належали до колишньої Османської імперії і які Туреччина вважає частиною своєї сфери впливу (</w:t>
      </w:r>
      <w:r w:rsidRPr="00D26238">
        <w:rPr>
          <w:sz w:val="28"/>
          <w:szCs w:val="28"/>
          <w:lang w:val="ru-RU"/>
        </w:rPr>
        <w:t>Karako</w:t>
      </w:r>
      <w:r w:rsidRPr="00D26238">
        <w:rPr>
          <w:sz w:val="28"/>
          <w:szCs w:val="28"/>
        </w:rPr>
        <w:t>ç, 2022).</w:t>
      </w:r>
    </w:p>
    <w:p w:rsidR="00D26238" w:rsidRPr="00D26238" w:rsidRDefault="00D26238" w:rsidP="00D26238">
      <w:pPr>
        <w:spacing w:line="360" w:lineRule="auto"/>
        <w:ind w:firstLine="851"/>
        <w:rPr>
          <w:sz w:val="28"/>
          <w:szCs w:val="28"/>
          <w:lang w:val="ru-RU"/>
        </w:rPr>
      </w:pPr>
      <w:r w:rsidRPr="00D26238">
        <w:rPr>
          <w:sz w:val="28"/>
          <w:szCs w:val="28"/>
          <w:lang w:val="ru-RU"/>
        </w:rPr>
        <w:t>В результаті Росія і Туреччина можуть домовлятися в Чорному морі про експорт зерна і водночас бути геополітичними суперниками в сусідніх регіонах. Східне Середземномор'я, регіон Чорного моря та Південний Кавказ є зонами, де російські та турецькі інтереси найінтенсивніше збігаються та конкурують (Özdemir, 2023). Сирія є типовим полігоном для цієї конкуренції, де обидві країни підтримують протилежні сторони. Росія підтримує уряд президента Асада, тоді як Туреччина окупувала прикордонну смугу на півночі країни, чому протистоїть уряд Дамаска (Gaber, 2022). Це не завадило обом державам домовитися про мирний процес, започаткований в Астані в січні 2017 року з метою припинення війни в Сирії, причому підтримка територіальної цілісності Сирії стала спільною основою для досягнення консенсусу (Karakoç, 2022).</w:t>
      </w:r>
    </w:p>
    <w:p w:rsidR="00D26238" w:rsidRPr="00D26238" w:rsidRDefault="00D26238" w:rsidP="00D26238">
      <w:pPr>
        <w:spacing w:line="360" w:lineRule="auto"/>
        <w:ind w:firstLine="851"/>
        <w:rPr>
          <w:sz w:val="28"/>
          <w:szCs w:val="28"/>
          <w:lang w:val="ru-RU"/>
        </w:rPr>
      </w:pPr>
      <w:r w:rsidRPr="00D26238">
        <w:rPr>
          <w:sz w:val="28"/>
          <w:szCs w:val="28"/>
          <w:lang w:val="ru-RU"/>
        </w:rPr>
        <w:t xml:space="preserve">Однак занепокоєння Туреччини з приводу безпеки, яке вилилося в окупацію великої прикордонної зони на півночі, завадило перетворити цю обмежену сферу згоди на ефективне управління колективною безпекою в усій країні (Edwards, 2023). Незважаючи на цю складність, діалоги в Астані не були припинені і залишаються фундаментальними для управління нестабільною ситуацією в Сирії (Özdemir, 2023). У будь-якому разі </w:t>
      </w:r>
      <w:r w:rsidRPr="00D26238">
        <w:rPr>
          <w:sz w:val="28"/>
          <w:szCs w:val="28"/>
          <w:lang w:val="ru-RU"/>
        </w:rPr>
        <w:lastRenderedPageBreak/>
        <w:t>турецький уряд усвідомлює ризики поляризованих відносин з Росією в контексті, коли курдське питання та розкол між ісламістами та світськими силами створюють значні перешкоди для реалізації стратегічного потенціалу Туреччини та становлять серйозну перешкоду для її прагнень стати домінуючою регіональною потугою (Taşpınar, 2023).</w:t>
      </w:r>
    </w:p>
    <w:p w:rsidR="00D26238" w:rsidRPr="00D26238" w:rsidRDefault="00D26238" w:rsidP="00D26238">
      <w:pPr>
        <w:spacing w:line="360" w:lineRule="auto"/>
        <w:ind w:firstLine="851"/>
        <w:rPr>
          <w:sz w:val="28"/>
          <w:szCs w:val="28"/>
          <w:lang w:val="ru-RU"/>
        </w:rPr>
      </w:pPr>
      <w:r w:rsidRPr="00D26238">
        <w:rPr>
          <w:sz w:val="28"/>
          <w:szCs w:val="28"/>
          <w:lang w:val="ru-RU"/>
        </w:rPr>
        <w:t>Те саме відбувається в Лівії, де обидві держави підтримують протилежні сторони: Росія підтримує генерала Халіфу Хафтера та Палату представників у Тобруку, яка домінує у східному регіоні Кіренаїка, а Туреччина підтримує уряд національної єдності президента Дбейби, який контролює Тріполітанію, включаючи столицю Тріполі (Dalay, 2022). Водночас Туреччина демонструє зростаючу геополітичну схильність до Євразії, орієнтовану на республіки Центральної Азії та Кавказу (Азербайджан), з якими Туреччина має історичну, етнічну та мовну спорідненість, але які, однак, до недавнього часу входили до зони впливу Росії (Karakoç, 2022).</w:t>
      </w:r>
    </w:p>
    <w:p w:rsidR="00D26238" w:rsidRPr="00D26238" w:rsidRDefault="00D26238" w:rsidP="00D26238">
      <w:pPr>
        <w:spacing w:line="360" w:lineRule="auto"/>
        <w:ind w:firstLine="851"/>
        <w:rPr>
          <w:sz w:val="28"/>
          <w:szCs w:val="28"/>
          <w:lang w:val="ru-RU"/>
        </w:rPr>
      </w:pPr>
      <w:r w:rsidRPr="00D26238">
        <w:rPr>
          <w:sz w:val="28"/>
          <w:szCs w:val="28"/>
          <w:lang w:val="ru-RU"/>
        </w:rPr>
        <w:t>Перемога Азербайджану в недавній війні в Нагірному Карабасі 2023 року, значною мірою завдяки підтримці Туреччини, була б немислимою до війни в Україні, оскільки Росія ніколи не погодилася б на таке агресивне вторгнення Туреччини на територію, яку вона завжди вважала своєю зоною впливу і де, до війни в Україні, вона жорстко протистояла будь-яким спробам вторгнення сусідніх держав (Burge, 2023). Пасивність Росії сприяє намірам Туреччини відігравати більш важливу роль на Кавказі та в Центральній Азії, встановлюючи тісніші відносини з державами, утвореними тюркськими народами, над якими Анкара має певний вплив завдяки спільним кореням (Taşpınar, 2023).</w:t>
      </w:r>
    </w:p>
    <w:p w:rsidR="00D26238" w:rsidRPr="00D26238" w:rsidRDefault="00D26238" w:rsidP="00D26238">
      <w:pPr>
        <w:spacing w:line="360" w:lineRule="auto"/>
        <w:ind w:firstLine="851"/>
        <w:rPr>
          <w:sz w:val="28"/>
          <w:szCs w:val="28"/>
          <w:lang w:val="ru-RU"/>
        </w:rPr>
      </w:pPr>
      <w:r w:rsidRPr="00D26238">
        <w:rPr>
          <w:sz w:val="28"/>
          <w:szCs w:val="28"/>
          <w:lang w:val="ru-RU"/>
        </w:rPr>
        <w:t xml:space="preserve">Так само Туреччина могла б відігравати більш важливу роль в Афганістані після виведення військ США (Edwards, 2023), де вона прагнула б заповнити прогалину, залишену ними. Отже, відтворення тюркського простору, контрольованого Анкарою, може стати одним з інтелектуальних, ідеологічних та геополітичних рушіїв її зовнішньої політики в найближчі </w:t>
      </w:r>
      <w:r w:rsidRPr="00D26238">
        <w:rPr>
          <w:sz w:val="28"/>
          <w:szCs w:val="28"/>
          <w:lang w:val="ru-RU"/>
        </w:rPr>
        <w:lastRenderedPageBreak/>
        <w:t>роки (Dalay, 2022). Якщо це так, на перший план вийде конкурентний, якщо не конфліктний, характер турецько-російських відносин. Зрештою, значна частина турецького світу також є частиною пострадянського простору. Ймовірно, що поворот Туреччини до Євразії, якщо він буде реалізований геополітично, призведе до конфлікту з Росією, наслідки якого відчуватимуться в різних регіонах, у різних формах і з різним ступенем інтенсивності (Özdemir, 2023).</w:t>
      </w:r>
    </w:p>
    <w:p w:rsidR="00D26238" w:rsidRPr="00D26238" w:rsidRDefault="00D26238" w:rsidP="00D26238">
      <w:pPr>
        <w:spacing w:line="360" w:lineRule="auto"/>
        <w:ind w:firstLine="851"/>
        <w:rPr>
          <w:sz w:val="28"/>
          <w:szCs w:val="28"/>
          <w:lang w:val="ru-RU"/>
        </w:rPr>
      </w:pPr>
      <w:r w:rsidRPr="00D26238">
        <w:rPr>
          <w:sz w:val="28"/>
          <w:szCs w:val="28"/>
          <w:lang w:val="ru-RU"/>
        </w:rPr>
        <w:t>Однак ані Росія, ані Туреччина не зацікавлені в тому, щоб конкуренція досягла небезпечного рівня, тому обидві країни розробили систему контролю збитків, засновану на діалозі на високому рівні, ізоляції конфліктних питань та підтримці співпраці, особливо в Сирії та Лівії, де Анкара і Москва мають різні підходи (Dalay, 2022; Karakoç, 2022). Йдеться про те, щоб зберегти відкритими канали комунікації, щоб амбітна експансіоністська політика Туреччини на шкоду Росії була керованою для обох держав і не ескалувалася до небезпечного рівня (Taşpınar, 2023). У будь-якому випадку, як геополітичний суперник, Туреччина скористається будь-якою слабкістю Росії, щоб просунути свої інтереси в тих сферах, де вони конкурують (Özdemir, 2023).</w:t>
      </w:r>
    </w:p>
    <w:p w:rsidR="00EE703F" w:rsidRPr="000C0848" w:rsidRDefault="00EE703F" w:rsidP="009348E3">
      <w:pPr>
        <w:spacing w:line="360" w:lineRule="auto"/>
        <w:rPr>
          <w:sz w:val="28"/>
          <w:szCs w:val="28"/>
        </w:rPr>
      </w:pPr>
    </w:p>
    <w:p w:rsidR="005735A0" w:rsidRPr="000C0848" w:rsidRDefault="005735A0" w:rsidP="009348E3">
      <w:pPr>
        <w:spacing w:line="360" w:lineRule="auto"/>
        <w:ind w:firstLine="851"/>
        <w:rPr>
          <w:b/>
          <w:sz w:val="28"/>
          <w:szCs w:val="28"/>
        </w:rPr>
      </w:pPr>
      <w:r w:rsidRPr="000C0848">
        <w:rPr>
          <w:b/>
          <w:sz w:val="28"/>
          <w:szCs w:val="28"/>
        </w:rPr>
        <w:t>Висновки до Розділу 2</w:t>
      </w:r>
    </w:p>
    <w:p w:rsidR="00FB1A34" w:rsidRPr="000C0848" w:rsidRDefault="00FB1A34" w:rsidP="009348E3">
      <w:pPr>
        <w:spacing w:line="360" w:lineRule="auto"/>
        <w:ind w:firstLine="851"/>
        <w:rPr>
          <w:b/>
          <w:sz w:val="28"/>
          <w:szCs w:val="28"/>
        </w:rPr>
      </w:pPr>
    </w:p>
    <w:p w:rsidR="00921568" w:rsidRPr="000C0848" w:rsidRDefault="00921568" w:rsidP="009348E3">
      <w:pPr>
        <w:spacing w:line="360" w:lineRule="auto"/>
        <w:ind w:firstLine="851"/>
        <w:rPr>
          <w:sz w:val="28"/>
          <w:szCs w:val="28"/>
        </w:rPr>
      </w:pPr>
      <w:r w:rsidRPr="000C0848">
        <w:rPr>
          <w:sz w:val="28"/>
          <w:szCs w:val="28"/>
        </w:rPr>
        <w:t>Аналіз геополітичних засад зовнішньої політики Росії та Туреччини свідчить про те, що обидві держави керуються прагматичними міркуваннями національних інтересів, які визначаються їхнім географічним положенням, історично сформованими амбіціями та ресурсним потенціалом. Росія та Туреччина мають подібні риси: месіанське бачення своєї ролі у світовій політиці, ревізіоністські настрої щодо існуючого міжнародного порядку, експансіоністські прагнення та готовність застосовувати силу для захисту та просування власних інтересів.</w:t>
      </w:r>
    </w:p>
    <w:p w:rsidR="00921568" w:rsidRPr="000C0848" w:rsidRDefault="00921568" w:rsidP="009348E3">
      <w:pPr>
        <w:spacing w:line="360" w:lineRule="auto"/>
        <w:ind w:firstLine="851"/>
        <w:rPr>
          <w:sz w:val="28"/>
          <w:szCs w:val="28"/>
          <w:lang w:val="ru-RU"/>
        </w:rPr>
      </w:pPr>
      <w:r w:rsidRPr="000C0848">
        <w:rPr>
          <w:sz w:val="28"/>
          <w:szCs w:val="28"/>
          <w:lang w:val="ru-RU"/>
        </w:rPr>
        <w:lastRenderedPageBreak/>
        <w:t>Разом із цим, вони відрізняються за масштабами ресурсів, населення та економічної потужності. Росія, як більша держава з історично імперськими амбіціями, традиційно прагне контролювати простори свого «близького зарубіжжя», зокрема Чорне море, Кавказ та Центральну Азію, використовуючи при цьому як військові, так і економічні важелі. Туреччина, будучи державою середнього масштабу, використовує своє стратегічне розташування між Європою, Азією та Африкою для розширення впливу в регіонах, які історично належали до Османської імперії, а також реалізує багатовекторну зовнішню політику, комбінуючи дипломатичні, економічні та військові інструменти.</w:t>
      </w:r>
    </w:p>
    <w:p w:rsidR="00921568" w:rsidRPr="000C0848" w:rsidRDefault="00AF39F1" w:rsidP="009348E3">
      <w:pPr>
        <w:spacing w:line="360" w:lineRule="auto"/>
        <w:ind w:firstLine="851"/>
        <w:rPr>
          <w:sz w:val="28"/>
          <w:szCs w:val="28"/>
          <w:lang w:val="ru-RU"/>
        </w:rPr>
      </w:pPr>
      <w:r w:rsidRPr="00AF39F1">
        <w:rPr>
          <w:sz w:val="28"/>
          <w:szCs w:val="28"/>
        </w:rPr>
        <w:t>Геополітичні чинники відіграють ключову роль у формуванні та розвитку відносин між Турецькою Республікою та Російською Федерацією.</w:t>
      </w:r>
      <w:r>
        <w:rPr>
          <w:sz w:val="28"/>
          <w:szCs w:val="28"/>
        </w:rPr>
        <w:t xml:space="preserve"> </w:t>
      </w:r>
      <w:r w:rsidR="00921568" w:rsidRPr="000C0848">
        <w:rPr>
          <w:sz w:val="28"/>
          <w:szCs w:val="28"/>
          <w:lang w:val="ru-RU"/>
        </w:rPr>
        <w:t>Історично конкурентні, вони сьогодні демонструють поєднання співпраці та суперництва. Росія прагне забезпечити безпеку своїх кордонів і стабільність у найближчому зарубіжжі, тоді як Туреччина використовує геополітичні можливості, створені слабкістю Росії, для посилення свого впливу в Чорноморському регіоні, на Кавказі та в Центральній Азії. Конфлікт в Україні після 2022 року став каталізатором зміни балансу сили: Туреччина змогла одночасно підтримувати Україну, не порушуючи діалог із Москвою, та утвердити себе як регіонального посередника, наприклад, через Чорноморську зернову ініціативу.</w:t>
      </w:r>
    </w:p>
    <w:p w:rsidR="00921568" w:rsidRPr="000C0848" w:rsidRDefault="00921568" w:rsidP="009348E3">
      <w:pPr>
        <w:spacing w:line="360" w:lineRule="auto"/>
        <w:ind w:firstLine="851"/>
        <w:rPr>
          <w:sz w:val="28"/>
          <w:szCs w:val="28"/>
          <w:lang w:val="ru-RU"/>
        </w:rPr>
      </w:pPr>
      <w:r w:rsidRPr="000C0848">
        <w:rPr>
          <w:sz w:val="28"/>
          <w:szCs w:val="28"/>
          <w:lang w:val="ru-RU"/>
        </w:rPr>
        <w:t>Водночас обидві держави прагнуть уникнути небезпечної ескалації конфлікту і застосовують механізми «контролю збитків», включаючи високорівневий діалог та ізоляцію конфліктних питань. Це дозволяє Росії і Туреччині залишатися стратегічними суперниками, водночас забезпечуючи можливість співпраці у тих сферах, де інтереси збігаються, зокрема у сфері енергетики, оборони та регіональної безпеки.</w:t>
      </w:r>
    </w:p>
    <w:p w:rsidR="00921568" w:rsidRPr="000C0848" w:rsidRDefault="00921568" w:rsidP="009348E3">
      <w:pPr>
        <w:spacing w:line="360" w:lineRule="auto"/>
        <w:ind w:firstLine="851"/>
        <w:rPr>
          <w:sz w:val="28"/>
          <w:szCs w:val="28"/>
          <w:lang w:val="ru-RU"/>
        </w:rPr>
      </w:pPr>
      <w:r w:rsidRPr="000C0848">
        <w:rPr>
          <w:sz w:val="28"/>
          <w:szCs w:val="28"/>
          <w:lang w:val="ru-RU"/>
        </w:rPr>
        <w:t xml:space="preserve">Отже, турецько-російські відносини після 2022 року характеризуються динамічною рівновагою між конкуренцією та співпрацею, що безпосередньо впливає на політичну та економічну стабільність </w:t>
      </w:r>
      <w:r w:rsidRPr="000C0848">
        <w:rPr>
          <w:sz w:val="28"/>
          <w:szCs w:val="28"/>
          <w:lang w:val="ru-RU"/>
        </w:rPr>
        <w:lastRenderedPageBreak/>
        <w:t>Чорноморського регіону. Туреччина, використовуючи своє стратегічне положення та гнучку зовнішню політику, здатна не лише конкурувати з Росією, але й визначати порядок денний у регіоні, що робить її ключовим гравцем у формуванні нової архітектури безпеки та співробітництва після 2022 року.</w:t>
      </w:r>
    </w:p>
    <w:p w:rsidR="007A7633" w:rsidRDefault="007A7633">
      <w:pPr>
        <w:spacing w:line="360" w:lineRule="auto"/>
        <w:ind w:firstLine="720"/>
        <w:rPr>
          <w:b/>
          <w:sz w:val="28"/>
          <w:szCs w:val="28"/>
          <w:lang w:val="ru-RU"/>
        </w:rPr>
      </w:pPr>
      <w:r>
        <w:rPr>
          <w:b/>
          <w:sz w:val="28"/>
          <w:szCs w:val="28"/>
          <w:lang w:val="ru-RU"/>
        </w:rPr>
        <w:br w:type="page"/>
      </w:r>
    </w:p>
    <w:p w:rsidR="00781762" w:rsidRDefault="00FB1A34" w:rsidP="009348E3">
      <w:pPr>
        <w:spacing w:line="360" w:lineRule="auto"/>
        <w:ind w:firstLine="851"/>
        <w:jc w:val="center"/>
        <w:rPr>
          <w:b/>
          <w:sz w:val="28"/>
          <w:szCs w:val="28"/>
        </w:rPr>
      </w:pPr>
      <w:r w:rsidRPr="00781762">
        <w:rPr>
          <w:b/>
          <w:sz w:val="28"/>
          <w:szCs w:val="28"/>
        </w:rPr>
        <w:lastRenderedPageBreak/>
        <w:t xml:space="preserve">РОЗДІЛ 3. </w:t>
      </w:r>
    </w:p>
    <w:p w:rsidR="00FB1A34" w:rsidRPr="00781762" w:rsidRDefault="003B6C2D" w:rsidP="009348E3">
      <w:pPr>
        <w:spacing w:line="360" w:lineRule="auto"/>
        <w:ind w:firstLine="851"/>
        <w:jc w:val="center"/>
        <w:rPr>
          <w:b/>
          <w:sz w:val="28"/>
          <w:szCs w:val="28"/>
        </w:rPr>
      </w:pPr>
      <w:r w:rsidRPr="00781762">
        <w:rPr>
          <w:b/>
          <w:sz w:val="28"/>
          <w:szCs w:val="28"/>
        </w:rPr>
        <w:t>Туреччина та Україна в Чорноморському регіоні після 2022 року</w:t>
      </w:r>
    </w:p>
    <w:p w:rsidR="00804CD1" w:rsidRPr="00781762" w:rsidRDefault="00804CD1" w:rsidP="009348E3">
      <w:pPr>
        <w:spacing w:line="360" w:lineRule="auto"/>
        <w:ind w:firstLine="851"/>
        <w:jc w:val="center"/>
        <w:rPr>
          <w:b/>
          <w:sz w:val="28"/>
          <w:szCs w:val="28"/>
        </w:rPr>
      </w:pPr>
    </w:p>
    <w:p w:rsidR="00804CD1" w:rsidRPr="00781762" w:rsidRDefault="00804CD1" w:rsidP="009348E3">
      <w:pPr>
        <w:spacing w:line="360" w:lineRule="auto"/>
        <w:ind w:firstLine="851"/>
        <w:rPr>
          <w:b/>
          <w:sz w:val="28"/>
          <w:szCs w:val="28"/>
        </w:rPr>
      </w:pPr>
      <w:r w:rsidRPr="00781762">
        <w:rPr>
          <w:b/>
          <w:sz w:val="28"/>
          <w:szCs w:val="28"/>
          <w:lang w:val="tr-TR"/>
        </w:rPr>
        <w:t xml:space="preserve">3.1 </w:t>
      </w:r>
      <w:r w:rsidRPr="00781762">
        <w:rPr>
          <w:b/>
          <w:sz w:val="28"/>
          <w:szCs w:val="28"/>
        </w:rPr>
        <w:t>Загальний огляд поточної ситуації</w:t>
      </w:r>
    </w:p>
    <w:p w:rsidR="00804CD1" w:rsidRPr="000C0848" w:rsidRDefault="00804CD1" w:rsidP="009348E3">
      <w:pPr>
        <w:spacing w:line="360" w:lineRule="auto"/>
        <w:ind w:firstLine="851"/>
        <w:rPr>
          <w:b/>
          <w:sz w:val="28"/>
          <w:szCs w:val="28"/>
        </w:rPr>
      </w:pPr>
    </w:p>
    <w:p w:rsidR="002D1A65" w:rsidRPr="002D1A65" w:rsidRDefault="002D1A65" w:rsidP="002D1A65">
      <w:pPr>
        <w:spacing w:line="360" w:lineRule="auto"/>
        <w:ind w:firstLine="851"/>
        <w:rPr>
          <w:iCs/>
          <w:sz w:val="28"/>
          <w:szCs w:val="28"/>
        </w:rPr>
      </w:pPr>
      <w:r w:rsidRPr="002D1A65">
        <w:rPr>
          <w:iCs/>
          <w:sz w:val="28"/>
          <w:szCs w:val="28"/>
        </w:rPr>
        <w:t>Політика Туреччини щодо Чорноморського регіону традиційно базується на кількох ключових принципах: забезпечення суворого виконання Конвенції Монтре 1936 року; запобігання розширенню військово-морської присутності країн-членів НАТО, що не входять до Чорного моря, у Чорному морі; збалансування військово-морської могутності Росії шляхом зміцнення власних можливостей Туреччини та співпраці з іншими країнами регіону; впровадження підходу «регіональної відповідальності», який обмежує участь позарегіональних гравців у регіональних питаннях (</w:t>
      </w:r>
      <w:r w:rsidRPr="002D1A65">
        <w:rPr>
          <w:iCs/>
          <w:sz w:val="28"/>
          <w:szCs w:val="28"/>
          <w:lang w:val="ru-RU"/>
        </w:rPr>
        <w:t>Dalay</w:t>
      </w:r>
      <w:r w:rsidRPr="002D1A65">
        <w:rPr>
          <w:iCs/>
          <w:sz w:val="28"/>
          <w:szCs w:val="28"/>
        </w:rPr>
        <w:t xml:space="preserve">, 2022; </w:t>
      </w:r>
      <w:r w:rsidRPr="002D1A65">
        <w:rPr>
          <w:iCs/>
          <w:sz w:val="28"/>
          <w:szCs w:val="28"/>
          <w:lang w:val="ru-RU"/>
        </w:rPr>
        <w:t>Karako</w:t>
      </w:r>
      <w:r w:rsidRPr="002D1A65">
        <w:rPr>
          <w:iCs/>
          <w:sz w:val="28"/>
          <w:szCs w:val="28"/>
        </w:rPr>
        <w:t>ç, 2022).</w:t>
      </w:r>
    </w:p>
    <w:p w:rsidR="002D1A65" w:rsidRPr="002D1A65" w:rsidRDefault="002D1A65" w:rsidP="002D1A65">
      <w:pPr>
        <w:spacing w:line="360" w:lineRule="auto"/>
        <w:ind w:firstLine="851"/>
        <w:rPr>
          <w:iCs/>
          <w:sz w:val="28"/>
          <w:szCs w:val="28"/>
          <w:lang w:val="ru-RU"/>
        </w:rPr>
      </w:pPr>
      <w:r w:rsidRPr="004E1EF5">
        <w:rPr>
          <w:iCs/>
          <w:sz w:val="28"/>
          <w:szCs w:val="28"/>
        </w:rPr>
        <w:t>З одного боку, позиція Анкари перешкоджає будь-яким ініціативам, спрямованим на розширення військово-морської присутності НАТО в регіоні, що обмежує можливості України протистояти російській агресії (</w:t>
      </w:r>
      <w:r w:rsidRPr="002D1A65">
        <w:rPr>
          <w:iCs/>
          <w:sz w:val="28"/>
          <w:szCs w:val="28"/>
          <w:lang w:val="ru-RU"/>
        </w:rPr>
        <w:t>Ta</w:t>
      </w:r>
      <w:r w:rsidRPr="004E1EF5">
        <w:rPr>
          <w:iCs/>
          <w:sz w:val="28"/>
          <w:szCs w:val="28"/>
        </w:rPr>
        <w:t>ş</w:t>
      </w:r>
      <w:r w:rsidRPr="002D1A65">
        <w:rPr>
          <w:iCs/>
          <w:sz w:val="28"/>
          <w:szCs w:val="28"/>
          <w:lang w:val="ru-RU"/>
        </w:rPr>
        <w:t>p</w:t>
      </w:r>
      <w:r w:rsidRPr="004E1EF5">
        <w:rPr>
          <w:iCs/>
          <w:sz w:val="28"/>
          <w:szCs w:val="28"/>
        </w:rPr>
        <w:t>ı</w:t>
      </w:r>
      <w:r w:rsidRPr="002D1A65">
        <w:rPr>
          <w:iCs/>
          <w:sz w:val="28"/>
          <w:szCs w:val="28"/>
          <w:lang w:val="ru-RU"/>
        </w:rPr>
        <w:t>nar</w:t>
      </w:r>
      <w:r w:rsidRPr="004E1EF5">
        <w:rPr>
          <w:iCs/>
          <w:sz w:val="28"/>
          <w:szCs w:val="28"/>
        </w:rPr>
        <w:t>, 2023). З іншого боку, стратегічні інтереси Туреччини вимагають стримування Росії, оскільки посилення позицій Москви в Чорному морі та регіональні конфлікти становлять загрозу її національній безпеці (Ö</w:t>
      </w:r>
      <w:r w:rsidRPr="002D1A65">
        <w:rPr>
          <w:iCs/>
          <w:sz w:val="28"/>
          <w:szCs w:val="28"/>
          <w:lang w:val="ru-RU"/>
        </w:rPr>
        <w:t>zdemir</w:t>
      </w:r>
      <w:r w:rsidRPr="004E1EF5">
        <w:rPr>
          <w:iCs/>
          <w:sz w:val="28"/>
          <w:szCs w:val="28"/>
        </w:rPr>
        <w:t xml:space="preserve">, 2023). Послідовна підтримка Туреччиною територіальної цілісності України та закриття проток для військових кораблів як Росії, так і НАТО одразу після початку повномасштабного вторгнення свідчить про бажання Анкари запобігти перетворенню </w:t>
      </w:r>
      <w:r w:rsidRPr="002D1A65">
        <w:rPr>
          <w:iCs/>
          <w:sz w:val="28"/>
          <w:szCs w:val="28"/>
          <w:lang w:val="ru-RU"/>
        </w:rPr>
        <w:t>Чорного моря на «російське озеро» та, водночас, уникнути прямого протистояння на морі між Росією та НАТО (Akçalı, 2022).</w:t>
      </w:r>
    </w:p>
    <w:p w:rsidR="002D1A65" w:rsidRPr="002D1A65" w:rsidRDefault="002D1A65" w:rsidP="002D1A65">
      <w:pPr>
        <w:spacing w:line="360" w:lineRule="auto"/>
        <w:ind w:firstLine="851"/>
        <w:rPr>
          <w:iCs/>
          <w:sz w:val="28"/>
          <w:szCs w:val="28"/>
          <w:lang w:val="ru-RU"/>
        </w:rPr>
      </w:pPr>
      <w:r w:rsidRPr="002D1A65">
        <w:rPr>
          <w:iCs/>
          <w:sz w:val="28"/>
          <w:szCs w:val="28"/>
          <w:lang w:val="ru-RU"/>
        </w:rPr>
        <w:t xml:space="preserve">Очікується, що ця позиція залишиться незмінною, а підтримка України Туреччиною включатиме формати, які не передбачають прямої присутності кораблів НАТО в Чорному морі (за винятком військово-морських сил Румунії та Болгарії) (Gürcan, 2023). Коригування цієї позиції можливе, хоча й малоймовірне, лише у разі різкого зсуву балансу сил на </w:t>
      </w:r>
      <w:r w:rsidRPr="002D1A65">
        <w:rPr>
          <w:iCs/>
          <w:sz w:val="28"/>
          <w:szCs w:val="28"/>
          <w:lang w:val="ru-RU"/>
        </w:rPr>
        <w:lastRenderedPageBreak/>
        <w:t>користь Росії, як-от окупація Росією південних регіонів України. Тому українській стороні слід зосередитися на пошуку форматів співпраці, які не потребують перегляду Конвенції Монтре, дотримуються принципу «регіональної відповідальності» та враховують бажання Анкари відігравати провідну роль у регіональних ініціативах (Dalay, 2022; Taşpınar, 2023).</w:t>
      </w:r>
    </w:p>
    <w:p w:rsidR="002D1A65" w:rsidRPr="002D1A65" w:rsidRDefault="002D1A65" w:rsidP="002D1A65">
      <w:pPr>
        <w:spacing w:line="360" w:lineRule="auto"/>
        <w:ind w:firstLine="851"/>
        <w:rPr>
          <w:iCs/>
          <w:sz w:val="28"/>
          <w:szCs w:val="28"/>
          <w:lang w:val="ru-RU"/>
        </w:rPr>
      </w:pPr>
      <w:r w:rsidRPr="002D1A65">
        <w:rPr>
          <w:iCs/>
          <w:sz w:val="28"/>
          <w:szCs w:val="28"/>
          <w:lang w:val="ru-RU"/>
        </w:rPr>
        <w:t>Успіхи українських збройних сил, зокрема атаки на російський флот та погіршення його військово-морського потенціалу, частково розвінчали міф про непереможність Росії та виявили вразливість її військово-морського флоту та можливостей протиракетної оборони (Kuzio, 2023, с. 145–167). Дослідження громадської думки 2023 року показує, що лише 20% населення Туреччини були переконані, що Росія «слабша, ніж вони думали» в результаті російсько-української війни, проте 44% зазначили, що Росія «значно або дещо сильніша», ніж вони вважали до повномасштабного вторгнення, а 29% вважали, що «Росія була і залишається сильною» (Aydın, 2023, с. 74–93).</w:t>
      </w:r>
    </w:p>
    <w:p w:rsidR="002D1A65" w:rsidRPr="002D1A65" w:rsidRDefault="002D1A65" w:rsidP="002D1A65">
      <w:pPr>
        <w:spacing w:line="360" w:lineRule="auto"/>
        <w:ind w:firstLine="851"/>
        <w:rPr>
          <w:iCs/>
          <w:sz w:val="28"/>
          <w:szCs w:val="28"/>
          <w:lang w:val="ru-RU"/>
        </w:rPr>
      </w:pPr>
      <w:r w:rsidRPr="002D1A65">
        <w:rPr>
          <w:iCs/>
          <w:sz w:val="28"/>
          <w:szCs w:val="28"/>
          <w:lang w:val="ru-RU"/>
        </w:rPr>
        <w:t>З точки зору Анкари, участь Росії та Туреччини в різних регіональних конфліктах, де вони підтримують протиборчі сторони (Грузія, Україна, Південний Кавказ, Сирія, Лівія), робить контакти з Москвою обов'язковими для деескалації та управління ризиками (Aras &amp; Özbay, 2022, с. 112–130). Хоча такі механізми координації між Анкарою та Москвою слугують радше інструментом для врегулювання криз, ніж демонстрацією довіри чи стратегічного партнерства між Туреччиною та Росією, вони створюють додаткову взаємозалежність і можуть бути використані як важіль впливу на зовнішню політику Анкари (Yeşiltaş, 2022, с. 7–25).</w:t>
      </w:r>
    </w:p>
    <w:p w:rsidR="002D1A65" w:rsidRPr="002D1A65" w:rsidRDefault="002D1A65" w:rsidP="002D1A65">
      <w:pPr>
        <w:spacing w:line="360" w:lineRule="auto"/>
        <w:ind w:firstLine="851"/>
        <w:rPr>
          <w:iCs/>
          <w:sz w:val="28"/>
          <w:szCs w:val="28"/>
          <w:lang w:val="ru-RU"/>
        </w:rPr>
      </w:pPr>
      <w:r w:rsidRPr="002D1A65">
        <w:rPr>
          <w:iCs/>
          <w:sz w:val="28"/>
          <w:szCs w:val="28"/>
          <w:lang w:val="ru-RU"/>
        </w:rPr>
        <w:t xml:space="preserve">З іншого боку, глибоко вкорінена недовіра Туреччини до Заходу, яка сягає Севрського договору 1920 року і з того часу лише поглибилася через кіпрське питання, війну в Іраку 2003 року, підтримку США PYD/YPG у Сирії, спробу державного перевороту 2016 року та проблеми у відносинах з ЄС, формує сприйняття загроз Туреччиною та робить її більш вразливою до зовнішніх загроз (Aydın, 2023, с. 45–62; Kaplan, 2012). Поширення </w:t>
      </w:r>
      <w:r w:rsidRPr="002D1A65">
        <w:rPr>
          <w:iCs/>
          <w:sz w:val="28"/>
          <w:szCs w:val="28"/>
          <w:lang w:val="ru-RU"/>
        </w:rPr>
        <w:lastRenderedPageBreak/>
        <w:t>антизахідних та євразійських настроїв у турецькому суспільстві, що підживлюються Кремлем, значно ускладнює співпрацю Туреччини з партнерами по НАТО через цю відсутність довіри та накопичені проблеми у відносинах (EDAM, 2023). Це особливо очевидно в Чорному морі, яке Анкара розглядає як власне «м’яке підчерев’я» та традиційну зону спільного російсько-турецького впливу (Akgün, 2010).</w:t>
      </w:r>
    </w:p>
    <w:p w:rsidR="002D1A65" w:rsidRPr="002D1A65" w:rsidRDefault="002D1A65" w:rsidP="002D1A65">
      <w:pPr>
        <w:spacing w:line="360" w:lineRule="auto"/>
        <w:ind w:firstLine="851"/>
        <w:rPr>
          <w:iCs/>
          <w:sz w:val="28"/>
          <w:szCs w:val="28"/>
          <w:lang w:val="ru-RU"/>
        </w:rPr>
      </w:pPr>
      <w:r w:rsidRPr="002D1A65">
        <w:rPr>
          <w:iCs/>
          <w:sz w:val="28"/>
          <w:szCs w:val="28"/>
          <w:lang w:val="ru-RU"/>
        </w:rPr>
        <w:t>Згідно з опитуванням, проведеним у вересні 2022 року, 42,7% респондентів вважали Сполучені Штати головною загрозою для Туреччини, тоді як лише 30,5% назвали Росію загрозою. Водночас 52% підтримали «нейтралітет» Туреччини в російсько-українській війні, а 50,9% визначили турецько-російські відносини як «співпрацю» або «стратегічне партнерство» (Aydın et al., 2022). У дослідженні ECFR, проведеному в лютому 2023 року, зазначалося, що на запитання про їхнє сприйняття Росії 14% громадян Туреччини вважали її «союзником, який поділяє наші інтереси та цінності», 55% розглядали Росію як «необхідного партнера, з яким ми повинні стратегічно співпрацювати», 18% як «суперника, з яким нам потрібно конкурувати», а 8% сприймали Росію як «противника, з яким ми перебуваємо в конфлікті». Для порівняння, відповідні цифри для Сполучених Штатів становили 14% (союзник зі спільними інтересами), 51% (необхідний партнер), 18% (суперник) та 11% (противник) (Garton Ash, Krastev, &amp; Leonard, 2023).</w:t>
      </w:r>
    </w:p>
    <w:p w:rsidR="002D1A65" w:rsidRPr="002D1A65" w:rsidRDefault="002D1A65" w:rsidP="002D1A65">
      <w:pPr>
        <w:spacing w:line="360" w:lineRule="auto"/>
        <w:ind w:firstLine="851"/>
        <w:rPr>
          <w:iCs/>
          <w:sz w:val="28"/>
          <w:szCs w:val="28"/>
          <w:lang w:val="ru-RU"/>
        </w:rPr>
      </w:pPr>
      <w:r w:rsidRPr="002D1A65">
        <w:rPr>
          <w:iCs/>
          <w:sz w:val="28"/>
          <w:szCs w:val="28"/>
          <w:lang w:val="ru-RU"/>
        </w:rPr>
        <w:t>Хоча громадська думка про «потужну Росію» та Захід як загрозу національній безпеці Туреччини значною мірою відображає інформаційну політику турецьких ЗМІ, ці настрої часто поділяються експертами та особами, які приймають рішення (Yeşiltaş, 2022, с. 7–25; EDAM, 2023). Як наслідок, історична відсутність довіри як до Росії, так і до Заходу сформувала сучасну політику Туреччини щодо Чорного моря, ключовим елементом якої є стратегія «делікатного балансування» (Akgün, 2010).</w:t>
      </w:r>
    </w:p>
    <w:p w:rsidR="002D1A65" w:rsidRPr="002D1A65" w:rsidRDefault="002D1A65" w:rsidP="002D1A65">
      <w:pPr>
        <w:spacing w:line="360" w:lineRule="auto"/>
        <w:ind w:firstLine="851"/>
        <w:rPr>
          <w:iCs/>
          <w:sz w:val="28"/>
          <w:szCs w:val="28"/>
          <w:lang w:val="ru-RU"/>
        </w:rPr>
      </w:pPr>
      <w:r w:rsidRPr="002D1A65">
        <w:rPr>
          <w:iCs/>
          <w:sz w:val="28"/>
          <w:szCs w:val="28"/>
          <w:lang w:val="ru-RU"/>
        </w:rPr>
        <w:t xml:space="preserve">Головні цілі Анкари в регіоні залишаються незмінними: уникнути ескалації та підтримувати баланс сил, який потенційно може призвести до </w:t>
      </w:r>
      <w:r w:rsidRPr="002D1A65">
        <w:rPr>
          <w:iCs/>
          <w:sz w:val="28"/>
          <w:szCs w:val="28"/>
          <w:lang w:val="ru-RU"/>
        </w:rPr>
        <w:lastRenderedPageBreak/>
        <w:t>перетворення Чорного моря або на «російське озеро», або на «задній двір Сполучених Штатів» (Aras &amp; Özbay, 2022, с. 112–130). Цим цілям покликана служити багатостороння дипломатія Анкари, заснована на підході «регіональної відповідальності». З одного боку, вона дозволяє обмежити вплив зовнішніх гравців у регіоні, а з іншого – дає змогу досягти амбітних цілей регіонального лідерства (Aydın, 2023, с. 45–62).</w:t>
      </w:r>
    </w:p>
    <w:p w:rsidR="00182A40" w:rsidRPr="00182A40" w:rsidRDefault="00182A40" w:rsidP="00182A40">
      <w:pPr>
        <w:spacing w:line="360" w:lineRule="auto"/>
        <w:ind w:firstLine="851"/>
        <w:rPr>
          <w:iCs/>
          <w:sz w:val="28"/>
          <w:szCs w:val="28"/>
          <w:lang w:val="ru-RU"/>
        </w:rPr>
      </w:pPr>
      <w:r w:rsidRPr="00182A40">
        <w:rPr>
          <w:iCs/>
          <w:sz w:val="28"/>
          <w:szCs w:val="28"/>
          <w:lang w:val="ru-RU"/>
        </w:rPr>
        <w:t>Прикладами такої політики є створення Організації Чорноморського економічного співробітництва (ОЧЕС), суворе дотримання положень Конвенції Монтре без будь-яких змін з 1936 року, посередницькі послуги між Україною та Росією після початку повномасштабного вторгнення, Чорноморська зернова ініціатива (так звана «зернова угода») тощо (Kirişci &amp; Toygür, 2023; Coffey &amp; Kasapoğlu, 2023).</w:t>
      </w:r>
    </w:p>
    <w:p w:rsidR="00182A40" w:rsidRPr="00182A40" w:rsidRDefault="00182A40" w:rsidP="00182A40">
      <w:pPr>
        <w:spacing w:line="360" w:lineRule="auto"/>
        <w:ind w:firstLine="851"/>
        <w:rPr>
          <w:iCs/>
          <w:sz w:val="28"/>
          <w:szCs w:val="28"/>
          <w:lang w:val="ru-RU"/>
        </w:rPr>
      </w:pPr>
      <w:r w:rsidRPr="00182A40">
        <w:rPr>
          <w:iCs/>
          <w:sz w:val="28"/>
          <w:szCs w:val="28"/>
          <w:lang w:val="ru-RU"/>
        </w:rPr>
        <w:t>Сучасна позиція Туреччини щодо Чорного моря визначається історичним прагматизмом (збалансування політики та «регіональної відповідальності» як основних принципів); традиціями турецької дипломатії (нейтралітет і посередництво, готовність до переговорів з усіма сторонами, щоб уникнути відкритої конфронтації); пріоритетом національних інтересів над союзними зобов'язаннями (хоча без обов'язкового порушення останніх); прагматизмом (значна роль економічних інтересів у формуванні політики); широким консенсусом серед усіх політичних партій та військового керівництва щодо важливості дотримання Конвенції Монтре та збереження її положень незмінними (Karaosmanoğlu, 2022, с. 55–72). Конвенція Монтре, підписана в 1936 році, є однією з небагатьох багатосторонніх угод, що залишилися незмінними з моменту її підписання. Окрім надання Туреччині права контролювати та регулювати прохід цивільних та військових суден через протоки, вона також вважається в Туреччині наріжним каменем турецької державності та суверенітету (Karaosmanoğlu, 2022, с. 55–72).</w:t>
      </w:r>
    </w:p>
    <w:p w:rsidR="002D1A65" w:rsidRPr="002D1A65" w:rsidRDefault="00182A40" w:rsidP="00182A40">
      <w:pPr>
        <w:spacing w:line="360" w:lineRule="auto"/>
        <w:ind w:firstLine="851"/>
        <w:rPr>
          <w:iCs/>
          <w:sz w:val="28"/>
          <w:szCs w:val="28"/>
          <w:lang w:val="ru-RU"/>
        </w:rPr>
      </w:pPr>
      <w:r w:rsidRPr="00182A40">
        <w:rPr>
          <w:iCs/>
          <w:sz w:val="28"/>
          <w:szCs w:val="28"/>
          <w:lang w:val="ru-RU"/>
        </w:rPr>
        <w:t xml:space="preserve">Наприклад, під час святкування сторіччя Республіки Туреччина у 2023 році неодноразово наголошувалося, що республіка була заснована на двох фундаментальних документах: Лозаннському договорі 1923 року та </w:t>
      </w:r>
      <w:r w:rsidRPr="00182A40">
        <w:rPr>
          <w:iCs/>
          <w:sz w:val="28"/>
          <w:szCs w:val="28"/>
          <w:lang w:val="ru-RU"/>
        </w:rPr>
        <w:lastRenderedPageBreak/>
        <w:t>Конвенції Монтре 1936 року (Convention regarding the regime of navigation on the Danube, 1948; Karaosmanoğlu, 2022, с. 55–72). Тому будь-які спроби переглянути його положення (навіть якщо лише для оновлення обмежень, враховуючи технічні характеристики сучасних кораблів) або поставити під сумнів його актуальність у нових геополітичних реаліях розглядаються як посягання на суверенітет Туреччини та її особливий статус у регіоні (Karaosmanoğlu, 2022, с. 55–72; Aydın, 2023, с. 74–93). Більше того, існують побоювання, що будь-які зміни до Конвенції Монтре відкриють небезпечну «скриньку Пандори», змінюючи статус-кво в басейні Чорного моря та розширюючи присутність зовнішніх гравців на шкоду власним інтересам Туреччини. Тому члени різних політичних партій, військові та експертне співтовариство однаково поділяють думку, що «Конвенція встановлює розумний та ефективний баланс інтересів не лише Туреччини, а й інших держав Чорного моря та третіх країн» (Karaosmanoğlu, 2022, с. 55–72).</w:t>
      </w:r>
    </w:p>
    <w:p w:rsidR="00182A40" w:rsidRPr="00182A40" w:rsidRDefault="00182A40" w:rsidP="00182A40">
      <w:pPr>
        <w:spacing w:line="360" w:lineRule="auto"/>
        <w:ind w:firstLine="851"/>
        <w:rPr>
          <w:sz w:val="28"/>
          <w:szCs w:val="28"/>
          <w:lang w:val="ru-RU"/>
        </w:rPr>
      </w:pPr>
      <w:r w:rsidRPr="00182A40">
        <w:rPr>
          <w:sz w:val="28"/>
          <w:szCs w:val="28"/>
          <w:lang w:val="ru-RU"/>
        </w:rPr>
        <w:t>Повномасштабне вторгнення Росії в Україну стало серйозним регіональним викликом для Туреччини. Воно не лише наблизило активні військові дії до кордонів Туреччини, але й порушило давно встановлений баланс у Чорному морі. Військова присутність Росії в регіоні значно зросла з 2014 року, значною мірою через постійне посилення її військового потенціалу в тимчасово окупованому Криму, Сирії та Східному Середземномор'ї (Gorenburg, 2022; Gürcan, 2022). Пізніше контроль Росії поширився на значну частину басейну Чорного моря та блокаду Азовського моря, що є жорстоким порушенням міжнародного морського права (Işık, 2022; Cornell &amp; Nilsson, 2023).</w:t>
      </w:r>
    </w:p>
    <w:p w:rsidR="00182A40" w:rsidRPr="00182A40" w:rsidRDefault="00182A40" w:rsidP="00182A40">
      <w:pPr>
        <w:spacing w:line="360" w:lineRule="auto"/>
        <w:ind w:firstLine="851"/>
        <w:rPr>
          <w:sz w:val="28"/>
          <w:szCs w:val="28"/>
          <w:lang w:val="ru-RU"/>
        </w:rPr>
      </w:pPr>
      <w:r w:rsidRPr="00182A40">
        <w:rPr>
          <w:sz w:val="28"/>
          <w:szCs w:val="28"/>
          <w:lang w:val="ru-RU"/>
        </w:rPr>
        <w:t xml:space="preserve">Анкара відповіла закриттям проток для російських військових кораблів у лютому 2022 року (The Kyiv Independent, 2024; Ildem, 2023). Крім того, Туреччина активізувала розвиток своїх військово-морських можливостей та інвестувала у вдосконалення власних технологій (Gürdeniz, 2019; Yanik, 2021). Національна морська стратегія, відома як «Блакитна батьківщина» («Mavi Vatan»), передбачає збільшення кількості військових </w:t>
      </w:r>
      <w:r w:rsidRPr="00182A40">
        <w:rPr>
          <w:sz w:val="28"/>
          <w:szCs w:val="28"/>
          <w:lang w:val="ru-RU"/>
        </w:rPr>
        <w:lastRenderedPageBreak/>
        <w:t>кораблів, підводних човнів, посилення систем раннього попередження, посилення можливостей протиповітряної оборони, надводних бойових дій, патрулювання та захисту військово-морських баз і портів – головним чином у Середземному та Егейському морях, і меншою мірою в Чорному морі (Gürdeniz, 2019; Akgün, 2010). Незважаючи на збереження своєї важливості для Туреччини як торговельно-економічного партнера та противаги США, Росія все ще вважається загрозою національній безпеці Туреччини (Kaplan, 2012; Khan, 2022).</w:t>
      </w:r>
    </w:p>
    <w:p w:rsidR="00182A40" w:rsidRPr="00182A40" w:rsidRDefault="00182A40" w:rsidP="00182A40">
      <w:pPr>
        <w:spacing w:line="360" w:lineRule="auto"/>
        <w:ind w:firstLine="851"/>
        <w:rPr>
          <w:sz w:val="28"/>
          <w:szCs w:val="28"/>
          <w:lang w:val="ru-RU"/>
        </w:rPr>
      </w:pPr>
      <w:r w:rsidRPr="00182A40">
        <w:rPr>
          <w:sz w:val="28"/>
          <w:szCs w:val="28"/>
          <w:lang w:val="ru-RU"/>
        </w:rPr>
        <w:t xml:space="preserve">Агресивні дії Росії активізували експертні дискусії щодо необхідності перегляду традиційної політики НАТО та розробки нової стратегії для Чорного моря. Однак більшість цих дискусій зосереджені на пошуку рішень, які б зберегли обмеження Конвенції Монтре та зосередилися на посиленні оборони трьох країн-членів НАТО в регіоні. Наприклад, спільний проект трьох провідних аналітичних центрів у Туреччині, Болгарії та Румунії, який включав зустрічі з представниками МЗС, Міністерства оборони та експертами з відповідних питань, підсумував свої висновки у звіті </w:t>
      </w:r>
      <w:r w:rsidRPr="00182A40">
        <w:rPr>
          <w:i/>
          <w:iCs/>
          <w:sz w:val="28"/>
          <w:szCs w:val="28"/>
          <w:lang w:val="ru-RU"/>
        </w:rPr>
        <w:t>NATO’s role in addressing security threats and challenges in the Black Sea</w:t>
      </w:r>
      <w:r w:rsidRPr="00182A40">
        <w:rPr>
          <w:sz w:val="28"/>
          <w:szCs w:val="28"/>
          <w:lang w:val="ru-RU"/>
        </w:rPr>
        <w:t xml:space="preserve"> (Ildem, 2023; EDAM, n.d.). В остаточних рекомендаціях наголошувалося, що «Болгарія, Румунія та Туреччина, як країни НАТО в Чорному морі, повинні активніше співпрацювати в аналізі ситуації та пошуку спільних підходів до посилення регіональної безпеки» (Ildem, 2023; EDAM, n.d.).</w:t>
      </w:r>
    </w:p>
    <w:p w:rsidR="00182A40" w:rsidRPr="00182A40" w:rsidRDefault="00182A40" w:rsidP="00182A40">
      <w:pPr>
        <w:spacing w:line="360" w:lineRule="auto"/>
        <w:ind w:firstLine="851"/>
        <w:rPr>
          <w:sz w:val="28"/>
          <w:szCs w:val="28"/>
          <w:lang w:val="ru-RU"/>
        </w:rPr>
      </w:pPr>
      <w:r>
        <w:rPr>
          <w:sz w:val="28"/>
          <w:szCs w:val="28"/>
          <w:lang w:val="ru-RU"/>
        </w:rPr>
        <w:t>К</w:t>
      </w:r>
      <w:r w:rsidRPr="00182A40">
        <w:rPr>
          <w:sz w:val="28"/>
          <w:szCs w:val="28"/>
          <w:lang w:val="ru-RU"/>
        </w:rPr>
        <w:t xml:space="preserve">олишній віце-президент Туреччини при НАТО та заступник Генерального секретаря НАТО посол Таджан Ілдем, детальніше розглянув позицію Туреччини в Чорному морі: «Хоча Туреччина зробила вагомий внесок у регіональну позицію НАТО, вона також хотіла, щоб присутність союзників символізувала солідарність та єдність між союзниками» (Ildem, 2023). Туреччина вважала і продовжує вважати, що, спираючись на внески регіональних та нерегіональних союзників, присутність НАТО в регіоні, на </w:t>
      </w:r>
      <w:r>
        <w:rPr>
          <w:sz w:val="28"/>
          <w:szCs w:val="28"/>
          <w:lang w:val="ru-RU"/>
        </w:rPr>
        <w:t xml:space="preserve">морі, на суші та в повітрі – </w:t>
      </w:r>
      <w:r w:rsidRPr="00182A40">
        <w:rPr>
          <w:sz w:val="28"/>
          <w:szCs w:val="28"/>
          <w:lang w:val="ru-RU"/>
        </w:rPr>
        <w:t xml:space="preserve"> повинна утримуватися від провокацій, які можуть призвести до ескалації напруженості без потреби з перекиданням </w:t>
      </w:r>
      <w:r w:rsidRPr="00182A40">
        <w:rPr>
          <w:sz w:val="28"/>
          <w:szCs w:val="28"/>
          <w:lang w:val="ru-RU"/>
        </w:rPr>
        <w:lastRenderedPageBreak/>
        <w:t>будь-якого конфлікту на Чорне море (Ildem, 2023). Він також зазначає, що Туреччина виступає за «діяння відповідно до міжнародного права, особливо Конвенції Монтре», і наголошує, що немає потреби реагувати на мілітаризацію Чорного моря та збільшення присутності НАТО у відповідь на розгортання Росії («мілітаризація «око за око») – «за умови, що буде продемонстрована залізна солідарність» у захисті інтересів своїх членів (Ildem, 2023).</w:t>
      </w:r>
    </w:p>
    <w:p w:rsidR="00182A40" w:rsidRPr="00182A40" w:rsidRDefault="00182A40" w:rsidP="00182A40">
      <w:pPr>
        <w:spacing w:line="360" w:lineRule="auto"/>
        <w:ind w:firstLine="851"/>
        <w:rPr>
          <w:sz w:val="28"/>
          <w:szCs w:val="28"/>
          <w:lang w:val="ru-RU"/>
        </w:rPr>
      </w:pPr>
      <w:r w:rsidRPr="00182A40">
        <w:rPr>
          <w:sz w:val="28"/>
          <w:szCs w:val="28"/>
          <w:lang w:val="ru-RU"/>
        </w:rPr>
        <w:t>Як зазначають експерти Центру прикладних досліджень Туреччини, «політика Туреччини в Чорноморському регіоні є результатом не лише складних відносин з Росією, але й складних відносин із Заходом» (EDAM, 2023). Зокрема, політика США на Близькому Сході має значний вплив на те, як Анкара позиціонує себе в Чорноморському регіоні (EDAM, 2023). У цьому зв'язку невирішене питання F-35, яке перешкоджає турецькій протиповітряній обороні, підтримка США сирійських курдів з PYD/YPG, яких вважають терористичною організацією в Туреччині, та інші проблеми, що накопичилися у відносинах із Заходом, часто підштовхують Анкару до тіснішої співпраці з Росією (EDAM, 2023; Kaplan, 2012). Слід зазначити, що Туреччина також прагне стати ключовою державою в новому «постзахідному» багатополярному світовому порядку. У цих рамках Чорне море має першорядне значення. Історично Туреччина мала значний вплив у цьому регіоні, і зараз саме тут Анкара має найбільший потенціал стати регіональною державою (Keyman, 2021; Duran, 2023).</w:t>
      </w:r>
    </w:p>
    <w:p w:rsidR="00182A40" w:rsidRPr="00182A40" w:rsidRDefault="00182A40" w:rsidP="00182A40">
      <w:pPr>
        <w:spacing w:line="360" w:lineRule="auto"/>
        <w:ind w:firstLine="851"/>
        <w:rPr>
          <w:sz w:val="28"/>
          <w:szCs w:val="28"/>
          <w:lang w:val="ru-RU"/>
        </w:rPr>
      </w:pPr>
      <w:r w:rsidRPr="00182A40">
        <w:rPr>
          <w:sz w:val="28"/>
          <w:szCs w:val="28"/>
          <w:lang w:val="ru-RU"/>
        </w:rPr>
        <w:t>Загалом, роль Туреччини в Чорному морі влучно підсумували Люк Коффі та Джан Касапоглу з Інституту Гудзона. У своїй доповіді «Нова стратегія Чорного моря для нової чорноморської реальності» вони називають її «химерою», яка поєднує часто несумісні елементи та є «продуктом різних політичних векторів, що слідують різним політико-військовим напрямкам і зрештою формують складну стратегічну перспективу» (Coffey &amp; Kasapoğlu, 2023).</w:t>
      </w:r>
    </w:p>
    <w:p w:rsidR="00182A40" w:rsidRDefault="00182A40" w:rsidP="00182A40">
      <w:pPr>
        <w:spacing w:line="360" w:lineRule="auto"/>
        <w:ind w:firstLine="851"/>
        <w:rPr>
          <w:sz w:val="28"/>
          <w:szCs w:val="28"/>
          <w:lang w:val="ru-RU"/>
        </w:rPr>
      </w:pPr>
      <w:r w:rsidRPr="00182A40">
        <w:rPr>
          <w:sz w:val="28"/>
          <w:szCs w:val="28"/>
          <w:lang w:val="ru-RU"/>
        </w:rPr>
        <w:lastRenderedPageBreak/>
        <w:t xml:space="preserve">Коффі та Касапоглу визначають «чотири стовпи» політики Туреччини щодо Чорного моря: </w:t>
      </w:r>
    </w:p>
    <w:p w:rsidR="00182A40" w:rsidRDefault="00182A40" w:rsidP="00182A40">
      <w:pPr>
        <w:spacing w:line="360" w:lineRule="auto"/>
        <w:ind w:firstLine="851"/>
        <w:rPr>
          <w:sz w:val="28"/>
          <w:szCs w:val="28"/>
          <w:lang w:val="ru-RU"/>
        </w:rPr>
      </w:pPr>
      <w:r>
        <w:rPr>
          <w:sz w:val="28"/>
          <w:szCs w:val="28"/>
          <w:lang w:val="ru-RU"/>
        </w:rPr>
        <w:t xml:space="preserve">1) </w:t>
      </w:r>
      <w:r w:rsidRPr="00182A40">
        <w:rPr>
          <w:sz w:val="28"/>
          <w:szCs w:val="28"/>
          <w:lang w:val="ru-RU"/>
        </w:rPr>
        <w:t xml:space="preserve">верховенство режиму Монтре у військово-політичних справах Чорного моря; </w:t>
      </w:r>
    </w:p>
    <w:p w:rsidR="00182A40" w:rsidRDefault="00182A40" w:rsidP="00182A40">
      <w:pPr>
        <w:spacing w:line="360" w:lineRule="auto"/>
        <w:ind w:firstLine="851"/>
        <w:rPr>
          <w:sz w:val="28"/>
          <w:szCs w:val="28"/>
          <w:lang w:val="ru-RU"/>
        </w:rPr>
      </w:pPr>
      <w:r>
        <w:rPr>
          <w:sz w:val="28"/>
          <w:szCs w:val="28"/>
          <w:lang w:val="ru-RU"/>
        </w:rPr>
        <w:t xml:space="preserve">2) </w:t>
      </w:r>
      <w:r w:rsidRPr="00182A40">
        <w:rPr>
          <w:sz w:val="28"/>
          <w:szCs w:val="28"/>
          <w:lang w:val="ru-RU"/>
        </w:rPr>
        <w:t xml:space="preserve">важливість збереження «дипломатичної переваги» в регіоні, що ґрунтується на політиці балансування, транзакційних відносин з Росією (поєднання співпраці та суперництва) та провідна роль Анкари в багатосторонніх регіональних ініціативах; </w:t>
      </w:r>
    </w:p>
    <w:p w:rsidR="00182A40" w:rsidRDefault="00182A40" w:rsidP="00182A40">
      <w:pPr>
        <w:spacing w:line="360" w:lineRule="auto"/>
        <w:ind w:firstLine="851"/>
        <w:rPr>
          <w:sz w:val="28"/>
          <w:szCs w:val="28"/>
          <w:lang w:val="ru-RU"/>
        </w:rPr>
      </w:pPr>
      <w:r>
        <w:rPr>
          <w:sz w:val="28"/>
          <w:szCs w:val="28"/>
          <w:lang w:val="ru-RU"/>
        </w:rPr>
        <w:t xml:space="preserve">3) </w:t>
      </w:r>
      <w:r w:rsidRPr="00182A40">
        <w:rPr>
          <w:sz w:val="28"/>
          <w:szCs w:val="28"/>
          <w:lang w:val="ru-RU"/>
        </w:rPr>
        <w:t xml:space="preserve">статус Туреччини як країни НАТО (враховуючи військові бази НАТО на території Туреччини та її оборонно-промисловий потенціал, автори зазначають, що «суто з військової точки зору, Туреччина — це більш-менш НАТО в Чорному морі»); </w:t>
      </w:r>
    </w:p>
    <w:p w:rsidR="00182A40" w:rsidRPr="00182A40" w:rsidRDefault="00182A40" w:rsidP="00182A40">
      <w:pPr>
        <w:spacing w:line="360" w:lineRule="auto"/>
        <w:ind w:firstLine="851"/>
        <w:rPr>
          <w:sz w:val="28"/>
          <w:szCs w:val="28"/>
          <w:lang w:val="ru-RU"/>
        </w:rPr>
      </w:pPr>
      <w:r>
        <w:rPr>
          <w:sz w:val="28"/>
          <w:szCs w:val="28"/>
          <w:lang w:val="ru-RU"/>
        </w:rPr>
        <w:t xml:space="preserve">4) </w:t>
      </w:r>
      <w:r w:rsidRPr="00182A40">
        <w:rPr>
          <w:sz w:val="28"/>
          <w:szCs w:val="28"/>
          <w:lang w:val="ru-RU"/>
        </w:rPr>
        <w:t>зростаючі оборонні зв'язки Туреччини з Україною, що створює можливості для Туреччини розвивати оборонну співпрацю із Заходом, але поза межами НАТО («західна, але не натівська оборонна співпраця»), яка «передбачає спільне виробництво та більш щедрий трансфер технологій, ніж пропонують євроатлантичні країни» (Coffey &amp; Kasapoğlu, 2023). Це бачення відкриває додаткові можливості для Києва.</w:t>
      </w:r>
    </w:p>
    <w:p w:rsidR="00BD1BAF" w:rsidRPr="00BD1BAF" w:rsidRDefault="00BD1BAF" w:rsidP="00BD1BAF">
      <w:pPr>
        <w:spacing w:line="360" w:lineRule="auto"/>
        <w:ind w:firstLine="851"/>
        <w:rPr>
          <w:sz w:val="28"/>
          <w:szCs w:val="28"/>
          <w:lang w:val="ru-RU"/>
        </w:rPr>
      </w:pPr>
      <w:r w:rsidRPr="00BD1BAF">
        <w:rPr>
          <w:sz w:val="28"/>
          <w:szCs w:val="28"/>
          <w:lang w:val="ru-RU"/>
        </w:rPr>
        <w:t xml:space="preserve">Поглиблення стратегічних відносин з Україною є критично важливим для Туреччини з кількох причин, головним чином тому, що вони створюють природний геополітичний баланс і здатні стримувати Росію без подальшого розширення участі НАТО в Чорному морі. По суті, це означає, що військово та політично сильна Україна означає сильну Туреччину, оскільки це дозволяє послабити Росію, не збільшуючи присутність ВМС США та інших не прибережних держав. Крім того, співпраця з Україною не порушує жодних «табу» в традиційному стратегічному мисленні Туреччини. Вона добре резонує з підходом «регіональної відповідальності» та не створює загроз для Конвенції Монтре або багатосторонніх регіональних форматів під керівництвом Туреччини. Спільні українсько-турецькі підприємства в оборонній промисловості, історичні зв'язки з кримськими татарами та </w:t>
      </w:r>
      <w:r w:rsidRPr="00BD1BAF">
        <w:rPr>
          <w:sz w:val="28"/>
          <w:szCs w:val="28"/>
          <w:lang w:val="ru-RU"/>
        </w:rPr>
        <w:lastRenderedPageBreak/>
        <w:t>ширший геополітичний контекст після російського вторгнення в Грузію (2008) та Україну (2014) додали цінності зростаючим зв'язкам між Анкарою та Києвом. Туреччина послідовно підтримує політику «відкритих дверей» НАТО, включаючи членство України та Грузії. Хоча рішення щодо майбутнього цих країн в Альянсі буде результатом багатьох факторів, стратегічно членство України та Грузії в НАТО найкраще відповідає інтересам Туреччини, оскільки допомагає стримувати Росію та зміцнювати власну позицію Анкари в Чорному морі (Kirişci &amp; Toygür, 2023).</w:t>
      </w:r>
    </w:p>
    <w:p w:rsidR="00BD1BAF" w:rsidRPr="00BD1BAF" w:rsidRDefault="00BD1BAF" w:rsidP="00BD1BAF">
      <w:pPr>
        <w:spacing w:line="360" w:lineRule="auto"/>
        <w:ind w:firstLine="851"/>
        <w:rPr>
          <w:sz w:val="28"/>
          <w:szCs w:val="28"/>
          <w:lang w:val="ru-RU"/>
        </w:rPr>
      </w:pPr>
      <w:r w:rsidRPr="00BD1BAF">
        <w:rPr>
          <w:sz w:val="28"/>
          <w:szCs w:val="28"/>
          <w:lang w:val="ru-RU"/>
        </w:rPr>
        <w:t>Водночас, для України та Туреччини важливо припинити зловмисну діяльність Росії в Чорному морі. До неї належать стратегія Росії щодо використання нібито «комерційних» суден для транспортування зброї через протоки, торгівля краденим українським зерном з тимчасово окупованого Криму через порти Туреччини (що порушує кілька пакетів санкцій та міністерські директиви Туреччини), а також використання російського «тіньового» флоту для обходу санкцій та обмеження цін на нафту. Інші незаконні дії включають піратство, напади на комерційні судна та перешкоджання вільному транзиту комерційних та військових суден (Işık, 2022; Özdemir, 2023).</w:t>
      </w:r>
    </w:p>
    <w:p w:rsidR="00BD1BAF" w:rsidRPr="00BD1BAF" w:rsidRDefault="00BD1BAF" w:rsidP="00BD1BAF">
      <w:pPr>
        <w:spacing w:line="360" w:lineRule="auto"/>
        <w:ind w:firstLine="851"/>
        <w:rPr>
          <w:sz w:val="28"/>
          <w:szCs w:val="28"/>
          <w:lang w:val="ru-RU"/>
        </w:rPr>
      </w:pPr>
      <w:r w:rsidRPr="00BD1BAF">
        <w:rPr>
          <w:sz w:val="28"/>
          <w:szCs w:val="28"/>
          <w:lang w:val="ru-RU"/>
        </w:rPr>
        <w:t>Фактично, як зазначив Йорюк Ішик, геополітичний аналітик та спостерігач морського судноплавства в Босфорі, Росії по суті дозволено проводити будь-яку військову та комерційну діяльність у своїх інтересах без обмежень, одночасно втручаючись в економічну діяльність інших країн та перешкоджаючи свободі судноплавства (Özkan, 2020). Туреччина може, а іноді й має прямий обов'язок реагувати на ці порушення міжнародного права Росією в межах своєї юрисдикції. Однак, Україна несе відповідальність за надання Туреччині своєчасних та вичерпних доказів російських злочинів на морі.</w:t>
      </w:r>
    </w:p>
    <w:p w:rsidR="00804CD1" w:rsidRPr="000C0848" w:rsidRDefault="00804CD1" w:rsidP="00BD1BAF">
      <w:pPr>
        <w:spacing w:line="360" w:lineRule="auto"/>
        <w:jc w:val="left"/>
        <w:rPr>
          <w:sz w:val="28"/>
          <w:szCs w:val="28"/>
          <w:lang w:val="ru-RU"/>
        </w:rPr>
      </w:pPr>
    </w:p>
    <w:p w:rsidR="002417DF" w:rsidRDefault="002417DF" w:rsidP="009348E3">
      <w:pPr>
        <w:spacing w:line="360" w:lineRule="auto"/>
        <w:ind w:firstLine="851"/>
        <w:jc w:val="left"/>
        <w:rPr>
          <w:b/>
          <w:bCs/>
          <w:sz w:val="28"/>
          <w:szCs w:val="28"/>
        </w:rPr>
      </w:pPr>
    </w:p>
    <w:p w:rsidR="00804CD1" w:rsidRPr="000C0848" w:rsidRDefault="00804CD1" w:rsidP="009348E3">
      <w:pPr>
        <w:spacing w:line="360" w:lineRule="auto"/>
        <w:ind w:firstLine="851"/>
        <w:jc w:val="left"/>
        <w:rPr>
          <w:b/>
          <w:bCs/>
          <w:sz w:val="28"/>
          <w:szCs w:val="28"/>
          <w:lang w:val="ru-RU"/>
        </w:rPr>
      </w:pPr>
      <w:r w:rsidRPr="000C0848">
        <w:rPr>
          <w:b/>
          <w:bCs/>
          <w:sz w:val="28"/>
          <w:szCs w:val="28"/>
        </w:rPr>
        <w:lastRenderedPageBreak/>
        <w:t>3.2 Можливий сценації змін у політиці Туреччини щодо регіону Чорного моря</w:t>
      </w:r>
      <w:r w:rsidRPr="000C0848">
        <w:rPr>
          <w:b/>
          <w:bCs/>
          <w:sz w:val="28"/>
          <w:szCs w:val="28"/>
          <w:lang w:val="ru-RU"/>
        </w:rPr>
        <w:t> </w:t>
      </w:r>
    </w:p>
    <w:p w:rsidR="00804CD1" w:rsidRPr="000C0848" w:rsidRDefault="00804CD1" w:rsidP="009348E3">
      <w:pPr>
        <w:spacing w:line="360" w:lineRule="auto"/>
        <w:ind w:firstLine="851"/>
        <w:jc w:val="left"/>
        <w:rPr>
          <w:b/>
          <w:bCs/>
          <w:sz w:val="28"/>
          <w:szCs w:val="28"/>
          <w:lang w:val="ru-RU"/>
        </w:rPr>
      </w:pPr>
    </w:p>
    <w:p w:rsidR="00053515" w:rsidRPr="00053515" w:rsidRDefault="00053515" w:rsidP="00053515">
      <w:pPr>
        <w:spacing w:line="360" w:lineRule="auto"/>
        <w:ind w:firstLine="851"/>
        <w:rPr>
          <w:sz w:val="28"/>
          <w:szCs w:val="28"/>
          <w:lang w:val="ru-RU"/>
        </w:rPr>
      </w:pPr>
      <w:r w:rsidRPr="00053515">
        <w:rPr>
          <w:sz w:val="28"/>
          <w:szCs w:val="28"/>
          <w:lang w:val="ru-RU"/>
        </w:rPr>
        <w:t>Через два роки після початку повномасштабного російського вторгнення позиція Туреччини залишається незмінною. Протоки закриті для проходу військових суден «обох воюючих сторін», а також для військових суден інших країн, крім тих, що базуються в Чорному морі. Під час прес-конференції у грудні 2023 року міністр національної оборони Туреччини Яшар Гюлер підтвердив, що Анкара не планує змінювати свою давню політику щодо Чорноморського регіону (Reuters, 2023). Він повторив, що «країни з узбережжям Чорного моря повинні піклуватися про Чорне море, а регіональні питання повинні вирішуватися цими країнами. За потреби ми звернемося за допомогою до наших союзників. Але зараз у цьому немає потреби» (Reuters, 2023, с. 1). Заява Гюлера свідчить про те, що Анкара не підтримує посилення присутності НАТО в Чорному морі навіть після закінчення російсько-української війни. Гюлер також підтвердив підтримку територіальної цілісності України та оголосив, що Туреччина, Румунія та Болгарія працюватимуть разом над очищенням Чорного моря від дрейфуючих мін. Тристоронній документ був підписаний у Стамбулі 11 січня 2024 року. За словами турецького міністра, згідно з цією угодою, «турецькі мінні мисливці будуть безперервно патрулювати до точки, де закінчуються морські кордони Румунії» (Daily Sabah, 2023).</w:t>
      </w:r>
    </w:p>
    <w:p w:rsidR="00053515" w:rsidRPr="00053515" w:rsidRDefault="00053515" w:rsidP="00053515">
      <w:pPr>
        <w:spacing w:line="360" w:lineRule="auto"/>
        <w:ind w:firstLine="851"/>
        <w:rPr>
          <w:sz w:val="28"/>
          <w:szCs w:val="28"/>
          <w:lang w:val="ru-RU"/>
        </w:rPr>
      </w:pPr>
      <w:r w:rsidRPr="00053515">
        <w:rPr>
          <w:sz w:val="28"/>
          <w:szCs w:val="28"/>
          <w:lang w:val="ru-RU"/>
        </w:rPr>
        <w:t>Варто зазначити, що операція з розмінування в Чорному морі буде проведена як тристороння регіональна ініціатива на чолі з Туреччиною, але не як операція НАТО в Чорному морі. На думку Туреччини, Туреччина є «НАТО» в Чорному морі; отже, немає потреби дублювати формати. Будь-які додаткові ініціативи під керівництвом НАТО, на думку Анкари, лише спровокують ескалацію з Росією, порушать принцип «регіональної відповідальності» та підірвають лідерство Туреччини в регіоні (EDAM, n.d.).</w:t>
      </w:r>
    </w:p>
    <w:p w:rsidR="00BB3486" w:rsidRPr="00BB3486" w:rsidRDefault="00BB3486" w:rsidP="00BB3486">
      <w:pPr>
        <w:spacing w:line="360" w:lineRule="auto"/>
        <w:ind w:firstLine="851"/>
        <w:rPr>
          <w:sz w:val="28"/>
          <w:szCs w:val="28"/>
          <w:lang w:val="ru-RU"/>
        </w:rPr>
      </w:pPr>
      <w:r w:rsidRPr="00BB3486">
        <w:rPr>
          <w:sz w:val="28"/>
          <w:szCs w:val="28"/>
          <w:lang w:val="ru-RU"/>
        </w:rPr>
        <w:lastRenderedPageBreak/>
        <w:t>Цю позицію також озвучив командувач ВМС Туреччини Ерджумент Татліоглу, який у листопаді 2023 року заявив, що Туреччина «не хоче, щоб США та НАТО були в Чорному морі», щоб уникнути перетворення Чорного моря «на Близький Схід» (NTV, 2023). Він сказав: «Ми заявляємо, що не хочемо, щоб НАТО чи Америка були в Чорному морі. Наша мета — поважати Угоди Монтре. Ми не хочемо, щоб будь-яка країна чи НАТО заходили в Чорне море» (NTV, 2023, с. 1).</w:t>
      </w:r>
    </w:p>
    <w:p w:rsidR="00BB3486" w:rsidRPr="00BB3486" w:rsidRDefault="00BB3486" w:rsidP="00BB3486">
      <w:pPr>
        <w:spacing w:line="360" w:lineRule="auto"/>
        <w:ind w:firstLine="851"/>
        <w:rPr>
          <w:sz w:val="28"/>
          <w:szCs w:val="28"/>
          <w:lang w:val="ru-RU"/>
        </w:rPr>
      </w:pPr>
      <w:r w:rsidRPr="00BB3486">
        <w:rPr>
          <w:sz w:val="28"/>
          <w:szCs w:val="28"/>
          <w:lang w:val="ru-RU"/>
        </w:rPr>
        <w:t>Публічна відмова Туреччини у проході в Чорне море двом британським мінним мисливцям, раніше наданому Україні, демонструє чутливість цього питання для турецького суспільства (Wendt, 1999; Taşpınar, 2011). Центр протидії дезінформації Управління комунікацій за часів турецького президентства заявив, що «Туреччина негайно класифікувала військову операцію Росії проти України як «війну» та, відповідно до статті 19 Конвенції Монтре про режим проток, закрила протоки для військових кораблів воюючих сторін (Росії та України)» (dmmiletisim, 2024).</w:t>
      </w:r>
    </w:p>
    <w:p w:rsidR="00BB3486" w:rsidRPr="00BB3486" w:rsidRDefault="00BB3486" w:rsidP="00BB3486">
      <w:pPr>
        <w:spacing w:line="360" w:lineRule="auto"/>
        <w:ind w:firstLine="851"/>
        <w:rPr>
          <w:sz w:val="28"/>
          <w:szCs w:val="28"/>
          <w:lang w:val="ru-RU"/>
        </w:rPr>
      </w:pPr>
      <w:r w:rsidRPr="00BB3486">
        <w:rPr>
          <w:sz w:val="28"/>
          <w:szCs w:val="28"/>
          <w:lang w:val="ru-RU"/>
        </w:rPr>
        <w:t>Хоча ВМС України офіційно не запитували про прохід через протоки, можна припустити, що на рішення Анкари відкрито заявити про свою позицію вплинуло кілька факторів. До них належать непохитна відданість Туреччини Конвенції Монтре, занепокоєння щодо створення прецеденту для транзиту військових суден через протоки під час війни, побоювання щодо російських операцій впливу в Туреччині, які є надзвичайно маніпулятивними в цьому питанні, а також можливість посилити дипломатичні позиції Анкари щодо Росії та західних союзників з інших питань, що стосуються безпеки Чорного моря.</w:t>
      </w:r>
    </w:p>
    <w:p w:rsidR="00BB3486" w:rsidRPr="00BB3486" w:rsidRDefault="00BB3486" w:rsidP="00BB3486">
      <w:pPr>
        <w:spacing w:line="360" w:lineRule="auto"/>
        <w:ind w:firstLine="851"/>
        <w:rPr>
          <w:sz w:val="28"/>
          <w:szCs w:val="28"/>
          <w:lang w:val="ru-RU"/>
        </w:rPr>
      </w:pPr>
      <w:r w:rsidRPr="00BB3486">
        <w:rPr>
          <w:sz w:val="28"/>
          <w:szCs w:val="28"/>
          <w:lang w:val="ru-RU"/>
        </w:rPr>
        <w:t xml:space="preserve">Отже, якщо не відбудеться змін у поточній динаміці російської війни в Україні, немає підстав очікувати змін у позиції Туреччини щодо закриття проток або внесення поправок до Конвенції Монтре. Низка турецьких експертів припускає, що Анкара може бути більш сприйнятливою до нетрадиційних рішень, таких як використання маршруту Рейн-Майн-Дунай-Чорне море або переміщення кораблів до Румунії для подальшого </w:t>
      </w:r>
      <w:r w:rsidRPr="00BB3486">
        <w:rPr>
          <w:sz w:val="28"/>
          <w:szCs w:val="28"/>
          <w:lang w:val="ru-RU"/>
        </w:rPr>
        <w:lastRenderedPageBreak/>
        <w:t>використання в Чорному морі як «румунських» суден. Однак навіть тоді забезпечення згоди Туреччини може виявитися складним без додаткових гарантій безпеки та значних стимулів з боку західних союзників (Karaosmanoğlu, 2022).</w:t>
      </w:r>
    </w:p>
    <w:p w:rsidR="00BB3486" w:rsidRPr="00BB3486" w:rsidRDefault="00BB3486" w:rsidP="00BB3486">
      <w:pPr>
        <w:spacing w:line="360" w:lineRule="auto"/>
        <w:ind w:firstLine="851"/>
        <w:rPr>
          <w:sz w:val="28"/>
          <w:szCs w:val="28"/>
          <w:lang w:val="ru-RU"/>
        </w:rPr>
      </w:pPr>
      <w:r w:rsidRPr="00BB3486">
        <w:rPr>
          <w:sz w:val="28"/>
          <w:szCs w:val="28"/>
          <w:lang w:val="ru-RU"/>
        </w:rPr>
        <w:t>Згідно зі статтею 30 Конвенції про режим судноплавства на Дунаї 1948 року, військово-морським суднам придунайських держав заборонено плавати по Дунаю за межами кордонів країн, під прапорами яких вони плавають, якщо між відповідними придунайськими державами не буде досягнуто угоди. У цьому випадку позиції Угорщини та Сербії потребуватимуть подальшого розгляду (Convention regarding the regime of navigation on the Danube, 1948).</w:t>
      </w:r>
    </w:p>
    <w:p w:rsidR="00BB3486" w:rsidRPr="00BB3486" w:rsidRDefault="00BB3486" w:rsidP="00BB3486">
      <w:pPr>
        <w:spacing w:line="360" w:lineRule="auto"/>
        <w:ind w:firstLine="851"/>
        <w:rPr>
          <w:sz w:val="28"/>
          <w:szCs w:val="28"/>
          <w:lang w:val="ru-RU"/>
        </w:rPr>
      </w:pPr>
      <w:r w:rsidRPr="00BB3486">
        <w:rPr>
          <w:sz w:val="28"/>
          <w:szCs w:val="28"/>
          <w:lang w:val="ru-RU"/>
        </w:rPr>
        <w:t>Традиційно, реакцією Туреччини на агресію Росії або посилення загроз у регіоні був «поворот на Захід», зміцнюючи співпрацю з союзниками по НАТО. Оборонний щит, що надається Альянсом, забезпечує не лише безпеку Туреччини, але й її військову перевагу над Росією в Чорноморському регіоні. Наприклад, у травні 2016 року, на тлі ескалації напруженості між Туреччиною та Росією в Сирії, Ердоган попередив, що «Чорне море фактично стало російським озером», виступаючи за посилення присутності НАТО в Чорному морі (Kaplan, 2012).</w:t>
      </w:r>
    </w:p>
    <w:p w:rsidR="00BB3486" w:rsidRPr="00BB3486" w:rsidRDefault="00BB3486" w:rsidP="00BB3486">
      <w:pPr>
        <w:spacing w:line="360" w:lineRule="auto"/>
        <w:ind w:firstLine="851"/>
        <w:rPr>
          <w:sz w:val="28"/>
          <w:szCs w:val="28"/>
          <w:lang w:val="ru-RU"/>
        </w:rPr>
      </w:pPr>
      <w:r w:rsidRPr="00BB3486">
        <w:rPr>
          <w:sz w:val="28"/>
          <w:szCs w:val="28"/>
          <w:lang w:val="ru-RU"/>
        </w:rPr>
        <w:t>Коли дипломатичні зв'язки між Туреччиною та США погіршилися, а відносини з Росією демонстрували ознаки покращення після спроби державного перевороту 2016 року, Анкара відповіла взаємністю, відправивши кілька військових кораблів на російську базу в Новоросійську, а пізніше провівши спільні військові навчання з Росією, що розглядається як делікатний акт балансування. Таким чином, можна очікувати, що якщо Росія здійснить значний територіальний просування на півдні України, потенційно затиснувши Туреччину між російськими бульбашками A2AD на півночі – у Криму та Чорному морі – та на півдні – у Сирії та Середземномор'ї, Анкара може продемонструвати більшу «вірність» присутності сил НАТО в басейні Чорного моря (Bueger &amp; Edmunds, 2020).</w:t>
      </w:r>
    </w:p>
    <w:p w:rsidR="00BB3486" w:rsidRPr="00BB3486" w:rsidRDefault="00BB3486" w:rsidP="00BB3486">
      <w:pPr>
        <w:spacing w:line="360" w:lineRule="auto"/>
        <w:ind w:firstLine="851"/>
        <w:rPr>
          <w:sz w:val="28"/>
          <w:szCs w:val="28"/>
          <w:lang w:val="ru-RU"/>
        </w:rPr>
      </w:pPr>
      <w:r w:rsidRPr="00BB3486">
        <w:rPr>
          <w:sz w:val="28"/>
          <w:szCs w:val="28"/>
          <w:lang w:val="ru-RU"/>
        </w:rPr>
        <w:lastRenderedPageBreak/>
        <w:t>Однак, навіть за таких обставин, основна увага буде зосереджена на посиленні співпраці між військово-морськими силами Туреччини, Румунії та Болгарії. Судна країн НАТО, що не входять до Чорного моря, потенційно можуть бути залучені до діяльності регіону як короткострокові заходи в порти Чорного моря як політичний жест до Москви, стверджуючи, що Чорне море не перетворюється на «російське озеро». За такого сценарію найімовірнішим варіантом дій було б формування болгаро-румунсько-турецької групи для патрулювання Чорного моря та розширення військово-морської присутності НАТО в Середземному морі (Cornell &amp; Nilsson, 2023).</w:t>
      </w:r>
    </w:p>
    <w:p w:rsidR="00BB3486" w:rsidRPr="00BB3486" w:rsidRDefault="00BB3486" w:rsidP="00BB3486">
      <w:pPr>
        <w:spacing w:line="360" w:lineRule="auto"/>
        <w:ind w:firstLine="851"/>
        <w:rPr>
          <w:sz w:val="28"/>
          <w:szCs w:val="28"/>
          <w:lang w:val="ru-RU"/>
        </w:rPr>
      </w:pPr>
      <w:r w:rsidRPr="00BB3486">
        <w:rPr>
          <w:sz w:val="28"/>
          <w:szCs w:val="28"/>
          <w:lang w:val="ru-RU"/>
        </w:rPr>
        <w:t>Крім того, один з провідних експертів Туреччини з питань морської безпеки, Серхат Гювенч, вважає, що перемога Росії підбадьорить тих турецьких політиків, які вважають Росію великою державою та противагою глобальному домінуванню Заходу, тим самим відкриваючи можливості для посилення впливу Туреччини на світовій арені (Atlantic Council, 2023). Однак за такого сценарію військові угруповання сприйматимуть Росію як експоненціально більшу загрозу, особливо якщо вона забезпечить доступ до українського узбережжя Чорного моря. Отже, Гювенч вважає, що ця ситуація спровокує значні розбіжності між певними впливовими угрупованнями в політичному та військовому керівництві країни, що прокладе шлях до внутрішніх тертя.</w:t>
      </w:r>
    </w:p>
    <w:p w:rsidR="00BB3486" w:rsidRPr="00BB3486" w:rsidRDefault="00BB3486" w:rsidP="00BB3486">
      <w:pPr>
        <w:spacing w:line="360" w:lineRule="auto"/>
        <w:ind w:firstLine="851"/>
        <w:rPr>
          <w:sz w:val="28"/>
          <w:szCs w:val="28"/>
          <w:lang w:val="ru-RU"/>
        </w:rPr>
      </w:pPr>
      <w:r w:rsidRPr="00BB3486">
        <w:rPr>
          <w:sz w:val="28"/>
          <w:szCs w:val="28"/>
          <w:lang w:val="ru-RU"/>
        </w:rPr>
        <w:t>Зміцнення позицій України разом із контрольованим, поступовим зменшенням могутності Росії стало б оптимальним сценарієм для Туреччини. Міцність країни в Чорноморському регіоні значно посилюється успіхами Збройних сил України. Зниження потенціалу російського флоту (наразі Україні вдалося знищити 20% Чорноморського флоту Росії) без залучення сил НАТО та загрози значної ескалації з боку Росії відповідає найкращим інтересам Туреччини (Atlantic Council, 2023).</w:t>
      </w:r>
    </w:p>
    <w:p w:rsidR="00BB3486" w:rsidRPr="00BB3486" w:rsidRDefault="00BB3486" w:rsidP="00BB3486">
      <w:pPr>
        <w:spacing w:line="360" w:lineRule="auto"/>
        <w:ind w:firstLine="851"/>
        <w:rPr>
          <w:sz w:val="28"/>
          <w:szCs w:val="28"/>
          <w:lang w:val="ru-RU"/>
        </w:rPr>
      </w:pPr>
      <w:r w:rsidRPr="00BB3486">
        <w:rPr>
          <w:sz w:val="28"/>
          <w:szCs w:val="28"/>
          <w:lang w:val="ru-RU"/>
        </w:rPr>
        <w:t xml:space="preserve">Альпер Джошкун, колишній посол, а нині експерт Фонду Карнегі, зазначив, що «Туреччина розглядає Росію як потенційного партнера у збалансуванні проти західного впливу. Таким чином, вона сподівається, що </w:t>
      </w:r>
      <w:r w:rsidRPr="00BB3486">
        <w:rPr>
          <w:sz w:val="28"/>
          <w:szCs w:val="28"/>
          <w:lang w:val="ru-RU"/>
        </w:rPr>
        <w:lastRenderedPageBreak/>
        <w:t>Росія вийде з війни у відносно хорошому стані, щоб зробити свій внесок у стратегічну автономію Туреччини в контексті НАТО» (The Kyiv Independent, 2024). Поразка Росії позбавить Туреччину цієї можливості.</w:t>
      </w:r>
    </w:p>
    <w:p w:rsidR="00BB3486" w:rsidRDefault="00BB3486" w:rsidP="00BB3486">
      <w:pPr>
        <w:spacing w:line="360" w:lineRule="auto"/>
        <w:ind w:firstLine="851"/>
        <w:rPr>
          <w:sz w:val="28"/>
          <w:szCs w:val="28"/>
          <w:lang w:val="ru-RU"/>
        </w:rPr>
      </w:pPr>
      <w:r w:rsidRPr="00BB3486">
        <w:rPr>
          <w:sz w:val="28"/>
          <w:szCs w:val="28"/>
          <w:lang w:val="ru-RU"/>
        </w:rPr>
        <w:t>Незважаючи на те, що Туреччина послідовно підтримує територіальну цілісність України, включаючи Крим, перспективи ослаблення Росії, що спричинить раптову зміну балансу сил, у поєднанні з потенційною загрозою посилення НАТО в Чорному морі, викликають занепокоєння в Анкарі. Тому слід очікувати, що Туреччина збереже свою поточну політику обережного балансування. Ця політика базується на каліброваній підтримці України, достатній для того, щоб поступово послабити, але не завдати рішучої поразки Росії як на суші, так і на морі (Atlantic Council, 2023; The Kyiv Independent, 2024).</w:t>
      </w:r>
    </w:p>
    <w:p w:rsidR="00BB3486" w:rsidRPr="00BB3486" w:rsidRDefault="00BB3486" w:rsidP="00BB3486">
      <w:pPr>
        <w:spacing w:line="360" w:lineRule="auto"/>
        <w:ind w:firstLine="851"/>
        <w:rPr>
          <w:sz w:val="28"/>
          <w:szCs w:val="28"/>
          <w:lang w:val="ru-RU"/>
        </w:rPr>
      </w:pPr>
      <w:r w:rsidRPr="00BB3486">
        <w:rPr>
          <w:sz w:val="28"/>
          <w:szCs w:val="28"/>
          <w:lang w:val="ru-RU"/>
        </w:rPr>
        <w:t>Введення нових змінних (тобто зрушень у динаміці влади в Туреччині) не змінить суттєво існуючу ситуацію, враховуючи, що всі політичні фракції однаково визнають важливість Конвенції Монтре (Karaosmanoğlu, 2022). Будівництво штучного Стамбульського каналу, який має проходити паралельно протоці Босфор, наразі стикається зі значними перешкодами щодо фінансування та фактичного виконання (Kaplan, 2012). Нереально очікувати його завершення протягом наступних п'яти-десяти років. Навіть якщо ця ініціатива побачить світ, більшість експертів стверджують, що до неї також слід застосовувати Конвенцію Монтре (Karaosmanoğlu, 2022). Політичне керівництво країни досі дає неоднозначні заяви з цього питання. Безсумнівно, альтернативний шлях до проток, штучний водний шлях, надав би Анкарі можливість тлумачити положення Конвенції Монтре на власний розсуд, перетворивши її з правової бази на предмет політичних рішень та дипломатичних переговорів (Kaplan, 2012).</w:t>
      </w:r>
    </w:p>
    <w:p w:rsidR="00BB3486" w:rsidRPr="00BB3486" w:rsidRDefault="00BB3486" w:rsidP="00BB3486">
      <w:pPr>
        <w:spacing w:line="360" w:lineRule="auto"/>
        <w:ind w:firstLine="851"/>
        <w:rPr>
          <w:sz w:val="28"/>
          <w:szCs w:val="28"/>
          <w:lang w:val="ru-RU"/>
        </w:rPr>
      </w:pPr>
      <w:r w:rsidRPr="00BB3486">
        <w:rPr>
          <w:sz w:val="28"/>
          <w:szCs w:val="28"/>
          <w:lang w:val="ru-RU"/>
        </w:rPr>
        <w:t xml:space="preserve">У разі різкого зсуву балансу сил – перемоги Росії в Україні або, навпаки, її вирішальної поразки (подальший розпад, спроба державного перевороту, громадянська війна тощо), Туреччина, ймовірно, прагнутиме тісніших зв'язків з НАТО, щоб захистити себе від нових загроз, одночасно </w:t>
      </w:r>
      <w:r w:rsidRPr="00BB3486">
        <w:rPr>
          <w:sz w:val="28"/>
          <w:szCs w:val="28"/>
          <w:lang w:val="ru-RU"/>
        </w:rPr>
        <w:lastRenderedPageBreak/>
        <w:t>прагнучи запобігти мілітаризації та «інтернаціоналізації» Чорного моря (Keyman, 2021; Kaplan, 2012).</w:t>
      </w:r>
    </w:p>
    <w:p w:rsidR="00BB3486" w:rsidRDefault="00AF39F1" w:rsidP="00BB3486">
      <w:pPr>
        <w:spacing w:line="360" w:lineRule="auto"/>
        <w:ind w:firstLine="851"/>
        <w:rPr>
          <w:sz w:val="28"/>
          <w:szCs w:val="28"/>
        </w:rPr>
      </w:pPr>
      <w:r w:rsidRPr="00AF39F1">
        <w:rPr>
          <w:sz w:val="28"/>
          <w:szCs w:val="28"/>
        </w:rPr>
        <w:t>У разі здійснення Росією дій провокаційного характеру або виникнення морських інцидентів (зокрема пошкодження чи знищення турецького судна внаслідок дрейфуючої міни або ракетного удару), Туреччина, ймовірно, обере стратегію деескалації (Işık, 2023; Kaplan, 2012). Відкриття проток до завершення війни залишається вкрай малоймовірним; натомість реакція Анкари на подібні дії, ймовірно, матиме асиметричний і пролонгований характер (Işık, 2023).</w:t>
      </w:r>
    </w:p>
    <w:p w:rsidR="00AF39F1" w:rsidRPr="000C0848" w:rsidRDefault="00AF39F1" w:rsidP="00BB3486">
      <w:pPr>
        <w:spacing w:line="360" w:lineRule="auto"/>
        <w:ind w:firstLine="851"/>
        <w:rPr>
          <w:sz w:val="28"/>
          <w:szCs w:val="28"/>
          <w:lang w:val="ru-RU"/>
        </w:rPr>
      </w:pPr>
    </w:p>
    <w:p w:rsidR="00804CD1" w:rsidRPr="000C0848" w:rsidRDefault="00804CD1" w:rsidP="009348E3">
      <w:pPr>
        <w:spacing w:line="360" w:lineRule="auto"/>
        <w:ind w:firstLine="851"/>
        <w:jc w:val="left"/>
        <w:rPr>
          <w:b/>
          <w:sz w:val="28"/>
          <w:szCs w:val="28"/>
        </w:rPr>
      </w:pPr>
      <w:r w:rsidRPr="000C0848">
        <w:rPr>
          <w:b/>
          <w:sz w:val="28"/>
          <w:szCs w:val="28"/>
        </w:rPr>
        <w:t>Висновки до Розділу 3</w:t>
      </w:r>
    </w:p>
    <w:p w:rsidR="00804CD1" w:rsidRPr="000C0848" w:rsidRDefault="00804CD1" w:rsidP="009348E3">
      <w:pPr>
        <w:spacing w:line="360" w:lineRule="auto"/>
        <w:ind w:firstLine="851"/>
        <w:jc w:val="left"/>
        <w:rPr>
          <w:sz w:val="28"/>
          <w:szCs w:val="28"/>
          <w:lang w:val="ru-RU"/>
        </w:rPr>
      </w:pPr>
    </w:p>
    <w:p w:rsidR="0044273E" w:rsidRPr="000C0848" w:rsidRDefault="0044273E" w:rsidP="009348E3">
      <w:pPr>
        <w:spacing w:line="360" w:lineRule="auto"/>
        <w:ind w:firstLine="851"/>
        <w:rPr>
          <w:sz w:val="28"/>
          <w:szCs w:val="28"/>
          <w:lang w:val="ru-RU"/>
        </w:rPr>
      </w:pPr>
      <w:r w:rsidRPr="000C0848">
        <w:rPr>
          <w:sz w:val="28"/>
          <w:szCs w:val="28"/>
        </w:rPr>
        <w:t xml:space="preserve">Аналіз сучасної політики Туреччини щодо Чорноморського регіону демонструє, що вона базується на принципах стратегічного балансування, історичного прагматизму та регіональної відповідальності. Основні цілі Анкари зосереджуються на збереженні статус-кво в Чорному морі, уникненні його мілітаризації зовнішніми гравцями та запобіганні перетворенню регіону на «російське озеро» або на «задній двір» Заходу. </w:t>
      </w:r>
      <w:r w:rsidRPr="000C0848">
        <w:rPr>
          <w:sz w:val="28"/>
          <w:szCs w:val="28"/>
          <w:lang w:val="ru-RU"/>
        </w:rPr>
        <w:t>Туреччина прагне одночасно стримувати Росію та забезпечити власну безпеку, використовуючи дипломатичні та військові інструменти, які не порушують положень Конвенції Монтре 1936 року.</w:t>
      </w:r>
    </w:p>
    <w:p w:rsidR="0044273E" w:rsidRPr="000C0848" w:rsidRDefault="0044273E" w:rsidP="009348E3">
      <w:pPr>
        <w:spacing w:line="360" w:lineRule="auto"/>
        <w:ind w:firstLine="851"/>
        <w:rPr>
          <w:sz w:val="28"/>
          <w:szCs w:val="28"/>
          <w:lang w:val="ru-RU"/>
        </w:rPr>
      </w:pPr>
      <w:r w:rsidRPr="000C0848">
        <w:rPr>
          <w:sz w:val="28"/>
          <w:szCs w:val="28"/>
          <w:lang w:val="ru-RU"/>
        </w:rPr>
        <w:t>Стратегічна політика Анкари щодо Чорного моря характеризується поєднанням нейтралітету та активного регіонального лідерства. Туреччина послідовно підтримує територіальну цілісність України, обмежує доступ військових кораблів до проток і розвиває власний військово-морський потенціал. Водночас політика Туреччини передбачає підтримку багатосторонніх регіональних ініціатив, таких як Чорноморська зернова ініціатива та тристоронні операції з розмінування разом із Румунією та Болгарією. Це дозволяє Анкарі залишатися ключовим регіональним гравцем, одночасно дотримуючись принципів міжнародного права.</w:t>
      </w:r>
    </w:p>
    <w:p w:rsidR="0044273E" w:rsidRPr="000C0848" w:rsidRDefault="0044273E" w:rsidP="009348E3">
      <w:pPr>
        <w:spacing w:line="360" w:lineRule="auto"/>
        <w:ind w:firstLine="851"/>
        <w:rPr>
          <w:sz w:val="28"/>
          <w:szCs w:val="28"/>
          <w:lang w:val="ru-RU"/>
        </w:rPr>
      </w:pPr>
      <w:r w:rsidRPr="000C0848">
        <w:rPr>
          <w:sz w:val="28"/>
          <w:szCs w:val="28"/>
          <w:lang w:val="ru-RU"/>
        </w:rPr>
        <w:lastRenderedPageBreak/>
        <w:t>Соціологічні дані свідчать про те, що турецьке суспільство зберігає складне ставлення як до Росії, так і до Заходу, що формує політичний мандат на обережне балансування. Прагнення Туреччини до стратегічної автономії, з одного боку, зумовлює необхідність підтримувати контакти з Москвою, а з іншого — не дозволяє повністю інтегруватися в західні безпекові формати, включаючи НАТО, без згоди на власні умови.</w:t>
      </w:r>
    </w:p>
    <w:p w:rsidR="0044273E" w:rsidRPr="000C0848" w:rsidRDefault="0044273E" w:rsidP="009348E3">
      <w:pPr>
        <w:spacing w:line="360" w:lineRule="auto"/>
        <w:ind w:firstLine="851"/>
        <w:rPr>
          <w:sz w:val="28"/>
          <w:szCs w:val="28"/>
          <w:lang w:val="ru-RU"/>
        </w:rPr>
      </w:pPr>
      <w:r w:rsidRPr="000C0848">
        <w:rPr>
          <w:sz w:val="28"/>
          <w:szCs w:val="28"/>
          <w:lang w:val="ru-RU"/>
        </w:rPr>
        <w:t>Розгляд можливих сценаріїв розвитку показує, що Туреччина залишатиметься на позиції обережного балансування. Оптимальним сценарієм для Анкари є зміцнення України як регіональної сили для стримування Росії без прямого розширення присутності НАТО в Чорному морі. Водночас будь-які раптові зміни балансу сил, такі як вирішальна поразка або перемога Росії, можуть змінити пріоритети Туреччини у бік більш тісної співпраці з НАТО або, навпаки, активізації відносин із Москвою для захисту власних інтересів.</w:t>
      </w:r>
    </w:p>
    <w:p w:rsidR="0044273E" w:rsidRDefault="0044273E" w:rsidP="009348E3">
      <w:pPr>
        <w:spacing w:line="360" w:lineRule="auto"/>
        <w:ind w:firstLine="851"/>
        <w:rPr>
          <w:sz w:val="28"/>
          <w:szCs w:val="28"/>
          <w:lang w:val="ru-RU"/>
        </w:rPr>
      </w:pPr>
      <w:r w:rsidRPr="000C0848">
        <w:rPr>
          <w:sz w:val="28"/>
          <w:szCs w:val="28"/>
          <w:lang w:val="ru-RU"/>
        </w:rPr>
        <w:t>Таким чином, сучасна політика Туреччини щодо Чорного моря є результатом поєднання історичних традицій, прагматизму, регіональної відповідальності та прагнення до стратегічного лідерства. Вона визначає можливості для України у сфері співпраці та підтримки, зокрема у військово-технічній та дипломатичній сферах, і створює передумови для формування стабільного балансу сил у регіоні без прямої ескалації конфлікту між Росією та НАТО.</w:t>
      </w:r>
    </w:p>
    <w:p w:rsidR="00F86836" w:rsidRPr="000C0848" w:rsidRDefault="00F86836" w:rsidP="002417DF">
      <w:pPr>
        <w:spacing w:line="360" w:lineRule="auto"/>
        <w:ind w:firstLine="720"/>
        <w:rPr>
          <w:sz w:val="28"/>
          <w:szCs w:val="28"/>
          <w:lang w:val="ru-RU"/>
        </w:rPr>
      </w:pPr>
      <w:r>
        <w:rPr>
          <w:sz w:val="28"/>
          <w:szCs w:val="28"/>
          <w:lang w:val="ru-RU"/>
        </w:rPr>
        <w:br w:type="page"/>
      </w:r>
    </w:p>
    <w:p w:rsidR="00A464D9" w:rsidRDefault="00A464D9" w:rsidP="009348E3">
      <w:pPr>
        <w:spacing w:line="360" w:lineRule="auto"/>
        <w:ind w:firstLine="851"/>
        <w:jc w:val="center"/>
        <w:rPr>
          <w:b/>
          <w:sz w:val="28"/>
          <w:szCs w:val="28"/>
          <w:lang w:val="ru-RU"/>
        </w:rPr>
      </w:pPr>
      <w:r w:rsidRPr="006C0AAB">
        <w:rPr>
          <w:b/>
          <w:sz w:val="28"/>
          <w:szCs w:val="28"/>
          <w:lang w:val="ru-RU"/>
        </w:rPr>
        <w:lastRenderedPageBreak/>
        <w:t>ВИСНОВКИ</w:t>
      </w:r>
    </w:p>
    <w:p w:rsidR="006C0AAB" w:rsidRPr="006C0AAB" w:rsidRDefault="006C0AAB" w:rsidP="009348E3">
      <w:pPr>
        <w:spacing w:line="360" w:lineRule="auto"/>
        <w:ind w:firstLine="851"/>
        <w:jc w:val="center"/>
        <w:rPr>
          <w:b/>
          <w:sz w:val="28"/>
          <w:szCs w:val="28"/>
          <w:lang w:val="ru-RU"/>
        </w:rPr>
      </w:pPr>
    </w:p>
    <w:p w:rsidR="000E272E" w:rsidRPr="006C0AAB" w:rsidRDefault="000E272E" w:rsidP="0058334F">
      <w:pPr>
        <w:pStyle w:val="a8"/>
        <w:spacing w:before="0" w:beforeAutospacing="0" w:after="0" w:afterAutospacing="0" w:line="360" w:lineRule="auto"/>
        <w:ind w:firstLine="708"/>
        <w:jc w:val="both"/>
        <w:rPr>
          <w:sz w:val="28"/>
          <w:szCs w:val="28"/>
        </w:rPr>
      </w:pPr>
      <w:r w:rsidRPr="006C0AAB">
        <w:rPr>
          <w:rStyle w:val="a9"/>
          <w:b w:val="0"/>
          <w:sz w:val="28"/>
          <w:szCs w:val="28"/>
        </w:rPr>
        <w:t>Визначено, що після 2022 року зовнішня політика Туреччини в Чорноморському регіоні зазнала системної трансформації</w:t>
      </w:r>
      <w:r w:rsidRPr="006C0AAB">
        <w:rPr>
          <w:b/>
          <w:sz w:val="28"/>
          <w:szCs w:val="28"/>
        </w:rPr>
        <w:t>,</w:t>
      </w:r>
      <w:r w:rsidRPr="006C0AAB">
        <w:rPr>
          <w:b/>
          <w:sz w:val="28"/>
          <w:szCs w:val="28"/>
          <w:lang w:val="uk-UA"/>
        </w:rPr>
        <w:t xml:space="preserve"> </w:t>
      </w:r>
      <w:r w:rsidRPr="006C0AAB">
        <w:rPr>
          <w:rStyle w:val="a9"/>
          <w:b w:val="0"/>
          <w:sz w:val="28"/>
          <w:szCs w:val="28"/>
        </w:rPr>
        <w:t>тому що</w:t>
      </w:r>
      <w:r w:rsidRPr="006C0AAB">
        <w:rPr>
          <w:b/>
          <w:sz w:val="28"/>
          <w:szCs w:val="28"/>
        </w:rPr>
        <w:t xml:space="preserve"> </w:t>
      </w:r>
      <w:r w:rsidRPr="006C0AAB">
        <w:rPr>
          <w:sz w:val="28"/>
          <w:szCs w:val="28"/>
        </w:rPr>
        <w:t>повномасштабна російська агресія проти України кардинально змінила безпекове середовище, створила нові виклики для регіонального балансу сил та змусила Анкару адаптувати свої підходи до забезпечення стабільності у Чорному морі. На підставі аналізу офіційних документів, заяв турецького керівництва та досліджень провідних експертів встановлено нову пріоритетність питань безпеки порівняно з попередньою моделлю співпраці та діалогу.</w:t>
      </w:r>
    </w:p>
    <w:p w:rsidR="000E272E" w:rsidRPr="006C0AAB" w:rsidRDefault="000E272E" w:rsidP="0058334F">
      <w:pPr>
        <w:pStyle w:val="a8"/>
        <w:spacing w:before="0" w:beforeAutospacing="0" w:after="0" w:afterAutospacing="0" w:line="360" w:lineRule="auto"/>
        <w:ind w:firstLine="708"/>
        <w:jc w:val="both"/>
        <w:rPr>
          <w:sz w:val="28"/>
          <w:szCs w:val="28"/>
        </w:rPr>
      </w:pPr>
      <w:r w:rsidRPr="006C0AAB">
        <w:rPr>
          <w:rStyle w:val="a9"/>
          <w:b w:val="0"/>
          <w:sz w:val="28"/>
          <w:szCs w:val="28"/>
        </w:rPr>
        <w:t>Підтверджено, що ключовим чинником зміни турецької політики стала переоцінка ролі Росії в регіоні</w:t>
      </w:r>
      <w:r w:rsidRPr="006C0AAB">
        <w:rPr>
          <w:b/>
          <w:sz w:val="28"/>
          <w:szCs w:val="28"/>
        </w:rPr>
        <w:t>,</w:t>
      </w:r>
      <w:r w:rsidRPr="006C0AAB">
        <w:rPr>
          <w:b/>
          <w:sz w:val="28"/>
          <w:szCs w:val="28"/>
          <w:lang w:val="uk-UA"/>
        </w:rPr>
        <w:t xml:space="preserve"> </w:t>
      </w:r>
      <w:r w:rsidRPr="006C0AAB">
        <w:rPr>
          <w:rStyle w:val="a9"/>
          <w:b w:val="0"/>
          <w:sz w:val="28"/>
          <w:szCs w:val="28"/>
        </w:rPr>
        <w:t>тому що</w:t>
      </w:r>
      <w:r w:rsidRPr="006C0AAB">
        <w:rPr>
          <w:sz w:val="28"/>
          <w:szCs w:val="28"/>
        </w:rPr>
        <w:t xml:space="preserve"> війна показала зростання військової присутності РФ у Чорному морі, її застосування гібридних та блокуючих інструментів, що безпосередньо зачепило інтереси Туреччини як морської держави та члена НАТО. На підставі дослідження стратегічних документів НАТО та аналізу заяв Туреччини щодо режиму проток доведено, що Анкара змінила оцінку ризиків та посилила режим Монре, одночасно намагаючись не зруйнувати канали діалогу з Москвою.</w:t>
      </w:r>
    </w:p>
    <w:p w:rsidR="000E272E" w:rsidRPr="006C0AAB" w:rsidRDefault="00963D22" w:rsidP="0058334F">
      <w:pPr>
        <w:pStyle w:val="a8"/>
        <w:spacing w:before="0" w:beforeAutospacing="0" w:after="0" w:afterAutospacing="0" w:line="360" w:lineRule="auto"/>
        <w:ind w:firstLine="708"/>
        <w:jc w:val="both"/>
        <w:rPr>
          <w:sz w:val="28"/>
          <w:szCs w:val="28"/>
        </w:rPr>
      </w:pPr>
      <w:r w:rsidRPr="00963D22">
        <w:rPr>
          <w:bCs/>
          <w:sz w:val="28"/>
          <w:szCs w:val="28"/>
          <w:lang w:val="uk-UA"/>
        </w:rPr>
        <w:t>Виявлено</w:t>
      </w:r>
      <w:r>
        <w:rPr>
          <w:bCs/>
          <w:sz w:val="28"/>
          <w:szCs w:val="28"/>
          <w:lang w:val="uk-UA"/>
        </w:rPr>
        <w:t xml:space="preserve">, </w:t>
      </w:r>
      <w:r w:rsidR="000E272E" w:rsidRPr="006C0AAB">
        <w:rPr>
          <w:rStyle w:val="a9"/>
          <w:b w:val="0"/>
          <w:sz w:val="28"/>
          <w:szCs w:val="28"/>
        </w:rPr>
        <w:t>що Туреччина переорієнтувала свою регіональну стратегію з концепції «м’якого балансування» на модель «стратегічної автономії»</w:t>
      </w:r>
      <w:r w:rsidR="000E272E" w:rsidRPr="006C0AAB">
        <w:rPr>
          <w:b/>
          <w:sz w:val="28"/>
          <w:szCs w:val="28"/>
        </w:rPr>
        <w:t>,</w:t>
      </w:r>
      <w:r w:rsidR="000E272E" w:rsidRPr="006C0AAB">
        <w:rPr>
          <w:b/>
          <w:sz w:val="28"/>
          <w:szCs w:val="28"/>
          <w:lang w:val="uk-UA"/>
        </w:rPr>
        <w:t xml:space="preserve"> </w:t>
      </w:r>
      <w:r w:rsidR="000E272E" w:rsidRPr="006C0AAB">
        <w:rPr>
          <w:rStyle w:val="a9"/>
          <w:b w:val="0"/>
          <w:sz w:val="28"/>
          <w:szCs w:val="28"/>
        </w:rPr>
        <w:t>тому що</w:t>
      </w:r>
      <w:r w:rsidR="000E272E" w:rsidRPr="006C0AAB">
        <w:rPr>
          <w:sz w:val="28"/>
          <w:szCs w:val="28"/>
        </w:rPr>
        <w:t xml:space="preserve"> після 2022 року її зовнішня політика почала базуватися на прагматичному поєднанні співпраці з НАТО, збереженні економічних зв’язків з РФ та активній медіації між сторонами конфлікту. На підставі аналізу економічних даних, оборонних угод та дипломатичної активності Анкари з 2022–2024 рр. доведено, що стратегічна автономія стала основним інструментом регіональної поведінки Туреччини.</w:t>
      </w:r>
    </w:p>
    <w:p w:rsidR="000E272E" w:rsidRPr="006C0AAB" w:rsidRDefault="00963D22" w:rsidP="0058334F">
      <w:pPr>
        <w:pStyle w:val="a8"/>
        <w:spacing w:before="0" w:beforeAutospacing="0" w:after="0" w:afterAutospacing="0" w:line="360" w:lineRule="auto"/>
        <w:ind w:firstLine="708"/>
        <w:jc w:val="both"/>
        <w:rPr>
          <w:sz w:val="28"/>
          <w:szCs w:val="28"/>
        </w:rPr>
      </w:pPr>
      <w:r w:rsidRPr="00963D22">
        <w:rPr>
          <w:bCs/>
          <w:sz w:val="28"/>
          <w:szCs w:val="28"/>
          <w:lang w:val="uk-UA"/>
        </w:rPr>
        <w:t>Встановлено</w:t>
      </w:r>
      <w:r>
        <w:rPr>
          <w:bCs/>
          <w:sz w:val="28"/>
          <w:szCs w:val="28"/>
          <w:lang w:val="uk-UA"/>
        </w:rPr>
        <w:t xml:space="preserve">, </w:t>
      </w:r>
      <w:r w:rsidR="000E272E" w:rsidRPr="006C0AAB">
        <w:rPr>
          <w:rStyle w:val="a9"/>
          <w:b w:val="0"/>
          <w:sz w:val="28"/>
          <w:szCs w:val="28"/>
        </w:rPr>
        <w:t>що Туреччина зміцнила роль «регіонального гаранта безпеки» у Чорному морі</w:t>
      </w:r>
      <w:r w:rsidR="000E272E" w:rsidRPr="006C0AAB">
        <w:rPr>
          <w:b/>
          <w:sz w:val="28"/>
          <w:szCs w:val="28"/>
        </w:rPr>
        <w:t>,</w:t>
      </w:r>
      <w:r w:rsidR="000E272E" w:rsidRPr="006C0AAB">
        <w:rPr>
          <w:b/>
          <w:sz w:val="28"/>
          <w:szCs w:val="28"/>
          <w:lang w:val="uk-UA"/>
        </w:rPr>
        <w:t xml:space="preserve"> </w:t>
      </w:r>
      <w:r w:rsidR="000E272E" w:rsidRPr="006C0AAB">
        <w:rPr>
          <w:rStyle w:val="a9"/>
          <w:b w:val="0"/>
          <w:sz w:val="28"/>
          <w:szCs w:val="28"/>
        </w:rPr>
        <w:t>тому що</w:t>
      </w:r>
      <w:r w:rsidR="000E272E" w:rsidRPr="006C0AAB">
        <w:rPr>
          <w:sz w:val="28"/>
          <w:szCs w:val="28"/>
        </w:rPr>
        <w:t xml:space="preserve"> взяла на себе посередницькі функції та виступила єдиною державою, здатною вести діалог і з Україною, і з Росією. </w:t>
      </w:r>
      <w:r w:rsidR="000E272E" w:rsidRPr="006C0AAB">
        <w:rPr>
          <w:sz w:val="28"/>
          <w:szCs w:val="28"/>
        </w:rPr>
        <w:lastRenderedPageBreak/>
        <w:t>На підставі аналізу Чорноморської зернової ініціативи, домовленостей щодо розмінування моря та морської координації з Румунією і Болгарією встановлено, що Туреччина стала ключовим модератором безпеки в акваторії.</w:t>
      </w:r>
    </w:p>
    <w:p w:rsidR="000E272E" w:rsidRPr="006C0AAB" w:rsidRDefault="00963D22" w:rsidP="00812128">
      <w:pPr>
        <w:pStyle w:val="a8"/>
        <w:spacing w:before="0" w:beforeAutospacing="0" w:after="0" w:afterAutospacing="0" w:line="360" w:lineRule="auto"/>
        <w:ind w:firstLine="708"/>
        <w:jc w:val="both"/>
        <w:rPr>
          <w:sz w:val="28"/>
          <w:szCs w:val="28"/>
        </w:rPr>
      </w:pPr>
      <w:r w:rsidRPr="00963D22">
        <w:rPr>
          <w:bCs/>
          <w:sz w:val="28"/>
          <w:szCs w:val="28"/>
          <w:lang w:val="uk-UA"/>
        </w:rPr>
        <w:t>Показано</w:t>
      </w:r>
      <w:r>
        <w:rPr>
          <w:bCs/>
          <w:sz w:val="28"/>
          <w:szCs w:val="28"/>
          <w:lang w:val="uk-UA"/>
        </w:rPr>
        <w:t xml:space="preserve">, </w:t>
      </w:r>
      <w:r w:rsidR="000E272E" w:rsidRPr="006C0AAB">
        <w:rPr>
          <w:rStyle w:val="a9"/>
          <w:b w:val="0"/>
          <w:sz w:val="28"/>
          <w:szCs w:val="28"/>
        </w:rPr>
        <w:t>що сучасні підходи Туреччини формуються</w:t>
      </w:r>
      <w:r w:rsidR="000E272E" w:rsidRPr="006C0AAB">
        <w:rPr>
          <w:rStyle w:val="a9"/>
          <w:sz w:val="28"/>
          <w:szCs w:val="28"/>
        </w:rPr>
        <w:t xml:space="preserve"> </w:t>
      </w:r>
      <w:r w:rsidR="000E272E" w:rsidRPr="006C0AAB">
        <w:rPr>
          <w:rStyle w:val="a9"/>
          <w:b w:val="0"/>
          <w:sz w:val="28"/>
          <w:szCs w:val="28"/>
        </w:rPr>
        <w:t>під впливом нових економічних і енергетичних викликів</w:t>
      </w:r>
      <w:r w:rsidR="000E272E" w:rsidRPr="006C0AAB">
        <w:rPr>
          <w:b/>
          <w:sz w:val="28"/>
          <w:szCs w:val="28"/>
        </w:rPr>
        <w:t>,</w:t>
      </w:r>
      <w:r w:rsidR="000E272E" w:rsidRPr="006C0AAB">
        <w:rPr>
          <w:b/>
          <w:sz w:val="28"/>
          <w:szCs w:val="28"/>
          <w:lang w:val="uk-UA"/>
        </w:rPr>
        <w:t xml:space="preserve"> </w:t>
      </w:r>
      <w:r w:rsidR="000E272E" w:rsidRPr="006C0AAB">
        <w:rPr>
          <w:rStyle w:val="a9"/>
          <w:b w:val="0"/>
          <w:sz w:val="28"/>
          <w:szCs w:val="28"/>
        </w:rPr>
        <w:t>тому що</w:t>
      </w:r>
      <w:r w:rsidR="000E272E" w:rsidRPr="006C0AAB">
        <w:rPr>
          <w:sz w:val="28"/>
          <w:szCs w:val="28"/>
        </w:rPr>
        <w:t xml:space="preserve"> війна порушила логістику, морські маршрути, ринки зерна, енергетичні ланцюги та змусила Анкару диверсифікувати постачання енергоресурсів, захищати критичну інфраструктуру та розвивати власну оборонну промисловість. На підставі аналізу статистики експорту-імпорту, документів щодо енергетичних проєктів (платформа «TürkAkım», газові хаби, розвиток ТЕС і ВДЕ) показано, що економічна складова стала центральною для рішення багатьох зовнішньополітичних задач.</w:t>
      </w:r>
    </w:p>
    <w:p w:rsidR="000E272E" w:rsidRPr="006C0AAB" w:rsidRDefault="00963D22" w:rsidP="00812128">
      <w:pPr>
        <w:pStyle w:val="a8"/>
        <w:spacing w:before="0" w:beforeAutospacing="0" w:after="0" w:afterAutospacing="0" w:line="360" w:lineRule="auto"/>
        <w:ind w:firstLine="708"/>
        <w:jc w:val="both"/>
        <w:rPr>
          <w:sz w:val="28"/>
          <w:szCs w:val="28"/>
        </w:rPr>
      </w:pPr>
      <w:r w:rsidRPr="00963D22">
        <w:rPr>
          <w:bCs/>
          <w:sz w:val="28"/>
          <w:szCs w:val="28"/>
          <w:lang w:val="uk-UA"/>
        </w:rPr>
        <w:t>Встановлено</w:t>
      </w:r>
      <w:r w:rsidR="000E272E" w:rsidRPr="00963D22">
        <w:rPr>
          <w:rStyle w:val="a9"/>
          <w:b w:val="0"/>
          <w:sz w:val="28"/>
          <w:szCs w:val="28"/>
        </w:rPr>
        <w:t>,</w:t>
      </w:r>
      <w:r w:rsidR="000E272E" w:rsidRPr="006C0AAB">
        <w:rPr>
          <w:rStyle w:val="a9"/>
          <w:b w:val="0"/>
          <w:sz w:val="28"/>
          <w:szCs w:val="28"/>
        </w:rPr>
        <w:t xml:space="preserve"> що зміна безпекової архітектури Чорного моря спричинила посилення військово-морських можливостей Туреччини</w:t>
      </w:r>
      <w:r w:rsidR="000E272E" w:rsidRPr="006C0AAB">
        <w:rPr>
          <w:b/>
          <w:sz w:val="28"/>
          <w:szCs w:val="28"/>
        </w:rPr>
        <w:t>,</w:t>
      </w:r>
      <w:r w:rsidR="000E272E" w:rsidRPr="006C0AAB">
        <w:rPr>
          <w:b/>
          <w:sz w:val="28"/>
          <w:szCs w:val="28"/>
          <w:lang w:val="uk-UA"/>
        </w:rPr>
        <w:t xml:space="preserve"> </w:t>
      </w:r>
      <w:r w:rsidR="000E272E" w:rsidRPr="006C0AAB">
        <w:rPr>
          <w:rStyle w:val="a9"/>
          <w:b w:val="0"/>
          <w:sz w:val="28"/>
          <w:szCs w:val="28"/>
        </w:rPr>
        <w:t>тому що</w:t>
      </w:r>
      <w:r w:rsidR="000E272E" w:rsidRPr="006C0AAB">
        <w:rPr>
          <w:sz w:val="28"/>
          <w:szCs w:val="28"/>
        </w:rPr>
        <w:t xml:space="preserve"> в умовах загострення конфлікту Анкара почала активніше розвивати флот, модернізувати військово-морські потужності та збільшувати присутність у морі, виходячи з концепції «Mavi Vatan» («Блакитна Батьківщина»). На підставі аналізу програм кораблебудування, зміцнення оборонної промисловості та модернізації НАТО-сумісних систем підтверджено, що Туреччина прагне до ролі провідної морської сили регіону.</w:t>
      </w:r>
    </w:p>
    <w:p w:rsidR="000E272E" w:rsidRPr="006C0AAB" w:rsidRDefault="000E272E" w:rsidP="00812128">
      <w:pPr>
        <w:pStyle w:val="a8"/>
        <w:spacing w:before="0" w:beforeAutospacing="0" w:after="0" w:afterAutospacing="0" w:line="360" w:lineRule="auto"/>
        <w:ind w:firstLine="708"/>
        <w:jc w:val="both"/>
        <w:rPr>
          <w:sz w:val="28"/>
          <w:szCs w:val="28"/>
        </w:rPr>
      </w:pPr>
      <w:r w:rsidRPr="006C0AAB">
        <w:rPr>
          <w:rStyle w:val="a9"/>
          <w:b w:val="0"/>
          <w:sz w:val="28"/>
          <w:szCs w:val="28"/>
        </w:rPr>
        <w:t>У роботі визначено, що після 2022 року Туреччина трансформувала свою безпекову стратегію в Чорноморському регіоні</w:t>
      </w:r>
      <w:r w:rsidRPr="006C0AAB">
        <w:rPr>
          <w:sz w:val="28"/>
          <w:szCs w:val="28"/>
        </w:rPr>
        <w:t xml:space="preserve">, </w:t>
      </w:r>
      <w:r w:rsidRPr="006C0AAB">
        <w:rPr>
          <w:rStyle w:val="aa"/>
          <w:i w:val="0"/>
          <w:sz w:val="28"/>
          <w:szCs w:val="28"/>
        </w:rPr>
        <w:t>оскільки повномасштабна війна Росії проти України створила безпрецедентні військово-політичні ризики</w:t>
      </w:r>
      <w:r w:rsidRPr="006C0AAB">
        <w:rPr>
          <w:sz w:val="28"/>
          <w:szCs w:val="28"/>
        </w:rPr>
        <w:t>, що зумовило переорієнтацію з «балансу між Москвою та Києвом» на «керовану асиметрію», за якої Туреччина підтримує Україну у сфері оборони, але водночас уникає прямої конфронтації з РФ. На підставі аналізу подій 2022–2024 рр. доведено, що Анкара почала діяти як держава-стабілізатор, намагаючись запобігти поширенню конфлікту на акваторію Чорного моря.</w:t>
      </w:r>
    </w:p>
    <w:p w:rsidR="000E272E" w:rsidRPr="006C0AAB" w:rsidRDefault="00963D22" w:rsidP="00E212AF">
      <w:pPr>
        <w:pStyle w:val="a8"/>
        <w:spacing w:before="0" w:beforeAutospacing="0" w:after="0" w:afterAutospacing="0" w:line="360" w:lineRule="auto"/>
        <w:ind w:firstLine="708"/>
        <w:jc w:val="both"/>
        <w:rPr>
          <w:sz w:val="28"/>
          <w:szCs w:val="28"/>
        </w:rPr>
      </w:pPr>
      <w:r w:rsidRPr="00963D22">
        <w:rPr>
          <w:bCs/>
          <w:sz w:val="28"/>
          <w:szCs w:val="28"/>
          <w:lang w:val="uk-UA"/>
        </w:rPr>
        <w:lastRenderedPageBreak/>
        <w:t>Встановлено</w:t>
      </w:r>
      <w:r w:rsidR="000E272E" w:rsidRPr="00963D22">
        <w:rPr>
          <w:rStyle w:val="a9"/>
          <w:b w:val="0"/>
          <w:sz w:val="28"/>
          <w:szCs w:val="28"/>
        </w:rPr>
        <w:t>,</w:t>
      </w:r>
      <w:r w:rsidR="000E272E" w:rsidRPr="006C0AAB">
        <w:rPr>
          <w:rStyle w:val="a9"/>
          <w:b w:val="0"/>
          <w:sz w:val="28"/>
          <w:szCs w:val="28"/>
        </w:rPr>
        <w:t xml:space="preserve"> що економічний вимір зовнішньої політики Туреччини після 2022 року значно посилився</w:t>
      </w:r>
      <w:r w:rsidR="000E272E" w:rsidRPr="006C0AAB">
        <w:rPr>
          <w:sz w:val="28"/>
          <w:szCs w:val="28"/>
        </w:rPr>
        <w:t xml:space="preserve">, </w:t>
      </w:r>
      <w:r w:rsidR="000E272E" w:rsidRPr="006C0AAB">
        <w:rPr>
          <w:rStyle w:val="aa"/>
          <w:i w:val="0"/>
          <w:sz w:val="28"/>
          <w:szCs w:val="28"/>
        </w:rPr>
        <w:t>оскільки руйнування логістичних ланцюгів, блокування українських портів та санкційний тиск на РФ створили нову архітектуру регіональних торговельно-транспортних потоків</w:t>
      </w:r>
      <w:r w:rsidR="000E272E" w:rsidRPr="006C0AAB">
        <w:rPr>
          <w:i/>
          <w:sz w:val="28"/>
          <w:szCs w:val="28"/>
        </w:rPr>
        <w:t>.</w:t>
      </w:r>
      <w:r w:rsidR="000E272E" w:rsidRPr="006C0AAB">
        <w:rPr>
          <w:sz w:val="28"/>
          <w:szCs w:val="28"/>
        </w:rPr>
        <w:t xml:space="preserve"> Встановлено, що Туреччина використала ці зміни для зміцнення власної ролі як ключового транзитного вузла між Європою, Кавказом і Близьким Сходом. На підставі проведеного аналізу доведено, що зростання ролі Middle Corridor та розширення співпраці з державами Кавказу стало одним із пріоритетних напрямів турецької регіональної політики.</w:t>
      </w:r>
    </w:p>
    <w:p w:rsidR="000E272E" w:rsidRPr="006C0AAB" w:rsidRDefault="00963D22" w:rsidP="00E212AF">
      <w:pPr>
        <w:pStyle w:val="a8"/>
        <w:spacing w:before="0" w:beforeAutospacing="0" w:after="0" w:afterAutospacing="0" w:line="360" w:lineRule="auto"/>
        <w:ind w:firstLine="708"/>
        <w:jc w:val="both"/>
        <w:rPr>
          <w:sz w:val="28"/>
          <w:szCs w:val="28"/>
        </w:rPr>
      </w:pPr>
      <w:r w:rsidRPr="00963D22">
        <w:rPr>
          <w:bCs/>
          <w:sz w:val="28"/>
          <w:szCs w:val="28"/>
          <w:lang w:val="uk-UA"/>
        </w:rPr>
        <w:t>Виявлено</w:t>
      </w:r>
      <w:r w:rsidR="000E272E" w:rsidRPr="006C0AAB">
        <w:rPr>
          <w:rStyle w:val="a9"/>
          <w:b w:val="0"/>
          <w:sz w:val="28"/>
          <w:szCs w:val="28"/>
        </w:rPr>
        <w:t>, що безпекові виклики після 2022 року стимулювали Туреччину до активізації співпраці з НАТО та розширення оборонної промисловості</w:t>
      </w:r>
      <w:r w:rsidR="000E272E" w:rsidRPr="006C0AAB">
        <w:rPr>
          <w:sz w:val="28"/>
          <w:szCs w:val="28"/>
        </w:rPr>
        <w:t xml:space="preserve">, </w:t>
      </w:r>
      <w:r w:rsidR="000E272E" w:rsidRPr="006C0AAB">
        <w:rPr>
          <w:rStyle w:val="aa"/>
          <w:i w:val="0"/>
          <w:sz w:val="28"/>
          <w:szCs w:val="28"/>
        </w:rPr>
        <w:t>оскільки війна в Україні висвітлила критичну роль контролю над морськими шляхами, безпілотних систем та засобів протиповітряної оборони</w:t>
      </w:r>
      <w:r w:rsidR="000E272E" w:rsidRPr="006C0AAB">
        <w:rPr>
          <w:sz w:val="28"/>
          <w:szCs w:val="28"/>
        </w:rPr>
        <w:t>. Визначено, що Туреччина системно посилює військову присутність на чорноморському узбережжі, модернізує флот та нарощує оборонний експорт, включно з технологіями, що довели свою ефективність у боротьбі України з агресією РФ.</w:t>
      </w:r>
    </w:p>
    <w:p w:rsidR="000E272E" w:rsidRPr="006C0AAB" w:rsidRDefault="00963D22" w:rsidP="003420F7">
      <w:pPr>
        <w:pStyle w:val="a8"/>
        <w:spacing w:before="0" w:beforeAutospacing="0" w:after="0" w:afterAutospacing="0" w:line="360" w:lineRule="auto"/>
        <w:ind w:firstLine="708"/>
        <w:jc w:val="both"/>
        <w:rPr>
          <w:sz w:val="28"/>
          <w:szCs w:val="28"/>
        </w:rPr>
      </w:pPr>
      <w:r w:rsidRPr="00963D22">
        <w:rPr>
          <w:bCs/>
          <w:sz w:val="28"/>
          <w:szCs w:val="28"/>
          <w:lang w:val="uk-UA"/>
        </w:rPr>
        <w:t>Встановлено</w:t>
      </w:r>
      <w:r w:rsidR="000E272E" w:rsidRPr="00963D22">
        <w:rPr>
          <w:rStyle w:val="a9"/>
          <w:b w:val="0"/>
          <w:sz w:val="28"/>
          <w:szCs w:val="28"/>
        </w:rPr>
        <w:t>,</w:t>
      </w:r>
      <w:r w:rsidR="000E272E" w:rsidRPr="006C0AAB">
        <w:rPr>
          <w:rStyle w:val="a9"/>
          <w:b w:val="0"/>
          <w:sz w:val="28"/>
          <w:szCs w:val="28"/>
        </w:rPr>
        <w:t xml:space="preserve"> що Чорноморський регіон після 2022 року став для Туреччини простором стратегічної конкуренції та одночасної співпраці з ключовими державами</w:t>
      </w:r>
      <w:r w:rsidR="000E272E" w:rsidRPr="006C0AAB">
        <w:rPr>
          <w:sz w:val="28"/>
          <w:szCs w:val="28"/>
        </w:rPr>
        <w:t xml:space="preserve">, </w:t>
      </w:r>
      <w:r w:rsidR="000E272E" w:rsidRPr="006C0AAB">
        <w:rPr>
          <w:rStyle w:val="aa"/>
          <w:i w:val="0"/>
          <w:sz w:val="28"/>
          <w:szCs w:val="28"/>
        </w:rPr>
        <w:t>оскільки Анкара прагне уникнути домінування будь-якої сили — зокрема Росії чи Заходу — над регіональними процесами</w:t>
      </w:r>
      <w:r w:rsidR="000E272E" w:rsidRPr="006C0AAB">
        <w:rPr>
          <w:sz w:val="28"/>
          <w:szCs w:val="28"/>
        </w:rPr>
        <w:t>. На основі проведеного аналізу засвідчено, що Туреччина вибудовує «багатовекторну автономію», підтримуючи зв’язки з Україною, країнами НАТО, державами Кавказу та навіть Росією, але у спосіб, який забезпечує збереження її суверенного контролю над протоками й статусом Чорного моря.</w:t>
      </w:r>
    </w:p>
    <w:p w:rsidR="000E272E" w:rsidRPr="006C0AAB" w:rsidRDefault="000E272E" w:rsidP="003420F7">
      <w:pPr>
        <w:pStyle w:val="a8"/>
        <w:spacing w:before="0" w:beforeAutospacing="0" w:after="0" w:afterAutospacing="0" w:line="360" w:lineRule="auto"/>
        <w:ind w:firstLine="708"/>
        <w:jc w:val="both"/>
        <w:rPr>
          <w:sz w:val="28"/>
          <w:szCs w:val="28"/>
        </w:rPr>
      </w:pPr>
      <w:r w:rsidRPr="006C0AAB">
        <w:rPr>
          <w:rStyle w:val="a9"/>
          <w:b w:val="0"/>
          <w:sz w:val="28"/>
          <w:szCs w:val="28"/>
        </w:rPr>
        <w:t>У роботі встановлено, що роль Конвенції Монтре та контроль над протоками стали наріжним каменем турецької регіональної політики</w:t>
      </w:r>
      <w:r w:rsidRPr="006C0AAB">
        <w:rPr>
          <w:sz w:val="28"/>
          <w:szCs w:val="28"/>
        </w:rPr>
        <w:t xml:space="preserve">, </w:t>
      </w:r>
      <w:r w:rsidRPr="006C0AAB">
        <w:rPr>
          <w:rStyle w:val="aa"/>
          <w:i w:val="0"/>
          <w:sz w:val="28"/>
          <w:szCs w:val="28"/>
        </w:rPr>
        <w:t>оскільки саме завдяки Монтре Анкара змогла запобігти неконтрольованій мілітаризації Чорного моря під час активної фази війни 2022 року</w:t>
      </w:r>
      <w:r w:rsidRPr="006C0AAB">
        <w:rPr>
          <w:i/>
          <w:sz w:val="28"/>
          <w:szCs w:val="28"/>
        </w:rPr>
        <w:t>.</w:t>
      </w:r>
      <w:r w:rsidRPr="006C0AAB">
        <w:rPr>
          <w:sz w:val="28"/>
          <w:szCs w:val="28"/>
        </w:rPr>
        <w:t xml:space="preserve"> На </w:t>
      </w:r>
      <w:r w:rsidRPr="006C0AAB">
        <w:rPr>
          <w:sz w:val="28"/>
          <w:szCs w:val="28"/>
        </w:rPr>
        <w:lastRenderedPageBreak/>
        <w:t>підставі аналізу міжнародних реакцій визначено, що Туреччина посилила свій міжнародний авторитет як гарант стабільності в Чорноморському регіоні.</w:t>
      </w:r>
    </w:p>
    <w:p w:rsidR="000E272E" w:rsidRPr="006C0AAB" w:rsidRDefault="00963D22" w:rsidP="003420F7">
      <w:pPr>
        <w:pStyle w:val="a8"/>
        <w:spacing w:before="0" w:beforeAutospacing="0" w:after="0" w:afterAutospacing="0" w:line="360" w:lineRule="auto"/>
        <w:ind w:firstLine="708"/>
        <w:jc w:val="both"/>
        <w:rPr>
          <w:sz w:val="28"/>
          <w:szCs w:val="28"/>
        </w:rPr>
      </w:pPr>
      <w:r w:rsidRPr="00963D22">
        <w:rPr>
          <w:bCs/>
          <w:sz w:val="28"/>
          <w:szCs w:val="28"/>
          <w:lang w:val="uk-UA"/>
        </w:rPr>
        <w:t>Встановлено</w:t>
      </w:r>
      <w:r w:rsidR="000E272E" w:rsidRPr="00963D22">
        <w:rPr>
          <w:rStyle w:val="a9"/>
          <w:b w:val="0"/>
          <w:sz w:val="28"/>
          <w:szCs w:val="28"/>
        </w:rPr>
        <w:t>,</w:t>
      </w:r>
      <w:r w:rsidR="000E272E" w:rsidRPr="006C0AAB">
        <w:rPr>
          <w:rStyle w:val="a9"/>
          <w:b w:val="0"/>
          <w:sz w:val="28"/>
          <w:szCs w:val="28"/>
        </w:rPr>
        <w:t xml:space="preserve"> що після 2022 року Туреччина змінила концептуальне бачення свого місця в Чорноморському регіоні</w:t>
      </w:r>
      <w:r w:rsidR="000E272E" w:rsidRPr="006C0AAB">
        <w:rPr>
          <w:sz w:val="28"/>
          <w:szCs w:val="28"/>
        </w:rPr>
        <w:t xml:space="preserve">, </w:t>
      </w:r>
      <w:r w:rsidR="000E272E" w:rsidRPr="006C0AAB">
        <w:rPr>
          <w:rStyle w:val="aa"/>
          <w:i w:val="0"/>
          <w:sz w:val="28"/>
          <w:szCs w:val="28"/>
        </w:rPr>
        <w:t>оскільки загострення безпекової ситуації продемонструвало необхідність переходу від «регіональної рівноваги» до «активної регіональної присутності»</w:t>
      </w:r>
      <w:r w:rsidR="000E272E" w:rsidRPr="006C0AAB">
        <w:rPr>
          <w:i/>
          <w:sz w:val="28"/>
          <w:szCs w:val="28"/>
        </w:rPr>
        <w:t>.</w:t>
      </w:r>
      <w:r w:rsidR="000E272E" w:rsidRPr="006C0AAB">
        <w:rPr>
          <w:sz w:val="28"/>
          <w:szCs w:val="28"/>
        </w:rPr>
        <w:t xml:space="preserve"> На підставі аналізу стратегічних документів і практичних дій доведено, що Туреччина прагне стати провідним архітектором нового регіонального порядку, який базується на контролі над транспортними коридорами, енергетичній стабільності та обмеженні агресивної поведінки Росії.</w:t>
      </w:r>
    </w:p>
    <w:p w:rsidR="000E272E" w:rsidRPr="006C0AAB" w:rsidRDefault="00963D22" w:rsidP="003420F7">
      <w:pPr>
        <w:pStyle w:val="a8"/>
        <w:spacing w:before="0" w:beforeAutospacing="0" w:after="0" w:afterAutospacing="0" w:line="360" w:lineRule="auto"/>
        <w:ind w:firstLine="708"/>
        <w:jc w:val="both"/>
        <w:rPr>
          <w:sz w:val="28"/>
          <w:szCs w:val="28"/>
        </w:rPr>
      </w:pPr>
      <w:r w:rsidRPr="00963D22">
        <w:rPr>
          <w:bCs/>
          <w:sz w:val="28"/>
          <w:szCs w:val="28"/>
          <w:lang w:val="uk-UA"/>
        </w:rPr>
        <w:t xml:space="preserve">Виявлено, </w:t>
      </w:r>
      <w:r w:rsidR="000E272E" w:rsidRPr="006C0AAB">
        <w:rPr>
          <w:rStyle w:val="a9"/>
          <w:b w:val="0"/>
          <w:sz w:val="28"/>
          <w:szCs w:val="28"/>
        </w:rPr>
        <w:t>що Туреччина після 2022 року переосмислила своє ставлення до російсько-української війни в контексті власної довгострокової регіональної стратегії</w:t>
      </w:r>
      <w:r w:rsidR="000E272E" w:rsidRPr="006C0AAB">
        <w:rPr>
          <w:sz w:val="28"/>
          <w:szCs w:val="28"/>
        </w:rPr>
        <w:t xml:space="preserve">, </w:t>
      </w:r>
      <w:r w:rsidR="000E272E" w:rsidRPr="006C0AAB">
        <w:rPr>
          <w:rStyle w:val="aa"/>
          <w:i w:val="0"/>
          <w:sz w:val="28"/>
          <w:szCs w:val="28"/>
        </w:rPr>
        <w:t>оскільки затяжний характер конфлікту створив як ризики, так і можливості для посилення турецького впливу</w:t>
      </w:r>
      <w:r w:rsidR="000E272E" w:rsidRPr="006C0AAB">
        <w:rPr>
          <w:i/>
          <w:sz w:val="28"/>
          <w:szCs w:val="28"/>
        </w:rPr>
        <w:t>.</w:t>
      </w:r>
      <w:r w:rsidR="000E272E" w:rsidRPr="006C0AAB">
        <w:rPr>
          <w:sz w:val="28"/>
          <w:szCs w:val="28"/>
        </w:rPr>
        <w:t xml:space="preserve"> На підставі вивчених джерел визначено, що Анкара прагне не допустити повного послаблення України, бо це призвело б до домінування РФ у Чорному морі, але водночас зберігає канали діалогу з Москвою з метою контролю над кризами та уникнення прямої конфронтації.</w:t>
      </w:r>
    </w:p>
    <w:p w:rsidR="000E272E" w:rsidRPr="006C0AAB" w:rsidRDefault="00963D22" w:rsidP="003420F7">
      <w:pPr>
        <w:pStyle w:val="a8"/>
        <w:spacing w:before="0" w:beforeAutospacing="0" w:after="0" w:afterAutospacing="0" w:line="360" w:lineRule="auto"/>
        <w:ind w:firstLine="708"/>
        <w:jc w:val="both"/>
        <w:rPr>
          <w:sz w:val="28"/>
          <w:szCs w:val="28"/>
        </w:rPr>
      </w:pPr>
      <w:r w:rsidRPr="00963D22">
        <w:rPr>
          <w:bCs/>
          <w:sz w:val="28"/>
          <w:szCs w:val="28"/>
          <w:lang w:val="uk-UA"/>
        </w:rPr>
        <w:t xml:space="preserve">Встановлено, </w:t>
      </w:r>
      <w:r w:rsidR="000E272E" w:rsidRPr="006C0AAB">
        <w:rPr>
          <w:rStyle w:val="a9"/>
          <w:b w:val="0"/>
          <w:sz w:val="28"/>
          <w:szCs w:val="28"/>
        </w:rPr>
        <w:t>що у післявоєнній перспективі Туреччина формує основу для довгострокового партнерства з Україною</w:t>
      </w:r>
      <w:r w:rsidR="000E272E" w:rsidRPr="006C0AAB">
        <w:rPr>
          <w:sz w:val="28"/>
          <w:szCs w:val="28"/>
        </w:rPr>
        <w:t xml:space="preserve">, </w:t>
      </w:r>
      <w:r w:rsidR="000E272E" w:rsidRPr="006C0AAB">
        <w:rPr>
          <w:rStyle w:val="aa"/>
          <w:i w:val="0"/>
          <w:sz w:val="28"/>
          <w:szCs w:val="28"/>
        </w:rPr>
        <w:t>оскільки війна радикально змінила роль Анкари в міжнародній системі та сприяла розширенню оборонно-промислової співпраці</w:t>
      </w:r>
      <w:r w:rsidR="000E272E" w:rsidRPr="006C0AAB">
        <w:rPr>
          <w:i/>
          <w:sz w:val="28"/>
          <w:szCs w:val="28"/>
        </w:rPr>
        <w:t>.</w:t>
      </w:r>
      <w:r w:rsidR="000E272E" w:rsidRPr="006C0AAB">
        <w:rPr>
          <w:sz w:val="28"/>
          <w:szCs w:val="28"/>
        </w:rPr>
        <w:t xml:space="preserve"> На підставі аналізу договорів та офіційних заяв встановлено, що Туреччина розглядає Україну як постійного стратегічного партнера у сферах безпеки, енергетики, суднобудування та високих технологій.</w:t>
      </w:r>
    </w:p>
    <w:p w:rsidR="000E272E" w:rsidRPr="006C0AAB" w:rsidRDefault="00963D22" w:rsidP="003420F7">
      <w:pPr>
        <w:pStyle w:val="a8"/>
        <w:spacing w:before="0" w:beforeAutospacing="0" w:after="0" w:afterAutospacing="0" w:line="360" w:lineRule="auto"/>
        <w:ind w:firstLine="708"/>
        <w:jc w:val="both"/>
        <w:rPr>
          <w:sz w:val="28"/>
          <w:szCs w:val="28"/>
        </w:rPr>
      </w:pPr>
      <w:r w:rsidRPr="00963D22">
        <w:rPr>
          <w:bCs/>
          <w:sz w:val="28"/>
          <w:szCs w:val="28"/>
          <w:lang w:val="uk-UA"/>
        </w:rPr>
        <w:t>Виявлено</w:t>
      </w:r>
      <w:r w:rsidR="000E272E" w:rsidRPr="00963D22">
        <w:rPr>
          <w:rStyle w:val="a9"/>
          <w:b w:val="0"/>
          <w:sz w:val="28"/>
          <w:szCs w:val="28"/>
        </w:rPr>
        <w:t>,</w:t>
      </w:r>
      <w:r w:rsidR="000E272E" w:rsidRPr="006C0AAB">
        <w:rPr>
          <w:rStyle w:val="a9"/>
          <w:b w:val="0"/>
          <w:sz w:val="28"/>
          <w:szCs w:val="28"/>
        </w:rPr>
        <w:t xml:space="preserve"> що Туреччина після 2022 року значно посилила свій вплив у гуманітарному та дипломатичному вимірі регіональної політики</w:t>
      </w:r>
      <w:r w:rsidR="000E272E" w:rsidRPr="006C0AAB">
        <w:rPr>
          <w:sz w:val="28"/>
          <w:szCs w:val="28"/>
        </w:rPr>
        <w:t xml:space="preserve">, </w:t>
      </w:r>
      <w:r w:rsidR="000E272E" w:rsidRPr="006C0AAB">
        <w:rPr>
          <w:rStyle w:val="aa"/>
          <w:i w:val="0"/>
          <w:sz w:val="28"/>
          <w:szCs w:val="28"/>
        </w:rPr>
        <w:t>оскільки стала ключовим посередником у питаннях військовополонених, зернового експорту та гуманітарних коридорів</w:t>
      </w:r>
      <w:r w:rsidR="000E272E" w:rsidRPr="006C0AAB">
        <w:rPr>
          <w:sz w:val="28"/>
          <w:szCs w:val="28"/>
        </w:rPr>
        <w:t xml:space="preserve">. На підставі аналізу міжнародних </w:t>
      </w:r>
      <w:r w:rsidR="000E272E" w:rsidRPr="006C0AAB">
        <w:rPr>
          <w:sz w:val="28"/>
          <w:szCs w:val="28"/>
        </w:rPr>
        <w:lastRenderedPageBreak/>
        <w:t>домовленостей доведено, що дипломатичні ініціативи Туреччини зміцнили її роль як незамінного посередника між конфліктуючими сторонами.</w:t>
      </w:r>
    </w:p>
    <w:p w:rsidR="000E272E" w:rsidRPr="00963D22" w:rsidRDefault="00963D22" w:rsidP="003420F7">
      <w:pPr>
        <w:pStyle w:val="a8"/>
        <w:spacing w:before="0" w:beforeAutospacing="0" w:after="0" w:afterAutospacing="0" w:line="360" w:lineRule="auto"/>
        <w:ind w:firstLine="708"/>
        <w:jc w:val="both"/>
        <w:rPr>
          <w:sz w:val="28"/>
          <w:szCs w:val="28"/>
        </w:rPr>
      </w:pPr>
      <w:r w:rsidRPr="00963D22">
        <w:rPr>
          <w:bCs/>
          <w:sz w:val="28"/>
          <w:szCs w:val="28"/>
          <w:lang w:val="uk-UA"/>
        </w:rPr>
        <w:t>Встановлено</w:t>
      </w:r>
      <w:r w:rsidR="000E272E" w:rsidRPr="00963D22">
        <w:rPr>
          <w:rStyle w:val="a9"/>
          <w:b w:val="0"/>
          <w:sz w:val="28"/>
          <w:szCs w:val="28"/>
        </w:rPr>
        <w:t>,</w:t>
      </w:r>
      <w:r w:rsidR="000E272E" w:rsidRPr="006C0AAB">
        <w:rPr>
          <w:rStyle w:val="a9"/>
          <w:b w:val="0"/>
          <w:sz w:val="28"/>
          <w:szCs w:val="28"/>
        </w:rPr>
        <w:t xml:space="preserve"> що зростання ролі Туреччини у Чорноморському регіоні сприяє формуванню нової архітектури безпеки</w:t>
      </w:r>
      <w:r w:rsidR="000E272E" w:rsidRPr="006C0AAB">
        <w:rPr>
          <w:sz w:val="28"/>
          <w:szCs w:val="28"/>
        </w:rPr>
        <w:t xml:space="preserve">, </w:t>
      </w:r>
      <w:r w:rsidR="000E272E" w:rsidRPr="006C0AAB">
        <w:rPr>
          <w:rStyle w:val="aa"/>
          <w:i w:val="0"/>
          <w:sz w:val="28"/>
          <w:szCs w:val="28"/>
        </w:rPr>
        <w:t>оскільки Анкара намагається запропонувати моделі, які поєднують інтереси регіональних держав та інституцій — від НАТО до ООН</w:t>
      </w:r>
      <w:r w:rsidR="000E272E" w:rsidRPr="006C0AAB">
        <w:rPr>
          <w:i/>
          <w:sz w:val="28"/>
          <w:szCs w:val="28"/>
        </w:rPr>
        <w:t>.</w:t>
      </w:r>
      <w:r w:rsidR="000E272E" w:rsidRPr="006C0AAB">
        <w:rPr>
          <w:sz w:val="28"/>
          <w:szCs w:val="28"/>
        </w:rPr>
        <w:t xml:space="preserve"> На підставі аналізу стратегічних документів НАТО визначено, що Туреччина все активніше позиціонує себе як </w:t>
      </w:r>
      <w:r w:rsidR="000E272E" w:rsidRPr="00963D22">
        <w:rPr>
          <w:sz w:val="28"/>
          <w:szCs w:val="28"/>
        </w:rPr>
        <w:t>фундаментальний елемент східного флангу.</w:t>
      </w:r>
    </w:p>
    <w:p w:rsidR="000E272E" w:rsidRPr="006C0AAB" w:rsidRDefault="000E272E" w:rsidP="003F6431">
      <w:pPr>
        <w:pStyle w:val="a8"/>
        <w:spacing w:before="0" w:beforeAutospacing="0" w:after="0" w:afterAutospacing="0" w:line="360" w:lineRule="auto"/>
        <w:ind w:firstLine="708"/>
        <w:jc w:val="both"/>
        <w:rPr>
          <w:sz w:val="28"/>
          <w:szCs w:val="28"/>
        </w:rPr>
      </w:pPr>
      <w:r w:rsidRPr="00963D22">
        <w:rPr>
          <w:rStyle w:val="a9"/>
          <w:b w:val="0"/>
          <w:sz w:val="28"/>
          <w:szCs w:val="28"/>
        </w:rPr>
        <w:t xml:space="preserve">На основі проведеного дослідження </w:t>
      </w:r>
      <w:r w:rsidR="00963D22" w:rsidRPr="00963D22">
        <w:rPr>
          <w:bCs/>
          <w:sz w:val="28"/>
          <w:szCs w:val="28"/>
          <w:lang w:val="uk-UA"/>
        </w:rPr>
        <w:t xml:space="preserve">встановлено, </w:t>
      </w:r>
      <w:r w:rsidRPr="006C0AAB">
        <w:rPr>
          <w:rStyle w:val="a9"/>
          <w:b w:val="0"/>
          <w:sz w:val="28"/>
          <w:szCs w:val="28"/>
        </w:rPr>
        <w:t>що Туреччина після 2022 року стала центральним суб'єктом у формуванні політичного та безпекового середовища Чорного моря</w:t>
      </w:r>
      <w:r w:rsidRPr="006C0AAB">
        <w:rPr>
          <w:sz w:val="28"/>
          <w:szCs w:val="28"/>
        </w:rPr>
        <w:t xml:space="preserve">, </w:t>
      </w:r>
      <w:r w:rsidRPr="006C0AAB">
        <w:rPr>
          <w:rStyle w:val="aa"/>
          <w:i w:val="0"/>
          <w:sz w:val="28"/>
          <w:szCs w:val="28"/>
        </w:rPr>
        <w:t>оскільки реалізує політику стратегічної автономії, зміцнює інституції морської безпеки та активно розвиває регіональну дипломатію</w:t>
      </w:r>
      <w:r w:rsidRPr="006C0AAB">
        <w:rPr>
          <w:i/>
          <w:sz w:val="28"/>
          <w:szCs w:val="28"/>
        </w:rPr>
        <w:t>.</w:t>
      </w:r>
      <w:r w:rsidR="009A12D8">
        <w:rPr>
          <w:sz w:val="28"/>
          <w:szCs w:val="28"/>
        </w:rPr>
        <w:t xml:space="preserve"> У роботі в</w:t>
      </w:r>
      <w:r w:rsidR="009A12D8">
        <w:rPr>
          <w:sz w:val="28"/>
          <w:szCs w:val="28"/>
          <w:lang w:val="uk-UA"/>
        </w:rPr>
        <w:t>иявлено</w:t>
      </w:r>
      <w:r w:rsidRPr="006C0AAB">
        <w:rPr>
          <w:sz w:val="28"/>
          <w:szCs w:val="28"/>
        </w:rPr>
        <w:t>, що нові економічні, безпекові та геополітичні умови після 2022 року сприяли суттєвому посиленню ролі Туреччини як регіонального лідера.</w:t>
      </w:r>
    </w:p>
    <w:p w:rsidR="003F6431" w:rsidRDefault="003F6431">
      <w:pPr>
        <w:spacing w:line="360" w:lineRule="auto"/>
        <w:ind w:firstLine="720"/>
        <w:rPr>
          <w:b/>
          <w:sz w:val="28"/>
          <w:szCs w:val="28"/>
          <w:lang w:val="ru-RU"/>
        </w:rPr>
      </w:pPr>
      <w:r>
        <w:rPr>
          <w:b/>
          <w:sz w:val="28"/>
          <w:szCs w:val="28"/>
          <w:lang w:val="ru-RU"/>
        </w:rPr>
        <w:br w:type="page"/>
      </w:r>
    </w:p>
    <w:p w:rsidR="00804CD1" w:rsidRDefault="00A464D9" w:rsidP="009348E3">
      <w:pPr>
        <w:spacing w:line="360" w:lineRule="auto"/>
        <w:ind w:firstLine="851"/>
        <w:jc w:val="center"/>
        <w:rPr>
          <w:b/>
          <w:sz w:val="28"/>
          <w:szCs w:val="28"/>
          <w:lang w:val="ru-RU"/>
        </w:rPr>
      </w:pPr>
      <w:r w:rsidRPr="006C0AAB">
        <w:rPr>
          <w:b/>
          <w:sz w:val="28"/>
          <w:szCs w:val="28"/>
          <w:lang w:val="ru-RU"/>
        </w:rPr>
        <w:lastRenderedPageBreak/>
        <w:t>СПИСОК ВИКОРИСТАНИХ ДЖЕРЕЛ</w:t>
      </w:r>
    </w:p>
    <w:p w:rsidR="0033463D" w:rsidRPr="006C0AAB" w:rsidRDefault="0033463D" w:rsidP="009348E3">
      <w:pPr>
        <w:spacing w:line="360" w:lineRule="auto"/>
        <w:ind w:firstLine="851"/>
        <w:jc w:val="center"/>
        <w:rPr>
          <w:b/>
          <w:sz w:val="28"/>
          <w:szCs w:val="28"/>
          <w:lang w:val="ru-RU"/>
        </w:rPr>
      </w:pP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rPr>
        <w:t xml:space="preserve">@dmmiletisim. (2024, October 25). </w:t>
      </w:r>
      <w:r w:rsidRPr="003B57DF">
        <w:rPr>
          <w:iCs/>
          <w:sz w:val="28"/>
          <w:szCs w:val="28"/>
        </w:rPr>
        <w:t>The claim in some media outlets that “mine-hunting ships donated to Ukraine by the United Kingdom were allowed to pass through the Turkish Straits to the Black Sea” is not true.</w:t>
      </w:r>
      <w:r w:rsidRPr="003B57DF">
        <w:rPr>
          <w:sz w:val="28"/>
          <w:szCs w:val="28"/>
        </w:rPr>
        <w:t xml:space="preserve"> Взято з X (formerly Twitter). </w:t>
      </w:r>
      <w:hyperlink r:id="rId9" w:tgtFrame="_new" w:history="1">
        <w:r w:rsidRPr="003B57DF">
          <w:rPr>
            <w:rStyle w:val="ac"/>
            <w:color w:val="auto"/>
            <w:sz w:val="28"/>
            <w:szCs w:val="28"/>
          </w:rPr>
          <w:t>https://x.com/dmmiletisim/status/1742164208714707318</w:t>
        </w:r>
      </w:hyperlink>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Akar, H. (2025, April 25). Turkey opposes presence of landlocked countries’ warships in Black Sea. TASS.</w:t>
      </w:r>
      <w:r w:rsidRPr="003B57DF">
        <w:rPr>
          <w:sz w:val="28"/>
          <w:szCs w:val="28"/>
        </w:rPr>
        <w:t xml:space="preserve"> Взято з</w:t>
      </w:r>
      <w:r w:rsidRPr="003B57DF">
        <w:rPr>
          <w:sz w:val="28"/>
          <w:szCs w:val="28"/>
          <w:lang w:val="en-US"/>
        </w:rPr>
        <w:t xml:space="preserve"> https://tass.com/world/1442445</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Akgün, M. (2010). Turkey and the Black Sea Region: The future of regional cooperation. TESEV Publications.</w:t>
      </w:r>
    </w:p>
    <w:p w:rsidR="008A6BD6" w:rsidRPr="003B57DF" w:rsidRDefault="008A6BD6" w:rsidP="008A6BD6">
      <w:pPr>
        <w:pStyle w:val="ab"/>
        <w:numPr>
          <w:ilvl w:val="0"/>
          <w:numId w:val="15"/>
        </w:numPr>
        <w:spacing w:line="360" w:lineRule="auto"/>
        <w:ind w:left="0" w:firstLine="567"/>
        <w:rPr>
          <w:sz w:val="28"/>
          <w:szCs w:val="28"/>
          <w:lang w:val="es-ES"/>
        </w:rPr>
      </w:pPr>
      <w:r w:rsidRPr="003B57DF">
        <w:rPr>
          <w:bCs/>
          <w:sz w:val="28"/>
          <w:szCs w:val="28"/>
        </w:rPr>
        <w:t>Akyol, M.</w:t>
      </w:r>
      <w:r w:rsidRPr="003B57DF">
        <w:rPr>
          <w:sz w:val="28"/>
          <w:szCs w:val="28"/>
        </w:rPr>
        <w:t xml:space="preserve"> (2014, November 20). </w:t>
      </w:r>
      <w:r w:rsidRPr="003B57DF">
        <w:rPr>
          <w:iCs/>
          <w:sz w:val="28"/>
          <w:szCs w:val="28"/>
        </w:rPr>
        <w:t>From Ataturk to Erdogan: Turks rewrite history.</w:t>
      </w:r>
      <w:r w:rsidRPr="003B57DF">
        <w:rPr>
          <w:sz w:val="28"/>
          <w:szCs w:val="28"/>
        </w:rPr>
        <w:t xml:space="preserve"> </w:t>
      </w:r>
      <w:r w:rsidRPr="003B57DF">
        <w:rPr>
          <w:iCs/>
          <w:sz w:val="28"/>
          <w:szCs w:val="28"/>
        </w:rPr>
        <w:t>Al-Monitor.</w:t>
      </w:r>
      <w:r w:rsidRPr="003B57DF">
        <w:rPr>
          <w:sz w:val="28"/>
          <w:szCs w:val="28"/>
        </w:rPr>
        <w:t xml:space="preserve"> Взято з </w:t>
      </w:r>
      <w:hyperlink r:id="rId10" w:tgtFrame="_new" w:history="1">
        <w:r w:rsidRPr="003B57DF">
          <w:rPr>
            <w:rStyle w:val="ac"/>
            <w:color w:val="auto"/>
            <w:sz w:val="28"/>
            <w:szCs w:val="28"/>
            <w:u w:val="none"/>
          </w:rPr>
          <w:t>https://www.al-monitor.com</w:t>
        </w:r>
      </w:hyperlink>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s-ES"/>
        </w:rPr>
        <w:t xml:space="preserve">Aras, B., &amp; Özbay, F. (2022). </w:t>
      </w:r>
      <w:r w:rsidRPr="003B57DF">
        <w:rPr>
          <w:sz w:val="28"/>
          <w:szCs w:val="28"/>
          <w:lang w:val="en-US"/>
        </w:rPr>
        <w:t>Turkish–Russian relations: Strategic cooperation or tactical alignment? Middle East Policy, 29(3), 112–130.</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Aron, R. (1984). Peace and war: A theory of international relations (2nd ed.). New Brunswick, NJ: Transaction Publishers.</w:t>
      </w:r>
    </w:p>
    <w:p w:rsidR="008A6BD6" w:rsidRPr="003B57DF" w:rsidRDefault="008A6BD6" w:rsidP="008A6BD6">
      <w:pPr>
        <w:pStyle w:val="ab"/>
        <w:numPr>
          <w:ilvl w:val="0"/>
          <w:numId w:val="15"/>
        </w:numPr>
        <w:spacing w:line="360" w:lineRule="auto"/>
        <w:ind w:left="0" w:firstLine="567"/>
        <w:rPr>
          <w:sz w:val="28"/>
          <w:szCs w:val="28"/>
          <w:lang w:val="ru-RU"/>
        </w:rPr>
      </w:pPr>
      <w:r w:rsidRPr="003B57DF">
        <w:rPr>
          <w:sz w:val="28"/>
          <w:szCs w:val="28"/>
          <w:lang w:val="en-US"/>
        </w:rPr>
        <w:t xml:space="preserve">Atlantic Council. (2023, August 3). The West must back Ukraine and Turkey to counter Russia’s attempts to control the Black Sea. Atlantic Council. </w:t>
      </w:r>
      <w:r w:rsidRPr="003B57DF">
        <w:rPr>
          <w:sz w:val="28"/>
          <w:szCs w:val="28"/>
        </w:rPr>
        <w:t xml:space="preserve">Взято з </w:t>
      </w:r>
      <w:r w:rsidRPr="003B57DF">
        <w:rPr>
          <w:sz w:val="28"/>
          <w:szCs w:val="28"/>
          <w:lang w:val="en-US"/>
        </w:rPr>
        <w:t>https</w:t>
      </w:r>
      <w:r w:rsidRPr="003B57DF">
        <w:rPr>
          <w:sz w:val="28"/>
          <w:szCs w:val="28"/>
          <w:lang w:val="ru-RU"/>
        </w:rPr>
        <w:t>://</w:t>
      </w:r>
      <w:r w:rsidRPr="003B57DF">
        <w:rPr>
          <w:sz w:val="28"/>
          <w:szCs w:val="28"/>
          <w:lang w:val="en-US"/>
        </w:rPr>
        <w:t>www</w:t>
      </w:r>
      <w:r w:rsidRPr="003B57DF">
        <w:rPr>
          <w:sz w:val="28"/>
          <w:szCs w:val="28"/>
          <w:lang w:val="ru-RU"/>
        </w:rPr>
        <w:t>.</w:t>
      </w:r>
      <w:r w:rsidRPr="003B57DF">
        <w:rPr>
          <w:sz w:val="28"/>
          <w:szCs w:val="28"/>
          <w:lang w:val="en-US"/>
        </w:rPr>
        <w:t>atlanticcouncil</w:t>
      </w:r>
      <w:r w:rsidRPr="003B57DF">
        <w:rPr>
          <w:sz w:val="28"/>
          <w:szCs w:val="28"/>
          <w:lang w:val="ru-RU"/>
        </w:rPr>
        <w:t>.</w:t>
      </w:r>
      <w:r w:rsidRPr="003B57DF">
        <w:rPr>
          <w:sz w:val="28"/>
          <w:szCs w:val="28"/>
          <w:lang w:val="en-US"/>
        </w:rPr>
        <w:t>org</w:t>
      </w:r>
      <w:r w:rsidRPr="003B57DF">
        <w:rPr>
          <w:sz w:val="28"/>
          <w:szCs w:val="28"/>
          <w:lang w:val="ru-RU"/>
        </w:rPr>
        <w:t>/</w:t>
      </w:r>
      <w:r w:rsidRPr="003B57DF">
        <w:rPr>
          <w:sz w:val="28"/>
          <w:szCs w:val="28"/>
          <w:lang w:val="en-US"/>
        </w:rPr>
        <w:t>blogs</w:t>
      </w:r>
      <w:r w:rsidRPr="003B57DF">
        <w:rPr>
          <w:sz w:val="28"/>
          <w:szCs w:val="28"/>
          <w:lang w:val="ru-RU"/>
        </w:rPr>
        <w:t>/</w:t>
      </w:r>
      <w:r w:rsidRPr="003B57DF">
        <w:rPr>
          <w:sz w:val="28"/>
          <w:szCs w:val="28"/>
          <w:lang w:val="en-US"/>
        </w:rPr>
        <w:t>turkeysource</w:t>
      </w:r>
      <w:r w:rsidRPr="003B57DF">
        <w:rPr>
          <w:sz w:val="28"/>
          <w:szCs w:val="28"/>
          <w:lang w:val="ru-RU"/>
        </w:rPr>
        <w:t>/</w:t>
      </w:r>
      <w:r w:rsidRPr="003B57DF">
        <w:rPr>
          <w:sz w:val="28"/>
          <w:szCs w:val="28"/>
          <w:lang w:val="en-US"/>
        </w:rPr>
        <w:t>the</w:t>
      </w:r>
      <w:r w:rsidRPr="003B57DF">
        <w:rPr>
          <w:sz w:val="28"/>
          <w:szCs w:val="28"/>
          <w:lang w:val="ru-RU"/>
        </w:rPr>
        <w:t>-</w:t>
      </w:r>
      <w:r w:rsidRPr="003B57DF">
        <w:rPr>
          <w:sz w:val="28"/>
          <w:szCs w:val="28"/>
          <w:lang w:val="en-US"/>
        </w:rPr>
        <w:t>west</w:t>
      </w:r>
      <w:r w:rsidRPr="003B57DF">
        <w:rPr>
          <w:sz w:val="28"/>
          <w:szCs w:val="28"/>
          <w:lang w:val="ru-RU"/>
        </w:rPr>
        <w:t>-</w:t>
      </w:r>
      <w:r w:rsidRPr="003B57DF">
        <w:rPr>
          <w:sz w:val="28"/>
          <w:szCs w:val="28"/>
          <w:lang w:val="en-US"/>
        </w:rPr>
        <w:t>must</w:t>
      </w:r>
      <w:r w:rsidRPr="003B57DF">
        <w:rPr>
          <w:sz w:val="28"/>
          <w:szCs w:val="28"/>
          <w:lang w:val="ru-RU"/>
        </w:rPr>
        <w:t>-</w:t>
      </w:r>
      <w:r w:rsidRPr="003B57DF">
        <w:rPr>
          <w:sz w:val="28"/>
          <w:szCs w:val="28"/>
          <w:lang w:val="en-US"/>
        </w:rPr>
        <w:t>back</w:t>
      </w:r>
      <w:r w:rsidRPr="003B57DF">
        <w:rPr>
          <w:sz w:val="28"/>
          <w:szCs w:val="28"/>
          <w:lang w:val="ru-RU"/>
        </w:rPr>
        <w:t>-</w:t>
      </w:r>
      <w:r w:rsidRPr="003B57DF">
        <w:rPr>
          <w:sz w:val="28"/>
          <w:szCs w:val="28"/>
          <w:lang w:val="en-US"/>
        </w:rPr>
        <w:t>ukraine</w:t>
      </w:r>
      <w:r w:rsidRPr="003B57DF">
        <w:rPr>
          <w:sz w:val="28"/>
          <w:szCs w:val="28"/>
          <w:lang w:val="ru-RU"/>
        </w:rPr>
        <w:t>-</w:t>
      </w:r>
      <w:r w:rsidRPr="003B57DF">
        <w:rPr>
          <w:sz w:val="28"/>
          <w:szCs w:val="28"/>
          <w:lang w:val="en-US"/>
        </w:rPr>
        <w:t>and</w:t>
      </w:r>
      <w:r w:rsidRPr="003B57DF">
        <w:rPr>
          <w:sz w:val="28"/>
          <w:szCs w:val="28"/>
          <w:lang w:val="ru-RU"/>
        </w:rPr>
        <w:t>-</w:t>
      </w:r>
      <w:r w:rsidRPr="003B57DF">
        <w:rPr>
          <w:sz w:val="28"/>
          <w:szCs w:val="28"/>
          <w:lang w:val="en-US"/>
        </w:rPr>
        <w:t>turkey</w:t>
      </w:r>
      <w:r w:rsidRPr="003B57DF">
        <w:rPr>
          <w:sz w:val="28"/>
          <w:szCs w:val="28"/>
          <w:lang w:val="ru-RU"/>
        </w:rPr>
        <w:t>-</w:t>
      </w:r>
      <w:r w:rsidRPr="003B57DF">
        <w:rPr>
          <w:sz w:val="28"/>
          <w:szCs w:val="28"/>
          <w:lang w:val="en-US"/>
        </w:rPr>
        <w:t>to</w:t>
      </w:r>
      <w:r w:rsidRPr="003B57DF">
        <w:rPr>
          <w:sz w:val="28"/>
          <w:szCs w:val="28"/>
          <w:lang w:val="ru-RU"/>
        </w:rPr>
        <w:t>-</w:t>
      </w:r>
      <w:r w:rsidRPr="003B57DF">
        <w:rPr>
          <w:sz w:val="28"/>
          <w:szCs w:val="28"/>
          <w:lang w:val="en-US"/>
        </w:rPr>
        <w:t>counter</w:t>
      </w:r>
      <w:r w:rsidRPr="003B57DF">
        <w:rPr>
          <w:sz w:val="28"/>
          <w:szCs w:val="28"/>
          <w:lang w:val="ru-RU"/>
        </w:rPr>
        <w:t>-</w:t>
      </w:r>
      <w:r w:rsidRPr="003B57DF">
        <w:rPr>
          <w:sz w:val="28"/>
          <w:szCs w:val="28"/>
          <w:lang w:val="en-US"/>
        </w:rPr>
        <w:t>russias</w:t>
      </w:r>
      <w:r w:rsidRPr="003B57DF">
        <w:rPr>
          <w:sz w:val="28"/>
          <w:szCs w:val="28"/>
          <w:lang w:val="ru-RU"/>
        </w:rPr>
        <w:t>-</w:t>
      </w:r>
      <w:r w:rsidRPr="003B57DF">
        <w:rPr>
          <w:sz w:val="28"/>
          <w:szCs w:val="28"/>
          <w:lang w:val="en-US"/>
        </w:rPr>
        <w:t>attempts</w:t>
      </w:r>
      <w:r w:rsidRPr="003B57DF">
        <w:rPr>
          <w:sz w:val="28"/>
          <w:szCs w:val="28"/>
          <w:lang w:val="ru-RU"/>
        </w:rPr>
        <w:t>-</w:t>
      </w:r>
      <w:r w:rsidRPr="003B57DF">
        <w:rPr>
          <w:sz w:val="28"/>
          <w:szCs w:val="28"/>
          <w:lang w:val="en-US"/>
        </w:rPr>
        <w:t>to</w:t>
      </w:r>
      <w:r w:rsidRPr="003B57DF">
        <w:rPr>
          <w:sz w:val="28"/>
          <w:szCs w:val="28"/>
          <w:lang w:val="ru-RU"/>
        </w:rPr>
        <w:t>-</w:t>
      </w:r>
      <w:r w:rsidRPr="003B57DF">
        <w:rPr>
          <w:sz w:val="28"/>
          <w:szCs w:val="28"/>
          <w:lang w:val="en-US"/>
        </w:rPr>
        <w:t>control</w:t>
      </w:r>
      <w:r w:rsidRPr="003B57DF">
        <w:rPr>
          <w:sz w:val="28"/>
          <w:szCs w:val="28"/>
          <w:lang w:val="ru-RU"/>
        </w:rPr>
        <w:t>-</w:t>
      </w:r>
      <w:r w:rsidRPr="003B57DF">
        <w:rPr>
          <w:sz w:val="28"/>
          <w:szCs w:val="28"/>
          <w:lang w:val="en-US"/>
        </w:rPr>
        <w:t>the</w:t>
      </w:r>
      <w:r w:rsidRPr="003B57DF">
        <w:rPr>
          <w:sz w:val="28"/>
          <w:szCs w:val="28"/>
          <w:lang w:val="ru-RU"/>
        </w:rPr>
        <w:t>-</w:t>
      </w:r>
      <w:r w:rsidRPr="003B57DF">
        <w:rPr>
          <w:sz w:val="28"/>
          <w:szCs w:val="28"/>
          <w:lang w:val="en-US"/>
        </w:rPr>
        <w:t>black</w:t>
      </w:r>
      <w:r w:rsidRPr="003B57DF">
        <w:rPr>
          <w:sz w:val="28"/>
          <w:szCs w:val="28"/>
          <w:lang w:val="ru-RU"/>
        </w:rPr>
        <w:t>-</w:t>
      </w:r>
      <w:r w:rsidRPr="003B57DF">
        <w:rPr>
          <w:sz w:val="28"/>
          <w:szCs w:val="28"/>
          <w:lang w:val="en-US"/>
        </w:rPr>
        <w:t>sea</w:t>
      </w:r>
      <w:r w:rsidRPr="003B57DF">
        <w:rPr>
          <w:sz w:val="28"/>
          <w:szCs w:val="28"/>
          <w:lang w:val="ru-RU"/>
        </w:rPr>
        <w:t>/</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Aydin, M. (2023). Turkey’s shifting strategic autonomy in the Black Sea region after 2022. Journal of Eurasian Security Studies, 10(2), 45–62.</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Aydın, M. (2023). Turkey’s strategic autonomy and the transformation of the Black Sea order. Turkish Foreign Policy Journal, 29(1), 74–93.</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 xml:space="preserve">Aydın, M., Çelikpala, M., Akgül-Açıkmeşe, S., Canan-Sokullu, E., Güvenç, S., Şenyuva, Ö., &amp; Kaya-Sönmez, S. (2022, September 8). Turkish foreign policy 2022: Public perception on Turkish foreign policy — Quantitative research report. Kadir Has University. </w:t>
      </w:r>
      <w:r w:rsidRPr="003B57DF">
        <w:rPr>
          <w:sz w:val="28"/>
          <w:szCs w:val="28"/>
        </w:rPr>
        <w:t xml:space="preserve">Взято з </w:t>
      </w:r>
      <w:r w:rsidRPr="003B57DF">
        <w:rPr>
          <w:sz w:val="28"/>
          <w:szCs w:val="28"/>
          <w:lang w:val="en-US"/>
        </w:rPr>
        <w:t>https://www.khas.edu.tr/en/turkish-foreign-policy-public-perceptions-survey-2022-results-announced/</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lastRenderedPageBreak/>
        <w:t>Balta, E., &amp; Özer, Y. (2022). Turkey’s energy transition and geopolitics of the Black Sea. Journal of Balkan and Near Eastern Studies, 24(3), 423–444.</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Bueger, C., &amp; Edmunds, T. (2020). Maritime security: New perspectives on research and policy. International Affairs, 96(4), 939–958.</w:t>
      </w:r>
    </w:p>
    <w:p w:rsidR="008A6BD6" w:rsidRPr="003B57DF" w:rsidRDefault="008A6BD6" w:rsidP="008A6BD6">
      <w:pPr>
        <w:pStyle w:val="ab"/>
        <w:numPr>
          <w:ilvl w:val="0"/>
          <w:numId w:val="15"/>
        </w:numPr>
        <w:spacing w:line="360" w:lineRule="auto"/>
        <w:ind w:left="0" w:firstLine="567"/>
        <w:rPr>
          <w:sz w:val="28"/>
          <w:szCs w:val="28"/>
        </w:rPr>
      </w:pPr>
      <w:r w:rsidRPr="003B57DF">
        <w:rPr>
          <w:sz w:val="28"/>
          <w:szCs w:val="28"/>
          <w:lang w:val="en-US"/>
        </w:rPr>
        <w:t>Burge, J. (2023, April 28). IAEA chief highlights sustainable energy as first nuclear fuel arrives in Türkiye. IAEA.</w:t>
      </w:r>
      <w:r w:rsidRPr="003B57DF">
        <w:rPr>
          <w:sz w:val="28"/>
          <w:szCs w:val="28"/>
        </w:rPr>
        <w:t xml:space="preserve"> Взято з </w:t>
      </w:r>
      <w:hyperlink r:id="rId11" w:tgtFrame="_new" w:history="1">
        <w:r w:rsidRPr="003B57DF">
          <w:rPr>
            <w:rStyle w:val="ac"/>
            <w:color w:val="auto"/>
            <w:sz w:val="28"/>
            <w:szCs w:val="28"/>
          </w:rPr>
          <w:t>https://www.iaea.org</w:t>
        </w:r>
      </w:hyperlink>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Buzan, B., Wæver, O., &amp; de Wilde, J. (1998). Security: A new framework for analysis. Lynne Rienner.</w:t>
      </w:r>
    </w:p>
    <w:p w:rsidR="008A6BD6" w:rsidRPr="003B57DF" w:rsidRDefault="008A6BD6" w:rsidP="008A6BD6">
      <w:pPr>
        <w:pStyle w:val="ab"/>
        <w:numPr>
          <w:ilvl w:val="0"/>
          <w:numId w:val="15"/>
        </w:numPr>
        <w:spacing w:line="360" w:lineRule="auto"/>
        <w:ind w:left="0" w:firstLine="567"/>
        <w:rPr>
          <w:sz w:val="28"/>
          <w:szCs w:val="28"/>
        </w:rPr>
      </w:pPr>
      <w:r w:rsidRPr="003B57DF">
        <w:rPr>
          <w:sz w:val="28"/>
          <w:szCs w:val="28"/>
          <w:lang w:val="en-US"/>
        </w:rPr>
        <w:t>Cafiero, G. (2023, September 8). Iranian-Saudi deal: They didn't do it for love. Responsible Statecraft.</w:t>
      </w:r>
      <w:r w:rsidRPr="003B57DF">
        <w:rPr>
          <w:sz w:val="28"/>
          <w:szCs w:val="28"/>
        </w:rPr>
        <w:t xml:space="preserve"> Взято з </w:t>
      </w:r>
      <w:hyperlink r:id="rId12" w:tgtFrame="_new" w:history="1">
        <w:r w:rsidRPr="003B57DF">
          <w:rPr>
            <w:rStyle w:val="ac"/>
            <w:color w:val="auto"/>
            <w:sz w:val="28"/>
            <w:szCs w:val="28"/>
          </w:rPr>
          <w:t>https://responsiblestatecraft.org</w:t>
        </w:r>
      </w:hyperlink>
    </w:p>
    <w:p w:rsidR="008A6BD6" w:rsidRPr="003B57DF" w:rsidRDefault="008A6BD6" w:rsidP="008A6BD6">
      <w:pPr>
        <w:pStyle w:val="ab"/>
        <w:numPr>
          <w:ilvl w:val="0"/>
          <w:numId w:val="15"/>
        </w:numPr>
        <w:spacing w:line="360" w:lineRule="auto"/>
        <w:ind w:left="0" w:firstLine="567"/>
        <w:rPr>
          <w:sz w:val="28"/>
          <w:szCs w:val="28"/>
        </w:rPr>
      </w:pPr>
      <w:r w:rsidRPr="003B57DF">
        <w:rPr>
          <w:sz w:val="28"/>
          <w:szCs w:val="28"/>
          <w:lang w:val="en-US"/>
        </w:rPr>
        <w:t>Champion, M. (2023, September 5). Erdogan’s Putin meeting was more about damage control than grain. The Washington Post.</w:t>
      </w:r>
      <w:r w:rsidRPr="003B57DF">
        <w:rPr>
          <w:sz w:val="28"/>
          <w:szCs w:val="28"/>
        </w:rPr>
        <w:t xml:space="preserve"> Взято з </w:t>
      </w:r>
      <w:hyperlink r:id="rId13" w:tgtFrame="_new" w:history="1">
        <w:r w:rsidRPr="003B57DF">
          <w:rPr>
            <w:rStyle w:val="ac"/>
            <w:color w:val="auto"/>
            <w:sz w:val="28"/>
            <w:szCs w:val="28"/>
          </w:rPr>
          <w:t>https://www.washingtonpost.com</w:t>
        </w:r>
      </w:hyperlink>
    </w:p>
    <w:p w:rsidR="008A6BD6" w:rsidRPr="003B57DF" w:rsidRDefault="008A6BD6" w:rsidP="008A6BD6">
      <w:pPr>
        <w:pStyle w:val="ab"/>
        <w:numPr>
          <w:ilvl w:val="0"/>
          <w:numId w:val="15"/>
        </w:numPr>
        <w:spacing w:line="360" w:lineRule="auto"/>
        <w:ind w:left="0" w:firstLine="567"/>
        <w:rPr>
          <w:sz w:val="28"/>
          <w:szCs w:val="28"/>
        </w:rPr>
      </w:pPr>
      <w:r w:rsidRPr="003B57DF">
        <w:rPr>
          <w:sz w:val="28"/>
          <w:szCs w:val="28"/>
          <w:lang w:val="en-US"/>
        </w:rPr>
        <w:t>Champion, M., &amp; Halpin, T. (2023, September 20). What’s Nagorno-Karabakh and why do Azerbaijan and Armenia fight over it? Bloomberg.</w:t>
      </w:r>
      <w:r w:rsidRPr="003B57DF">
        <w:rPr>
          <w:sz w:val="28"/>
          <w:szCs w:val="28"/>
        </w:rPr>
        <w:t xml:space="preserve"> Взято з </w:t>
      </w:r>
      <w:hyperlink r:id="rId14" w:tgtFrame="_new" w:history="1">
        <w:r w:rsidRPr="003B57DF">
          <w:rPr>
            <w:rStyle w:val="ac"/>
            <w:color w:val="auto"/>
            <w:sz w:val="28"/>
            <w:szCs w:val="28"/>
          </w:rPr>
          <w:t>https://www.bloomberg.com</w:t>
        </w:r>
      </w:hyperlink>
    </w:p>
    <w:p w:rsidR="008A6BD6" w:rsidRPr="003B57DF" w:rsidRDefault="008A6BD6" w:rsidP="008A6BD6">
      <w:pPr>
        <w:pStyle w:val="ab"/>
        <w:numPr>
          <w:ilvl w:val="0"/>
          <w:numId w:val="15"/>
        </w:numPr>
        <w:spacing w:line="360" w:lineRule="auto"/>
        <w:ind w:left="0" w:firstLine="567"/>
        <w:rPr>
          <w:sz w:val="28"/>
          <w:szCs w:val="28"/>
        </w:rPr>
      </w:pPr>
      <w:r w:rsidRPr="003B57DF">
        <w:rPr>
          <w:sz w:val="28"/>
          <w:szCs w:val="28"/>
          <w:lang w:val="en-US"/>
        </w:rPr>
        <w:t>Coffey, L., &amp; Kasapoğlu, C. (2023, February 21). A new Black Sea strategy for a new Black Sea reality. Hudson Institute.</w:t>
      </w:r>
      <w:r w:rsidRPr="003B57DF">
        <w:rPr>
          <w:sz w:val="28"/>
          <w:szCs w:val="28"/>
        </w:rPr>
        <w:t xml:space="preserve"> </w:t>
      </w:r>
      <w:r w:rsidRPr="003B57DF">
        <w:rPr>
          <w:sz w:val="28"/>
          <w:szCs w:val="28"/>
        </w:rPr>
        <w:t>Взято з</w:t>
      </w:r>
      <w:r w:rsidRPr="003B57DF">
        <w:rPr>
          <w:sz w:val="28"/>
          <w:szCs w:val="28"/>
          <w:lang w:val="en-US"/>
        </w:rPr>
        <w:t xml:space="preserve"> </w:t>
      </w:r>
      <w:hyperlink r:id="rId15" w:history="1">
        <w:r w:rsidRPr="003B57DF">
          <w:rPr>
            <w:rStyle w:val="ac"/>
            <w:color w:val="auto"/>
            <w:sz w:val="28"/>
            <w:szCs w:val="28"/>
            <w:lang w:val="en-US"/>
          </w:rPr>
          <w:t>https://www.hudson.org/foreign-policy/new-black-sea-strategy-new-black-sea-reality</w:t>
        </w:r>
      </w:hyperlink>
      <w:r w:rsidRPr="003B57DF">
        <w:rPr>
          <w:sz w:val="28"/>
          <w:szCs w:val="28"/>
        </w:rPr>
        <w:t xml:space="preserve"> </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 xml:space="preserve">Convention regarding the regime of navigation on the Danube (Belgrade Convention). (1948, August 18). Danube Commission. </w:t>
      </w:r>
      <w:r w:rsidRPr="003B57DF">
        <w:rPr>
          <w:sz w:val="28"/>
          <w:szCs w:val="28"/>
        </w:rPr>
        <w:t>Взято з</w:t>
      </w:r>
      <w:r w:rsidRPr="003B57DF">
        <w:rPr>
          <w:sz w:val="28"/>
          <w:szCs w:val="28"/>
          <w:lang w:val="en-US"/>
        </w:rPr>
        <w:t xml:space="preserve"> https://www.danubecommission.org/uploads/doc/convention-en.pdf</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Cornell, S. E., &amp; Nilsson, N. (2023). The Black Sea region in times of war: Geopolitical rivalries and shifting power balances. Eurasian Studies Review, 15(1), 5–28.</w:t>
      </w:r>
    </w:p>
    <w:p w:rsidR="008A6BD6" w:rsidRPr="003B57DF" w:rsidRDefault="008A6BD6" w:rsidP="008A6BD6">
      <w:pPr>
        <w:pStyle w:val="ab"/>
        <w:numPr>
          <w:ilvl w:val="0"/>
          <w:numId w:val="15"/>
        </w:numPr>
        <w:spacing w:line="360" w:lineRule="auto"/>
        <w:ind w:left="0" w:firstLine="567"/>
        <w:rPr>
          <w:sz w:val="28"/>
          <w:szCs w:val="28"/>
          <w:lang w:val="en-US"/>
        </w:rPr>
      </w:pPr>
      <w:r w:rsidRPr="003B57DF">
        <w:rPr>
          <w:bCs/>
          <w:sz w:val="28"/>
          <w:szCs w:val="28"/>
        </w:rPr>
        <w:t>D.</w:t>
      </w:r>
      <w:r w:rsidRPr="003B57DF">
        <w:rPr>
          <w:bCs/>
          <w:sz w:val="28"/>
          <w:szCs w:val="28"/>
          <w:lang w:val="en-US"/>
        </w:rPr>
        <w:t>Yang</w:t>
      </w:r>
      <w:r w:rsidRPr="003B57DF">
        <w:rPr>
          <w:sz w:val="28"/>
          <w:szCs w:val="28"/>
        </w:rPr>
        <w:t xml:space="preserve"> (2023). </w:t>
      </w:r>
      <w:r w:rsidRPr="003B57DF">
        <w:rPr>
          <w:i/>
          <w:iCs/>
          <w:sz w:val="28"/>
          <w:szCs w:val="28"/>
        </w:rPr>
        <w:t>Turkey’s diplomatic performance and tendencies in the context of the Russia–Ukraine conflict.</w:t>
      </w:r>
      <w:r w:rsidRPr="003B57DF">
        <w:rPr>
          <w:sz w:val="28"/>
          <w:szCs w:val="28"/>
        </w:rPr>
        <w:t xml:space="preserve"> Centre for Economics and Foreign Policy Studies (EDAM). Взято з </w:t>
      </w:r>
      <w:hyperlink r:id="rId16" w:tgtFrame="_new" w:history="1">
        <w:r w:rsidRPr="003B57DF">
          <w:rPr>
            <w:rStyle w:val="ac"/>
            <w:color w:val="auto"/>
            <w:sz w:val="28"/>
            <w:szCs w:val="28"/>
          </w:rPr>
          <w:t>https://www.researchgate.net/publication/375109419_Turkey%27s_Diplomatic_Performance_and_Tendency_in_the_Context_of_the_Russia-Ukraine_Conflict</w:t>
        </w:r>
      </w:hyperlink>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 xml:space="preserve">Daily Sabah. (2023, December 17). Türkiye, Romania and Bulgaria to ink deal on Black Sea mines in January. Daily Sabah. </w:t>
      </w:r>
      <w:r w:rsidRPr="003B57DF">
        <w:rPr>
          <w:sz w:val="28"/>
          <w:szCs w:val="28"/>
        </w:rPr>
        <w:t xml:space="preserve">Взято з </w:t>
      </w:r>
      <w:r w:rsidRPr="003B57DF">
        <w:rPr>
          <w:sz w:val="28"/>
          <w:szCs w:val="28"/>
          <w:lang w:val="en-US"/>
        </w:rPr>
        <w:t>https://www.dailysabah.com/politics/diplomacy/turkiye-romania-bulgaria-to-ink-deal-on-black-sea-mines-in-january</w:t>
      </w:r>
    </w:p>
    <w:p w:rsidR="008A6BD6" w:rsidRPr="003B57DF" w:rsidRDefault="008A6BD6" w:rsidP="008A6BD6">
      <w:pPr>
        <w:pStyle w:val="ab"/>
        <w:numPr>
          <w:ilvl w:val="0"/>
          <w:numId w:val="15"/>
        </w:numPr>
        <w:spacing w:line="360" w:lineRule="auto"/>
        <w:ind w:left="0" w:firstLine="567"/>
        <w:rPr>
          <w:sz w:val="28"/>
          <w:szCs w:val="28"/>
        </w:rPr>
      </w:pPr>
      <w:r w:rsidRPr="003B57DF">
        <w:rPr>
          <w:sz w:val="28"/>
          <w:szCs w:val="28"/>
          <w:lang w:val="en-US"/>
        </w:rPr>
        <w:t xml:space="preserve">Daily Sabah. (2023, January 10). New Turkish frigate, offshore-patrol vessels gear up for naval duties. Daily Sabah. </w:t>
      </w:r>
      <w:r w:rsidRPr="003B57DF">
        <w:rPr>
          <w:sz w:val="28"/>
          <w:szCs w:val="28"/>
        </w:rPr>
        <w:t xml:space="preserve">Взято з </w:t>
      </w:r>
      <w:hyperlink r:id="rId17" w:history="1">
        <w:r w:rsidRPr="003B57DF">
          <w:rPr>
            <w:rStyle w:val="ac"/>
            <w:color w:val="auto"/>
            <w:sz w:val="28"/>
            <w:szCs w:val="28"/>
            <w:lang w:val="en-US"/>
          </w:rPr>
          <w:t>https://www.dailysabah.com/business/defense/new-turkish-frigate-offshore-patrol-vessels-gear-up-for-naval-duties</w:t>
        </w:r>
      </w:hyperlink>
      <w:r w:rsidRPr="003B57DF">
        <w:rPr>
          <w:sz w:val="28"/>
          <w:szCs w:val="28"/>
        </w:rPr>
        <w:t xml:space="preserve"> </w:t>
      </w:r>
    </w:p>
    <w:p w:rsidR="008A6BD6" w:rsidRPr="003B57DF" w:rsidRDefault="008A6BD6" w:rsidP="008A6BD6">
      <w:pPr>
        <w:pStyle w:val="ab"/>
        <w:numPr>
          <w:ilvl w:val="0"/>
          <w:numId w:val="15"/>
        </w:numPr>
        <w:spacing w:line="360" w:lineRule="auto"/>
        <w:ind w:left="0" w:firstLine="567"/>
        <w:rPr>
          <w:sz w:val="28"/>
          <w:szCs w:val="28"/>
        </w:rPr>
      </w:pPr>
      <w:r w:rsidRPr="003B57DF">
        <w:rPr>
          <w:sz w:val="28"/>
          <w:szCs w:val="28"/>
          <w:lang w:val="en-US"/>
        </w:rPr>
        <w:t>Davuto</w:t>
      </w:r>
      <w:r w:rsidRPr="003B57DF">
        <w:rPr>
          <w:sz w:val="28"/>
          <w:szCs w:val="28"/>
        </w:rPr>
        <w:t>ğ</w:t>
      </w:r>
      <w:r w:rsidRPr="003B57DF">
        <w:rPr>
          <w:sz w:val="28"/>
          <w:szCs w:val="28"/>
          <w:lang w:val="en-US"/>
        </w:rPr>
        <w:t>lu</w:t>
      </w:r>
      <w:r w:rsidRPr="003B57DF">
        <w:rPr>
          <w:sz w:val="28"/>
          <w:szCs w:val="28"/>
        </w:rPr>
        <w:t xml:space="preserve">, </w:t>
      </w:r>
      <w:r w:rsidRPr="003B57DF">
        <w:rPr>
          <w:sz w:val="28"/>
          <w:szCs w:val="28"/>
          <w:lang w:val="en-US"/>
        </w:rPr>
        <w:t>A</w:t>
      </w:r>
      <w:r w:rsidRPr="003B57DF">
        <w:rPr>
          <w:sz w:val="28"/>
          <w:szCs w:val="28"/>
        </w:rPr>
        <w:t xml:space="preserve">. (2001). </w:t>
      </w:r>
      <w:r w:rsidRPr="003B57DF">
        <w:rPr>
          <w:sz w:val="28"/>
          <w:szCs w:val="28"/>
          <w:lang w:val="en-US"/>
        </w:rPr>
        <w:t>Stratejik</w:t>
      </w:r>
      <w:r w:rsidRPr="003B57DF">
        <w:rPr>
          <w:sz w:val="28"/>
          <w:szCs w:val="28"/>
        </w:rPr>
        <w:t xml:space="preserve"> </w:t>
      </w:r>
      <w:r w:rsidRPr="003B57DF">
        <w:rPr>
          <w:sz w:val="28"/>
          <w:szCs w:val="28"/>
          <w:lang w:val="en-US"/>
        </w:rPr>
        <w:t>derinlik</w:t>
      </w:r>
      <w:r w:rsidRPr="003B57DF">
        <w:rPr>
          <w:sz w:val="28"/>
          <w:szCs w:val="28"/>
        </w:rPr>
        <w:t xml:space="preserve">: </w:t>
      </w:r>
      <w:r w:rsidRPr="003B57DF">
        <w:rPr>
          <w:sz w:val="28"/>
          <w:szCs w:val="28"/>
          <w:lang w:val="en-US"/>
        </w:rPr>
        <w:t>T</w:t>
      </w:r>
      <w:r w:rsidRPr="003B57DF">
        <w:rPr>
          <w:sz w:val="28"/>
          <w:szCs w:val="28"/>
        </w:rPr>
        <w:t>ü</w:t>
      </w:r>
      <w:r w:rsidRPr="003B57DF">
        <w:rPr>
          <w:sz w:val="28"/>
          <w:szCs w:val="28"/>
          <w:lang w:val="en-US"/>
        </w:rPr>
        <w:t>rkiye</w:t>
      </w:r>
      <w:r w:rsidRPr="003B57DF">
        <w:rPr>
          <w:sz w:val="28"/>
          <w:szCs w:val="28"/>
        </w:rPr>
        <w:t>’</w:t>
      </w:r>
      <w:r w:rsidRPr="003B57DF">
        <w:rPr>
          <w:sz w:val="28"/>
          <w:szCs w:val="28"/>
          <w:lang w:val="en-US"/>
        </w:rPr>
        <w:t>nin</w:t>
      </w:r>
      <w:r w:rsidRPr="003B57DF">
        <w:rPr>
          <w:sz w:val="28"/>
          <w:szCs w:val="28"/>
        </w:rPr>
        <w:t xml:space="preserve"> </w:t>
      </w:r>
      <w:r w:rsidRPr="003B57DF">
        <w:rPr>
          <w:sz w:val="28"/>
          <w:szCs w:val="28"/>
          <w:lang w:val="en-US"/>
        </w:rPr>
        <w:t>uluslararas</w:t>
      </w:r>
      <w:r w:rsidRPr="003B57DF">
        <w:rPr>
          <w:sz w:val="28"/>
          <w:szCs w:val="28"/>
        </w:rPr>
        <w:t xml:space="preserve">ı </w:t>
      </w:r>
      <w:r w:rsidRPr="003B57DF">
        <w:rPr>
          <w:sz w:val="28"/>
          <w:szCs w:val="28"/>
          <w:lang w:val="en-US"/>
        </w:rPr>
        <w:t>konumu</w:t>
      </w:r>
      <w:r w:rsidRPr="003B57DF">
        <w:rPr>
          <w:sz w:val="28"/>
          <w:szCs w:val="28"/>
        </w:rPr>
        <w:t xml:space="preserve">. </w:t>
      </w:r>
      <w:r w:rsidRPr="003B57DF">
        <w:rPr>
          <w:sz w:val="28"/>
          <w:szCs w:val="28"/>
          <w:lang w:val="en-US"/>
        </w:rPr>
        <w:t>K</w:t>
      </w:r>
      <w:r w:rsidRPr="003B57DF">
        <w:rPr>
          <w:sz w:val="28"/>
          <w:szCs w:val="28"/>
        </w:rPr>
        <w:t>ü</w:t>
      </w:r>
      <w:r w:rsidRPr="003B57DF">
        <w:rPr>
          <w:sz w:val="28"/>
          <w:szCs w:val="28"/>
          <w:lang w:val="en-US"/>
        </w:rPr>
        <w:t>re</w:t>
      </w:r>
      <w:r w:rsidRPr="003B57DF">
        <w:rPr>
          <w:sz w:val="28"/>
          <w:szCs w:val="28"/>
        </w:rPr>
        <w:t xml:space="preserve"> </w:t>
      </w:r>
      <w:r w:rsidRPr="003B57DF">
        <w:rPr>
          <w:sz w:val="28"/>
          <w:szCs w:val="28"/>
          <w:lang w:val="en-US"/>
        </w:rPr>
        <w:t>Yay</w:t>
      </w:r>
      <w:r w:rsidRPr="003B57DF">
        <w:rPr>
          <w:sz w:val="28"/>
          <w:szCs w:val="28"/>
        </w:rPr>
        <w:t>ı</w:t>
      </w:r>
      <w:r w:rsidRPr="003B57DF">
        <w:rPr>
          <w:sz w:val="28"/>
          <w:szCs w:val="28"/>
          <w:lang w:val="en-US"/>
        </w:rPr>
        <w:t>nlar</w:t>
      </w:r>
      <w:r w:rsidRPr="003B57DF">
        <w:rPr>
          <w:sz w:val="28"/>
          <w:szCs w:val="28"/>
        </w:rPr>
        <w:t xml:space="preserve">ı. </w:t>
      </w:r>
    </w:p>
    <w:p w:rsidR="008A6BD6" w:rsidRPr="003B57DF" w:rsidRDefault="008A6BD6" w:rsidP="008A6BD6">
      <w:pPr>
        <w:pStyle w:val="ab"/>
        <w:numPr>
          <w:ilvl w:val="0"/>
          <w:numId w:val="15"/>
        </w:numPr>
        <w:spacing w:line="360" w:lineRule="auto"/>
        <w:ind w:left="0" w:firstLine="567"/>
        <w:rPr>
          <w:sz w:val="28"/>
          <w:szCs w:val="28"/>
          <w:lang w:val="en-US"/>
        </w:rPr>
      </w:pPr>
      <w:r w:rsidRPr="003B57DF">
        <w:rPr>
          <w:bCs/>
          <w:sz w:val="28"/>
          <w:szCs w:val="28"/>
        </w:rPr>
        <w:t>Davutoğlu, A.</w:t>
      </w:r>
      <w:r w:rsidRPr="003B57DF">
        <w:rPr>
          <w:sz w:val="28"/>
          <w:szCs w:val="28"/>
        </w:rPr>
        <w:t xml:space="preserve"> (2010, May 20). </w:t>
      </w:r>
      <w:r w:rsidRPr="003B57DF">
        <w:rPr>
          <w:i/>
          <w:iCs/>
          <w:sz w:val="28"/>
          <w:szCs w:val="28"/>
        </w:rPr>
        <w:t>Turkey’s zero-problems.</w:t>
      </w:r>
      <w:r w:rsidRPr="003B57DF">
        <w:rPr>
          <w:sz w:val="28"/>
          <w:szCs w:val="28"/>
        </w:rPr>
        <w:t xml:space="preserve"> Foreign Policy.</w:t>
      </w:r>
      <w:r w:rsidRPr="003B57DF">
        <w:rPr>
          <w:sz w:val="28"/>
          <w:szCs w:val="28"/>
        </w:rPr>
        <w:br/>
        <w:t xml:space="preserve">Взято з </w:t>
      </w:r>
      <w:hyperlink r:id="rId18" w:tgtFrame="_new" w:history="1">
        <w:r w:rsidRPr="003B57DF">
          <w:rPr>
            <w:rStyle w:val="ac"/>
            <w:color w:val="auto"/>
            <w:sz w:val="28"/>
            <w:szCs w:val="28"/>
          </w:rPr>
          <w:t>https://foreignpolicy.com</w:t>
        </w:r>
      </w:hyperlink>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Demirtaş, B. (2023). Turkey’s role in the Black Sea after Russia’s invasion of Ukraine. Journal of Strategic Studies, 46(7), 1021–1040.</w:t>
      </w:r>
    </w:p>
    <w:p w:rsidR="008A6BD6" w:rsidRPr="003B57DF" w:rsidRDefault="008A6BD6" w:rsidP="008A6BD6">
      <w:pPr>
        <w:pStyle w:val="ab"/>
        <w:numPr>
          <w:ilvl w:val="0"/>
          <w:numId w:val="15"/>
        </w:numPr>
        <w:spacing w:line="360" w:lineRule="auto"/>
        <w:ind w:left="0" w:firstLine="567"/>
        <w:rPr>
          <w:sz w:val="28"/>
          <w:szCs w:val="28"/>
          <w:lang w:val="es-ES"/>
        </w:rPr>
      </w:pPr>
      <w:r w:rsidRPr="003B57DF">
        <w:rPr>
          <w:sz w:val="28"/>
          <w:szCs w:val="28"/>
          <w:lang w:val="en-US"/>
        </w:rPr>
        <w:t xml:space="preserve">Denizeau, A. (2021, April). Mavi Vatan, la “Patrie bleue”: Origines, influence et limites d’une doctrine ambitieuse pour la Turquie. </w:t>
      </w:r>
      <w:r w:rsidRPr="003B57DF">
        <w:rPr>
          <w:sz w:val="28"/>
          <w:szCs w:val="28"/>
          <w:lang w:val="es-ES"/>
        </w:rPr>
        <w:t xml:space="preserve">Études de l’Ifri. </w:t>
      </w:r>
      <w:r w:rsidRPr="003B57DF">
        <w:rPr>
          <w:sz w:val="28"/>
          <w:szCs w:val="28"/>
        </w:rPr>
        <w:t>Взято з https://www.ifri.org</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s-ES"/>
        </w:rPr>
        <w:t xml:space="preserve">Duran, B. (2023). </w:t>
      </w:r>
      <w:r w:rsidRPr="003B57DF">
        <w:rPr>
          <w:sz w:val="28"/>
          <w:szCs w:val="28"/>
          <w:lang w:val="en-US"/>
        </w:rPr>
        <w:t>Strategic autonomy in Turkish foreign policy after 2022. SETA Policy Report, 64, 1–18.</w:t>
      </w:r>
    </w:p>
    <w:p w:rsidR="008A6BD6" w:rsidRPr="003B57DF" w:rsidRDefault="008A6BD6" w:rsidP="008A6BD6">
      <w:pPr>
        <w:pStyle w:val="ab"/>
        <w:numPr>
          <w:ilvl w:val="0"/>
          <w:numId w:val="15"/>
        </w:numPr>
        <w:spacing w:line="360" w:lineRule="auto"/>
        <w:ind w:left="0" w:firstLine="567"/>
        <w:rPr>
          <w:sz w:val="28"/>
          <w:szCs w:val="28"/>
          <w:lang w:val="en-US"/>
        </w:rPr>
      </w:pPr>
      <w:r w:rsidRPr="003B57DF">
        <w:rPr>
          <w:bCs/>
          <w:sz w:val="28"/>
          <w:szCs w:val="28"/>
        </w:rPr>
        <w:t>EDAM.</w:t>
      </w:r>
      <w:r w:rsidRPr="003B57DF">
        <w:rPr>
          <w:sz w:val="28"/>
          <w:szCs w:val="28"/>
        </w:rPr>
        <w:t xml:space="preserve"> (n.d.). </w:t>
      </w:r>
      <w:r w:rsidRPr="003B57DF">
        <w:rPr>
          <w:i/>
          <w:iCs/>
          <w:sz w:val="28"/>
          <w:szCs w:val="28"/>
        </w:rPr>
        <w:t>NATO’s role in addressing security threats and challenges in the Black Sea.</w:t>
      </w:r>
      <w:r w:rsidRPr="003B57DF">
        <w:rPr>
          <w:sz w:val="28"/>
          <w:szCs w:val="28"/>
        </w:rPr>
        <w:t xml:space="preserve"> Centre for Economics and Foreign Policy Studies (EDAM).</w:t>
      </w:r>
      <w:r w:rsidRPr="003B57DF">
        <w:rPr>
          <w:sz w:val="28"/>
          <w:szCs w:val="28"/>
        </w:rPr>
        <w:br/>
        <w:t xml:space="preserve">Взято з </w:t>
      </w:r>
      <w:hyperlink r:id="rId19" w:tgtFrame="_new" w:history="1">
        <w:r w:rsidRPr="003B57DF">
          <w:rPr>
            <w:rStyle w:val="ac"/>
            <w:color w:val="auto"/>
            <w:sz w:val="28"/>
            <w:szCs w:val="28"/>
          </w:rPr>
          <w:t>https://edam.org.tr/en/foreign-policy-and-security/nato-s-role-in-addressing-security-threats-and-challenges-in-the-black-sea</w:t>
        </w:r>
      </w:hyperlink>
    </w:p>
    <w:p w:rsidR="008A6BD6" w:rsidRPr="003B57DF" w:rsidRDefault="008A6BD6" w:rsidP="008A6BD6">
      <w:pPr>
        <w:pStyle w:val="ab"/>
        <w:numPr>
          <w:ilvl w:val="0"/>
          <w:numId w:val="15"/>
        </w:numPr>
        <w:spacing w:line="360" w:lineRule="auto"/>
        <w:ind w:left="0" w:firstLine="567"/>
        <w:rPr>
          <w:sz w:val="28"/>
          <w:szCs w:val="28"/>
          <w:lang w:val="en-US"/>
        </w:rPr>
      </w:pPr>
      <w:r w:rsidRPr="003B57DF">
        <w:rPr>
          <w:bCs/>
          <w:sz w:val="28"/>
          <w:szCs w:val="28"/>
        </w:rPr>
        <w:t>Edwards, M.</w:t>
      </w:r>
      <w:r w:rsidRPr="003B57DF">
        <w:rPr>
          <w:sz w:val="28"/>
          <w:szCs w:val="28"/>
        </w:rPr>
        <w:t xml:space="preserve"> (2023, May 22). </w:t>
      </w:r>
      <w:r w:rsidRPr="003B57DF">
        <w:rPr>
          <w:i/>
          <w:iCs/>
          <w:sz w:val="28"/>
          <w:szCs w:val="28"/>
        </w:rPr>
        <w:t>Erdogan is a key player in Ukraine—on both sides.</w:t>
      </w:r>
      <w:r w:rsidRPr="003B57DF">
        <w:rPr>
          <w:sz w:val="28"/>
          <w:szCs w:val="28"/>
        </w:rPr>
        <w:t xml:space="preserve"> Foreign Policy.</w:t>
      </w:r>
      <w:r w:rsidRPr="003B57DF">
        <w:rPr>
          <w:sz w:val="28"/>
          <w:szCs w:val="28"/>
          <w:lang w:val="en-US"/>
        </w:rPr>
        <w:t xml:space="preserve"> </w:t>
      </w:r>
      <w:r w:rsidRPr="003B57DF">
        <w:rPr>
          <w:sz w:val="28"/>
          <w:szCs w:val="28"/>
        </w:rPr>
        <w:t xml:space="preserve">Взято з </w:t>
      </w:r>
      <w:hyperlink r:id="rId20" w:tgtFrame="_new" w:history="1">
        <w:r w:rsidRPr="003B57DF">
          <w:rPr>
            <w:rStyle w:val="ac"/>
            <w:color w:val="auto"/>
            <w:sz w:val="28"/>
            <w:szCs w:val="28"/>
          </w:rPr>
          <w:t>https://foreignpolicy.com</w:t>
        </w:r>
      </w:hyperlink>
    </w:p>
    <w:p w:rsidR="008A6BD6" w:rsidRPr="003B57DF" w:rsidRDefault="008A6BD6" w:rsidP="008A6BD6">
      <w:pPr>
        <w:pStyle w:val="ab"/>
        <w:numPr>
          <w:ilvl w:val="0"/>
          <w:numId w:val="15"/>
        </w:numPr>
        <w:spacing w:line="360" w:lineRule="auto"/>
        <w:ind w:left="0" w:firstLine="567"/>
        <w:rPr>
          <w:sz w:val="28"/>
          <w:szCs w:val="28"/>
          <w:lang w:val="en-US"/>
        </w:rPr>
      </w:pPr>
      <w:r w:rsidRPr="003B57DF">
        <w:rPr>
          <w:bCs/>
          <w:sz w:val="28"/>
          <w:szCs w:val="28"/>
        </w:rPr>
        <w:lastRenderedPageBreak/>
        <w:t>Gaber, Y.</w:t>
      </w:r>
      <w:r w:rsidRPr="003B57DF">
        <w:rPr>
          <w:sz w:val="28"/>
          <w:szCs w:val="28"/>
        </w:rPr>
        <w:t xml:space="preserve"> (2022, July 25). </w:t>
      </w:r>
      <w:r w:rsidRPr="003B57DF">
        <w:rPr>
          <w:i/>
          <w:iCs/>
          <w:sz w:val="28"/>
          <w:szCs w:val="28"/>
        </w:rPr>
        <w:t>Grain drain: Why Turkey can’t afford to ignore Russian grain smuggling from Ukraine.</w:t>
      </w:r>
      <w:r w:rsidRPr="003B57DF">
        <w:rPr>
          <w:sz w:val="28"/>
          <w:szCs w:val="28"/>
        </w:rPr>
        <w:t xml:space="preserve"> Atlantic Council.</w:t>
      </w:r>
      <w:r w:rsidRPr="003B57DF">
        <w:rPr>
          <w:sz w:val="28"/>
          <w:szCs w:val="28"/>
        </w:rPr>
        <w:br/>
        <w:t xml:space="preserve">Взято з </w:t>
      </w:r>
      <w:hyperlink r:id="rId21" w:tgtFrame="_new" w:history="1">
        <w:r w:rsidRPr="003B57DF">
          <w:rPr>
            <w:rStyle w:val="ac"/>
            <w:color w:val="auto"/>
            <w:sz w:val="28"/>
            <w:szCs w:val="28"/>
          </w:rPr>
          <w:t>https://www.atlanticcouncil.org/blogs/new-atlanticist/grain-drain-why-turkey-cant-afford-to-ignore-russian-grain-smuggling-from-ukraine/</w:t>
        </w:r>
      </w:hyperlink>
    </w:p>
    <w:p w:rsidR="008A6BD6" w:rsidRPr="003B57DF" w:rsidRDefault="008A6BD6" w:rsidP="008A6BD6">
      <w:pPr>
        <w:pStyle w:val="ab"/>
        <w:numPr>
          <w:ilvl w:val="0"/>
          <w:numId w:val="15"/>
        </w:numPr>
        <w:spacing w:line="360" w:lineRule="auto"/>
        <w:ind w:left="0" w:firstLine="567"/>
        <w:rPr>
          <w:sz w:val="28"/>
          <w:szCs w:val="28"/>
          <w:lang w:val="en-US"/>
        </w:rPr>
      </w:pPr>
      <w:r w:rsidRPr="003B57DF">
        <w:rPr>
          <w:bCs/>
          <w:sz w:val="28"/>
          <w:szCs w:val="28"/>
        </w:rPr>
        <w:t>Gaber, Y.</w:t>
      </w:r>
      <w:r w:rsidRPr="003B57DF">
        <w:rPr>
          <w:sz w:val="28"/>
          <w:szCs w:val="28"/>
        </w:rPr>
        <w:t xml:space="preserve"> (2023, March 1). </w:t>
      </w:r>
      <w:r w:rsidRPr="003B57DF">
        <w:rPr>
          <w:i/>
          <w:iCs/>
          <w:sz w:val="28"/>
          <w:szCs w:val="28"/>
        </w:rPr>
        <w:t>One year into the war: It’s time for Turkey to reconsider its Ukraine–Russia balancing act.</w:t>
      </w:r>
      <w:r w:rsidRPr="003B57DF">
        <w:rPr>
          <w:sz w:val="28"/>
          <w:szCs w:val="28"/>
        </w:rPr>
        <w:t xml:space="preserve"> Atlantic Council.</w:t>
      </w:r>
      <w:r w:rsidRPr="003B57DF">
        <w:rPr>
          <w:sz w:val="28"/>
          <w:szCs w:val="28"/>
        </w:rPr>
        <w:br/>
        <w:t xml:space="preserve">Взято з </w:t>
      </w:r>
      <w:hyperlink r:id="rId22" w:tgtFrame="_new" w:history="1">
        <w:r w:rsidRPr="003B57DF">
          <w:rPr>
            <w:rStyle w:val="ac"/>
            <w:color w:val="auto"/>
            <w:sz w:val="28"/>
            <w:szCs w:val="28"/>
          </w:rPr>
          <w:t>https://www.atlanticcouncil.org</w:t>
        </w:r>
      </w:hyperlink>
    </w:p>
    <w:p w:rsidR="008A6BD6" w:rsidRPr="003B57DF" w:rsidRDefault="008A6BD6" w:rsidP="008A6BD6">
      <w:pPr>
        <w:pStyle w:val="ab"/>
        <w:numPr>
          <w:ilvl w:val="0"/>
          <w:numId w:val="15"/>
        </w:numPr>
        <w:spacing w:line="360" w:lineRule="auto"/>
        <w:ind w:left="0" w:firstLine="567"/>
        <w:rPr>
          <w:sz w:val="28"/>
          <w:szCs w:val="28"/>
          <w:lang w:val="en-US"/>
        </w:rPr>
      </w:pPr>
      <w:r w:rsidRPr="003B57DF">
        <w:rPr>
          <w:bCs/>
          <w:sz w:val="28"/>
          <w:szCs w:val="28"/>
        </w:rPr>
        <w:t>Galip, D.</w:t>
      </w:r>
      <w:r w:rsidRPr="003B57DF">
        <w:rPr>
          <w:sz w:val="28"/>
          <w:szCs w:val="28"/>
        </w:rPr>
        <w:t xml:space="preserve"> (2022, May 20). </w:t>
      </w:r>
      <w:r w:rsidRPr="003B57DF">
        <w:rPr>
          <w:i/>
          <w:iCs/>
          <w:sz w:val="28"/>
          <w:szCs w:val="28"/>
        </w:rPr>
        <w:t>Deciphering Turkey’s geopolitical balancing and anti-Westernism in its relations with Russia.</w:t>
      </w:r>
      <w:r w:rsidRPr="003B57DF">
        <w:rPr>
          <w:sz w:val="28"/>
          <w:szCs w:val="28"/>
        </w:rPr>
        <w:t xml:space="preserve"> Stiftung Wissenschaft und Politik.</w:t>
      </w:r>
      <w:r w:rsidRPr="003B57DF">
        <w:rPr>
          <w:sz w:val="28"/>
          <w:szCs w:val="28"/>
          <w:lang w:val="en-US"/>
        </w:rPr>
        <w:t xml:space="preserve"> </w:t>
      </w:r>
      <w:r w:rsidRPr="003B57DF">
        <w:rPr>
          <w:sz w:val="28"/>
          <w:szCs w:val="28"/>
        </w:rPr>
        <w:t xml:space="preserve">Взято з </w:t>
      </w:r>
      <w:hyperlink r:id="rId23" w:tgtFrame="_new" w:history="1">
        <w:r w:rsidRPr="003B57DF">
          <w:rPr>
            <w:rStyle w:val="ac"/>
            <w:color w:val="auto"/>
            <w:sz w:val="28"/>
            <w:szCs w:val="28"/>
          </w:rPr>
          <w:t>https://www.swp-berlin.org/10.18449/2022C35/</w:t>
        </w:r>
      </w:hyperlink>
    </w:p>
    <w:p w:rsidR="008A6BD6" w:rsidRPr="003B57DF" w:rsidRDefault="008A6BD6" w:rsidP="008A6BD6">
      <w:pPr>
        <w:pStyle w:val="ab"/>
        <w:numPr>
          <w:ilvl w:val="0"/>
          <w:numId w:val="15"/>
        </w:numPr>
        <w:spacing w:line="360" w:lineRule="auto"/>
        <w:ind w:left="0" w:firstLine="567"/>
        <w:rPr>
          <w:sz w:val="28"/>
          <w:szCs w:val="28"/>
          <w:lang w:val="en-US"/>
        </w:rPr>
      </w:pPr>
      <w:r w:rsidRPr="003B57DF">
        <w:rPr>
          <w:bCs/>
          <w:sz w:val="28"/>
          <w:szCs w:val="28"/>
        </w:rPr>
        <w:t>Garton Ash, T., Krastev, I., &amp; Leonard, M.</w:t>
      </w:r>
      <w:r w:rsidRPr="003B57DF">
        <w:rPr>
          <w:sz w:val="28"/>
          <w:szCs w:val="28"/>
        </w:rPr>
        <w:t xml:space="preserve"> (2023). </w:t>
      </w:r>
      <w:r w:rsidRPr="003B57DF">
        <w:rPr>
          <w:i/>
          <w:iCs/>
          <w:sz w:val="28"/>
          <w:szCs w:val="28"/>
        </w:rPr>
        <w:t>United West, divided from the rest: Global public opinion one year into Russia’s war on Ukraine.</w:t>
      </w:r>
      <w:r w:rsidRPr="003B57DF">
        <w:rPr>
          <w:sz w:val="28"/>
          <w:szCs w:val="28"/>
        </w:rPr>
        <w:t xml:space="preserve"> European Council on Foreign Relations.</w:t>
      </w:r>
      <w:r w:rsidRPr="003B57DF">
        <w:rPr>
          <w:sz w:val="28"/>
          <w:szCs w:val="28"/>
          <w:lang w:val="en-US"/>
        </w:rPr>
        <w:t xml:space="preserve"> </w:t>
      </w:r>
      <w:r w:rsidRPr="003B57DF">
        <w:rPr>
          <w:sz w:val="28"/>
          <w:szCs w:val="28"/>
        </w:rPr>
        <w:t xml:space="preserve">Взято з </w:t>
      </w:r>
      <w:hyperlink r:id="rId24" w:tgtFrame="_new" w:history="1">
        <w:r w:rsidRPr="003B57DF">
          <w:rPr>
            <w:rStyle w:val="ac"/>
            <w:color w:val="auto"/>
            <w:sz w:val="28"/>
            <w:szCs w:val="28"/>
          </w:rPr>
          <w:t>https://ecfr.eu/publication/united-west-divided-from-the-rest-global-public-opinion-one-year-into-russias-war-on-ukraine/</w:t>
        </w:r>
      </w:hyperlink>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Gökmen, S. (2022). Geopolitical competition in the Black Sea: Maritime corridors, security architecture and emerging risks. Marine Policy Analysis, 39(4), 233–249.</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Gorenburg, D. (2022). The militarization of the Black Sea after 2014. PONARS Eurasia.</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Gürcan, M. (2022). Russia’s Black Sea strategy after 2022: Militarization and hybrid threats. Security and Defence Quarterly, 40(4), 22–41.</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Gürdeniz, C. (2019). Mavi Vatan: The geopolitical doctrine of Turkey’s maritime strategy. Journal of Naval Strategy, 3(1), 15–29.</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Herd, G., &amp; Kriendler, J. (Eds.). (2013). Understanding Russian military today. Routledge.</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Hoffman, F. (2007). Conflict in the 21st century: The rise of hybrid wars. Potomac Institute for Policy Studies.</w:t>
      </w:r>
    </w:p>
    <w:p w:rsidR="008A6BD6" w:rsidRPr="003B57DF" w:rsidRDefault="008A6BD6" w:rsidP="008A6BD6">
      <w:pPr>
        <w:pStyle w:val="ab"/>
        <w:numPr>
          <w:ilvl w:val="0"/>
          <w:numId w:val="15"/>
        </w:numPr>
        <w:spacing w:line="360" w:lineRule="auto"/>
        <w:ind w:left="0" w:firstLine="567"/>
        <w:rPr>
          <w:sz w:val="28"/>
          <w:szCs w:val="28"/>
          <w:lang w:val="en-US"/>
        </w:rPr>
      </w:pPr>
      <w:r w:rsidRPr="003B57DF">
        <w:rPr>
          <w:bCs/>
          <w:sz w:val="28"/>
          <w:szCs w:val="28"/>
        </w:rPr>
        <w:t>Ildem, T.</w:t>
      </w:r>
      <w:r w:rsidRPr="003B57DF">
        <w:rPr>
          <w:sz w:val="28"/>
          <w:szCs w:val="28"/>
        </w:rPr>
        <w:t xml:space="preserve"> (2023). </w:t>
      </w:r>
      <w:r w:rsidRPr="003B57DF">
        <w:rPr>
          <w:i/>
          <w:iCs/>
          <w:sz w:val="28"/>
          <w:szCs w:val="28"/>
        </w:rPr>
        <w:t>NATO’s role in addressing security threats and challenges in the Black Sea.</w:t>
      </w:r>
      <w:r w:rsidRPr="003B57DF">
        <w:rPr>
          <w:sz w:val="28"/>
          <w:szCs w:val="28"/>
        </w:rPr>
        <w:t xml:space="preserve"> EDAM – Centre for Economics and Foreign Policy </w:t>
      </w:r>
      <w:r w:rsidRPr="003B57DF">
        <w:rPr>
          <w:sz w:val="28"/>
          <w:szCs w:val="28"/>
        </w:rPr>
        <w:lastRenderedPageBreak/>
        <w:t>Studies.</w:t>
      </w:r>
      <w:r w:rsidRPr="003B57DF">
        <w:rPr>
          <w:sz w:val="28"/>
          <w:szCs w:val="28"/>
          <w:lang w:val="en-US"/>
        </w:rPr>
        <w:t xml:space="preserve"> </w:t>
      </w:r>
      <w:r w:rsidRPr="003B57DF">
        <w:rPr>
          <w:sz w:val="28"/>
          <w:szCs w:val="28"/>
        </w:rPr>
        <w:t xml:space="preserve">Взято з </w:t>
      </w:r>
      <w:hyperlink r:id="rId25" w:tgtFrame="_new" w:history="1">
        <w:r w:rsidRPr="003B57DF">
          <w:rPr>
            <w:rStyle w:val="ac"/>
            <w:color w:val="auto"/>
            <w:sz w:val="28"/>
            <w:szCs w:val="28"/>
          </w:rPr>
          <w:t>https://edam.org.tr/en/foreign-policy-and-security/nato-s-role-in-addressing-security-threats-and-challenges-in-the-black-sea</w:t>
        </w:r>
      </w:hyperlink>
    </w:p>
    <w:p w:rsidR="008A6BD6" w:rsidRPr="003B57DF" w:rsidRDefault="008A6BD6" w:rsidP="008A6BD6">
      <w:pPr>
        <w:pStyle w:val="ab"/>
        <w:numPr>
          <w:ilvl w:val="0"/>
          <w:numId w:val="15"/>
        </w:numPr>
        <w:spacing w:line="360" w:lineRule="auto"/>
        <w:ind w:left="0" w:firstLine="567"/>
        <w:rPr>
          <w:sz w:val="28"/>
          <w:szCs w:val="28"/>
          <w:lang w:val="en-US"/>
        </w:rPr>
      </w:pPr>
      <w:r w:rsidRPr="003B57DF">
        <w:rPr>
          <w:bCs/>
          <w:sz w:val="28"/>
          <w:szCs w:val="28"/>
        </w:rPr>
        <w:t>Işık, Y.</w:t>
      </w:r>
      <w:r w:rsidRPr="003B57DF">
        <w:rPr>
          <w:sz w:val="28"/>
          <w:szCs w:val="28"/>
        </w:rPr>
        <w:t xml:space="preserve"> (2022, May 19). </w:t>
      </w:r>
      <w:r w:rsidRPr="003B57DF">
        <w:rPr>
          <w:i/>
          <w:iCs/>
          <w:sz w:val="28"/>
          <w:szCs w:val="28"/>
        </w:rPr>
        <w:t>Russia is using “civilian” ships to circumvent closure of the Bosporus.</w:t>
      </w:r>
      <w:r w:rsidRPr="003B57DF">
        <w:rPr>
          <w:sz w:val="28"/>
          <w:szCs w:val="28"/>
        </w:rPr>
        <w:t xml:space="preserve"> The Maritime Executive.</w:t>
      </w:r>
      <w:r w:rsidRPr="003B57DF">
        <w:rPr>
          <w:sz w:val="28"/>
          <w:szCs w:val="28"/>
        </w:rPr>
        <w:br/>
        <w:t xml:space="preserve">Взято з </w:t>
      </w:r>
      <w:hyperlink r:id="rId26" w:tgtFrame="_new" w:history="1">
        <w:r w:rsidRPr="003B57DF">
          <w:rPr>
            <w:rStyle w:val="ac"/>
            <w:color w:val="auto"/>
            <w:sz w:val="28"/>
            <w:szCs w:val="28"/>
          </w:rPr>
          <w:t>https://maritime-executive.com/editorials/russia-is-using-civilian-ships-to-circumvent-closure-of-the-bosporus</w:t>
        </w:r>
      </w:hyperlink>
    </w:p>
    <w:p w:rsidR="008A6BD6" w:rsidRPr="003B57DF" w:rsidRDefault="008A6BD6" w:rsidP="008A6BD6">
      <w:pPr>
        <w:pStyle w:val="ab"/>
        <w:numPr>
          <w:ilvl w:val="0"/>
          <w:numId w:val="15"/>
        </w:numPr>
        <w:spacing w:line="360" w:lineRule="auto"/>
        <w:ind w:left="0" w:firstLine="567"/>
        <w:rPr>
          <w:sz w:val="28"/>
          <w:szCs w:val="28"/>
          <w:lang w:val="en-US"/>
        </w:rPr>
      </w:pPr>
      <w:r w:rsidRPr="003B57DF">
        <w:rPr>
          <w:bCs/>
          <w:sz w:val="28"/>
          <w:szCs w:val="28"/>
        </w:rPr>
        <w:t>Işık, Y.</w:t>
      </w:r>
      <w:r w:rsidRPr="003B57DF">
        <w:rPr>
          <w:sz w:val="28"/>
          <w:szCs w:val="28"/>
        </w:rPr>
        <w:t xml:space="preserve"> (2023). </w:t>
      </w:r>
      <w:r w:rsidRPr="003B57DF">
        <w:rPr>
          <w:i/>
          <w:iCs/>
          <w:sz w:val="28"/>
          <w:szCs w:val="28"/>
        </w:rPr>
        <w:t>Russia’s aggressive behavior in the Black Sea can be challenged.</w:t>
      </w:r>
      <w:r w:rsidRPr="003B57DF">
        <w:rPr>
          <w:sz w:val="28"/>
          <w:szCs w:val="28"/>
        </w:rPr>
        <w:t xml:space="preserve"> Middle East Institute.</w:t>
      </w:r>
      <w:r w:rsidRPr="003B57DF">
        <w:rPr>
          <w:sz w:val="28"/>
          <w:szCs w:val="28"/>
          <w:lang w:val="en-US"/>
        </w:rPr>
        <w:t xml:space="preserve"> </w:t>
      </w:r>
      <w:r w:rsidRPr="003B57DF">
        <w:rPr>
          <w:sz w:val="28"/>
          <w:szCs w:val="28"/>
        </w:rPr>
        <w:t xml:space="preserve">Взято з </w:t>
      </w:r>
      <w:hyperlink r:id="rId27" w:tgtFrame="_new" w:history="1">
        <w:r w:rsidRPr="003B57DF">
          <w:rPr>
            <w:rStyle w:val="ac"/>
            <w:color w:val="auto"/>
            <w:sz w:val="28"/>
            <w:szCs w:val="28"/>
          </w:rPr>
          <w:t>https://www.mei.edu/publications/russias-aggressive-behavior-black-sea-can-be-challenged</w:t>
        </w:r>
      </w:hyperlink>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 xml:space="preserve">Jervis, R. (1978). Cooperation under the security dilemma. World Politics, 30(2), 167–214. </w:t>
      </w:r>
      <w:r w:rsidRPr="003B57DF">
        <w:rPr>
          <w:sz w:val="28"/>
          <w:szCs w:val="28"/>
        </w:rPr>
        <w:t xml:space="preserve">Взято з </w:t>
      </w:r>
      <w:r w:rsidRPr="003B57DF">
        <w:rPr>
          <w:sz w:val="28"/>
          <w:szCs w:val="28"/>
          <w:lang w:val="en-US"/>
        </w:rPr>
        <w:t>https://doi.org/10.2307/2009958</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Kaplan, R. D. (2012). The revenge of geography: What the map tells us about coming conflicts and the battle against fate. Random House.</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Karaosmanoğlu, A. L. (2022). The Montreux Convention and Turkey’s control over the straits: Legal and strategic dimensions. Turkish Policy Quarterly, 20(4), 55–72.</w:t>
      </w:r>
    </w:p>
    <w:p w:rsidR="008A6BD6" w:rsidRPr="003B57DF" w:rsidRDefault="008A6BD6" w:rsidP="008A6BD6">
      <w:pPr>
        <w:pStyle w:val="ab"/>
        <w:numPr>
          <w:ilvl w:val="0"/>
          <w:numId w:val="15"/>
        </w:numPr>
        <w:spacing w:line="360" w:lineRule="auto"/>
        <w:ind w:left="0" w:firstLine="567"/>
        <w:rPr>
          <w:sz w:val="28"/>
          <w:szCs w:val="28"/>
          <w:lang w:val="en-US"/>
        </w:rPr>
      </w:pPr>
      <w:r w:rsidRPr="003B57DF">
        <w:rPr>
          <w:bCs/>
          <w:sz w:val="28"/>
          <w:szCs w:val="28"/>
        </w:rPr>
        <w:t>Karbalaei, A.</w:t>
      </w:r>
      <w:r w:rsidRPr="003B57DF">
        <w:rPr>
          <w:sz w:val="28"/>
          <w:szCs w:val="28"/>
        </w:rPr>
        <w:t xml:space="preserve"> (2023, April 16). </w:t>
      </w:r>
      <w:r w:rsidRPr="003B57DF">
        <w:rPr>
          <w:i/>
          <w:iCs/>
          <w:sz w:val="28"/>
          <w:szCs w:val="28"/>
        </w:rPr>
        <w:t>The decline of U.S. imperialism.</w:t>
      </w:r>
      <w:r w:rsidRPr="003B57DF">
        <w:rPr>
          <w:sz w:val="28"/>
          <w:szCs w:val="28"/>
        </w:rPr>
        <w:t xml:space="preserve"> Tehran Times. Взято з </w:t>
      </w:r>
      <w:hyperlink r:id="rId28" w:tgtFrame="_new" w:history="1">
        <w:r w:rsidRPr="003B57DF">
          <w:rPr>
            <w:rStyle w:val="ac"/>
            <w:color w:val="auto"/>
            <w:sz w:val="28"/>
            <w:szCs w:val="28"/>
          </w:rPr>
          <w:t>https://www.tehrantimes.com/</w:t>
        </w:r>
      </w:hyperlink>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Keyman, E. F. (2021). Turkey’s foreign policy in an age of uncertainty: Strategic autonomy reconsidered. International Affairs Review, 97(4), 877–895.</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 xml:space="preserve">Khan, L. (2022, July 6). Erdoğan’s opportunism in the wake of the Russia-Ukraine war. Middle East Institute. </w:t>
      </w:r>
      <w:r w:rsidRPr="003B57DF">
        <w:rPr>
          <w:sz w:val="28"/>
          <w:szCs w:val="28"/>
        </w:rPr>
        <w:t xml:space="preserve">Взято з </w:t>
      </w:r>
      <w:r w:rsidRPr="003B57DF">
        <w:rPr>
          <w:sz w:val="28"/>
          <w:szCs w:val="28"/>
          <w:lang w:val="en-US"/>
        </w:rPr>
        <w:t>https://www.mei.edu/</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 xml:space="preserve">Kirişci, K., &amp; Toygür, İ. (2023). Turkey’s balancing act in the Black Sea after Russia’s invasion of Ukraine. Brookings Institution. </w:t>
      </w:r>
      <w:r w:rsidRPr="003B57DF">
        <w:rPr>
          <w:sz w:val="28"/>
          <w:szCs w:val="28"/>
        </w:rPr>
        <w:t xml:space="preserve">Взято з </w:t>
      </w:r>
      <w:r w:rsidRPr="003B57DF">
        <w:rPr>
          <w:sz w:val="28"/>
          <w:szCs w:val="28"/>
          <w:lang w:val="en-US"/>
        </w:rPr>
        <w:t>https://www.brookings.edu/</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Kuzio, T. (2023). Ukraine’s emerging military posture in the Black Sea. Defence Studies, 23(2), 145–167.</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lastRenderedPageBreak/>
        <w:t xml:space="preserve">Levent, K. (2021, August 26). Turkey's role in Afghanistan: A major risk. Al Jazeera Centre for Strategic Studies. </w:t>
      </w:r>
      <w:r w:rsidRPr="003B57DF">
        <w:rPr>
          <w:sz w:val="28"/>
          <w:szCs w:val="28"/>
        </w:rPr>
        <w:t xml:space="preserve">Взято з </w:t>
      </w:r>
      <w:r w:rsidRPr="003B57DF">
        <w:rPr>
          <w:sz w:val="28"/>
          <w:szCs w:val="28"/>
          <w:lang w:val="en-US"/>
        </w:rPr>
        <w:t>https://studies.aljazeera.net/</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Mearsheimer, J. J. (2021). The inevitable rivalry: America, China, and the tragedy of great-power politics. Foreign Affairs, 100(6), 48–58.</w:t>
      </w:r>
    </w:p>
    <w:p w:rsidR="008A6BD6" w:rsidRPr="003B57DF" w:rsidRDefault="008A6BD6" w:rsidP="008A6BD6">
      <w:pPr>
        <w:pStyle w:val="ab"/>
        <w:numPr>
          <w:ilvl w:val="0"/>
          <w:numId w:val="15"/>
        </w:numPr>
        <w:spacing w:line="360" w:lineRule="auto"/>
        <w:ind w:left="0" w:firstLine="567"/>
        <w:rPr>
          <w:sz w:val="28"/>
          <w:szCs w:val="28"/>
          <w:lang w:val="ru-RU"/>
        </w:rPr>
      </w:pPr>
      <w:r w:rsidRPr="003B57DF">
        <w:rPr>
          <w:sz w:val="28"/>
          <w:szCs w:val="28"/>
          <w:lang w:val="en-US"/>
        </w:rPr>
        <w:t xml:space="preserve">Middle East Institute. (2022, May 27). The Russian invasion of Ukraine and its implications for Turkey [Webinar event summary]. </w:t>
      </w:r>
      <w:r w:rsidRPr="003B57DF">
        <w:rPr>
          <w:sz w:val="28"/>
          <w:szCs w:val="28"/>
        </w:rPr>
        <w:t xml:space="preserve">Взято з </w:t>
      </w:r>
      <w:r w:rsidRPr="003B57DF">
        <w:rPr>
          <w:sz w:val="28"/>
          <w:szCs w:val="28"/>
          <w:lang w:val="en-US"/>
        </w:rPr>
        <w:t>https</w:t>
      </w:r>
      <w:r w:rsidRPr="003B57DF">
        <w:rPr>
          <w:sz w:val="28"/>
          <w:szCs w:val="28"/>
          <w:lang w:val="ru-RU"/>
        </w:rPr>
        <w:t>://</w:t>
      </w:r>
      <w:r w:rsidRPr="003B57DF">
        <w:rPr>
          <w:sz w:val="28"/>
          <w:szCs w:val="28"/>
          <w:lang w:val="en-US"/>
        </w:rPr>
        <w:t>www</w:t>
      </w:r>
      <w:r w:rsidRPr="003B57DF">
        <w:rPr>
          <w:sz w:val="28"/>
          <w:szCs w:val="28"/>
          <w:lang w:val="ru-RU"/>
        </w:rPr>
        <w:t>.</w:t>
      </w:r>
      <w:r w:rsidRPr="003B57DF">
        <w:rPr>
          <w:sz w:val="28"/>
          <w:szCs w:val="28"/>
          <w:lang w:val="en-US"/>
        </w:rPr>
        <w:t>mei</w:t>
      </w:r>
      <w:r w:rsidRPr="003B57DF">
        <w:rPr>
          <w:sz w:val="28"/>
          <w:szCs w:val="28"/>
          <w:lang w:val="ru-RU"/>
        </w:rPr>
        <w:t>.</w:t>
      </w:r>
      <w:r w:rsidRPr="003B57DF">
        <w:rPr>
          <w:sz w:val="28"/>
          <w:szCs w:val="28"/>
          <w:lang w:val="en-US"/>
        </w:rPr>
        <w:t>edu</w:t>
      </w:r>
      <w:r w:rsidRPr="003B57DF">
        <w:rPr>
          <w:sz w:val="28"/>
          <w:szCs w:val="28"/>
          <w:lang w:val="ru-RU"/>
        </w:rPr>
        <w:t>/</w:t>
      </w:r>
      <w:r w:rsidRPr="003B57DF">
        <w:rPr>
          <w:sz w:val="28"/>
          <w:szCs w:val="28"/>
          <w:lang w:val="en-US"/>
        </w:rPr>
        <w:t>events</w:t>
      </w:r>
      <w:r w:rsidRPr="003B57DF">
        <w:rPr>
          <w:sz w:val="28"/>
          <w:szCs w:val="28"/>
          <w:lang w:val="ru-RU"/>
        </w:rPr>
        <w:t>/</w:t>
      </w:r>
      <w:r w:rsidRPr="003B57DF">
        <w:rPr>
          <w:sz w:val="28"/>
          <w:szCs w:val="28"/>
          <w:lang w:val="en-US"/>
        </w:rPr>
        <w:t>russian</w:t>
      </w:r>
      <w:r w:rsidRPr="003B57DF">
        <w:rPr>
          <w:sz w:val="28"/>
          <w:szCs w:val="28"/>
          <w:lang w:val="ru-RU"/>
        </w:rPr>
        <w:t>-</w:t>
      </w:r>
      <w:r w:rsidRPr="003B57DF">
        <w:rPr>
          <w:sz w:val="28"/>
          <w:szCs w:val="28"/>
          <w:lang w:val="en-US"/>
        </w:rPr>
        <w:t>invasion</w:t>
      </w:r>
      <w:r w:rsidRPr="003B57DF">
        <w:rPr>
          <w:sz w:val="28"/>
          <w:szCs w:val="28"/>
          <w:lang w:val="ru-RU"/>
        </w:rPr>
        <w:t>-</w:t>
      </w:r>
      <w:r w:rsidRPr="003B57DF">
        <w:rPr>
          <w:sz w:val="28"/>
          <w:szCs w:val="28"/>
          <w:lang w:val="en-US"/>
        </w:rPr>
        <w:t>ukraine</w:t>
      </w:r>
      <w:r w:rsidRPr="003B57DF">
        <w:rPr>
          <w:sz w:val="28"/>
          <w:szCs w:val="28"/>
          <w:lang w:val="ru-RU"/>
        </w:rPr>
        <w:t>-</w:t>
      </w:r>
      <w:r w:rsidRPr="003B57DF">
        <w:rPr>
          <w:sz w:val="28"/>
          <w:szCs w:val="28"/>
          <w:lang w:val="en-US"/>
        </w:rPr>
        <w:t>and</w:t>
      </w:r>
      <w:r w:rsidRPr="003B57DF">
        <w:rPr>
          <w:sz w:val="28"/>
          <w:szCs w:val="28"/>
          <w:lang w:val="ru-RU"/>
        </w:rPr>
        <w:t>-</w:t>
      </w:r>
      <w:r w:rsidRPr="003B57DF">
        <w:rPr>
          <w:sz w:val="28"/>
          <w:szCs w:val="28"/>
          <w:lang w:val="en-US"/>
        </w:rPr>
        <w:t>its</w:t>
      </w:r>
      <w:r w:rsidRPr="003B57DF">
        <w:rPr>
          <w:sz w:val="28"/>
          <w:szCs w:val="28"/>
          <w:lang w:val="ru-RU"/>
        </w:rPr>
        <w:t>-</w:t>
      </w:r>
      <w:r w:rsidRPr="003B57DF">
        <w:rPr>
          <w:sz w:val="28"/>
          <w:szCs w:val="28"/>
          <w:lang w:val="en-US"/>
        </w:rPr>
        <w:t>implications</w:t>
      </w:r>
      <w:r w:rsidRPr="003B57DF">
        <w:rPr>
          <w:sz w:val="28"/>
          <w:szCs w:val="28"/>
          <w:lang w:val="ru-RU"/>
        </w:rPr>
        <w:t>-</w:t>
      </w:r>
      <w:r w:rsidRPr="003B57DF">
        <w:rPr>
          <w:sz w:val="28"/>
          <w:szCs w:val="28"/>
          <w:lang w:val="en-US"/>
        </w:rPr>
        <w:t>turkey</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Morgenthau, H. J. (1947). Politics among nations: The struggle for power and peace. Alfred A. Knopf.</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Murinson, A. (2010). The strategic depth doctrine of Turkish foreign policy. Middle Eastern Studies, 46(4), 613–628.</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 xml:space="preserve">NTV. (2023, December 5). Karadeniz’in Orta Doğu olmasını istemiyoruz [We do not want the Black Sea to become the Middle East]. NTV. </w:t>
      </w:r>
      <w:r w:rsidRPr="003B57DF">
        <w:rPr>
          <w:sz w:val="28"/>
          <w:szCs w:val="28"/>
        </w:rPr>
        <w:t xml:space="preserve">Взято з </w:t>
      </w:r>
      <w:r w:rsidRPr="003B57DF">
        <w:rPr>
          <w:sz w:val="28"/>
          <w:szCs w:val="28"/>
          <w:lang w:val="en-US"/>
        </w:rPr>
        <w:t>https://www.ntv.com.tr/</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 xml:space="preserve">Ohanyan, A. (2018, September 12). Why Russia starts so many conflicts on its own borders. The Washington Post. </w:t>
      </w:r>
      <w:r w:rsidRPr="003B57DF">
        <w:rPr>
          <w:sz w:val="28"/>
          <w:szCs w:val="28"/>
        </w:rPr>
        <w:t xml:space="preserve">Взято з </w:t>
      </w:r>
      <w:r w:rsidRPr="003B57DF">
        <w:rPr>
          <w:sz w:val="28"/>
          <w:szCs w:val="28"/>
          <w:lang w:val="en-US"/>
        </w:rPr>
        <w:t>https://www.washingtonpost.com/</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Özdemir, H. (2023). The Black Sea Grain Initiative and Turkey’s maritime diplomacy. Journal of Maritime Affairs, 22(3), 411–432.</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Özkan, G. (2020). The Montreux Convention and Turkey’s role in the Black Sea security regime. Journal of Maritime Policy &amp; Strategy, 6(2), 45–62.</w:t>
      </w:r>
    </w:p>
    <w:p w:rsidR="008A6BD6" w:rsidRPr="003B57DF" w:rsidRDefault="008A6BD6" w:rsidP="008A6BD6">
      <w:pPr>
        <w:pStyle w:val="ab"/>
        <w:numPr>
          <w:ilvl w:val="0"/>
          <w:numId w:val="15"/>
        </w:numPr>
        <w:spacing w:line="360" w:lineRule="auto"/>
        <w:ind w:left="0" w:firstLine="567"/>
        <w:rPr>
          <w:sz w:val="28"/>
          <w:szCs w:val="28"/>
          <w:lang w:val="ru-RU"/>
        </w:rPr>
      </w:pPr>
      <w:r w:rsidRPr="003B57DF">
        <w:rPr>
          <w:sz w:val="28"/>
          <w:szCs w:val="28"/>
          <w:lang w:val="en-US"/>
        </w:rPr>
        <w:t>Reuters. (2023, December 16). Turkey, Romania and Bulgaria to ink deal on floating Black Sea mines in January. Reuters</w:t>
      </w:r>
      <w:r w:rsidRPr="003B57DF">
        <w:rPr>
          <w:sz w:val="28"/>
          <w:szCs w:val="28"/>
          <w:lang w:val="ru-RU"/>
        </w:rPr>
        <w:t xml:space="preserve">. </w:t>
      </w:r>
      <w:r w:rsidRPr="003B57DF">
        <w:rPr>
          <w:sz w:val="28"/>
          <w:szCs w:val="28"/>
        </w:rPr>
        <w:t xml:space="preserve">Взято з </w:t>
      </w:r>
      <w:r w:rsidRPr="003B57DF">
        <w:rPr>
          <w:sz w:val="28"/>
          <w:szCs w:val="28"/>
          <w:lang w:val="en-US"/>
        </w:rPr>
        <w:t>https</w:t>
      </w:r>
      <w:r w:rsidRPr="003B57DF">
        <w:rPr>
          <w:sz w:val="28"/>
          <w:szCs w:val="28"/>
          <w:lang w:val="ru-RU"/>
        </w:rPr>
        <w:t>://</w:t>
      </w:r>
      <w:r w:rsidRPr="003B57DF">
        <w:rPr>
          <w:sz w:val="28"/>
          <w:szCs w:val="28"/>
          <w:lang w:val="en-US"/>
        </w:rPr>
        <w:t>www</w:t>
      </w:r>
      <w:r w:rsidRPr="003B57DF">
        <w:rPr>
          <w:sz w:val="28"/>
          <w:szCs w:val="28"/>
          <w:lang w:val="ru-RU"/>
        </w:rPr>
        <w:t>.</w:t>
      </w:r>
      <w:r w:rsidRPr="003B57DF">
        <w:rPr>
          <w:sz w:val="28"/>
          <w:szCs w:val="28"/>
          <w:lang w:val="en-US"/>
        </w:rPr>
        <w:t>reuters</w:t>
      </w:r>
      <w:r w:rsidRPr="003B57DF">
        <w:rPr>
          <w:sz w:val="28"/>
          <w:szCs w:val="28"/>
          <w:lang w:val="ru-RU"/>
        </w:rPr>
        <w:t>.</w:t>
      </w:r>
      <w:r w:rsidRPr="003B57DF">
        <w:rPr>
          <w:sz w:val="28"/>
          <w:szCs w:val="28"/>
          <w:lang w:val="en-US"/>
        </w:rPr>
        <w:t>com</w:t>
      </w:r>
      <w:r w:rsidRPr="003B57DF">
        <w:rPr>
          <w:sz w:val="28"/>
          <w:szCs w:val="28"/>
          <w:lang w:val="ru-RU"/>
        </w:rPr>
        <w:t>/</w:t>
      </w:r>
      <w:r w:rsidRPr="003B57DF">
        <w:rPr>
          <w:sz w:val="28"/>
          <w:szCs w:val="28"/>
          <w:lang w:val="en-US"/>
        </w:rPr>
        <w:t>world</w:t>
      </w:r>
      <w:r w:rsidRPr="003B57DF">
        <w:rPr>
          <w:sz w:val="28"/>
          <w:szCs w:val="28"/>
          <w:lang w:val="ru-RU"/>
        </w:rPr>
        <w:t>/</w:t>
      </w:r>
      <w:r w:rsidRPr="003B57DF">
        <w:rPr>
          <w:sz w:val="28"/>
          <w:szCs w:val="28"/>
          <w:lang w:val="en-US"/>
        </w:rPr>
        <w:t>turkey</w:t>
      </w:r>
      <w:r w:rsidRPr="003B57DF">
        <w:rPr>
          <w:sz w:val="28"/>
          <w:szCs w:val="28"/>
          <w:lang w:val="ru-RU"/>
        </w:rPr>
        <w:t>-</w:t>
      </w:r>
      <w:r w:rsidRPr="003B57DF">
        <w:rPr>
          <w:sz w:val="28"/>
          <w:szCs w:val="28"/>
          <w:lang w:val="en-US"/>
        </w:rPr>
        <w:t>romania</w:t>
      </w:r>
      <w:r w:rsidRPr="003B57DF">
        <w:rPr>
          <w:sz w:val="28"/>
          <w:szCs w:val="28"/>
          <w:lang w:val="ru-RU"/>
        </w:rPr>
        <w:t>-</w:t>
      </w:r>
      <w:r w:rsidRPr="003B57DF">
        <w:rPr>
          <w:sz w:val="28"/>
          <w:szCs w:val="28"/>
          <w:lang w:val="en-US"/>
        </w:rPr>
        <w:t>bulgaria</w:t>
      </w:r>
      <w:r w:rsidRPr="003B57DF">
        <w:rPr>
          <w:sz w:val="28"/>
          <w:szCs w:val="28"/>
          <w:lang w:val="ru-RU"/>
        </w:rPr>
        <w:t>-</w:t>
      </w:r>
      <w:r w:rsidRPr="003B57DF">
        <w:rPr>
          <w:sz w:val="28"/>
          <w:szCs w:val="28"/>
          <w:lang w:val="en-US"/>
        </w:rPr>
        <w:t>ink</w:t>
      </w:r>
      <w:r w:rsidRPr="003B57DF">
        <w:rPr>
          <w:sz w:val="28"/>
          <w:szCs w:val="28"/>
          <w:lang w:val="ru-RU"/>
        </w:rPr>
        <w:t>-</w:t>
      </w:r>
      <w:r w:rsidRPr="003B57DF">
        <w:rPr>
          <w:sz w:val="28"/>
          <w:szCs w:val="28"/>
          <w:lang w:val="en-US"/>
        </w:rPr>
        <w:t>deal</w:t>
      </w:r>
      <w:r w:rsidRPr="003B57DF">
        <w:rPr>
          <w:sz w:val="28"/>
          <w:szCs w:val="28"/>
          <w:lang w:val="ru-RU"/>
        </w:rPr>
        <w:t>-</w:t>
      </w:r>
      <w:r w:rsidRPr="003B57DF">
        <w:rPr>
          <w:sz w:val="28"/>
          <w:szCs w:val="28"/>
          <w:lang w:val="en-US"/>
        </w:rPr>
        <w:t>floating</w:t>
      </w:r>
      <w:r w:rsidRPr="003B57DF">
        <w:rPr>
          <w:sz w:val="28"/>
          <w:szCs w:val="28"/>
          <w:lang w:val="ru-RU"/>
        </w:rPr>
        <w:t>-</w:t>
      </w:r>
      <w:r w:rsidRPr="003B57DF">
        <w:rPr>
          <w:sz w:val="28"/>
          <w:szCs w:val="28"/>
          <w:lang w:val="en-US"/>
        </w:rPr>
        <w:t>black</w:t>
      </w:r>
      <w:r w:rsidRPr="003B57DF">
        <w:rPr>
          <w:sz w:val="28"/>
          <w:szCs w:val="28"/>
          <w:lang w:val="ru-RU"/>
        </w:rPr>
        <w:t>-</w:t>
      </w:r>
      <w:r w:rsidRPr="003B57DF">
        <w:rPr>
          <w:sz w:val="28"/>
          <w:szCs w:val="28"/>
          <w:lang w:val="en-US"/>
        </w:rPr>
        <w:t>sea</w:t>
      </w:r>
      <w:r w:rsidRPr="003B57DF">
        <w:rPr>
          <w:sz w:val="28"/>
          <w:szCs w:val="28"/>
          <w:lang w:val="ru-RU"/>
        </w:rPr>
        <w:t>-</w:t>
      </w:r>
      <w:r w:rsidRPr="003B57DF">
        <w:rPr>
          <w:sz w:val="28"/>
          <w:szCs w:val="28"/>
          <w:lang w:val="en-US"/>
        </w:rPr>
        <w:t>mines</w:t>
      </w:r>
      <w:r w:rsidRPr="003B57DF">
        <w:rPr>
          <w:sz w:val="28"/>
          <w:szCs w:val="28"/>
          <w:lang w:val="ru-RU"/>
        </w:rPr>
        <w:t>-</w:t>
      </w:r>
      <w:r w:rsidRPr="003B57DF">
        <w:rPr>
          <w:sz w:val="28"/>
          <w:szCs w:val="28"/>
          <w:lang w:val="en-US"/>
        </w:rPr>
        <w:t>january</w:t>
      </w:r>
      <w:r w:rsidRPr="003B57DF">
        <w:rPr>
          <w:sz w:val="28"/>
          <w:szCs w:val="28"/>
          <w:lang w:val="ru-RU"/>
        </w:rPr>
        <w:t>-2023-12-16/</w:t>
      </w:r>
    </w:p>
    <w:p w:rsidR="008A6BD6" w:rsidRPr="003B57DF" w:rsidRDefault="008A6BD6" w:rsidP="008A6BD6">
      <w:pPr>
        <w:pStyle w:val="ab"/>
        <w:numPr>
          <w:ilvl w:val="0"/>
          <w:numId w:val="15"/>
        </w:numPr>
        <w:spacing w:line="360" w:lineRule="auto"/>
        <w:ind w:left="0" w:firstLine="567"/>
        <w:rPr>
          <w:sz w:val="28"/>
          <w:szCs w:val="28"/>
          <w:lang w:val="es-ES"/>
        </w:rPr>
      </w:pPr>
      <w:r w:rsidRPr="003B57DF">
        <w:rPr>
          <w:sz w:val="28"/>
          <w:szCs w:val="28"/>
          <w:lang w:val="en-US"/>
        </w:rPr>
        <w:t xml:space="preserve">Ringis, A. (2023). Hybrid threats at sea: The evolving security environment in the Black Sea. </w:t>
      </w:r>
      <w:r w:rsidRPr="003B57DF">
        <w:rPr>
          <w:sz w:val="28"/>
          <w:szCs w:val="28"/>
          <w:lang w:val="es-ES"/>
        </w:rPr>
        <w:t>Marine Policy, 152, 105–212.</w:t>
      </w:r>
    </w:p>
    <w:p w:rsidR="008A6BD6" w:rsidRPr="003B57DF" w:rsidRDefault="008A6BD6" w:rsidP="008A6BD6">
      <w:pPr>
        <w:pStyle w:val="ab"/>
        <w:numPr>
          <w:ilvl w:val="0"/>
          <w:numId w:val="15"/>
        </w:numPr>
        <w:spacing w:line="360" w:lineRule="auto"/>
        <w:ind w:left="0" w:firstLine="567"/>
        <w:rPr>
          <w:sz w:val="28"/>
          <w:szCs w:val="28"/>
        </w:rPr>
      </w:pPr>
      <w:r w:rsidRPr="003B57DF">
        <w:rPr>
          <w:sz w:val="28"/>
          <w:szCs w:val="28"/>
          <w:lang w:val="es-ES"/>
        </w:rPr>
        <w:t xml:space="preserve">Sánchez Tapia, F. (2022, February 23). Turquía, entre el S-400 y la pared. </w:t>
      </w:r>
      <w:r w:rsidRPr="003B57DF">
        <w:rPr>
          <w:sz w:val="28"/>
          <w:szCs w:val="28"/>
          <w:lang w:val="en-US"/>
        </w:rPr>
        <w:t>IEEE.</w:t>
      </w:r>
      <w:r w:rsidRPr="003B57DF">
        <w:rPr>
          <w:sz w:val="28"/>
          <w:szCs w:val="28"/>
        </w:rPr>
        <w:t xml:space="preserve"> Взято з </w:t>
      </w:r>
      <w:hyperlink r:id="rId29" w:tgtFrame="_new" w:history="1">
        <w:r w:rsidRPr="003B57DF">
          <w:rPr>
            <w:rStyle w:val="ac"/>
            <w:color w:val="auto"/>
            <w:sz w:val="28"/>
            <w:szCs w:val="28"/>
          </w:rPr>
          <w:t>https://www.ieee.es/</w:t>
        </w:r>
      </w:hyperlink>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lastRenderedPageBreak/>
        <w:t>Schmitter, P. C. (2004). Neo-neo-functionalism. In A. Wiener &amp; T. Diez (Eds.), European integration theory (pp. 45–74). Oxford University Press.</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 xml:space="preserve">Seyrek, D. M. (2023, November 10). Was Turkey's Atatürk an authoritarian leader or a visionary European? Euronews. </w:t>
      </w:r>
      <w:r w:rsidRPr="003B57DF">
        <w:rPr>
          <w:sz w:val="28"/>
          <w:szCs w:val="28"/>
        </w:rPr>
        <w:t xml:space="preserve">Взято з </w:t>
      </w:r>
      <w:r w:rsidRPr="003B57DF">
        <w:rPr>
          <w:sz w:val="28"/>
          <w:szCs w:val="28"/>
          <w:lang w:val="en-US"/>
        </w:rPr>
        <w:t>https://www.euronews.com/</w:t>
      </w:r>
    </w:p>
    <w:p w:rsidR="008A6BD6" w:rsidRPr="003B57DF" w:rsidRDefault="008A6BD6" w:rsidP="008A6BD6">
      <w:pPr>
        <w:pStyle w:val="ab"/>
        <w:numPr>
          <w:ilvl w:val="0"/>
          <w:numId w:val="15"/>
        </w:numPr>
        <w:spacing w:line="360" w:lineRule="auto"/>
        <w:ind w:left="0" w:firstLine="567"/>
        <w:rPr>
          <w:sz w:val="28"/>
          <w:szCs w:val="28"/>
          <w:lang w:val="ru-RU"/>
        </w:rPr>
      </w:pPr>
      <w:r w:rsidRPr="003B57DF">
        <w:rPr>
          <w:sz w:val="28"/>
          <w:szCs w:val="28"/>
          <w:lang w:val="en-US"/>
        </w:rPr>
        <w:t xml:space="preserve">Sinan, M. (2023, June 16). Black Sea balancing act: Türkiye’s Erdoğan treads a fine line on Russia. </w:t>
      </w:r>
      <w:r w:rsidRPr="003B57DF">
        <w:rPr>
          <w:sz w:val="28"/>
          <w:szCs w:val="28"/>
          <w:lang w:val="es-ES"/>
        </w:rPr>
        <w:t xml:space="preserve">Politico. </w:t>
      </w:r>
      <w:r w:rsidRPr="003B57DF">
        <w:rPr>
          <w:sz w:val="28"/>
          <w:szCs w:val="28"/>
        </w:rPr>
        <w:t xml:space="preserve">Взято з </w:t>
      </w:r>
      <w:r w:rsidRPr="003B57DF">
        <w:rPr>
          <w:sz w:val="28"/>
          <w:szCs w:val="28"/>
          <w:lang w:val="es-ES"/>
        </w:rPr>
        <w:t>https</w:t>
      </w:r>
      <w:r w:rsidRPr="003B57DF">
        <w:rPr>
          <w:sz w:val="28"/>
          <w:szCs w:val="28"/>
          <w:lang w:val="ru-RU"/>
        </w:rPr>
        <w:t>://</w:t>
      </w:r>
      <w:r w:rsidRPr="003B57DF">
        <w:rPr>
          <w:sz w:val="28"/>
          <w:szCs w:val="28"/>
          <w:lang w:val="es-ES"/>
        </w:rPr>
        <w:t>www</w:t>
      </w:r>
      <w:r w:rsidRPr="003B57DF">
        <w:rPr>
          <w:sz w:val="28"/>
          <w:szCs w:val="28"/>
          <w:lang w:val="ru-RU"/>
        </w:rPr>
        <w:t>.</w:t>
      </w:r>
      <w:r w:rsidRPr="003B57DF">
        <w:rPr>
          <w:sz w:val="28"/>
          <w:szCs w:val="28"/>
          <w:lang w:val="es-ES"/>
        </w:rPr>
        <w:t>politico</w:t>
      </w:r>
      <w:r w:rsidRPr="003B57DF">
        <w:rPr>
          <w:sz w:val="28"/>
          <w:szCs w:val="28"/>
          <w:lang w:val="ru-RU"/>
        </w:rPr>
        <w:t>.</w:t>
      </w:r>
      <w:r w:rsidRPr="003B57DF">
        <w:rPr>
          <w:sz w:val="28"/>
          <w:szCs w:val="28"/>
          <w:lang w:val="es-ES"/>
        </w:rPr>
        <w:t>eu</w:t>
      </w:r>
      <w:r w:rsidRPr="003B57DF">
        <w:rPr>
          <w:sz w:val="28"/>
          <w:szCs w:val="28"/>
          <w:lang w:val="ru-RU"/>
        </w:rPr>
        <w:t>/</w:t>
      </w:r>
      <w:r w:rsidRPr="003B57DF">
        <w:rPr>
          <w:sz w:val="28"/>
          <w:szCs w:val="28"/>
          <w:lang w:val="es-ES"/>
        </w:rPr>
        <w:t>article</w:t>
      </w:r>
      <w:r w:rsidRPr="003B57DF">
        <w:rPr>
          <w:sz w:val="28"/>
          <w:szCs w:val="28"/>
          <w:lang w:val="ru-RU"/>
        </w:rPr>
        <w:t>/</w:t>
      </w:r>
      <w:r w:rsidRPr="003B57DF">
        <w:rPr>
          <w:sz w:val="28"/>
          <w:szCs w:val="28"/>
          <w:lang w:val="es-ES"/>
        </w:rPr>
        <w:t>turkey</w:t>
      </w:r>
      <w:r w:rsidRPr="003B57DF">
        <w:rPr>
          <w:sz w:val="28"/>
          <w:szCs w:val="28"/>
          <w:lang w:val="ru-RU"/>
        </w:rPr>
        <w:t>-</w:t>
      </w:r>
      <w:r w:rsidRPr="003B57DF">
        <w:rPr>
          <w:sz w:val="28"/>
          <w:szCs w:val="28"/>
          <w:lang w:val="es-ES"/>
        </w:rPr>
        <w:t>recep</w:t>
      </w:r>
      <w:r w:rsidRPr="003B57DF">
        <w:rPr>
          <w:sz w:val="28"/>
          <w:szCs w:val="28"/>
          <w:lang w:val="ru-RU"/>
        </w:rPr>
        <w:t>-</w:t>
      </w:r>
      <w:r w:rsidRPr="003B57DF">
        <w:rPr>
          <w:sz w:val="28"/>
          <w:szCs w:val="28"/>
          <w:lang w:val="es-ES"/>
        </w:rPr>
        <w:t>tayyip</w:t>
      </w:r>
      <w:r w:rsidRPr="003B57DF">
        <w:rPr>
          <w:sz w:val="28"/>
          <w:szCs w:val="28"/>
          <w:lang w:val="ru-RU"/>
        </w:rPr>
        <w:t>-</w:t>
      </w:r>
      <w:r w:rsidRPr="003B57DF">
        <w:rPr>
          <w:sz w:val="28"/>
          <w:szCs w:val="28"/>
          <w:lang w:val="es-ES"/>
        </w:rPr>
        <w:t>erdogan</w:t>
      </w:r>
      <w:r w:rsidRPr="003B57DF">
        <w:rPr>
          <w:sz w:val="28"/>
          <w:szCs w:val="28"/>
          <w:lang w:val="ru-RU"/>
        </w:rPr>
        <w:t>-</w:t>
      </w:r>
      <w:r w:rsidRPr="003B57DF">
        <w:rPr>
          <w:sz w:val="28"/>
          <w:szCs w:val="28"/>
          <w:lang w:val="es-ES"/>
        </w:rPr>
        <w:t>russia</w:t>
      </w:r>
      <w:r w:rsidRPr="003B57DF">
        <w:rPr>
          <w:sz w:val="28"/>
          <w:szCs w:val="28"/>
          <w:lang w:val="ru-RU"/>
        </w:rPr>
        <w:t>-</w:t>
      </w:r>
      <w:r w:rsidRPr="003B57DF">
        <w:rPr>
          <w:sz w:val="28"/>
          <w:szCs w:val="28"/>
          <w:lang w:val="es-ES"/>
        </w:rPr>
        <w:t>vladimir</w:t>
      </w:r>
      <w:r w:rsidRPr="003B57DF">
        <w:rPr>
          <w:sz w:val="28"/>
          <w:szCs w:val="28"/>
          <w:lang w:val="ru-RU"/>
        </w:rPr>
        <w:t>-</w:t>
      </w:r>
      <w:r w:rsidRPr="003B57DF">
        <w:rPr>
          <w:sz w:val="28"/>
          <w:szCs w:val="28"/>
          <w:lang w:val="es-ES"/>
        </w:rPr>
        <w:t>putin</w:t>
      </w:r>
      <w:r w:rsidRPr="003B57DF">
        <w:rPr>
          <w:sz w:val="28"/>
          <w:szCs w:val="28"/>
          <w:lang w:val="ru-RU"/>
        </w:rPr>
        <w:t>-</w:t>
      </w:r>
      <w:r w:rsidRPr="003B57DF">
        <w:rPr>
          <w:sz w:val="28"/>
          <w:szCs w:val="28"/>
          <w:lang w:val="es-ES"/>
        </w:rPr>
        <w:t>ukraine</w:t>
      </w:r>
      <w:r w:rsidRPr="003B57DF">
        <w:rPr>
          <w:sz w:val="28"/>
          <w:szCs w:val="28"/>
          <w:lang w:val="ru-RU"/>
        </w:rPr>
        <w:t>-</w:t>
      </w:r>
      <w:r w:rsidRPr="003B57DF">
        <w:rPr>
          <w:sz w:val="28"/>
          <w:szCs w:val="28"/>
          <w:lang w:val="es-ES"/>
        </w:rPr>
        <w:t>war</w:t>
      </w:r>
      <w:r w:rsidRPr="003B57DF">
        <w:rPr>
          <w:sz w:val="28"/>
          <w:szCs w:val="28"/>
          <w:lang w:val="ru-RU"/>
        </w:rPr>
        <w:t>-</w:t>
      </w:r>
      <w:r w:rsidRPr="003B57DF">
        <w:rPr>
          <w:sz w:val="28"/>
          <w:szCs w:val="28"/>
          <w:lang w:val="es-ES"/>
        </w:rPr>
        <w:t>peace</w:t>
      </w:r>
      <w:r w:rsidRPr="003B57DF">
        <w:rPr>
          <w:sz w:val="28"/>
          <w:szCs w:val="28"/>
          <w:lang w:val="ru-RU"/>
        </w:rPr>
        <w:t>-</w:t>
      </w:r>
      <w:r w:rsidRPr="003B57DF">
        <w:rPr>
          <w:sz w:val="28"/>
          <w:szCs w:val="28"/>
          <w:lang w:val="es-ES"/>
        </w:rPr>
        <w:t>talks</w:t>
      </w:r>
      <w:r w:rsidRPr="003B57DF">
        <w:rPr>
          <w:sz w:val="28"/>
          <w:szCs w:val="28"/>
          <w:lang w:val="ru-RU"/>
        </w:rPr>
        <w:t>/</w:t>
      </w:r>
    </w:p>
    <w:p w:rsidR="008A6BD6" w:rsidRPr="003B57DF" w:rsidRDefault="008A6BD6" w:rsidP="008A6BD6">
      <w:pPr>
        <w:pStyle w:val="ab"/>
        <w:numPr>
          <w:ilvl w:val="0"/>
          <w:numId w:val="15"/>
        </w:numPr>
        <w:spacing w:line="360" w:lineRule="auto"/>
        <w:ind w:left="0" w:firstLine="567"/>
        <w:rPr>
          <w:sz w:val="28"/>
          <w:szCs w:val="28"/>
          <w:lang w:val="en-US"/>
        </w:rPr>
      </w:pPr>
      <w:r w:rsidRPr="003B57DF">
        <w:rPr>
          <w:bCs/>
          <w:sz w:val="28"/>
          <w:szCs w:val="28"/>
          <w:lang w:val="en-US"/>
        </w:rPr>
        <w:t>Strengthening deterrence and defence in the Black Sea region.</w:t>
      </w:r>
      <w:r w:rsidRPr="003B57DF">
        <w:rPr>
          <w:sz w:val="28"/>
          <w:szCs w:val="28"/>
          <w:lang w:val="en-US"/>
        </w:rPr>
        <w:t xml:space="preserve"> (2023). </w:t>
      </w:r>
      <w:r w:rsidRPr="003B57DF">
        <w:rPr>
          <w:bCs/>
          <w:sz w:val="28"/>
          <w:szCs w:val="28"/>
          <w:lang w:val="en-US"/>
        </w:rPr>
        <w:t>NATO.</w:t>
      </w:r>
      <w:r w:rsidRPr="003B57DF">
        <w:rPr>
          <w:sz w:val="28"/>
          <w:szCs w:val="28"/>
          <w:lang w:val="en-US"/>
        </w:rPr>
        <w:t xml:space="preserve"> </w:t>
      </w:r>
      <w:r w:rsidRPr="003B57DF">
        <w:rPr>
          <w:sz w:val="28"/>
          <w:szCs w:val="28"/>
          <w:lang w:val="ru-RU"/>
        </w:rPr>
        <w:t>Взято</w:t>
      </w:r>
      <w:r w:rsidRPr="003B57DF">
        <w:rPr>
          <w:sz w:val="28"/>
          <w:szCs w:val="28"/>
          <w:lang w:val="en-US"/>
        </w:rPr>
        <w:t xml:space="preserve"> </w:t>
      </w:r>
      <w:r w:rsidRPr="003B57DF">
        <w:rPr>
          <w:sz w:val="28"/>
          <w:szCs w:val="28"/>
          <w:lang w:val="ru-RU"/>
        </w:rPr>
        <w:t>з</w:t>
      </w:r>
      <w:r w:rsidRPr="003B57DF">
        <w:rPr>
          <w:sz w:val="28"/>
          <w:szCs w:val="28"/>
          <w:lang w:val="en-US"/>
        </w:rPr>
        <w:t xml:space="preserve"> </w:t>
      </w:r>
      <w:hyperlink r:id="rId30" w:tgtFrame="_new" w:history="1">
        <w:r w:rsidRPr="003B57DF">
          <w:rPr>
            <w:rStyle w:val="ac"/>
            <w:color w:val="auto"/>
            <w:sz w:val="28"/>
            <w:szCs w:val="28"/>
            <w:lang w:val="en-US"/>
          </w:rPr>
          <w:t>https://www.nato.int/</w:t>
        </w:r>
      </w:hyperlink>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Taşpınar, Ö. (2011). Turkey’s strategic vision and neo-Ottomanism. Brookings Institution Analysis Paper, 29, 1–17.</w:t>
      </w:r>
    </w:p>
    <w:p w:rsidR="008A6BD6" w:rsidRPr="003B57DF" w:rsidRDefault="008A6BD6" w:rsidP="008A6BD6">
      <w:pPr>
        <w:pStyle w:val="ab"/>
        <w:numPr>
          <w:ilvl w:val="0"/>
          <w:numId w:val="15"/>
        </w:numPr>
        <w:spacing w:line="360" w:lineRule="auto"/>
        <w:ind w:left="0" w:firstLine="567"/>
        <w:rPr>
          <w:sz w:val="28"/>
          <w:szCs w:val="28"/>
          <w:lang w:val="ru-RU"/>
        </w:rPr>
      </w:pPr>
      <w:r w:rsidRPr="003B57DF">
        <w:rPr>
          <w:sz w:val="28"/>
          <w:szCs w:val="28"/>
          <w:lang w:val="en-US"/>
        </w:rPr>
        <w:t xml:space="preserve">The Kyiv Independent. (2024, January 3). Turkey blocks passage of British minehunter ships intended for Ukraine. The Kyiv Independent. </w:t>
      </w:r>
      <w:r w:rsidRPr="003B57DF">
        <w:rPr>
          <w:sz w:val="28"/>
          <w:szCs w:val="28"/>
        </w:rPr>
        <w:t xml:space="preserve">Взято з </w:t>
      </w:r>
      <w:r w:rsidRPr="003B57DF">
        <w:rPr>
          <w:sz w:val="28"/>
          <w:szCs w:val="28"/>
          <w:lang w:val="en-US"/>
        </w:rPr>
        <w:t>https</w:t>
      </w:r>
      <w:r w:rsidRPr="003B57DF">
        <w:rPr>
          <w:sz w:val="28"/>
          <w:szCs w:val="28"/>
          <w:lang w:val="ru-RU"/>
        </w:rPr>
        <w:t>://</w:t>
      </w:r>
      <w:r w:rsidRPr="003B57DF">
        <w:rPr>
          <w:sz w:val="28"/>
          <w:szCs w:val="28"/>
          <w:lang w:val="en-US"/>
        </w:rPr>
        <w:t>kyivindependent</w:t>
      </w:r>
      <w:r w:rsidRPr="003B57DF">
        <w:rPr>
          <w:sz w:val="28"/>
          <w:szCs w:val="28"/>
          <w:lang w:val="ru-RU"/>
        </w:rPr>
        <w:t>.</w:t>
      </w:r>
      <w:r w:rsidRPr="003B57DF">
        <w:rPr>
          <w:sz w:val="28"/>
          <w:szCs w:val="28"/>
          <w:lang w:val="en-US"/>
        </w:rPr>
        <w:t>com</w:t>
      </w:r>
      <w:r w:rsidRPr="003B57DF">
        <w:rPr>
          <w:sz w:val="28"/>
          <w:szCs w:val="28"/>
          <w:lang w:val="ru-RU"/>
        </w:rPr>
        <w:t>/</w:t>
      </w:r>
      <w:r w:rsidRPr="003B57DF">
        <w:rPr>
          <w:sz w:val="28"/>
          <w:szCs w:val="28"/>
          <w:lang w:val="en-US"/>
        </w:rPr>
        <w:t>turkey</w:t>
      </w:r>
      <w:r w:rsidRPr="003B57DF">
        <w:rPr>
          <w:sz w:val="28"/>
          <w:szCs w:val="28"/>
          <w:lang w:val="ru-RU"/>
        </w:rPr>
        <w:t>-</w:t>
      </w:r>
      <w:r w:rsidRPr="003B57DF">
        <w:rPr>
          <w:sz w:val="28"/>
          <w:szCs w:val="28"/>
          <w:lang w:val="en-US"/>
        </w:rPr>
        <w:t>blocks</w:t>
      </w:r>
      <w:r w:rsidRPr="003B57DF">
        <w:rPr>
          <w:sz w:val="28"/>
          <w:szCs w:val="28"/>
          <w:lang w:val="ru-RU"/>
        </w:rPr>
        <w:t>-</w:t>
      </w:r>
      <w:r w:rsidRPr="003B57DF">
        <w:rPr>
          <w:sz w:val="28"/>
          <w:szCs w:val="28"/>
          <w:lang w:val="en-US"/>
        </w:rPr>
        <w:t>passage</w:t>
      </w:r>
      <w:r w:rsidRPr="003B57DF">
        <w:rPr>
          <w:sz w:val="28"/>
          <w:szCs w:val="28"/>
          <w:lang w:val="ru-RU"/>
        </w:rPr>
        <w:t>-</w:t>
      </w:r>
      <w:r w:rsidRPr="003B57DF">
        <w:rPr>
          <w:sz w:val="28"/>
          <w:szCs w:val="28"/>
          <w:lang w:val="en-US"/>
        </w:rPr>
        <w:t>of</w:t>
      </w:r>
      <w:r w:rsidRPr="003B57DF">
        <w:rPr>
          <w:sz w:val="28"/>
          <w:szCs w:val="28"/>
          <w:lang w:val="ru-RU"/>
        </w:rPr>
        <w:t>-</w:t>
      </w:r>
      <w:r w:rsidRPr="003B57DF">
        <w:rPr>
          <w:sz w:val="28"/>
          <w:szCs w:val="28"/>
          <w:lang w:val="en-US"/>
        </w:rPr>
        <w:t>british</w:t>
      </w:r>
      <w:r w:rsidRPr="003B57DF">
        <w:rPr>
          <w:sz w:val="28"/>
          <w:szCs w:val="28"/>
          <w:lang w:val="ru-RU"/>
        </w:rPr>
        <w:t>-</w:t>
      </w:r>
      <w:r w:rsidRPr="003B57DF">
        <w:rPr>
          <w:sz w:val="28"/>
          <w:szCs w:val="28"/>
          <w:lang w:val="en-US"/>
        </w:rPr>
        <w:t>minehunter</w:t>
      </w:r>
      <w:r w:rsidRPr="003B57DF">
        <w:rPr>
          <w:sz w:val="28"/>
          <w:szCs w:val="28"/>
          <w:lang w:val="ru-RU"/>
        </w:rPr>
        <w:t>-</w:t>
      </w:r>
      <w:r w:rsidRPr="003B57DF">
        <w:rPr>
          <w:sz w:val="28"/>
          <w:szCs w:val="28"/>
          <w:lang w:val="en-US"/>
        </w:rPr>
        <w:t>ships</w:t>
      </w:r>
      <w:r w:rsidRPr="003B57DF">
        <w:rPr>
          <w:sz w:val="28"/>
          <w:szCs w:val="28"/>
          <w:lang w:val="ru-RU"/>
        </w:rPr>
        <w:t>-</w:t>
      </w:r>
      <w:r w:rsidRPr="003B57DF">
        <w:rPr>
          <w:sz w:val="28"/>
          <w:szCs w:val="28"/>
          <w:lang w:val="en-US"/>
        </w:rPr>
        <w:t>intended</w:t>
      </w:r>
      <w:r w:rsidRPr="003B57DF">
        <w:rPr>
          <w:sz w:val="28"/>
          <w:szCs w:val="28"/>
          <w:lang w:val="ru-RU"/>
        </w:rPr>
        <w:t>-</w:t>
      </w:r>
      <w:r w:rsidRPr="003B57DF">
        <w:rPr>
          <w:sz w:val="28"/>
          <w:szCs w:val="28"/>
          <w:lang w:val="en-US"/>
        </w:rPr>
        <w:t>for</w:t>
      </w:r>
      <w:r w:rsidRPr="003B57DF">
        <w:rPr>
          <w:sz w:val="28"/>
          <w:szCs w:val="28"/>
          <w:lang w:val="ru-RU"/>
        </w:rPr>
        <w:t>-</w:t>
      </w:r>
      <w:r w:rsidRPr="003B57DF">
        <w:rPr>
          <w:sz w:val="28"/>
          <w:szCs w:val="28"/>
          <w:lang w:val="en-US"/>
        </w:rPr>
        <w:t>ukraine</w:t>
      </w:r>
      <w:r w:rsidRPr="003B57DF">
        <w:rPr>
          <w:sz w:val="28"/>
          <w:szCs w:val="28"/>
          <w:lang w:val="ru-RU"/>
        </w:rPr>
        <w:t>/</w:t>
      </w:r>
    </w:p>
    <w:p w:rsidR="008A6BD6" w:rsidRPr="003B57DF" w:rsidRDefault="008A6BD6" w:rsidP="008A6BD6">
      <w:pPr>
        <w:pStyle w:val="ab"/>
        <w:numPr>
          <w:ilvl w:val="0"/>
          <w:numId w:val="15"/>
        </w:numPr>
        <w:spacing w:line="360" w:lineRule="auto"/>
        <w:ind w:left="0" w:firstLine="567"/>
        <w:rPr>
          <w:sz w:val="28"/>
          <w:szCs w:val="28"/>
        </w:rPr>
      </w:pPr>
      <w:r w:rsidRPr="003B57DF">
        <w:rPr>
          <w:iCs/>
          <w:sz w:val="28"/>
          <w:szCs w:val="28"/>
        </w:rPr>
        <w:t>The new world order and the rise of the middle powers.</w:t>
      </w:r>
      <w:r w:rsidRPr="003B57DF">
        <w:rPr>
          <w:sz w:val="28"/>
          <w:szCs w:val="28"/>
        </w:rPr>
        <w:t xml:space="preserve"> (2022, February 28). </w:t>
      </w:r>
      <w:r w:rsidRPr="003B57DF">
        <w:rPr>
          <w:iCs/>
          <w:sz w:val="28"/>
          <w:szCs w:val="28"/>
        </w:rPr>
        <w:t>Financial Times</w:t>
      </w:r>
      <w:r w:rsidRPr="003B57DF">
        <w:rPr>
          <w:sz w:val="28"/>
          <w:szCs w:val="28"/>
        </w:rPr>
        <w:t xml:space="preserve">. </w:t>
      </w:r>
      <w:r w:rsidRPr="003B57DF">
        <w:rPr>
          <w:sz w:val="28"/>
          <w:szCs w:val="28"/>
        </w:rPr>
        <w:t>Взято з</w:t>
      </w:r>
      <w:r w:rsidRPr="003B57DF">
        <w:rPr>
          <w:sz w:val="28"/>
          <w:szCs w:val="28"/>
        </w:rPr>
        <w:t xml:space="preserve"> </w:t>
      </w:r>
      <w:hyperlink r:id="rId31" w:history="1">
        <w:r w:rsidRPr="003B57DF">
          <w:rPr>
            <w:rStyle w:val="ac"/>
            <w:color w:val="auto"/>
            <w:sz w:val="28"/>
            <w:szCs w:val="28"/>
          </w:rPr>
          <w:t>https://www.ft.com/content/0d6b6c9a-7b8c-4e3a-8f7a-0b7c3b1d7c65</w:t>
        </w:r>
      </w:hyperlink>
      <w:r w:rsidRPr="003B57DF">
        <w:rPr>
          <w:sz w:val="28"/>
          <w:szCs w:val="28"/>
        </w:rPr>
        <w:t xml:space="preserve"> </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Till, G. (2018). Seapower: A guide for the twenty-first century (4th ed.). Routledge.</w:t>
      </w:r>
    </w:p>
    <w:p w:rsidR="008A6BD6" w:rsidRPr="003B57DF" w:rsidRDefault="008A6BD6" w:rsidP="008A6BD6">
      <w:pPr>
        <w:pStyle w:val="ab"/>
        <w:numPr>
          <w:ilvl w:val="0"/>
          <w:numId w:val="15"/>
        </w:numPr>
        <w:spacing w:line="360" w:lineRule="auto"/>
        <w:ind w:left="0" w:firstLine="567"/>
        <w:rPr>
          <w:sz w:val="28"/>
          <w:szCs w:val="28"/>
        </w:rPr>
      </w:pPr>
      <w:r w:rsidRPr="003B57DF">
        <w:rPr>
          <w:sz w:val="28"/>
          <w:szCs w:val="28"/>
          <w:lang w:val="en-US"/>
        </w:rPr>
        <w:t>United Nations. (2022). Black Sea Grain Initiative: Implementation report 2022–2023. United Nations Publications.</w:t>
      </w:r>
      <w:r w:rsidRPr="003B57DF">
        <w:rPr>
          <w:sz w:val="28"/>
          <w:szCs w:val="28"/>
        </w:rPr>
        <w:t xml:space="preserve"> Взято з </w:t>
      </w:r>
      <w:hyperlink r:id="rId32" w:tgtFrame="_new" w:history="1">
        <w:r w:rsidRPr="003B57DF">
          <w:rPr>
            <w:rStyle w:val="ac"/>
            <w:color w:val="auto"/>
            <w:sz w:val="28"/>
            <w:szCs w:val="28"/>
          </w:rPr>
          <w:t>https://www.un.org/</w:t>
        </w:r>
      </w:hyperlink>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rPr>
        <w:t xml:space="preserve">Ünlühisarcıklı, Ö. (2023). </w:t>
      </w:r>
      <w:r w:rsidRPr="003B57DF">
        <w:rPr>
          <w:i/>
          <w:iCs/>
          <w:sz w:val="28"/>
          <w:szCs w:val="28"/>
        </w:rPr>
        <w:t>Turkey’s mediation strategy in the Ukraine war: Opportunities and constraints.</w:t>
      </w:r>
      <w:r w:rsidRPr="003B57DF">
        <w:rPr>
          <w:sz w:val="28"/>
          <w:szCs w:val="28"/>
        </w:rPr>
        <w:t xml:space="preserve"> German Marshall Fund of the United States. Взято з https://www.gmfus.org/publications/turkeys-mediation-strategy-ukraine-war</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Walt, S. M. (1987). The origins of alliances. Cornell University Press.</w:t>
      </w:r>
    </w:p>
    <w:p w:rsidR="008A6BD6" w:rsidRPr="003B57DF" w:rsidRDefault="008A6BD6" w:rsidP="008A6BD6">
      <w:pPr>
        <w:pStyle w:val="ab"/>
        <w:numPr>
          <w:ilvl w:val="0"/>
          <w:numId w:val="15"/>
        </w:numPr>
        <w:spacing w:line="360" w:lineRule="auto"/>
        <w:ind w:left="0" w:firstLine="567"/>
        <w:rPr>
          <w:sz w:val="28"/>
          <w:szCs w:val="28"/>
        </w:rPr>
      </w:pPr>
      <w:r w:rsidRPr="003B57DF">
        <w:rPr>
          <w:sz w:val="28"/>
          <w:szCs w:val="28"/>
          <w:lang w:val="en-US"/>
        </w:rPr>
        <w:lastRenderedPageBreak/>
        <w:t>Wendt, A. (1999). Social theory of international politics. Cambridge University Press.</w:t>
      </w:r>
      <w:r w:rsidRPr="003B57DF">
        <w:rPr>
          <w:sz w:val="28"/>
          <w:szCs w:val="28"/>
        </w:rPr>
        <w:t xml:space="preserve"> </w:t>
      </w:r>
    </w:p>
    <w:p w:rsidR="008A6BD6" w:rsidRPr="003B57DF" w:rsidRDefault="008A6BD6" w:rsidP="008A6BD6">
      <w:pPr>
        <w:pStyle w:val="ab"/>
        <w:numPr>
          <w:ilvl w:val="0"/>
          <w:numId w:val="15"/>
        </w:numPr>
        <w:spacing w:line="360" w:lineRule="auto"/>
        <w:ind w:left="0" w:firstLine="567"/>
        <w:rPr>
          <w:sz w:val="28"/>
          <w:szCs w:val="28"/>
          <w:lang w:val="en-US"/>
        </w:rPr>
      </w:pPr>
      <w:r w:rsidRPr="003B57DF">
        <w:rPr>
          <w:sz w:val="28"/>
          <w:szCs w:val="28"/>
          <w:lang w:val="en-US"/>
        </w:rPr>
        <w:t>Yanik, L. K. (2021). Turkey’s defence industry transformation and strategic autonomy. Defence and Peace Economics, 32(8), 1054–1071.</w:t>
      </w:r>
    </w:p>
    <w:p w:rsidR="008A6BD6" w:rsidRPr="003B57DF" w:rsidRDefault="008A6BD6" w:rsidP="008A6BD6">
      <w:pPr>
        <w:pStyle w:val="ab"/>
        <w:numPr>
          <w:ilvl w:val="0"/>
          <w:numId w:val="15"/>
        </w:numPr>
        <w:spacing w:line="360" w:lineRule="auto"/>
        <w:ind w:left="0" w:firstLine="567"/>
        <w:rPr>
          <w:sz w:val="28"/>
          <w:szCs w:val="28"/>
        </w:rPr>
      </w:pPr>
      <w:r w:rsidRPr="003B57DF">
        <w:rPr>
          <w:sz w:val="28"/>
          <w:szCs w:val="28"/>
          <w:lang w:val="en-US"/>
        </w:rPr>
        <w:t>Yergin, D. (2006). Ensuring energy security. Foreign Affairs, 85(2), 69–82.</w:t>
      </w:r>
      <w:r w:rsidRPr="003B57DF">
        <w:rPr>
          <w:sz w:val="28"/>
          <w:szCs w:val="28"/>
        </w:rPr>
        <w:t xml:space="preserve"> Взято з https://www.foreignaffairs.com/articles/2006-03-01/ensuring-energy-security</w:t>
      </w:r>
    </w:p>
    <w:p w:rsidR="008A6BD6" w:rsidRPr="003B57DF" w:rsidRDefault="008A6BD6" w:rsidP="008A6BD6">
      <w:pPr>
        <w:pStyle w:val="ab"/>
        <w:numPr>
          <w:ilvl w:val="0"/>
          <w:numId w:val="15"/>
        </w:numPr>
        <w:spacing w:line="360" w:lineRule="auto"/>
        <w:ind w:left="0" w:firstLine="567"/>
        <w:rPr>
          <w:sz w:val="28"/>
          <w:szCs w:val="28"/>
        </w:rPr>
      </w:pPr>
      <w:r w:rsidRPr="003B57DF">
        <w:rPr>
          <w:sz w:val="28"/>
          <w:szCs w:val="28"/>
          <w:lang w:val="en-US"/>
        </w:rPr>
        <w:t>Yeşiltaş, M. (2022). Turkey’s multi-vector foreign policy in a changing geopolitical environment. Uluslararası İlişkiler, 19(79), 7–25.</w:t>
      </w:r>
      <w:r w:rsidRPr="003B57DF">
        <w:rPr>
          <w:sz w:val="28"/>
          <w:szCs w:val="28"/>
        </w:rPr>
        <w:t xml:space="preserve"> </w:t>
      </w:r>
    </w:p>
    <w:p w:rsidR="008A6BD6" w:rsidRPr="003B57DF" w:rsidRDefault="008A6BD6" w:rsidP="008A6BD6">
      <w:pPr>
        <w:pStyle w:val="ab"/>
        <w:numPr>
          <w:ilvl w:val="0"/>
          <w:numId w:val="15"/>
        </w:numPr>
        <w:spacing w:line="360" w:lineRule="auto"/>
        <w:ind w:left="0" w:firstLine="567"/>
        <w:rPr>
          <w:sz w:val="28"/>
          <w:szCs w:val="28"/>
          <w:lang w:val="ru-RU"/>
        </w:rPr>
      </w:pPr>
      <w:r w:rsidRPr="003B57DF">
        <w:rPr>
          <w:sz w:val="28"/>
          <w:szCs w:val="28"/>
          <w:lang w:val="en-US"/>
        </w:rPr>
        <w:t xml:space="preserve">Yeşiltaş, M., &amp; Balcı, A. (2013). A dictionary of Turkish foreign policy: Concepts and definitions. </w:t>
      </w:r>
      <w:r w:rsidRPr="003B57DF">
        <w:rPr>
          <w:sz w:val="28"/>
          <w:szCs w:val="28"/>
          <w:lang w:val="ru-RU"/>
        </w:rPr>
        <w:t>Akademisyen Publications.</w:t>
      </w:r>
    </w:p>
    <w:sectPr w:rsidR="008A6BD6" w:rsidRPr="003B57DF" w:rsidSect="00B31484">
      <w:headerReference w:type="default" r:id="rId3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8B0" w:rsidRDefault="00D838B0" w:rsidP="00F32B23">
      <w:r>
        <w:separator/>
      </w:r>
    </w:p>
  </w:endnote>
  <w:endnote w:type="continuationSeparator" w:id="0">
    <w:p w:rsidR="00D838B0" w:rsidRDefault="00D838B0" w:rsidP="00F32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8B0" w:rsidRDefault="00D838B0" w:rsidP="00F32B23">
      <w:r>
        <w:separator/>
      </w:r>
    </w:p>
  </w:footnote>
  <w:footnote w:type="continuationSeparator" w:id="0">
    <w:p w:rsidR="00D838B0" w:rsidRDefault="00D838B0" w:rsidP="00F32B2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344621"/>
      <w:docPartObj>
        <w:docPartGallery w:val="Page Numbers (Top of Page)"/>
        <w:docPartUnique/>
      </w:docPartObj>
    </w:sdtPr>
    <w:sdtContent>
      <w:p w:rsidR="00963D22" w:rsidRDefault="00963D22">
        <w:pPr>
          <w:pStyle w:val="a3"/>
          <w:jc w:val="right"/>
        </w:pPr>
        <w:r>
          <w:fldChar w:fldCharType="begin"/>
        </w:r>
        <w:r>
          <w:instrText>PAGE   \* MERGEFORMAT</w:instrText>
        </w:r>
        <w:r>
          <w:fldChar w:fldCharType="separate"/>
        </w:r>
        <w:r w:rsidRPr="004D6C42">
          <w:rPr>
            <w:noProof/>
            <w:lang w:val="ru-RU"/>
          </w:rPr>
          <w:t>52</w:t>
        </w:r>
        <w:r>
          <w:fldChar w:fldCharType="end"/>
        </w:r>
      </w:p>
    </w:sdtContent>
  </w:sdt>
  <w:p w:rsidR="00963D22" w:rsidRDefault="00963D22">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6734758"/>
      <w:docPartObj>
        <w:docPartGallery w:val="Page Numbers (Top of Page)"/>
        <w:docPartUnique/>
      </w:docPartObj>
    </w:sdtPr>
    <w:sdtContent>
      <w:p w:rsidR="00963D22" w:rsidRDefault="00963D22">
        <w:pPr>
          <w:pStyle w:val="a3"/>
          <w:jc w:val="right"/>
        </w:pPr>
        <w:r>
          <w:fldChar w:fldCharType="begin"/>
        </w:r>
        <w:r>
          <w:instrText>PAGE   \* MERGEFORMAT</w:instrText>
        </w:r>
        <w:r>
          <w:fldChar w:fldCharType="separate"/>
        </w:r>
        <w:r w:rsidR="000A1818" w:rsidRPr="000A1818">
          <w:rPr>
            <w:noProof/>
            <w:lang w:val="ru-RU"/>
          </w:rPr>
          <w:t>29</w:t>
        </w:r>
        <w:r>
          <w:fldChar w:fldCharType="end"/>
        </w:r>
      </w:p>
    </w:sdtContent>
  </w:sdt>
  <w:p w:rsidR="00963D22" w:rsidRDefault="00963D2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3199E"/>
    <w:multiLevelType w:val="multilevel"/>
    <w:tmpl w:val="F7E82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912E90"/>
    <w:multiLevelType w:val="multilevel"/>
    <w:tmpl w:val="F1E6C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2F6E4D"/>
    <w:multiLevelType w:val="hybridMultilevel"/>
    <w:tmpl w:val="27D0E3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673CDC"/>
    <w:multiLevelType w:val="hybridMultilevel"/>
    <w:tmpl w:val="605AC2CC"/>
    <w:lvl w:ilvl="0" w:tplc="ABAA31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2EB4C36"/>
    <w:multiLevelType w:val="multilevel"/>
    <w:tmpl w:val="0DC0E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086E7F"/>
    <w:multiLevelType w:val="hybridMultilevel"/>
    <w:tmpl w:val="4A5617E0"/>
    <w:lvl w:ilvl="0" w:tplc="ABAA31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8C010AF"/>
    <w:multiLevelType w:val="hybridMultilevel"/>
    <w:tmpl w:val="044C16B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8E93B72"/>
    <w:multiLevelType w:val="hybridMultilevel"/>
    <w:tmpl w:val="9C423792"/>
    <w:lvl w:ilvl="0" w:tplc="3AA066CC">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3E8029E"/>
    <w:multiLevelType w:val="hybridMultilevel"/>
    <w:tmpl w:val="2E4466B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F7E11BC"/>
    <w:multiLevelType w:val="multilevel"/>
    <w:tmpl w:val="0980D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DF1C91"/>
    <w:multiLevelType w:val="hybridMultilevel"/>
    <w:tmpl w:val="2ABA8B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53C4E5E"/>
    <w:multiLevelType w:val="hybridMultilevel"/>
    <w:tmpl w:val="4DB812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55108A0"/>
    <w:multiLevelType w:val="hybridMultilevel"/>
    <w:tmpl w:val="465A67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8DE230B"/>
    <w:multiLevelType w:val="hybridMultilevel"/>
    <w:tmpl w:val="F8A2214C"/>
    <w:lvl w:ilvl="0" w:tplc="3AA066CC">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C95392B"/>
    <w:multiLevelType w:val="multilevel"/>
    <w:tmpl w:val="BBD45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2"/>
  </w:num>
  <w:num w:numId="3">
    <w:abstractNumId w:val="5"/>
  </w:num>
  <w:num w:numId="4">
    <w:abstractNumId w:val="3"/>
  </w:num>
  <w:num w:numId="5">
    <w:abstractNumId w:val="10"/>
  </w:num>
  <w:num w:numId="6">
    <w:abstractNumId w:val="11"/>
  </w:num>
  <w:num w:numId="7">
    <w:abstractNumId w:val="6"/>
  </w:num>
  <w:num w:numId="8">
    <w:abstractNumId w:val="8"/>
  </w:num>
  <w:num w:numId="9">
    <w:abstractNumId w:val="0"/>
  </w:num>
  <w:num w:numId="10">
    <w:abstractNumId w:val="4"/>
  </w:num>
  <w:num w:numId="11">
    <w:abstractNumId w:val="1"/>
  </w:num>
  <w:num w:numId="12">
    <w:abstractNumId w:val="9"/>
  </w:num>
  <w:num w:numId="13">
    <w:abstractNumId w:val="12"/>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DBD"/>
    <w:rsid w:val="00036BC4"/>
    <w:rsid w:val="00053515"/>
    <w:rsid w:val="000615C1"/>
    <w:rsid w:val="00066259"/>
    <w:rsid w:val="00067583"/>
    <w:rsid w:val="000A1818"/>
    <w:rsid w:val="000B2C68"/>
    <w:rsid w:val="000C0848"/>
    <w:rsid w:val="000D74D8"/>
    <w:rsid w:val="000E272E"/>
    <w:rsid w:val="000E580F"/>
    <w:rsid w:val="000E5F4B"/>
    <w:rsid w:val="000F1DBD"/>
    <w:rsid w:val="001044EA"/>
    <w:rsid w:val="0010580E"/>
    <w:rsid w:val="001427F8"/>
    <w:rsid w:val="00150EDE"/>
    <w:rsid w:val="00182A40"/>
    <w:rsid w:val="001A55D2"/>
    <w:rsid w:val="002040CF"/>
    <w:rsid w:val="002417DF"/>
    <w:rsid w:val="00273E6A"/>
    <w:rsid w:val="0027767D"/>
    <w:rsid w:val="00297973"/>
    <w:rsid w:val="00297AEA"/>
    <w:rsid w:val="002A36C6"/>
    <w:rsid w:val="002B4130"/>
    <w:rsid w:val="002D1A65"/>
    <w:rsid w:val="0031284D"/>
    <w:rsid w:val="0033463D"/>
    <w:rsid w:val="003420F7"/>
    <w:rsid w:val="003460E7"/>
    <w:rsid w:val="003479D2"/>
    <w:rsid w:val="00385703"/>
    <w:rsid w:val="003A0E9E"/>
    <w:rsid w:val="003B57DF"/>
    <w:rsid w:val="003B6C2D"/>
    <w:rsid w:val="003D1408"/>
    <w:rsid w:val="003E1CD4"/>
    <w:rsid w:val="003F2A6B"/>
    <w:rsid w:val="003F6431"/>
    <w:rsid w:val="0040766C"/>
    <w:rsid w:val="004243C1"/>
    <w:rsid w:val="004371C3"/>
    <w:rsid w:val="0044273E"/>
    <w:rsid w:val="00475405"/>
    <w:rsid w:val="00494B5F"/>
    <w:rsid w:val="004B33B8"/>
    <w:rsid w:val="004E1EF5"/>
    <w:rsid w:val="004F58D4"/>
    <w:rsid w:val="00533EDB"/>
    <w:rsid w:val="005401C4"/>
    <w:rsid w:val="005735A0"/>
    <w:rsid w:val="0058334F"/>
    <w:rsid w:val="00595089"/>
    <w:rsid w:val="0059744D"/>
    <w:rsid w:val="005B462A"/>
    <w:rsid w:val="005D686D"/>
    <w:rsid w:val="005E1989"/>
    <w:rsid w:val="00625E0C"/>
    <w:rsid w:val="006364DA"/>
    <w:rsid w:val="006C0AAB"/>
    <w:rsid w:val="006C0FF8"/>
    <w:rsid w:val="006C5BA1"/>
    <w:rsid w:val="006D1E24"/>
    <w:rsid w:val="007772F2"/>
    <w:rsid w:val="00781762"/>
    <w:rsid w:val="007A7633"/>
    <w:rsid w:val="007F2B79"/>
    <w:rsid w:val="00804CD1"/>
    <w:rsid w:val="00807528"/>
    <w:rsid w:val="00812128"/>
    <w:rsid w:val="0082512F"/>
    <w:rsid w:val="00837B15"/>
    <w:rsid w:val="0086039E"/>
    <w:rsid w:val="008630C8"/>
    <w:rsid w:val="008A6BD6"/>
    <w:rsid w:val="008B1766"/>
    <w:rsid w:val="008B3B9C"/>
    <w:rsid w:val="009036EB"/>
    <w:rsid w:val="00921568"/>
    <w:rsid w:val="009348E3"/>
    <w:rsid w:val="009457C9"/>
    <w:rsid w:val="009573B4"/>
    <w:rsid w:val="00963D22"/>
    <w:rsid w:val="009913C3"/>
    <w:rsid w:val="009966AA"/>
    <w:rsid w:val="009A12D8"/>
    <w:rsid w:val="009B7F06"/>
    <w:rsid w:val="009D4C08"/>
    <w:rsid w:val="00A464D9"/>
    <w:rsid w:val="00AD0A8C"/>
    <w:rsid w:val="00AD26BC"/>
    <w:rsid w:val="00AF39F1"/>
    <w:rsid w:val="00AF59F7"/>
    <w:rsid w:val="00B27028"/>
    <w:rsid w:val="00B31484"/>
    <w:rsid w:val="00B712F8"/>
    <w:rsid w:val="00BA0262"/>
    <w:rsid w:val="00BA5241"/>
    <w:rsid w:val="00BB3486"/>
    <w:rsid w:val="00BD1BAF"/>
    <w:rsid w:val="00BE1166"/>
    <w:rsid w:val="00C40047"/>
    <w:rsid w:val="00C435C6"/>
    <w:rsid w:val="00C45199"/>
    <w:rsid w:val="00C548BA"/>
    <w:rsid w:val="00C94986"/>
    <w:rsid w:val="00CB30A3"/>
    <w:rsid w:val="00CC3E63"/>
    <w:rsid w:val="00CF46C2"/>
    <w:rsid w:val="00D26238"/>
    <w:rsid w:val="00D37751"/>
    <w:rsid w:val="00D838B0"/>
    <w:rsid w:val="00DA279E"/>
    <w:rsid w:val="00DB04E4"/>
    <w:rsid w:val="00DB5A72"/>
    <w:rsid w:val="00DD293B"/>
    <w:rsid w:val="00DE5612"/>
    <w:rsid w:val="00DE6121"/>
    <w:rsid w:val="00E00076"/>
    <w:rsid w:val="00E045E5"/>
    <w:rsid w:val="00E212AF"/>
    <w:rsid w:val="00E46190"/>
    <w:rsid w:val="00E76A52"/>
    <w:rsid w:val="00EA009A"/>
    <w:rsid w:val="00EC1276"/>
    <w:rsid w:val="00EE703F"/>
    <w:rsid w:val="00EF241D"/>
    <w:rsid w:val="00F32B23"/>
    <w:rsid w:val="00F44E26"/>
    <w:rsid w:val="00F70510"/>
    <w:rsid w:val="00F86836"/>
    <w:rsid w:val="00FB1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F00E3"/>
  <w15:docId w15:val="{F81472B1-62AD-47E7-8DED-CCA214BF2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2C68"/>
    <w:pPr>
      <w:spacing w:line="240" w:lineRule="auto"/>
      <w:ind w:firstLine="0"/>
    </w:pPr>
    <w:rPr>
      <w:rFonts w:ascii="Times New Roman" w:eastAsia="Times New Roman" w:hAnsi="Times New Roman" w:cs="Times New Roman"/>
      <w:sz w:val="24"/>
      <w:szCs w:val="24"/>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2B23"/>
    <w:pPr>
      <w:tabs>
        <w:tab w:val="center" w:pos="4677"/>
        <w:tab w:val="right" w:pos="9355"/>
      </w:tabs>
    </w:pPr>
  </w:style>
  <w:style w:type="character" w:customStyle="1" w:styleId="a4">
    <w:name w:val="Верхний колонтитул Знак"/>
    <w:basedOn w:val="a0"/>
    <w:link w:val="a3"/>
    <w:uiPriority w:val="99"/>
    <w:rsid w:val="00F32B23"/>
    <w:rPr>
      <w:rFonts w:ascii="Times New Roman" w:eastAsia="Times New Roman" w:hAnsi="Times New Roman" w:cs="Times New Roman"/>
      <w:sz w:val="24"/>
      <w:szCs w:val="24"/>
      <w:lang w:val="uk-UA"/>
    </w:rPr>
  </w:style>
  <w:style w:type="paragraph" w:styleId="a5">
    <w:name w:val="footer"/>
    <w:basedOn w:val="a"/>
    <w:link w:val="a6"/>
    <w:uiPriority w:val="99"/>
    <w:unhideWhenUsed/>
    <w:rsid w:val="00F32B23"/>
    <w:pPr>
      <w:tabs>
        <w:tab w:val="center" w:pos="4677"/>
        <w:tab w:val="right" w:pos="9355"/>
      </w:tabs>
    </w:pPr>
  </w:style>
  <w:style w:type="character" w:customStyle="1" w:styleId="a6">
    <w:name w:val="Нижний колонтитул Знак"/>
    <w:basedOn w:val="a0"/>
    <w:link w:val="a5"/>
    <w:uiPriority w:val="99"/>
    <w:rsid w:val="00F32B23"/>
    <w:rPr>
      <w:rFonts w:ascii="Times New Roman" w:eastAsia="Times New Roman" w:hAnsi="Times New Roman" w:cs="Times New Roman"/>
      <w:sz w:val="24"/>
      <w:szCs w:val="24"/>
      <w:lang w:val="uk-UA"/>
    </w:rPr>
  </w:style>
  <w:style w:type="table" w:styleId="a7">
    <w:name w:val="Table Grid"/>
    <w:basedOn w:val="a1"/>
    <w:uiPriority w:val="59"/>
    <w:rsid w:val="00F32B2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0E272E"/>
    <w:pPr>
      <w:spacing w:before="100" w:beforeAutospacing="1" w:after="100" w:afterAutospacing="1"/>
      <w:jc w:val="left"/>
    </w:pPr>
    <w:rPr>
      <w:lang w:val="ru-RU" w:eastAsia="ru-RU"/>
    </w:rPr>
  </w:style>
  <w:style w:type="character" w:styleId="a9">
    <w:name w:val="Strong"/>
    <w:basedOn w:val="a0"/>
    <w:uiPriority w:val="22"/>
    <w:qFormat/>
    <w:rsid w:val="000E272E"/>
    <w:rPr>
      <w:b/>
      <w:bCs/>
    </w:rPr>
  </w:style>
  <w:style w:type="character" w:styleId="aa">
    <w:name w:val="Emphasis"/>
    <w:basedOn w:val="a0"/>
    <w:uiPriority w:val="20"/>
    <w:qFormat/>
    <w:rsid w:val="000E272E"/>
    <w:rPr>
      <w:i/>
      <w:iCs/>
    </w:rPr>
  </w:style>
  <w:style w:type="paragraph" w:styleId="ab">
    <w:name w:val="List Paragraph"/>
    <w:basedOn w:val="a"/>
    <w:uiPriority w:val="34"/>
    <w:qFormat/>
    <w:rsid w:val="00182A40"/>
    <w:pPr>
      <w:ind w:left="720"/>
      <w:contextualSpacing/>
    </w:pPr>
  </w:style>
  <w:style w:type="character" w:styleId="ac">
    <w:name w:val="Hyperlink"/>
    <w:basedOn w:val="a0"/>
    <w:uiPriority w:val="99"/>
    <w:unhideWhenUsed/>
    <w:rsid w:val="00DE56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9499">
      <w:bodyDiv w:val="1"/>
      <w:marLeft w:val="0"/>
      <w:marRight w:val="0"/>
      <w:marTop w:val="0"/>
      <w:marBottom w:val="0"/>
      <w:divBdr>
        <w:top w:val="none" w:sz="0" w:space="0" w:color="auto"/>
        <w:left w:val="none" w:sz="0" w:space="0" w:color="auto"/>
        <w:bottom w:val="none" w:sz="0" w:space="0" w:color="auto"/>
        <w:right w:val="none" w:sz="0" w:space="0" w:color="auto"/>
      </w:divBdr>
    </w:div>
    <w:div w:id="34237939">
      <w:bodyDiv w:val="1"/>
      <w:marLeft w:val="0"/>
      <w:marRight w:val="0"/>
      <w:marTop w:val="0"/>
      <w:marBottom w:val="0"/>
      <w:divBdr>
        <w:top w:val="none" w:sz="0" w:space="0" w:color="auto"/>
        <w:left w:val="none" w:sz="0" w:space="0" w:color="auto"/>
        <w:bottom w:val="none" w:sz="0" w:space="0" w:color="auto"/>
        <w:right w:val="none" w:sz="0" w:space="0" w:color="auto"/>
      </w:divBdr>
    </w:div>
    <w:div w:id="92365475">
      <w:bodyDiv w:val="1"/>
      <w:marLeft w:val="0"/>
      <w:marRight w:val="0"/>
      <w:marTop w:val="0"/>
      <w:marBottom w:val="0"/>
      <w:divBdr>
        <w:top w:val="none" w:sz="0" w:space="0" w:color="auto"/>
        <w:left w:val="none" w:sz="0" w:space="0" w:color="auto"/>
        <w:bottom w:val="none" w:sz="0" w:space="0" w:color="auto"/>
        <w:right w:val="none" w:sz="0" w:space="0" w:color="auto"/>
      </w:divBdr>
    </w:div>
    <w:div w:id="199517046">
      <w:bodyDiv w:val="1"/>
      <w:marLeft w:val="0"/>
      <w:marRight w:val="0"/>
      <w:marTop w:val="0"/>
      <w:marBottom w:val="0"/>
      <w:divBdr>
        <w:top w:val="none" w:sz="0" w:space="0" w:color="auto"/>
        <w:left w:val="none" w:sz="0" w:space="0" w:color="auto"/>
        <w:bottom w:val="none" w:sz="0" w:space="0" w:color="auto"/>
        <w:right w:val="none" w:sz="0" w:space="0" w:color="auto"/>
      </w:divBdr>
    </w:div>
    <w:div w:id="202787427">
      <w:bodyDiv w:val="1"/>
      <w:marLeft w:val="0"/>
      <w:marRight w:val="0"/>
      <w:marTop w:val="0"/>
      <w:marBottom w:val="0"/>
      <w:divBdr>
        <w:top w:val="none" w:sz="0" w:space="0" w:color="auto"/>
        <w:left w:val="none" w:sz="0" w:space="0" w:color="auto"/>
        <w:bottom w:val="none" w:sz="0" w:space="0" w:color="auto"/>
        <w:right w:val="none" w:sz="0" w:space="0" w:color="auto"/>
      </w:divBdr>
    </w:div>
    <w:div w:id="247884868">
      <w:bodyDiv w:val="1"/>
      <w:marLeft w:val="0"/>
      <w:marRight w:val="0"/>
      <w:marTop w:val="0"/>
      <w:marBottom w:val="0"/>
      <w:divBdr>
        <w:top w:val="none" w:sz="0" w:space="0" w:color="auto"/>
        <w:left w:val="none" w:sz="0" w:space="0" w:color="auto"/>
        <w:bottom w:val="none" w:sz="0" w:space="0" w:color="auto"/>
        <w:right w:val="none" w:sz="0" w:space="0" w:color="auto"/>
      </w:divBdr>
    </w:div>
    <w:div w:id="271596077">
      <w:bodyDiv w:val="1"/>
      <w:marLeft w:val="0"/>
      <w:marRight w:val="0"/>
      <w:marTop w:val="0"/>
      <w:marBottom w:val="0"/>
      <w:divBdr>
        <w:top w:val="none" w:sz="0" w:space="0" w:color="auto"/>
        <w:left w:val="none" w:sz="0" w:space="0" w:color="auto"/>
        <w:bottom w:val="none" w:sz="0" w:space="0" w:color="auto"/>
        <w:right w:val="none" w:sz="0" w:space="0" w:color="auto"/>
      </w:divBdr>
    </w:div>
    <w:div w:id="277567468">
      <w:bodyDiv w:val="1"/>
      <w:marLeft w:val="0"/>
      <w:marRight w:val="0"/>
      <w:marTop w:val="0"/>
      <w:marBottom w:val="0"/>
      <w:divBdr>
        <w:top w:val="none" w:sz="0" w:space="0" w:color="auto"/>
        <w:left w:val="none" w:sz="0" w:space="0" w:color="auto"/>
        <w:bottom w:val="none" w:sz="0" w:space="0" w:color="auto"/>
        <w:right w:val="none" w:sz="0" w:space="0" w:color="auto"/>
      </w:divBdr>
    </w:div>
    <w:div w:id="281425356">
      <w:bodyDiv w:val="1"/>
      <w:marLeft w:val="0"/>
      <w:marRight w:val="0"/>
      <w:marTop w:val="0"/>
      <w:marBottom w:val="0"/>
      <w:divBdr>
        <w:top w:val="none" w:sz="0" w:space="0" w:color="auto"/>
        <w:left w:val="none" w:sz="0" w:space="0" w:color="auto"/>
        <w:bottom w:val="none" w:sz="0" w:space="0" w:color="auto"/>
        <w:right w:val="none" w:sz="0" w:space="0" w:color="auto"/>
      </w:divBdr>
    </w:div>
    <w:div w:id="303118344">
      <w:bodyDiv w:val="1"/>
      <w:marLeft w:val="0"/>
      <w:marRight w:val="0"/>
      <w:marTop w:val="0"/>
      <w:marBottom w:val="0"/>
      <w:divBdr>
        <w:top w:val="none" w:sz="0" w:space="0" w:color="auto"/>
        <w:left w:val="none" w:sz="0" w:space="0" w:color="auto"/>
        <w:bottom w:val="none" w:sz="0" w:space="0" w:color="auto"/>
        <w:right w:val="none" w:sz="0" w:space="0" w:color="auto"/>
      </w:divBdr>
    </w:div>
    <w:div w:id="425730811">
      <w:bodyDiv w:val="1"/>
      <w:marLeft w:val="0"/>
      <w:marRight w:val="0"/>
      <w:marTop w:val="0"/>
      <w:marBottom w:val="0"/>
      <w:divBdr>
        <w:top w:val="none" w:sz="0" w:space="0" w:color="auto"/>
        <w:left w:val="none" w:sz="0" w:space="0" w:color="auto"/>
        <w:bottom w:val="none" w:sz="0" w:space="0" w:color="auto"/>
        <w:right w:val="none" w:sz="0" w:space="0" w:color="auto"/>
      </w:divBdr>
    </w:div>
    <w:div w:id="504901932">
      <w:bodyDiv w:val="1"/>
      <w:marLeft w:val="0"/>
      <w:marRight w:val="0"/>
      <w:marTop w:val="0"/>
      <w:marBottom w:val="0"/>
      <w:divBdr>
        <w:top w:val="none" w:sz="0" w:space="0" w:color="auto"/>
        <w:left w:val="none" w:sz="0" w:space="0" w:color="auto"/>
        <w:bottom w:val="none" w:sz="0" w:space="0" w:color="auto"/>
        <w:right w:val="none" w:sz="0" w:space="0" w:color="auto"/>
      </w:divBdr>
    </w:div>
    <w:div w:id="557397680">
      <w:bodyDiv w:val="1"/>
      <w:marLeft w:val="0"/>
      <w:marRight w:val="0"/>
      <w:marTop w:val="0"/>
      <w:marBottom w:val="0"/>
      <w:divBdr>
        <w:top w:val="none" w:sz="0" w:space="0" w:color="auto"/>
        <w:left w:val="none" w:sz="0" w:space="0" w:color="auto"/>
        <w:bottom w:val="none" w:sz="0" w:space="0" w:color="auto"/>
        <w:right w:val="none" w:sz="0" w:space="0" w:color="auto"/>
      </w:divBdr>
    </w:div>
    <w:div w:id="563756750">
      <w:bodyDiv w:val="1"/>
      <w:marLeft w:val="0"/>
      <w:marRight w:val="0"/>
      <w:marTop w:val="0"/>
      <w:marBottom w:val="0"/>
      <w:divBdr>
        <w:top w:val="none" w:sz="0" w:space="0" w:color="auto"/>
        <w:left w:val="none" w:sz="0" w:space="0" w:color="auto"/>
        <w:bottom w:val="none" w:sz="0" w:space="0" w:color="auto"/>
        <w:right w:val="none" w:sz="0" w:space="0" w:color="auto"/>
      </w:divBdr>
    </w:div>
    <w:div w:id="573661694">
      <w:bodyDiv w:val="1"/>
      <w:marLeft w:val="0"/>
      <w:marRight w:val="0"/>
      <w:marTop w:val="0"/>
      <w:marBottom w:val="0"/>
      <w:divBdr>
        <w:top w:val="none" w:sz="0" w:space="0" w:color="auto"/>
        <w:left w:val="none" w:sz="0" w:space="0" w:color="auto"/>
        <w:bottom w:val="none" w:sz="0" w:space="0" w:color="auto"/>
        <w:right w:val="none" w:sz="0" w:space="0" w:color="auto"/>
      </w:divBdr>
    </w:div>
    <w:div w:id="647708995">
      <w:bodyDiv w:val="1"/>
      <w:marLeft w:val="0"/>
      <w:marRight w:val="0"/>
      <w:marTop w:val="0"/>
      <w:marBottom w:val="0"/>
      <w:divBdr>
        <w:top w:val="none" w:sz="0" w:space="0" w:color="auto"/>
        <w:left w:val="none" w:sz="0" w:space="0" w:color="auto"/>
        <w:bottom w:val="none" w:sz="0" w:space="0" w:color="auto"/>
        <w:right w:val="none" w:sz="0" w:space="0" w:color="auto"/>
      </w:divBdr>
    </w:div>
    <w:div w:id="664624725">
      <w:bodyDiv w:val="1"/>
      <w:marLeft w:val="0"/>
      <w:marRight w:val="0"/>
      <w:marTop w:val="0"/>
      <w:marBottom w:val="0"/>
      <w:divBdr>
        <w:top w:val="none" w:sz="0" w:space="0" w:color="auto"/>
        <w:left w:val="none" w:sz="0" w:space="0" w:color="auto"/>
        <w:bottom w:val="none" w:sz="0" w:space="0" w:color="auto"/>
        <w:right w:val="none" w:sz="0" w:space="0" w:color="auto"/>
      </w:divBdr>
    </w:div>
    <w:div w:id="666131789">
      <w:bodyDiv w:val="1"/>
      <w:marLeft w:val="0"/>
      <w:marRight w:val="0"/>
      <w:marTop w:val="0"/>
      <w:marBottom w:val="0"/>
      <w:divBdr>
        <w:top w:val="none" w:sz="0" w:space="0" w:color="auto"/>
        <w:left w:val="none" w:sz="0" w:space="0" w:color="auto"/>
        <w:bottom w:val="none" w:sz="0" w:space="0" w:color="auto"/>
        <w:right w:val="none" w:sz="0" w:space="0" w:color="auto"/>
      </w:divBdr>
    </w:div>
    <w:div w:id="680199802">
      <w:bodyDiv w:val="1"/>
      <w:marLeft w:val="0"/>
      <w:marRight w:val="0"/>
      <w:marTop w:val="0"/>
      <w:marBottom w:val="0"/>
      <w:divBdr>
        <w:top w:val="none" w:sz="0" w:space="0" w:color="auto"/>
        <w:left w:val="none" w:sz="0" w:space="0" w:color="auto"/>
        <w:bottom w:val="none" w:sz="0" w:space="0" w:color="auto"/>
        <w:right w:val="none" w:sz="0" w:space="0" w:color="auto"/>
      </w:divBdr>
    </w:div>
    <w:div w:id="686561966">
      <w:bodyDiv w:val="1"/>
      <w:marLeft w:val="0"/>
      <w:marRight w:val="0"/>
      <w:marTop w:val="0"/>
      <w:marBottom w:val="0"/>
      <w:divBdr>
        <w:top w:val="none" w:sz="0" w:space="0" w:color="auto"/>
        <w:left w:val="none" w:sz="0" w:space="0" w:color="auto"/>
        <w:bottom w:val="none" w:sz="0" w:space="0" w:color="auto"/>
        <w:right w:val="none" w:sz="0" w:space="0" w:color="auto"/>
      </w:divBdr>
    </w:div>
    <w:div w:id="717626408">
      <w:bodyDiv w:val="1"/>
      <w:marLeft w:val="0"/>
      <w:marRight w:val="0"/>
      <w:marTop w:val="0"/>
      <w:marBottom w:val="0"/>
      <w:divBdr>
        <w:top w:val="none" w:sz="0" w:space="0" w:color="auto"/>
        <w:left w:val="none" w:sz="0" w:space="0" w:color="auto"/>
        <w:bottom w:val="none" w:sz="0" w:space="0" w:color="auto"/>
        <w:right w:val="none" w:sz="0" w:space="0" w:color="auto"/>
      </w:divBdr>
    </w:div>
    <w:div w:id="808521928">
      <w:bodyDiv w:val="1"/>
      <w:marLeft w:val="0"/>
      <w:marRight w:val="0"/>
      <w:marTop w:val="0"/>
      <w:marBottom w:val="0"/>
      <w:divBdr>
        <w:top w:val="none" w:sz="0" w:space="0" w:color="auto"/>
        <w:left w:val="none" w:sz="0" w:space="0" w:color="auto"/>
        <w:bottom w:val="none" w:sz="0" w:space="0" w:color="auto"/>
        <w:right w:val="none" w:sz="0" w:space="0" w:color="auto"/>
      </w:divBdr>
    </w:div>
    <w:div w:id="825708915">
      <w:bodyDiv w:val="1"/>
      <w:marLeft w:val="0"/>
      <w:marRight w:val="0"/>
      <w:marTop w:val="0"/>
      <w:marBottom w:val="0"/>
      <w:divBdr>
        <w:top w:val="none" w:sz="0" w:space="0" w:color="auto"/>
        <w:left w:val="none" w:sz="0" w:space="0" w:color="auto"/>
        <w:bottom w:val="none" w:sz="0" w:space="0" w:color="auto"/>
        <w:right w:val="none" w:sz="0" w:space="0" w:color="auto"/>
      </w:divBdr>
    </w:div>
    <w:div w:id="826092252">
      <w:bodyDiv w:val="1"/>
      <w:marLeft w:val="0"/>
      <w:marRight w:val="0"/>
      <w:marTop w:val="0"/>
      <w:marBottom w:val="0"/>
      <w:divBdr>
        <w:top w:val="none" w:sz="0" w:space="0" w:color="auto"/>
        <w:left w:val="none" w:sz="0" w:space="0" w:color="auto"/>
        <w:bottom w:val="none" w:sz="0" w:space="0" w:color="auto"/>
        <w:right w:val="none" w:sz="0" w:space="0" w:color="auto"/>
      </w:divBdr>
    </w:div>
    <w:div w:id="860240945">
      <w:bodyDiv w:val="1"/>
      <w:marLeft w:val="0"/>
      <w:marRight w:val="0"/>
      <w:marTop w:val="0"/>
      <w:marBottom w:val="0"/>
      <w:divBdr>
        <w:top w:val="none" w:sz="0" w:space="0" w:color="auto"/>
        <w:left w:val="none" w:sz="0" w:space="0" w:color="auto"/>
        <w:bottom w:val="none" w:sz="0" w:space="0" w:color="auto"/>
        <w:right w:val="none" w:sz="0" w:space="0" w:color="auto"/>
      </w:divBdr>
    </w:div>
    <w:div w:id="889266783">
      <w:bodyDiv w:val="1"/>
      <w:marLeft w:val="0"/>
      <w:marRight w:val="0"/>
      <w:marTop w:val="0"/>
      <w:marBottom w:val="0"/>
      <w:divBdr>
        <w:top w:val="none" w:sz="0" w:space="0" w:color="auto"/>
        <w:left w:val="none" w:sz="0" w:space="0" w:color="auto"/>
        <w:bottom w:val="none" w:sz="0" w:space="0" w:color="auto"/>
        <w:right w:val="none" w:sz="0" w:space="0" w:color="auto"/>
      </w:divBdr>
    </w:div>
    <w:div w:id="1051922370">
      <w:bodyDiv w:val="1"/>
      <w:marLeft w:val="0"/>
      <w:marRight w:val="0"/>
      <w:marTop w:val="0"/>
      <w:marBottom w:val="0"/>
      <w:divBdr>
        <w:top w:val="none" w:sz="0" w:space="0" w:color="auto"/>
        <w:left w:val="none" w:sz="0" w:space="0" w:color="auto"/>
        <w:bottom w:val="none" w:sz="0" w:space="0" w:color="auto"/>
        <w:right w:val="none" w:sz="0" w:space="0" w:color="auto"/>
      </w:divBdr>
    </w:div>
    <w:div w:id="1065690257">
      <w:bodyDiv w:val="1"/>
      <w:marLeft w:val="0"/>
      <w:marRight w:val="0"/>
      <w:marTop w:val="0"/>
      <w:marBottom w:val="0"/>
      <w:divBdr>
        <w:top w:val="none" w:sz="0" w:space="0" w:color="auto"/>
        <w:left w:val="none" w:sz="0" w:space="0" w:color="auto"/>
        <w:bottom w:val="none" w:sz="0" w:space="0" w:color="auto"/>
        <w:right w:val="none" w:sz="0" w:space="0" w:color="auto"/>
      </w:divBdr>
    </w:div>
    <w:div w:id="1175851036">
      <w:bodyDiv w:val="1"/>
      <w:marLeft w:val="0"/>
      <w:marRight w:val="0"/>
      <w:marTop w:val="0"/>
      <w:marBottom w:val="0"/>
      <w:divBdr>
        <w:top w:val="none" w:sz="0" w:space="0" w:color="auto"/>
        <w:left w:val="none" w:sz="0" w:space="0" w:color="auto"/>
        <w:bottom w:val="none" w:sz="0" w:space="0" w:color="auto"/>
        <w:right w:val="none" w:sz="0" w:space="0" w:color="auto"/>
      </w:divBdr>
    </w:div>
    <w:div w:id="1187251580">
      <w:bodyDiv w:val="1"/>
      <w:marLeft w:val="0"/>
      <w:marRight w:val="0"/>
      <w:marTop w:val="0"/>
      <w:marBottom w:val="0"/>
      <w:divBdr>
        <w:top w:val="none" w:sz="0" w:space="0" w:color="auto"/>
        <w:left w:val="none" w:sz="0" w:space="0" w:color="auto"/>
        <w:bottom w:val="none" w:sz="0" w:space="0" w:color="auto"/>
        <w:right w:val="none" w:sz="0" w:space="0" w:color="auto"/>
      </w:divBdr>
    </w:div>
    <w:div w:id="1191338309">
      <w:bodyDiv w:val="1"/>
      <w:marLeft w:val="0"/>
      <w:marRight w:val="0"/>
      <w:marTop w:val="0"/>
      <w:marBottom w:val="0"/>
      <w:divBdr>
        <w:top w:val="none" w:sz="0" w:space="0" w:color="auto"/>
        <w:left w:val="none" w:sz="0" w:space="0" w:color="auto"/>
        <w:bottom w:val="none" w:sz="0" w:space="0" w:color="auto"/>
        <w:right w:val="none" w:sz="0" w:space="0" w:color="auto"/>
      </w:divBdr>
    </w:div>
    <w:div w:id="1268468706">
      <w:bodyDiv w:val="1"/>
      <w:marLeft w:val="0"/>
      <w:marRight w:val="0"/>
      <w:marTop w:val="0"/>
      <w:marBottom w:val="0"/>
      <w:divBdr>
        <w:top w:val="none" w:sz="0" w:space="0" w:color="auto"/>
        <w:left w:val="none" w:sz="0" w:space="0" w:color="auto"/>
        <w:bottom w:val="none" w:sz="0" w:space="0" w:color="auto"/>
        <w:right w:val="none" w:sz="0" w:space="0" w:color="auto"/>
      </w:divBdr>
    </w:div>
    <w:div w:id="1284653013">
      <w:bodyDiv w:val="1"/>
      <w:marLeft w:val="0"/>
      <w:marRight w:val="0"/>
      <w:marTop w:val="0"/>
      <w:marBottom w:val="0"/>
      <w:divBdr>
        <w:top w:val="none" w:sz="0" w:space="0" w:color="auto"/>
        <w:left w:val="none" w:sz="0" w:space="0" w:color="auto"/>
        <w:bottom w:val="none" w:sz="0" w:space="0" w:color="auto"/>
        <w:right w:val="none" w:sz="0" w:space="0" w:color="auto"/>
      </w:divBdr>
    </w:div>
    <w:div w:id="1317999219">
      <w:bodyDiv w:val="1"/>
      <w:marLeft w:val="0"/>
      <w:marRight w:val="0"/>
      <w:marTop w:val="0"/>
      <w:marBottom w:val="0"/>
      <w:divBdr>
        <w:top w:val="none" w:sz="0" w:space="0" w:color="auto"/>
        <w:left w:val="none" w:sz="0" w:space="0" w:color="auto"/>
        <w:bottom w:val="none" w:sz="0" w:space="0" w:color="auto"/>
        <w:right w:val="none" w:sz="0" w:space="0" w:color="auto"/>
      </w:divBdr>
    </w:div>
    <w:div w:id="1399741380">
      <w:bodyDiv w:val="1"/>
      <w:marLeft w:val="0"/>
      <w:marRight w:val="0"/>
      <w:marTop w:val="0"/>
      <w:marBottom w:val="0"/>
      <w:divBdr>
        <w:top w:val="none" w:sz="0" w:space="0" w:color="auto"/>
        <w:left w:val="none" w:sz="0" w:space="0" w:color="auto"/>
        <w:bottom w:val="none" w:sz="0" w:space="0" w:color="auto"/>
        <w:right w:val="none" w:sz="0" w:space="0" w:color="auto"/>
      </w:divBdr>
    </w:div>
    <w:div w:id="1431194037">
      <w:bodyDiv w:val="1"/>
      <w:marLeft w:val="0"/>
      <w:marRight w:val="0"/>
      <w:marTop w:val="0"/>
      <w:marBottom w:val="0"/>
      <w:divBdr>
        <w:top w:val="none" w:sz="0" w:space="0" w:color="auto"/>
        <w:left w:val="none" w:sz="0" w:space="0" w:color="auto"/>
        <w:bottom w:val="none" w:sz="0" w:space="0" w:color="auto"/>
        <w:right w:val="none" w:sz="0" w:space="0" w:color="auto"/>
      </w:divBdr>
    </w:div>
    <w:div w:id="1469668034">
      <w:bodyDiv w:val="1"/>
      <w:marLeft w:val="0"/>
      <w:marRight w:val="0"/>
      <w:marTop w:val="0"/>
      <w:marBottom w:val="0"/>
      <w:divBdr>
        <w:top w:val="none" w:sz="0" w:space="0" w:color="auto"/>
        <w:left w:val="none" w:sz="0" w:space="0" w:color="auto"/>
        <w:bottom w:val="none" w:sz="0" w:space="0" w:color="auto"/>
        <w:right w:val="none" w:sz="0" w:space="0" w:color="auto"/>
      </w:divBdr>
    </w:div>
    <w:div w:id="1486506213">
      <w:bodyDiv w:val="1"/>
      <w:marLeft w:val="0"/>
      <w:marRight w:val="0"/>
      <w:marTop w:val="0"/>
      <w:marBottom w:val="0"/>
      <w:divBdr>
        <w:top w:val="none" w:sz="0" w:space="0" w:color="auto"/>
        <w:left w:val="none" w:sz="0" w:space="0" w:color="auto"/>
        <w:bottom w:val="none" w:sz="0" w:space="0" w:color="auto"/>
        <w:right w:val="none" w:sz="0" w:space="0" w:color="auto"/>
      </w:divBdr>
    </w:div>
    <w:div w:id="1510293234">
      <w:bodyDiv w:val="1"/>
      <w:marLeft w:val="0"/>
      <w:marRight w:val="0"/>
      <w:marTop w:val="0"/>
      <w:marBottom w:val="0"/>
      <w:divBdr>
        <w:top w:val="none" w:sz="0" w:space="0" w:color="auto"/>
        <w:left w:val="none" w:sz="0" w:space="0" w:color="auto"/>
        <w:bottom w:val="none" w:sz="0" w:space="0" w:color="auto"/>
        <w:right w:val="none" w:sz="0" w:space="0" w:color="auto"/>
      </w:divBdr>
    </w:div>
    <w:div w:id="1531576496">
      <w:bodyDiv w:val="1"/>
      <w:marLeft w:val="0"/>
      <w:marRight w:val="0"/>
      <w:marTop w:val="0"/>
      <w:marBottom w:val="0"/>
      <w:divBdr>
        <w:top w:val="none" w:sz="0" w:space="0" w:color="auto"/>
        <w:left w:val="none" w:sz="0" w:space="0" w:color="auto"/>
        <w:bottom w:val="none" w:sz="0" w:space="0" w:color="auto"/>
        <w:right w:val="none" w:sz="0" w:space="0" w:color="auto"/>
      </w:divBdr>
    </w:div>
    <w:div w:id="1643345194">
      <w:bodyDiv w:val="1"/>
      <w:marLeft w:val="0"/>
      <w:marRight w:val="0"/>
      <w:marTop w:val="0"/>
      <w:marBottom w:val="0"/>
      <w:divBdr>
        <w:top w:val="none" w:sz="0" w:space="0" w:color="auto"/>
        <w:left w:val="none" w:sz="0" w:space="0" w:color="auto"/>
        <w:bottom w:val="none" w:sz="0" w:space="0" w:color="auto"/>
        <w:right w:val="none" w:sz="0" w:space="0" w:color="auto"/>
      </w:divBdr>
    </w:div>
    <w:div w:id="1754281915">
      <w:bodyDiv w:val="1"/>
      <w:marLeft w:val="0"/>
      <w:marRight w:val="0"/>
      <w:marTop w:val="0"/>
      <w:marBottom w:val="0"/>
      <w:divBdr>
        <w:top w:val="none" w:sz="0" w:space="0" w:color="auto"/>
        <w:left w:val="none" w:sz="0" w:space="0" w:color="auto"/>
        <w:bottom w:val="none" w:sz="0" w:space="0" w:color="auto"/>
        <w:right w:val="none" w:sz="0" w:space="0" w:color="auto"/>
      </w:divBdr>
    </w:div>
    <w:div w:id="1776556860">
      <w:bodyDiv w:val="1"/>
      <w:marLeft w:val="0"/>
      <w:marRight w:val="0"/>
      <w:marTop w:val="0"/>
      <w:marBottom w:val="0"/>
      <w:divBdr>
        <w:top w:val="none" w:sz="0" w:space="0" w:color="auto"/>
        <w:left w:val="none" w:sz="0" w:space="0" w:color="auto"/>
        <w:bottom w:val="none" w:sz="0" w:space="0" w:color="auto"/>
        <w:right w:val="none" w:sz="0" w:space="0" w:color="auto"/>
      </w:divBdr>
    </w:div>
    <w:div w:id="1795556453">
      <w:bodyDiv w:val="1"/>
      <w:marLeft w:val="0"/>
      <w:marRight w:val="0"/>
      <w:marTop w:val="0"/>
      <w:marBottom w:val="0"/>
      <w:divBdr>
        <w:top w:val="none" w:sz="0" w:space="0" w:color="auto"/>
        <w:left w:val="none" w:sz="0" w:space="0" w:color="auto"/>
        <w:bottom w:val="none" w:sz="0" w:space="0" w:color="auto"/>
        <w:right w:val="none" w:sz="0" w:space="0" w:color="auto"/>
      </w:divBdr>
    </w:div>
    <w:div w:id="1907254011">
      <w:bodyDiv w:val="1"/>
      <w:marLeft w:val="0"/>
      <w:marRight w:val="0"/>
      <w:marTop w:val="0"/>
      <w:marBottom w:val="0"/>
      <w:divBdr>
        <w:top w:val="none" w:sz="0" w:space="0" w:color="auto"/>
        <w:left w:val="none" w:sz="0" w:space="0" w:color="auto"/>
        <w:bottom w:val="none" w:sz="0" w:space="0" w:color="auto"/>
        <w:right w:val="none" w:sz="0" w:space="0" w:color="auto"/>
      </w:divBdr>
    </w:div>
    <w:div w:id="1941721090">
      <w:bodyDiv w:val="1"/>
      <w:marLeft w:val="0"/>
      <w:marRight w:val="0"/>
      <w:marTop w:val="0"/>
      <w:marBottom w:val="0"/>
      <w:divBdr>
        <w:top w:val="none" w:sz="0" w:space="0" w:color="auto"/>
        <w:left w:val="none" w:sz="0" w:space="0" w:color="auto"/>
        <w:bottom w:val="none" w:sz="0" w:space="0" w:color="auto"/>
        <w:right w:val="none" w:sz="0" w:space="0" w:color="auto"/>
      </w:divBdr>
    </w:div>
    <w:div w:id="1955865883">
      <w:bodyDiv w:val="1"/>
      <w:marLeft w:val="0"/>
      <w:marRight w:val="0"/>
      <w:marTop w:val="0"/>
      <w:marBottom w:val="0"/>
      <w:divBdr>
        <w:top w:val="none" w:sz="0" w:space="0" w:color="auto"/>
        <w:left w:val="none" w:sz="0" w:space="0" w:color="auto"/>
        <w:bottom w:val="none" w:sz="0" w:space="0" w:color="auto"/>
        <w:right w:val="none" w:sz="0" w:space="0" w:color="auto"/>
      </w:divBdr>
    </w:div>
    <w:div w:id="1974284378">
      <w:bodyDiv w:val="1"/>
      <w:marLeft w:val="0"/>
      <w:marRight w:val="0"/>
      <w:marTop w:val="0"/>
      <w:marBottom w:val="0"/>
      <w:divBdr>
        <w:top w:val="none" w:sz="0" w:space="0" w:color="auto"/>
        <w:left w:val="none" w:sz="0" w:space="0" w:color="auto"/>
        <w:bottom w:val="none" w:sz="0" w:space="0" w:color="auto"/>
        <w:right w:val="none" w:sz="0" w:space="0" w:color="auto"/>
      </w:divBdr>
    </w:div>
    <w:div w:id="1980383735">
      <w:bodyDiv w:val="1"/>
      <w:marLeft w:val="0"/>
      <w:marRight w:val="0"/>
      <w:marTop w:val="0"/>
      <w:marBottom w:val="0"/>
      <w:divBdr>
        <w:top w:val="none" w:sz="0" w:space="0" w:color="auto"/>
        <w:left w:val="none" w:sz="0" w:space="0" w:color="auto"/>
        <w:bottom w:val="none" w:sz="0" w:space="0" w:color="auto"/>
        <w:right w:val="none" w:sz="0" w:space="0" w:color="auto"/>
      </w:divBdr>
    </w:div>
    <w:div w:id="2011985201">
      <w:bodyDiv w:val="1"/>
      <w:marLeft w:val="0"/>
      <w:marRight w:val="0"/>
      <w:marTop w:val="0"/>
      <w:marBottom w:val="0"/>
      <w:divBdr>
        <w:top w:val="none" w:sz="0" w:space="0" w:color="auto"/>
        <w:left w:val="none" w:sz="0" w:space="0" w:color="auto"/>
        <w:bottom w:val="none" w:sz="0" w:space="0" w:color="auto"/>
        <w:right w:val="none" w:sz="0" w:space="0" w:color="auto"/>
      </w:divBdr>
    </w:div>
    <w:div w:id="2017030875">
      <w:bodyDiv w:val="1"/>
      <w:marLeft w:val="0"/>
      <w:marRight w:val="0"/>
      <w:marTop w:val="0"/>
      <w:marBottom w:val="0"/>
      <w:divBdr>
        <w:top w:val="none" w:sz="0" w:space="0" w:color="auto"/>
        <w:left w:val="none" w:sz="0" w:space="0" w:color="auto"/>
        <w:bottom w:val="none" w:sz="0" w:space="0" w:color="auto"/>
        <w:right w:val="none" w:sz="0" w:space="0" w:color="auto"/>
      </w:divBdr>
    </w:div>
    <w:div w:id="214102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washingtonpost.com" TargetMode="External"/><Relationship Id="rId18" Type="http://schemas.openxmlformats.org/officeDocument/2006/relationships/hyperlink" Target="https://foreignpolicy.com" TargetMode="External"/><Relationship Id="rId26" Type="http://schemas.openxmlformats.org/officeDocument/2006/relationships/hyperlink" Target="https://maritime-executive.com/editorials/russia-is-using-civilian-ships-to-circumvent-closure-of-the-bosporus" TargetMode="External"/><Relationship Id="rId3" Type="http://schemas.openxmlformats.org/officeDocument/2006/relationships/styles" Target="styles.xml"/><Relationship Id="rId21" Type="http://schemas.openxmlformats.org/officeDocument/2006/relationships/hyperlink" Target="https://www.atlanticcouncil.org/blogs/new-atlanticist/grain-drain-why-turkey-cant-afford-to-ignore-russian-grain-smuggling-from-ukraine/"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esponsiblestatecraft.org" TargetMode="External"/><Relationship Id="rId17" Type="http://schemas.openxmlformats.org/officeDocument/2006/relationships/hyperlink" Target="https://www.dailysabah.com/business/defense/new-turkish-frigate-offshore-patrol-vessels-gear-up-for-naval-duties" TargetMode="External"/><Relationship Id="rId25" Type="http://schemas.openxmlformats.org/officeDocument/2006/relationships/hyperlink" Target="https://edam.org.tr/en/foreign-policy-and-security/nato-s-role-in-addressing-security-threats-and-challenges-in-the-black-sea"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researchgate.net/publication/375109419_Turkey%27s_Diplomatic_Performance_and_Tendency_in_the_Context_of_the_Russia-Ukraine_Conflict" TargetMode="External"/><Relationship Id="rId20" Type="http://schemas.openxmlformats.org/officeDocument/2006/relationships/hyperlink" Target="https://foreignpolicy.com" TargetMode="External"/><Relationship Id="rId29" Type="http://schemas.openxmlformats.org/officeDocument/2006/relationships/hyperlink" Target="https://www.ieee.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aea.org" TargetMode="External"/><Relationship Id="rId24" Type="http://schemas.openxmlformats.org/officeDocument/2006/relationships/hyperlink" Target="https://ecfr.eu/publication/united-west-divided-from-the-rest-global-public-opinion-one-year-into-russias-war-on-ukraine/" TargetMode="External"/><Relationship Id="rId32" Type="http://schemas.openxmlformats.org/officeDocument/2006/relationships/hyperlink" Target="https://www.un.org/" TargetMode="External"/><Relationship Id="rId5" Type="http://schemas.openxmlformats.org/officeDocument/2006/relationships/webSettings" Target="webSettings.xml"/><Relationship Id="rId15" Type="http://schemas.openxmlformats.org/officeDocument/2006/relationships/hyperlink" Target="https://www.hudson.org/foreign-policy/new-black-sea-strategy-new-black-sea-reality" TargetMode="External"/><Relationship Id="rId23" Type="http://schemas.openxmlformats.org/officeDocument/2006/relationships/hyperlink" Target="https://www.swp-berlin.org/10.18449/2022C35/" TargetMode="External"/><Relationship Id="rId28" Type="http://schemas.openxmlformats.org/officeDocument/2006/relationships/hyperlink" Target="https://www.tehrantimes.com/" TargetMode="External"/><Relationship Id="rId10" Type="http://schemas.openxmlformats.org/officeDocument/2006/relationships/hyperlink" Target="https://www.al-monitor.com" TargetMode="External"/><Relationship Id="rId19" Type="http://schemas.openxmlformats.org/officeDocument/2006/relationships/hyperlink" Target="https://edam.org.tr/en/foreign-policy-and-security/nato-s-role-in-addressing-security-threats-and-challenges-in-the-black-sea" TargetMode="External"/><Relationship Id="rId31" Type="http://schemas.openxmlformats.org/officeDocument/2006/relationships/hyperlink" Target="https://www.ft.com/content/0d6b6c9a-7b8c-4e3a-8f7a-0b7c3b1d7c65" TargetMode="External"/><Relationship Id="rId4" Type="http://schemas.openxmlformats.org/officeDocument/2006/relationships/settings" Target="settings.xml"/><Relationship Id="rId9" Type="http://schemas.openxmlformats.org/officeDocument/2006/relationships/hyperlink" Target="https://x.com/dmmiletisim/status/1742164208714707318" TargetMode="External"/><Relationship Id="rId14" Type="http://schemas.openxmlformats.org/officeDocument/2006/relationships/hyperlink" Target="https://www.bloomberg.com" TargetMode="External"/><Relationship Id="rId22" Type="http://schemas.openxmlformats.org/officeDocument/2006/relationships/hyperlink" Target="https://www.atlanticcouncil.org" TargetMode="External"/><Relationship Id="rId27" Type="http://schemas.openxmlformats.org/officeDocument/2006/relationships/hyperlink" Target="https://www.mei.edu/publications/russias-aggressive-behavior-black-sea-can-be-challenged" TargetMode="External"/><Relationship Id="rId30" Type="http://schemas.openxmlformats.org/officeDocument/2006/relationships/hyperlink" Target="https://www.nato.int/"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0A2E8-6137-438D-8697-33DDD00F4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2273</TotalTime>
  <Pages>75</Pages>
  <Words>20668</Words>
  <Characters>117814</Characters>
  <Application>Microsoft Office Word</Application>
  <DocSecurity>0</DocSecurity>
  <Lines>981</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PREDATOR</dc:creator>
  <cp:lastModifiedBy>Админ</cp:lastModifiedBy>
  <cp:revision>59</cp:revision>
  <dcterms:created xsi:type="dcterms:W3CDTF">2025-11-15T08:52:00Z</dcterms:created>
  <dcterms:modified xsi:type="dcterms:W3CDTF">2025-12-17T07:37:00Z</dcterms:modified>
</cp:coreProperties>
</file>