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theme/themeOverride1.xml" ContentType="application/vnd.openxmlformats-officedocument.themeOverride+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theme/themeOverride2.xml" ContentType="application/vnd.openxmlformats-officedocument.themeOverride+xml"/>
  <Override PartName="/word/charts/chart38.xml" ContentType="application/vnd.openxmlformats-officedocument.drawingml.chart+xml"/>
  <Override PartName="/word/theme/themeOverride3.xml" ContentType="application/vnd.openxmlformats-officedocument.themeOverride+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charts/style5.xml" ContentType="application/vnd.ms-office.chartstyle+xml"/>
  <Override PartName="/word/charts/colors6.xml" ContentType="application/vnd.ms-office.chartcolorstyle+xml"/>
  <Override PartName="/word/charts/style6.xml" ContentType="application/vnd.ms-office.chartstyle+xml"/>
  <Override PartName="/word/charts/colors7.xml" ContentType="application/vnd.ms-office.chartcolorstyle+xml"/>
  <Override PartName="/word/charts/style7.xml" ContentType="application/vnd.ms-office.chartstyle+xml"/>
  <Override PartName="/word/charts/colors8.xml" ContentType="application/vnd.ms-office.chartcolorstyle+xml"/>
  <Override PartName="/word/charts/style8.xml" ContentType="application/vnd.ms-office.chartstyle+xml"/>
  <Override PartName="/word/charts/colors9.xml" ContentType="application/vnd.ms-office.chartcolorstyle+xml"/>
  <Override PartName="/word/charts/style9.xml" ContentType="application/vnd.ms-office.chartstyle+xml"/>
  <Override PartName="/word/charts/colors10.xml" ContentType="application/vnd.ms-office.chartcolorstyle+xml"/>
  <Override PartName="/word/charts/style10.xml" ContentType="application/vnd.ms-office.chartstyle+xml"/>
  <Override PartName="/word/charts/colors11.xml" ContentType="application/vnd.ms-office.chartcolorstyle+xml"/>
  <Override PartName="/word/charts/style11.xml" ContentType="application/vnd.ms-office.chartstyle+xml"/>
  <Override PartName="/word/charts/colors12.xml" ContentType="application/vnd.ms-office.chartcolorstyle+xml"/>
  <Override PartName="/word/charts/style12.xml" ContentType="application/vnd.ms-office.chartstyle+xml"/>
  <Override PartName="/word/charts/colors13.xml" ContentType="application/vnd.ms-office.chartcolorstyle+xml"/>
  <Override PartName="/word/charts/style13.xml" ContentType="application/vnd.ms-office.chartstyle+xml"/>
  <Override PartName="/word/charts/colors14.xml" ContentType="application/vnd.ms-office.chartcolorstyle+xml"/>
  <Override PartName="/word/charts/style14.xml" ContentType="application/vnd.ms-office.chartstyle+xml"/>
  <Override PartName="/word/charts/colors15.xml" ContentType="application/vnd.ms-office.chartcolorstyle+xml"/>
  <Override PartName="/word/charts/style15.xml" ContentType="application/vnd.ms-office.chartstyle+xml"/>
  <Override PartName="/word/charts/colors16.xml" ContentType="application/vnd.ms-office.chartcolorstyle+xml"/>
  <Override PartName="/word/charts/style16.xml" ContentType="application/vnd.ms-office.chartstyle+xml"/>
  <Override PartName="/word/charts/colors17.xml" ContentType="application/vnd.ms-office.chartcolorstyle+xml"/>
  <Override PartName="/word/charts/style17.xml" ContentType="application/vnd.ms-office.chartstyle+xml"/>
  <Override PartName="/word/charts/colors18.xml" ContentType="application/vnd.ms-office.chartcolorstyle+xml"/>
  <Override PartName="/word/charts/style18.xml" ContentType="application/vnd.ms-office.chartstyle+xml"/>
  <Override PartName="/word/charts/colors19.xml" ContentType="application/vnd.ms-office.chartcolorstyle+xml"/>
  <Override PartName="/word/charts/style19.xml" ContentType="application/vnd.ms-office.chartstyle+xml"/>
  <Override PartName="/word/charts/colors20.xml" ContentType="application/vnd.ms-office.chartcolorstyle+xml"/>
  <Override PartName="/word/charts/style20.xml" ContentType="application/vnd.ms-office.chartstyle+xml"/>
  <Override PartName="/word/charts/colors21.xml" ContentType="application/vnd.ms-office.chartcolorstyle+xml"/>
  <Override PartName="/word/charts/style21.xml" ContentType="application/vnd.ms-office.chartstyle+xml"/>
  <Override PartName="/word/charts/colors22.xml" ContentType="application/vnd.ms-office.chartcolorstyle+xml"/>
  <Override PartName="/word/charts/style22.xml" ContentType="application/vnd.ms-office.chartstyle+xml"/>
  <Override PartName="/word/charts/colors23.xml" ContentType="application/vnd.ms-office.chartcolorstyle+xml"/>
  <Override PartName="/word/charts/style23.xml" ContentType="application/vnd.ms-office.chartstyle+xml"/>
  <Override PartName="/word/charts/colors24.xml" ContentType="application/vnd.ms-office.chartcolorstyle+xml"/>
  <Override PartName="/word/charts/style24.xml" ContentType="application/vnd.ms-office.chartstyle+xml"/>
  <Override PartName="/word/charts/colors25.xml" ContentType="application/vnd.ms-office.chartcolorstyle+xml"/>
  <Override PartName="/word/charts/style25.xml" ContentType="application/vnd.ms-office.chartstyle+xml"/>
  <Override PartName="/word/charts/colors26.xml" ContentType="application/vnd.ms-office.chartcolorstyle+xml"/>
  <Override PartName="/word/charts/style26.xml" ContentType="application/vnd.ms-office.chartstyle+xml"/>
  <Override PartName="/word/charts/colors27.xml" ContentType="application/vnd.ms-office.chartcolorstyle+xml"/>
  <Override PartName="/word/charts/style27.xml" ContentType="application/vnd.ms-office.chartstyle+xml"/>
  <Override PartName="/word/charts/colors28.xml" ContentType="application/vnd.ms-office.chartcolorstyle+xml"/>
  <Override PartName="/word/charts/style28.xml" ContentType="application/vnd.ms-office.chartstyle+xml"/>
  <Override PartName="/word/charts/colors29.xml" ContentType="application/vnd.ms-office.chartcolorstyle+xml"/>
  <Override PartName="/word/charts/style29.xml" ContentType="application/vnd.ms-office.chartstyle+xml"/>
  <Override PartName="/word/charts/colors30.xml" ContentType="application/vnd.ms-office.chartcolorstyle+xml"/>
  <Override PartName="/word/charts/style30.xml" ContentType="application/vnd.ms-office.chartstyle+xml"/>
  <Override PartName="/word/charts/colors31.xml" ContentType="application/vnd.ms-office.chartcolorstyle+xml"/>
  <Override PartName="/word/charts/style31.xml" ContentType="application/vnd.ms-office.chartstyle+xml"/>
  <Override PartName="/word/charts/colors32.xml" ContentType="application/vnd.ms-office.chartcolorstyle+xml"/>
  <Override PartName="/word/charts/style32.xml" ContentType="application/vnd.ms-office.chartstyle+xml"/>
  <Override PartName="/word/charts/colors33.xml" ContentType="application/vnd.ms-office.chartcolorstyle+xml"/>
  <Override PartName="/word/charts/style33.xml" ContentType="application/vnd.ms-office.chartstyle+xml"/>
  <Override PartName="/word/charts/colors34.xml" ContentType="application/vnd.ms-office.chartcolorstyle+xml"/>
  <Override PartName="/word/charts/style34.xml" ContentType="application/vnd.ms-office.chartstyle+xml"/>
  <Override PartName="/word/charts/colors35.xml" ContentType="application/vnd.ms-office.chartcolorstyle+xml"/>
  <Override PartName="/word/charts/style35.xml" ContentType="application/vnd.ms-office.chartstyle+xml"/>
  <Override PartName="/word/charts/colors36.xml" ContentType="application/vnd.ms-office.chartcolorstyle+xml"/>
  <Override PartName="/word/charts/style36.xml" ContentType="application/vnd.ms-office.chartstyle+xml"/>
  <Override PartName="/word/charts/colors37.xml" ContentType="application/vnd.ms-office.chartcolorstyle+xml"/>
  <Override PartName="/word/charts/style37.xml" ContentType="application/vnd.ms-office.chartstyle+xml"/>
  <Override PartName="/word/charts/colors38.xml" ContentType="application/vnd.ms-office.chartcolorstyle+xml"/>
  <Override PartName="/word/charts/style38.xml" ContentType="application/vnd.ms-office.chartstyle+xml"/>
  <Override PartName="/word/charts/colors39.xml" ContentType="application/vnd.ms-office.chartcolorstyle+xml"/>
  <Override PartName="/word/charts/style39.xml" ContentType="application/vnd.ms-office.chartstyle+xml"/>
  <Override PartName="/word/charts/colors40.xml" ContentType="application/vnd.ms-office.chartcolorstyle+xml"/>
  <Override PartName="/word/charts/style40.xml" ContentType="application/vnd.ms-office.chartstyle+xml"/>
  <Override PartName="/word/charts/colors41.xml" ContentType="application/vnd.ms-office.chartcolorstyle+xml"/>
  <Override PartName="/word/charts/style41.xml" ContentType="application/vnd.ms-office.chartstyle+xml"/>
  <Override PartName="/word/charts/colors42.xml" ContentType="application/vnd.ms-office.chartcolorstyle+xml"/>
  <Override PartName="/word/charts/style4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0A4509" w14:textId="77777777" w:rsidR="00D605E1" w:rsidRPr="00B52BE7" w:rsidRDefault="00D605E1" w:rsidP="00D605E1">
      <w:pPr>
        <w:spacing w:after="0" w:line="240" w:lineRule="auto"/>
        <w:jc w:val="center"/>
        <w:rPr>
          <w:rFonts w:ascii="Times New Roman" w:hAnsi="Times New Roman"/>
          <w:b/>
          <w:bCs/>
          <w:i/>
          <w:iCs/>
          <w:noProof/>
          <w:sz w:val="28"/>
          <w:szCs w:val="28"/>
          <w:lang w:eastAsia="ru-RU"/>
        </w:rPr>
      </w:pPr>
      <w:r w:rsidRPr="00B52BE7">
        <w:rPr>
          <w:rFonts w:ascii="Times New Roman" w:hAnsi="Times New Roman"/>
          <w:noProof/>
          <w:sz w:val="28"/>
          <w:szCs w:val="28"/>
          <w:lang w:eastAsia="ru-RU"/>
        </w:rPr>
        <w:t>Одеський національний університет імені І. І. Мечникова</w:t>
      </w:r>
    </w:p>
    <w:p w14:paraId="1207538C" w14:textId="77777777" w:rsidR="00D605E1" w:rsidRPr="00B52BE7" w:rsidRDefault="00D605E1" w:rsidP="00D605E1">
      <w:pPr>
        <w:spacing w:after="0" w:line="240" w:lineRule="auto"/>
        <w:jc w:val="center"/>
        <w:rPr>
          <w:rFonts w:ascii="Times New Roman" w:hAnsi="Times New Roman"/>
          <w:noProof/>
          <w:sz w:val="28"/>
          <w:szCs w:val="28"/>
          <w:lang w:eastAsia="ru-RU"/>
        </w:rPr>
      </w:pPr>
      <w:r w:rsidRPr="00B52BE7">
        <w:rPr>
          <w:rFonts w:ascii="Times New Roman" w:hAnsi="Times New Roman"/>
          <w:noProof/>
          <w:sz w:val="28"/>
          <w:szCs w:val="28"/>
          <w:lang w:eastAsia="ru-RU"/>
        </w:rPr>
        <w:t>Факультет міжнародних відносин, політології та соціології</w:t>
      </w:r>
    </w:p>
    <w:p w14:paraId="3E1CDD34" w14:textId="77777777" w:rsidR="00D605E1" w:rsidRPr="00B52BE7" w:rsidRDefault="00D605E1" w:rsidP="00D605E1">
      <w:pPr>
        <w:spacing w:after="0" w:line="240" w:lineRule="auto"/>
        <w:jc w:val="center"/>
        <w:rPr>
          <w:rFonts w:ascii="Times New Roman" w:hAnsi="Times New Roman"/>
          <w:noProof/>
          <w:sz w:val="28"/>
          <w:szCs w:val="28"/>
          <w:lang w:eastAsia="ru-RU"/>
        </w:rPr>
      </w:pPr>
      <w:r w:rsidRPr="00B52BE7">
        <w:rPr>
          <w:rFonts w:ascii="Times New Roman" w:hAnsi="Times New Roman"/>
          <w:noProof/>
          <w:sz w:val="28"/>
          <w:szCs w:val="28"/>
          <w:lang w:eastAsia="ru-RU"/>
        </w:rPr>
        <w:t>Кафедра світового господарства і міжнародних економічних відносин</w:t>
      </w:r>
    </w:p>
    <w:p w14:paraId="745EE855" w14:textId="77777777" w:rsidR="00D605E1" w:rsidRPr="00B52BE7" w:rsidRDefault="00D605E1" w:rsidP="00D605E1">
      <w:pPr>
        <w:spacing w:after="0" w:line="240" w:lineRule="auto"/>
        <w:rPr>
          <w:rFonts w:ascii="Times New Roman" w:hAnsi="Times New Roman"/>
          <w:noProof/>
          <w:sz w:val="28"/>
          <w:szCs w:val="28"/>
          <w:u w:val="single"/>
          <w:lang w:eastAsia="ru-RU"/>
        </w:rPr>
      </w:pPr>
    </w:p>
    <w:p w14:paraId="7803F9EA" w14:textId="77777777" w:rsidR="00D605E1" w:rsidRDefault="00D605E1" w:rsidP="00D605E1">
      <w:pPr>
        <w:spacing w:after="0" w:line="240" w:lineRule="auto"/>
        <w:jc w:val="center"/>
        <w:rPr>
          <w:rFonts w:ascii="Times New Roman" w:hAnsi="Times New Roman"/>
          <w:noProof/>
          <w:sz w:val="28"/>
          <w:szCs w:val="28"/>
          <w:u w:val="single"/>
          <w:lang w:eastAsia="ru-RU"/>
        </w:rPr>
      </w:pPr>
    </w:p>
    <w:p w14:paraId="4B977BB8" w14:textId="77777777" w:rsidR="00D605E1" w:rsidRDefault="00D605E1" w:rsidP="00D605E1">
      <w:pPr>
        <w:spacing w:after="0" w:line="240" w:lineRule="auto"/>
        <w:jc w:val="center"/>
        <w:rPr>
          <w:rFonts w:ascii="Times New Roman" w:hAnsi="Times New Roman"/>
          <w:noProof/>
          <w:sz w:val="28"/>
          <w:szCs w:val="28"/>
          <w:u w:val="single"/>
          <w:lang w:eastAsia="ru-RU"/>
        </w:rPr>
      </w:pPr>
    </w:p>
    <w:p w14:paraId="0D722979" w14:textId="77777777" w:rsidR="00D605E1" w:rsidRPr="00B52BE7" w:rsidRDefault="00D605E1" w:rsidP="00D605E1">
      <w:pPr>
        <w:spacing w:after="0" w:line="240" w:lineRule="auto"/>
        <w:jc w:val="center"/>
        <w:rPr>
          <w:rFonts w:ascii="Times New Roman" w:hAnsi="Times New Roman"/>
          <w:noProof/>
          <w:sz w:val="28"/>
          <w:szCs w:val="28"/>
          <w:u w:val="single"/>
          <w:lang w:eastAsia="ru-RU"/>
        </w:rPr>
      </w:pPr>
    </w:p>
    <w:p w14:paraId="6FADC273" w14:textId="77777777" w:rsidR="00D605E1" w:rsidRPr="009F0B52" w:rsidRDefault="00D605E1" w:rsidP="00D605E1">
      <w:pPr>
        <w:pStyle w:val="a9"/>
        <w:spacing w:line="360" w:lineRule="auto"/>
        <w:jc w:val="center"/>
        <w:rPr>
          <w:rFonts w:ascii="Times New Roman" w:hAnsi="Times New Roman" w:cs="Times New Roman"/>
          <w:b/>
          <w:bCs/>
          <w:noProof/>
          <w:sz w:val="28"/>
          <w:szCs w:val="28"/>
          <w:lang w:eastAsia="ru-RU"/>
        </w:rPr>
      </w:pPr>
      <w:r w:rsidRPr="009F0B52">
        <w:rPr>
          <w:rFonts w:ascii="Times New Roman" w:hAnsi="Times New Roman" w:cs="Times New Roman"/>
          <w:b/>
          <w:bCs/>
          <w:noProof/>
          <w:sz w:val="28"/>
          <w:szCs w:val="28"/>
          <w:lang w:eastAsia="ru-RU"/>
        </w:rPr>
        <w:t>ДИПЛОМНА РОБОТА</w:t>
      </w:r>
    </w:p>
    <w:p w14:paraId="78099828" w14:textId="77777777" w:rsidR="00D605E1" w:rsidRPr="009F0B52" w:rsidRDefault="00D605E1" w:rsidP="00D605E1">
      <w:pPr>
        <w:pStyle w:val="a9"/>
        <w:spacing w:line="360" w:lineRule="auto"/>
        <w:jc w:val="center"/>
        <w:rPr>
          <w:rFonts w:ascii="Times New Roman" w:hAnsi="Times New Roman" w:cs="Times New Roman"/>
          <w:sz w:val="28"/>
          <w:szCs w:val="28"/>
        </w:rPr>
      </w:pPr>
      <w:r w:rsidRPr="009F0B52">
        <w:rPr>
          <w:rFonts w:ascii="Times New Roman" w:hAnsi="Times New Roman" w:cs="Times New Roman"/>
          <w:noProof/>
          <w:sz w:val="28"/>
          <w:szCs w:val="28"/>
          <w:lang w:eastAsia="ru-RU"/>
        </w:rPr>
        <w:t xml:space="preserve">на здобуття ступеня вищої освіти </w:t>
      </w:r>
      <w:r w:rsidRPr="009F0B52">
        <w:rPr>
          <w:rFonts w:ascii="Times New Roman" w:hAnsi="Times New Roman" w:cs="Times New Roman"/>
          <w:sz w:val="28"/>
          <w:szCs w:val="28"/>
          <w:lang w:eastAsia="uk-UA"/>
        </w:rPr>
        <w:t>«</w:t>
      </w:r>
      <w:r>
        <w:rPr>
          <w:rFonts w:ascii="Times New Roman" w:hAnsi="Times New Roman" w:cs="Times New Roman"/>
          <w:noProof/>
          <w:sz w:val="28"/>
          <w:szCs w:val="28"/>
          <w:lang w:eastAsia="ru-RU"/>
        </w:rPr>
        <w:t>бакалав</w:t>
      </w:r>
      <w:r w:rsidRPr="009F0B52">
        <w:rPr>
          <w:rFonts w:ascii="Times New Roman" w:hAnsi="Times New Roman" w:cs="Times New Roman"/>
          <w:noProof/>
          <w:sz w:val="28"/>
          <w:szCs w:val="28"/>
          <w:lang w:eastAsia="ru-RU"/>
        </w:rPr>
        <w:t>р</w:t>
      </w:r>
      <w:r w:rsidRPr="009F0B52">
        <w:rPr>
          <w:rFonts w:ascii="Times New Roman" w:hAnsi="Times New Roman" w:cs="Times New Roman"/>
          <w:sz w:val="28"/>
          <w:szCs w:val="28"/>
        </w:rPr>
        <w:t>»</w:t>
      </w:r>
    </w:p>
    <w:p w14:paraId="231F2367" w14:textId="6B60441B" w:rsidR="00D605E1" w:rsidRPr="009F0B52" w:rsidRDefault="00D605E1" w:rsidP="00D605E1">
      <w:pPr>
        <w:pStyle w:val="a9"/>
        <w:spacing w:line="360" w:lineRule="auto"/>
        <w:jc w:val="center"/>
        <w:rPr>
          <w:rFonts w:ascii="Times New Roman" w:hAnsi="Times New Roman" w:cs="Times New Roman"/>
          <w:b/>
          <w:bCs/>
          <w:sz w:val="28"/>
          <w:szCs w:val="28"/>
        </w:rPr>
      </w:pPr>
      <w:r>
        <w:rPr>
          <w:rFonts w:ascii="Times New Roman" w:hAnsi="Times New Roman" w:cs="Times New Roman"/>
          <w:b/>
          <w:bCs/>
          <w:sz w:val="28"/>
          <w:szCs w:val="28"/>
          <w:lang w:eastAsia="uk-UA"/>
        </w:rPr>
        <w:t xml:space="preserve">на тему: </w:t>
      </w:r>
      <w:r w:rsidRPr="009F0B52">
        <w:rPr>
          <w:rFonts w:ascii="Times New Roman" w:hAnsi="Times New Roman" w:cs="Times New Roman"/>
          <w:b/>
          <w:bCs/>
          <w:sz w:val="28"/>
          <w:szCs w:val="28"/>
          <w:lang w:eastAsia="uk-UA"/>
        </w:rPr>
        <w:t>«</w:t>
      </w:r>
      <w:r w:rsidRPr="001F7190">
        <w:rPr>
          <w:rFonts w:ascii="Times New Roman" w:hAnsi="Times New Roman" w:cs="Times New Roman"/>
          <w:b/>
          <w:bCs/>
          <w:sz w:val="28"/>
          <w:szCs w:val="28"/>
          <w:lang w:eastAsia="uk-UA"/>
        </w:rPr>
        <w:t>Зміни міжнародної конкурентоспроможності країн Європи в умовах світової пандемії (на прикладі Швейцарії, Польщі та України)</w:t>
      </w:r>
      <w:r w:rsidRPr="009F0B52">
        <w:rPr>
          <w:rFonts w:ascii="Times New Roman" w:hAnsi="Times New Roman" w:cs="Times New Roman"/>
          <w:b/>
          <w:bCs/>
          <w:sz w:val="28"/>
          <w:szCs w:val="28"/>
        </w:rPr>
        <w:t>»</w:t>
      </w:r>
    </w:p>
    <w:p w14:paraId="7C9DFD68" w14:textId="15B4065C" w:rsidR="00D605E1" w:rsidRPr="009F0B52" w:rsidRDefault="00D605E1" w:rsidP="00D605E1">
      <w:pPr>
        <w:pStyle w:val="a9"/>
        <w:spacing w:line="360" w:lineRule="auto"/>
        <w:jc w:val="center"/>
        <w:rPr>
          <w:rFonts w:ascii="Times New Roman" w:hAnsi="Times New Roman" w:cs="Times New Roman"/>
          <w:sz w:val="24"/>
          <w:szCs w:val="24"/>
        </w:rPr>
      </w:pPr>
      <w:r w:rsidRPr="001F7190">
        <w:rPr>
          <w:rFonts w:ascii="Times New Roman" w:hAnsi="Times New Roman"/>
          <w:noProof/>
          <w:sz w:val="24"/>
          <w:szCs w:val="24"/>
          <w:lang w:val="en-US" w:eastAsia="ru-RU"/>
        </w:rPr>
        <w:t>Changes in the international competitiv</w:t>
      </w:r>
      <w:r>
        <w:rPr>
          <w:rFonts w:ascii="Times New Roman" w:hAnsi="Times New Roman"/>
          <w:noProof/>
          <w:sz w:val="24"/>
          <w:szCs w:val="24"/>
          <w:lang w:val="en-US" w:eastAsia="ru-RU"/>
        </w:rPr>
        <w:t xml:space="preserve">eness of European countries in the condition of a </w:t>
      </w:r>
      <w:r w:rsidRPr="001F7190">
        <w:rPr>
          <w:rFonts w:ascii="Times New Roman" w:hAnsi="Times New Roman"/>
          <w:noProof/>
          <w:sz w:val="24"/>
          <w:szCs w:val="24"/>
          <w:lang w:val="en-US" w:eastAsia="ru-RU"/>
        </w:rPr>
        <w:t xml:space="preserve">global pandemic (on the example of Switzerland, Poland and Ukraine)                                            </w:t>
      </w:r>
    </w:p>
    <w:p w14:paraId="540F7A90" w14:textId="77777777" w:rsidR="00D605E1" w:rsidRPr="00224582" w:rsidRDefault="00D605E1" w:rsidP="00D605E1">
      <w:pPr>
        <w:spacing w:after="0" w:line="240" w:lineRule="auto"/>
        <w:ind w:firstLine="709"/>
        <w:jc w:val="right"/>
        <w:rPr>
          <w:rFonts w:ascii="Times New Roman" w:hAnsi="Times New Roman"/>
          <w:noProof/>
          <w:sz w:val="28"/>
          <w:szCs w:val="28"/>
          <w:lang w:val="en-US" w:eastAsia="ru-RU"/>
        </w:rPr>
      </w:pPr>
      <w:r w:rsidRPr="00224582">
        <w:rPr>
          <w:rFonts w:ascii="Times New Roman" w:hAnsi="Times New Roman"/>
          <w:noProof/>
          <w:sz w:val="28"/>
          <w:szCs w:val="28"/>
          <w:lang w:val="en-US" w:eastAsia="ru-RU"/>
        </w:rPr>
        <w:t xml:space="preserve">                                            </w:t>
      </w:r>
    </w:p>
    <w:p w14:paraId="70DDC2D9" w14:textId="77777777" w:rsidR="00D605E1" w:rsidRPr="00C1603B" w:rsidRDefault="00D605E1" w:rsidP="00D605E1">
      <w:pPr>
        <w:spacing w:after="0" w:line="240" w:lineRule="auto"/>
        <w:rPr>
          <w:rFonts w:ascii="Times New Roman" w:hAnsi="Times New Roman"/>
          <w:noProof/>
          <w:sz w:val="28"/>
          <w:szCs w:val="28"/>
          <w:lang w:val="uk-UA" w:eastAsia="ru-RU"/>
        </w:rPr>
      </w:pPr>
    </w:p>
    <w:p w14:paraId="0688E530" w14:textId="77777777" w:rsidR="00D605E1" w:rsidRPr="00C1603B" w:rsidRDefault="00D605E1" w:rsidP="00D605E1">
      <w:pPr>
        <w:spacing w:after="0" w:line="240" w:lineRule="auto"/>
        <w:rPr>
          <w:rFonts w:ascii="Times New Roman" w:hAnsi="Times New Roman"/>
          <w:noProof/>
          <w:sz w:val="28"/>
          <w:szCs w:val="28"/>
          <w:lang w:val="uk-UA" w:eastAsia="ru-RU"/>
        </w:rPr>
      </w:pPr>
    </w:p>
    <w:p w14:paraId="4CCD1AB5" w14:textId="77777777" w:rsidR="00D605E1" w:rsidRPr="00C1603B" w:rsidRDefault="00D605E1" w:rsidP="00D605E1">
      <w:pPr>
        <w:spacing w:after="0" w:line="240" w:lineRule="auto"/>
        <w:rPr>
          <w:rFonts w:ascii="Times New Roman" w:hAnsi="Times New Roman"/>
          <w:noProof/>
          <w:sz w:val="28"/>
          <w:szCs w:val="28"/>
          <w:lang w:val="uk-UA" w:eastAsia="ru-RU"/>
        </w:rPr>
      </w:pPr>
    </w:p>
    <w:p w14:paraId="73867B66" w14:textId="2A77FCAE" w:rsidR="00D605E1" w:rsidRPr="00C1603B" w:rsidRDefault="00D605E1" w:rsidP="00D605E1">
      <w:pPr>
        <w:spacing w:after="0" w:line="240" w:lineRule="auto"/>
        <w:ind w:left="2832"/>
        <w:jc w:val="right"/>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Викона</w:t>
      </w:r>
      <w:r>
        <w:rPr>
          <w:rFonts w:ascii="Times New Roman" w:hAnsi="Times New Roman"/>
          <w:noProof/>
          <w:sz w:val="28"/>
          <w:szCs w:val="28"/>
          <w:lang w:val="uk-UA" w:eastAsia="ru-RU"/>
        </w:rPr>
        <w:t>ла</w:t>
      </w:r>
      <w:r w:rsidRPr="00C1603B">
        <w:rPr>
          <w:rFonts w:ascii="Times New Roman" w:hAnsi="Times New Roman"/>
          <w:noProof/>
          <w:sz w:val="28"/>
          <w:szCs w:val="28"/>
          <w:lang w:val="uk-UA" w:eastAsia="ru-RU"/>
        </w:rPr>
        <w:t>:</w:t>
      </w:r>
      <w:r>
        <w:rPr>
          <w:rFonts w:ascii="Times New Roman" w:hAnsi="Times New Roman"/>
          <w:noProof/>
          <w:sz w:val="28"/>
          <w:szCs w:val="28"/>
          <w:lang w:val="uk-UA" w:eastAsia="ru-RU"/>
        </w:rPr>
        <w:t xml:space="preserve"> студентка</w:t>
      </w:r>
      <w:r w:rsidRPr="00C1603B">
        <w:rPr>
          <w:rFonts w:ascii="Times New Roman" w:hAnsi="Times New Roman"/>
          <w:noProof/>
          <w:sz w:val="28"/>
          <w:szCs w:val="28"/>
          <w:lang w:val="uk-UA" w:eastAsia="ru-RU"/>
        </w:rPr>
        <w:t xml:space="preserve"> денної форми навчання</w:t>
      </w:r>
    </w:p>
    <w:p w14:paraId="0938FC9B" w14:textId="77777777" w:rsidR="00D605E1" w:rsidRPr="00C1603B" w:rsidRDefault="00D605E1" w:rsidP="00D605E1">
      <w:pPr>
        <w:spacing w:after="0" w:line="240" w:lineRule="auto"/>
        <w:ind w:hanging="120"/>
        <w:jc w:val="right"/>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спеціальності 292 «Міжнародні економічні відносини»</w:t>
      </w:r>
    </w:p>
    <w:p w14:paraId="2902C978" w14:textId="77777777" w:rsidR="00D605E1" w:rsidRPr="00C1603B" w:rsidRDefault="00D605E1" w:rsidP="00D605E1">
      <w:pPr>
        <w:spacing w:after="0" w:line="360" w:lineRule="auto"/>
        <w:ind w:hanging="120"/>
        <w:jc w:val="right"/>
        <w:rPr>
          <w:rFonts w:ascii="Times New Roman" w:hAnsi="Times New Roman"/>
          <w:noProof/>
          <w:sz w:val="28"/>
          <w:szCs w:val="28"/>
          <w:lang w:val="uk-UA" w:eastAsia="ru-RU"/>
        </w:rPr>
      </w:pPr>
      <w:bookmarkStart w:id="0" w:name="_GoBack"/>
      <w:r>
        <w:rPr>
          <w:rFonts w:ascii="Times New Roman" w:hAnsi="Times New Roman"/>
          <w:noProof/>
          <w:sz w:val="28"/>
          <w:szCs w:val="28"/>
          <w:lang w:val="uk-UA" w:eastAsia="ru-RU"/>
        </w:rPr>
        <w:t>Ніколаєва Дар’я Сергіївна</w:t>
      </w:r>
    </w:p>
    <w:bookmarkEnd w:id="0"/>
    <w:p w14:paraId="6AF7DA35" w14:textId="77777777" w:rsidR="00D605E1" w:rsidRPr="001C5632" w:rsidRDefault="00D605E1" w:rsidP="00D605E1">
      <w:pPr>
        <w:spacing w:after="0" w:line="360" w:lineRule="auto"/>
        <w:ind w:left="-142"/>
        <w:jc w:val="right"/>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Науковий керівник: </w:t>
      </w:r>
      <w:r>
        <w:rPr>
          <w:rFonts w:ascii="Times New Roman" w:hAnsi="Times New Roman"/>
          <w:noProof/>
          <w:sz w:val="28"/>
          <w:szCs w:val="28"/>
          <w:lang w:val="uk-UA" w:eastAsia="ru-RU"/>
        </w:rPr>
        <w:t>д.е.н.</w:t>
      </w:r>
      <w:r w:rsidRPr="009F2071">
        <w:rPr>
          <w:lang w:val="uk-UA"/>
        </w:rPr>
        <w:t xml:space="preserve"> </w:t>
      </w:r>
      <w:r w:rsidRPr="004C6F5F">
        <w:rPr>
          <w:rFonts w:ascii="Times New Roman" w:hAnsi="Times New Roman"/>
          <w:noProof/>
          <w:sz w:val="28"/>
          <w:szCs w:val="28"/>
          <w:lang w:val="uk-UA" w:eastAsia="ru-RU"/>
        </w:rPr>
        <w:t xml:space="preserve">Якубовський С.О. </w:t>
      </w:r>
      <w:r>
        <w:rPr>
          <w:rFonts w:ascii="Times New Roman" w:hAnsi="Times New Roman"/>
          <w:noProof/>
          <w:sz w:val="28"/>
          <w:szCs w:val="28"/>
          <w:lang w:val="uk-UA" w:eastAsia="ru-RU"/>
        </w:rPr>
        <w:t>________________</w:t>
      </w:r>
    </w:p>
    <w:p w14:paraId="417B0662" w14:textId="77777777" w:rsidR="00D605E1" w:rsidRPr="00C1603B" w:rsidRDefault="00D605E1" w:rsidP="00D605E1">
      <w:pPr>
        <w:spacing w:after="0" w:line="360" w:lineRule="auto"/>
        <w:ind w:firstLine="240"/>
        <w:jc w:val="right"/>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Рецензент:</w:t>
      </w:r>
      <w:r>
        <w:rPr>
          <w:rFonts w:ascii="Times New Roman" w:hAnsi="Times New Roman"/>
          <w:noProof/>
          <w:sz w:val="28"/>
          <w:szCs w:val="28"/>
          <w:lang w:val="uk-UA" w:eastAsia="ru-RU"/>
        </w:rPr>
        <w:t xml:space="preserve"> Доц. Ломачинська І.А.</w:t>
      </w:r>
    </w:p>
    <w:p w14:paraId="70B6A62F" w14:textId="711E1176" w:rsidR="00D605E1" w:rsidRPr="00C1603B" w:rsidRDefault="00D605E1" w:rsidP="00D605E1">
      <w:pPr>
        <w:spacing w:after="0" w:line="240" w:lineRule="auto"/>
        <w:ind w:hanging="120"/>
        <w:jc w:val="right"/>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w:t>
      </w:r>
    </w:p>
    <w:p w14:paraId="2A12420D" w14:textId="77777777" w:rsidR="00D605E1" w:rsidRPr="00C1603B" w:rsidRDefault="00D605E1" w:rsidP="00D605E1">
      <w:pPr>
        <w:spacing w:after="0" w:line="240" w:lineRule="auto"/>
        <w:ind w:firstLine="240"/>
        <w:jc w:val="right"/>
        <w:rPr>
          <w:rFonts w:ascii="Times New Roman" w:hAnsi="Times New Roman"/>
          <w:noProof/>
          <w:sz w:val="20"/>
          <w:szCs w:val="20"/>
          <w:lang w:val="uk-UA" w:eastAsia="ru-RU"/>
        </w:rPr>
      </w:pPr>
      <w:r w:rsidRPr="00C1603B">
        <w:rPr>
          <w:rFonts w:ascii="Times New Roman" w:hAnsi="Times New Roman"/>
          <w:noProof/>
          <w:sz w:val="28"/>
          <w:szCs w:val="28"/>
          <w:lang w:val="uk-UA" w:eastAsia="ru-RU"/>
        </w:rPr>
        <w:t>.</w:t>
      </w:r>
      <w:r w:rsidRPr="00C1603B">
        <w:rPr>
          <w:rFonts w:ascii="Times New Roman" w:hAnsi="Times New Roman"/>
          <w:noProof/>
          <w:sz w:val="20"/>
          <w:szCs w:val="20"/>
          <w:lang w:val="uk-UA" w:eastAsia="ru-RU"/>
        </w:rPr>
        <w:t xml:space="preserve">                           </w:t>
      </w:r>
    </w:p>
    <w:p w14:paraId="197CB2A2" w14:textId="77777777" w:rsidR="00D605E1" w:rsidRPr="00C1603B" w:rsidRDefault="00D605E1" w:rsidP="00D605E1">
      <w:pPr>
        <w:spacing w:after="0" w:line="240" w:lineRule="auto"/>
        <w:ind w:firstLine="709"/>
        <w:jc w:val="both"/>
        <w:rPr>
          <w:rFonts w:ascii="Times New Roman" w:hAnsi="Times New Roman"/>
          <w:noProof/>
          <w:sz w:val="20"/>
          <w:szCs w:val="20"/>
          <w:lang w:val="uk-UA" w:eastAsia="ru-RU"/>
        </w:rPr>
      </w:pPr>
      <w:r w:rsidRPr="00C1603B">
        <w:rPr>
          <w:rFonts w:ascii="Times New Roman" w:hAnsi="Times New Roman"/>
          <w:noProof/>
          <w:sz w:val="20"/>
          <w:szCs w:val="20"/>
          <w:lang w:val="uk-UA" w:eastAsia="ru-RU"/>
        </w:rPr>
        <w:t xml:space="preserve">                                                                                                   </w:t>
      </w:r>
      <w:r w:rsidRPr="00C1603B">
        <w:rPr>
          <w:rFonts w:ascii="Times New Roman" w:hAnsi="Times New Roman"/>
          <w:noProof/>
          <w:sz w:val="28"/>
          <w:szCs w:val="28"/>
          <w:lang w:val="uk-UA" w:eastAsia="ru-RU"/>
        </w:rPr>
        <w:t xml:space="preserve">                                      </w:t>
      </w:r>
    </w:p>
    <w:p w14:paraId="5FDDB662" w14:textId="77777777" w:rsidR="00D605E1" w:rsidRPr="00C1603B" w:rsidRDefault="00D605E1" w:rsidP="00D605E1">
      <w:pPr>
        <w:spacing w:after="0" w:line="240" w:lineRule="auto"/>
        <w:ind w:firstLine="709"/>
        <w:jc w:val="both"/>
        <w:rPr>
          <w:rFonts w:ascii="Times New Roman" w:hAnsi="Times New Roman"/>
          <w:noProof/>
          <w:sz w:val="28"/>
          <w:szCs w:val="28"/>
          <w:lang w:val="uk-UA" w:eastAsia="ru-RU"/>
        </w:rPr>
      </w:pPr>
    </w:p>
    <w:p w14:paraId="57AABD05" w14:textId="77777777" w:rsidR="00D605E1" w:rsidRPr="00C1603B" w:rsidRDefault="00D605E1" w:rsidP="00D605E1">
      <w:pPr>
        <w:spacing w:after="0" w:line="240" w:lineRule="auto"/>
        <w:ind w:firstLine="709"/>
        <w:jc w:val="both"/>
        <w:rPr>
          <w:rFonts w:ascii="Times New Roman" w:hAnsi="Times New Roman"/>
          <w:noProof/>
          <w:sz w:val="28"/>
          <w:szCs w:val="28"/>
          <w:lang w:val="uk-UA" w:eastAsia="ru-RU"/>
        </w:rPr>
      </w:pPr>
    </w:p>
    <w:p w14:paraId="4C22467A" w14:textId="77777777" w:rsidR="00D605E1" w:rsidRPr="009F0B52" w:rsidRDefault="00D605E1" w:rsidP="00D605E1">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Рекомендовано до захисту:                 Захищено на засіданні ЕК </w:t>
      </w:r>
      <w:r w:rsidRPr="00F909B3">
        <w:rPr>
          <w:rFonts w:ascii="Times New Roman" w:hAnsi="Times New Roman"/>
          <w:color w:val="000000"/>
          <w:sz w:val="28"/>
          <w:szCs w:val="28"/>
          <w:lang w:val="uk-UA"/>
        </w:rPr>
        <w:t>№</w:t>
      </w:r>
      <w:r>
        <w:rPr>
          <w:rFonts w:ascii="Times New Roman" w:hAnsi="Times New Roman"/>
          <w:color w:val="000000"/>
          <w:sz w:val="28"/>
          <w:szCs w:val="28"/>
          <w:highlight w:val="yellow"/>
          <w:lang w:val="uk-UA"/>
        </w:rPr>
        <w:t xml:space="preserve"> </w:t>
      </w:r>
    </w:p>
    <w:p w14:paraId="59F6921B" w14:textId="77777777" w:rsidR="00D605E1" w:rsidRPr="009F0B52" w:rsidRDefault="00D605E1" w:rsidP="00D605E1">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Протокол засідання кафедри               протокол №</w:t>
      </w:r>
      <w:r>
        <w:rPr>
          <w:rFonts w:ascii="Times New Roman" w:hAnsi="Times New Roman"/>
          <w:color w:val="000000"/>
          <w:sz w:val="28"/>
          <w:szCs w:val="28"/>
          <w:lang w:val="uk-UA"/>
        </w:rPr>
        <w:t>___</w:t>
      </w:r>
      <w:r w:rsidRPr="009F0B52">
        <w:rPr>
          <w:rFonts w:ascii="Times New Roman" w:hAnsi="Times New Roman"/>
          <w:color w:val="000000"/>
          <w:sz w:val="28"/>
          <w:szCs w:val="28"/>
          <w:lang w:val="uk-UA"/>
        </w:rPr>
        <w:t xml:space="preserve">від </w:t>
      </w:r>
      <w:r>
        <w:rPr>
          <w:rFonts w:ascii="Times New Roman" w:hAnsi="Times New Roman"/>
          <w:color w:val="000000"/>
          <w:sz w:val="28"/>
          <w:szCs w:val="28"/>
          <w:lang w:val="uk-UA"/>
        </w:rPr>
        <w:t>___06</w:t>
      </w:r>
      <w:r w:rsidRPr="009F0B52">
        <w:rPr>
          <w:rFonts w:ascii="Times New Roman" w:hAnsi="Times New Roman"/>
          <w:color w:val="000000"/>
          <w:sz w:val="28"/>
          <w:szCs w:val="28"/>
          <w:lang w:val="uk-UA"/>
        </w:rPr>
        <w:t>. 20</w:t>
      </w:r>
      <w:r>
        <w:rPr>
          <w:rFonts w:ascii="Times New Roman" w:hAnsi="Times New Roman"/>
          <w:color w:val="000000"/>
          <w:sz w:val="28"/>
          <w:szCs w:val="28"/>
          <w:lang w:val="uk-UA"/>
        </w:rPr>
        <w:t>21</w:t>
      </w:r>
      <w:r w:rsidRPr="009F0B52">
        <w:rPr>
          <w:rFonts w:ascii="Times New Roman" w:hAnsi="Times New Roman"/>
          <w:color w:val="000000"/>
          <w:sz w:val="28"/>
          <w:szCs w:val="28"/>
          <w:lang w:val="uk-UA"/>
        </w:rPr>
        <w:t>р.</w:t>
      </w:r>
    </w:p>
    <w:p w14:paraId="63500334" w14:textId="77777777" w:rsidR="00D605E1" w:rsidRPr="009F0B52" w:rsidRDefault="00D605E1" w:rsidP="00D605E1">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 </w:t>
      </w:r>
      <w:r>
        <w:rPr>
          <w:rFonts w:ascii="Times New Roman" w:hAnsi="Times New Roman"/>
          <w:color w:val="000000"/>
          <w:sz w:val="28"/>
          <w:szCs w:val="28"/>
          <w:lang w:val="uk-UA"/>
        </w:rPr>
        <w:t>10</w:t>
      </w:r>
      <w:r w:rsidRPr="009F0B52">
        <w:rPr>
          <w:rFonts w:ascii="Times New Roman" w:hAnsi="Times New Roman"/>
          <w:color w:val="000000"/>
          <w:sz w:val="28"/>
          <w:szCs w:val="28"/>
          <w:lang w:val="uk-UA"/>
        </w:rPr>
        <w:t xml:space="preserve"> від </w:t>
      </w:r>
      <w:r>
        <w:rPr>
          <w:rFonts w:ascii="Times New Roman" w:hAnsi="Times New Roman"/>
          <w:color w:val="000000"/>
          <w:sz w:val="28"/>
          <w:szCs w:val="28"/>
          <w:lang w:val="uk-UA"/>
        </w:rPr>
        <w:t>02</w:t>
      </w:r>
      <w:r w:rsidRPr="009F0B52">
        <w:rPr>
          <w:rFonts w:ascii="Times New Roman" w:hAnsi="Times New Roman"/>
          <w:color w:val="000000"/>
          <w:sz w:val="28"/>
          <w:szCs w:val="28"/>
          <w:lang w:val="uk-UA"/>
        </w:rPr>
        <w:t>.</w:t>
      </w:r>
      <w:r>
        <w:rPr>
          <w:rFonts w:ascii="Times New Roman" w:hAnsi="Times New Roman"/>
          <w:color w:val="000000"/>
          <w:sz w:val="28"/>
          <w:szCs w:val="28"/>
          <w:lang w:val="uk-UA"/>
        </w:rPr>
        <w:t>06</w:t>
      </w:r>
      <w:r w:rsidRPr="009F0B52">
        <w:rPr>
          <w:rFonts w:ascii="Times New Roman" w:hAnsi="Times New Roman"/>
          <w:color w:val="000000"/>
          <w:sz w:val="28"/>
          <w:szCs w:val="28"/>
          <w:lang w:val="uk-UA"/>
        </w:rPr>
        <w:t>.20</w:t>
      </w:r>
      <w:r>
        <w:rPr>
          <w:rFonts w:ascii="Times New Roman" w:hAnsi="Times New Roman"/>
          <w:color w:val="000000"/>
          <w:sz w:val="28"/>
          <w:szCs w:val="28"/>
          <w:lang w:val="uk-UA"/>
        </w:rPr>
        <w:t>21</w:t>
      </w:r>
      <w:r w:rsidRPr="009F0B52">
        <w:rPr>
          <w:rFonts w:ascii="Times New Roman" w:hAnsi="Times New Roman"/>
          <w:color w:val="000000"/>
          <w:sz w:val="28"/>
          <w:szCs w:val="28"/>
          <w:lang w:val="uk-UA"/>
        </w:rPr>
        <w:t xml:space="preserve"> р.                         Оцінка____________/______/______                         </w:t>
      </w:r>
    </w:p>
    <w:p w14:paraId="0F97C33A" w14:textId="77777777" w:rsidR="00D605E1" w:rsidRPr="009F0B52" w:rsidRDefault="00D605E1" w:rsidP="00D605E1">
      <w:pPr>
        <w:widowControl w:val="0"/>
        <w:spacing w:after="0" w:line="360" w:lineRule="auto"/>
        <w:jc w:val="both"/>
        <w:rPr>
          <w:rFonts w:ascii="Times New Roman" w:hAnsi="Times New Roman"/>
          <w:color w:val="000000"/>
          <w:sz w:val="28"/>
          <w:szCs w:val="28"/>
          <w:lang w:val="uk-UA"/>
        </w:rPr>
      </w:pPr>
    </w:p>
    <w:p w14:paraId="4C2939AC" w14:textId="77777777" w:rsidR="00D605E1" w:rsidRPr="009F0B52" w:rsidRDefault="00D605E1" w:rsidP="00D605E1">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Завідувач кафедри                                 Голова ЕК</w:t>
      </w:r>
    </w:p>
    <w:p w14:paraId="64965EC3" w14:textId="77777777" w:rsidR="00D605E1" w:rsidRPr="009F0B52" w:rsidRDefault="00D605E1" w:rsidP="00D605E1">
      <w:pPr>
        <w:widowControl w:val="0"/>
        <w:spacing w:after="0" w:line="360" w:lineRule="auto"/>
        <w:jc w:val="both"/>
        <w:rPr>
          <w:rFonts w:ascii="Times New Roman" w:hAnsi="Times New Roman"/>
          <w:color w:val="000000"/>
          <w:sz w:val="28"/>
          <w:szCs w:val="28"/>
          <w:lang w:val="uk-UA"/>
        </w:rPr>
      </w:pPr>
    </w:p>
    <w:p w14:paraId="77BE5287" w14:textId="77777777" w:rsidR="00D605E1" w:rsidRPr="009F0B52" w:rsidRDefault="00D605E1" w:rsidP="00D605E1">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_________ </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              __________</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w:t>
      </w:r>
    </w:p>
    <w:p w14:paraId="5B70F044" w14:textId="77777777" w:rsidR="00D605E1" w:rsidRDefault="00D605E1" w:rsidP="00D605E1">
      <w:pPr>
        <w:spacing w:after="0" w:line="240" w:lineRule="auto"/>
        <w:ind w:firstLine="709"/>
        <w:jc w:val="center"/>
        <w:rPr>
          <w:rFonts w:ascii="Times New Roman" w:hAnsi="Times New Roman"/>
          <w:noProof/>
          <w:sz w:val="28"/>
          <w:szCs w:val="28"/>
          <w:lang w:eastAsia="ru-RU"/>
        </w:rPr>
      </w:pPr>
    </w:p>
    <w:p w14:paraId="1A713CD4" w14:textId="29DD4EB2" w:rsidR="00D605E1" w:rsidRPr="002437AC" w:rsidRDefault="00D605E1" w:rsidP="00D605E1">
      <w:pPr>
        <w:spacing w:after="0" w:line="240" w:lineRule="auto"/>
        <w:jc w:val="center"/>
        <w:rPr>
          <w:rFonts w:ascii="Times New Roman" w:hAnsi="Times New Roman"/>
          <w:sz w:val="28"/>
          <w:szCs w:val="28"/>
        </w:rPr>
      </w:pPr>
      <w:r w:rsidRPr="00B52BE7">
        <w:rPr>
          <w:rFonts w:ascii="Times New Roman" w:hAnsi="Times New Roman"/>
          <w:noProof/>
          <w:sz w:val="28"/>
          <w:szCs w:val="28"/>
          <w:lang w:eastAsia="ru-RU"/>
        </w:rPr>
        <w:t>Одеса – 20</w:t>
      </w:r>
      <w:r>
        <w:rPr>
          <w:rFonts w:ascii="Times New Roman" w:hAnsi="Times New Roman"/>
          <w:noProof/>
          <w:sz w:val="28"/>
          <w:szCs w:val="28"/>
          <w:lang w:eastAsia="ru-RU"/>
        </w:rPr>
        <w:t>2</w:t>
      </w:r>
      <w:r>
        <w:rPr>
          <w:rFonts w:ascii="Times New Roman" w:hAnsi="Times New Roman"/>
          <w:noProof/>
          <w:sz w:val="28"/>
          <w:szCs w:val="28"/>
          <w:lang w:val="uk-UA" w:eastAsia="ru-RU"/>
        </w:rPr>
        <w:t>1</w:t>
      </w:r>
    </w:p>
    <w:p w14:paraId="467E606D" w14:textId="78BCC071" w:rsidR="00507D30" w:rsidRPr="002F2A01" w:rsidRDefault="00F206E9" w:rsidP="002F2A01">
      <w:pPr>
        <w:spacing w:after="0" w:line="360" w:lineRule="auto"/>
        <w:jc w:val="center"/>
        <w:rPr>
          <w:rFonts w:ascii="Times New Roman" w:hAnsi="Times New Roman"/>
          <w:noProof/>
          <w:sz w:val="28"/>
          <w:szCs w:val="28"/>
          <w:lang w:val="uk-UA" w:eastAsia="ru-RU"/>
        </w:rPr>
      </w:pPr>
      <w:r>
        <w:rPr>
          <w:rFonts w:ascii="Times New Roman" w:hAnsi="Times New Roman"/>
          <w:noProof/>
          <w:sz w:val="28"/>
          <w:szCs w:val="28"/>
          <w:lang w:val="uk-UA" w:eastAsia="ru-RU"/>
        </w:rPr>
        <w:br w:type="page"/>
      </w:r>
      <w:r w:rsidR="00507D30">
        <w:rPr>
          <w:rFonts w:ascii="Times New Roman" w:hAnsi="Times New Roman" w:cs="Times New Roman"/>
          <w:b/>
          <w:bCs/>
          <w:sz w:val="28"/>
          <w:szCs w:val="28"/>
        </w:rPr>
        <w:lastRenderedPageBreak/>
        <w:t>ЗМІСТ</w:t>
      </w:r>
    </w:p>
    <w:p w14:paraId="554F1E65" w14:textId="77777777" w:rsidR="00C32FF4" w:rsidRPr="00C453D2" w:rsidRDefault="00C32FF4" w:rsidP="00FC7940">
      <w:pPr>
        <w:spacing w:after="0" w:line="360" w:lineRule="auto"/>
        <w:jc w:val="center"/>
        <w:rPr>
          <w:rFonts w:ascii="Times New Roman" w:hAnsi="Times New Roman" w:cs="Times New Roman"/>
          <w:sz w:val="28"/>
          <w:szCs w:val="28"/>
        </w:rPr>
      </w:pPr>
    </w:p>
    <w:p w14:paraId="18180900" w14:textId="48F7A566" w:rsidR="00C453D2" w:rsidRPr="00C453D2" w:rsidRDefault="00C32FF4">
      <w:pPr>
        <w:pStyle w:val="1"/>
        <w:rPr>
          <w:rFonts w:ascii="Times New Roman" w:eastAsiaTheme="minorEastAsia" w:hAnsi="Times New Roman" w:cs="Times New Roman"/>
          <w:noProof/>
          <w:sz w:val="28"/>
          <w:szCs w:val="28"/>
          <w:lang w:eastAsia="ru-RU"/>
        </w:rPr>
      </w:pPr>
      <w:r w:rsidRPr="00C453D2">
        <w:rPr>
          <w:rFonts w:ascii="Times New Roman" w:hAnsi="Times New Roman" w:cs="Times New Roman"/>
          <w:sz w:val="28"/>
          <w:szCs w:val="28"/>
        </w:rPr>
        <w:fldChar w:fldCharType="begin"/>
      </w:r>
      <w:r w:rsidRPr="00C453D2">
        <w:rPr>
          <w:rFonts w:ascii="Times New Roman" w:hAnsi="Times New Roman" w:cs="Times New Roman"/>
          <w:sz w:val="28"/>
          <w:szCs w:val="28"/>
        </w:rPr>
        <w:instrText xml:space="preserve"> TOC \o "1-3" \u </w:instrText>
      </w:r>
      <w:r w:rsidRPr="00C453D2">
        <w:rPr>
          <w:rFonts w:ascii="Times New Roman" w:hAnsi="Times New Roman" w:cs="Times New Roman"/>
          <w:sz w:val="28"/>
          <w:szCs w:val="28"/>
        </w:rPr>
        <w:fldChar w:fldCharType="separate"/>
      </w:r>
      <w:r w:rsidR="00C453D2" w:rsidRPr="00C453D2">
        <w:rPr>
          <w:rFonts w:ascii="Times New Roman" w:hAnsi="Times New Roman" w:cs="Times New Roman"/>
          <w:bCs/>
          <w:noProof/>
          <w:sz w:val="28"/>
          <w:szCs w:val="28"/>
        </w:rPr>
        <w:t>ВСТУП</w:t>
      </w:r>
      <w:r w:rsidR="00C453D2" w:rsidRPr="00C453D2">
        <w:rPr>
          <w:rFonts w:ascii="Times New Roman" w:hAnsi="Times New Roman" w:cs="Times New Roman"/>
          <w:noProof/>
          <w:sz w:val="28"/>
          <w:szCs w:val="28"/>
        </w:rPr>
        <w:tab/>
      </w:r>
      <w:r w:rsidR="00C453D2" w:rsidRPr="00C453D2">
        <w:rPr>
          <w:rFonts w:ascii="Times New Roman" w:hAnsi="Times New Roman" w:cs="Times New Roman"/>
          <w:noProof/>
          <w:sz w:val="28"/>
          <w:szCs w:val="28"/>
        </w:rPr>
        <w:fldChar w:fldCharType="begin"/>
      </w:r>
      <w:r w:rsidR="00C453D2" w:rsidRPr="00C453D2">
        <w:rPr>
          <w:rFonts w:ascii="Times New Roman" w:hAnsi="Times New Roman" w:cs="Times New Roman"/>
          <w:noProof/>
          <w:sz w:val="28"/>
          <w:szCs w:val="28"/>
        </w:rPr>
        <w:instrText xml:space="preserve"> PAGEREF _Toc75333581 \h </w:instrText>
      </w:r>
      <w:r w:rsidR="00C453D2" w:rsidRPr="00C453D2">
        <w:rPr>
          <w:rFonts w:ascii="Times New Roman" w:hAnsi="Times New Roman" w:cs="Times New Roman"/>
          <w:noProof/>
          <w:sz w:val="28"/>
          <w:szCs w:val="28"/>
        </w:rPr>
      </w:r>
      <w:r w:rsidR="00C453D2"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3</w:t>
      </w:r>
      <w:r w:rsidR="00C453D2" w:rsidRPr="00C453D2">
        <w:rPr>
          <w:rFonts w:ascii="Times New Roman" w:hAnsi="Times New Roman" w:cs="Times New Roman"/>
          <w:noProof/>
          <w:sz w:val="28"/>
          <w:szCs w:val="28"/>
        </w:rPr>
        <w:fldChar w:fldCharType="end"/>
      </w:r>
    </w:p>
    <w:p w14:paraId="6D1E0CDB" w14:textId="5ECB864C" w:rsidR="00C453D2" w:rsidRPr="00C453D2" w:rsidRDefault="00C453D2">
      <w:pPr>
        <w:pStyle w:val="1"/>
        <w:rPr>
          <w:rFonts w:ascii="Times New Roman" w:eastAsiaTheme="minorEastAsia" w:hAnsi="Times New Roman" w:cs="Times New Roman"/>
          <w:noProof/>
          <w:sz w:val="28"/>
          <w:szCs w:val="28"/>
          <w:lang w:eastAsia="ru-RU"/>
        </w:rPr>
      </w:pPr>
      <w:r w:rsidRPr="00C453D2">
        <w:rPr>
          <w:rFonts w:ascii="Times New Roman" w:eastAsia="Calibri" w:hAnsi="Times New Roman" w:cs="Times New Roman"/>
          <w:noProof/>
          <w:sz w:val="28"/>
          <w:szCs w:val="28"/>
          <w:lang w:val="uk-UA"/>
        </w:rPr>
        <w:t>РОЗДІЛ 1</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_Toc75333582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5</w:t>
      </w:r>
      <w:r w:rsidRPr="00C453D2">
        <w:rPr>
          <w:rFonts w:ascii="Times New Roman" w:hAnsi="Times New Roman" w:cs="Times New Roman"/>
          <w:noProof/>
          <w:sz w:val="28"/>
          <w:szCs w:val="28"/>
        </w:rPr>
        <w:fldChar w:fldCharType="end"/>
      </w:r>
    </w:p>
    <w:p w14:paraId="34E00ED1" w14:textId="3846AED6" w:rsidR="00C453D2" w:rsidRPr="00C453D2" w:rsidRDefault="00C453D2">
      <w:pPr>
        <w:pStyle w:val="1"/>
        <w:rPr>
          <w:rFonts w:ascii="Times New Roman" w:eastAsiaTheme="minorEastAsia" w:hAnsi="Times New Roman" w:cs="Times New Roman"/>
          <w:noProof/>
          <w:sz w:val="28"/>
          <w:szCs w:val="28"/>
          <w:lang w:eastAsia="ru-RU"/>
        </w:rPr>
      </w:pPr>
      <w:r w:rsidRPr="00C453D2">
        <w:rPr>
          <w:rFonts w:ascii="Times New Roman" w:eastAsia="Calibri" w:hAnsi="Times New Roman" w:cs="Times New Roman"/>
          <w:noProof/>
          <w:sz w:val="28"/>
          <w:szCs w:val="28"/>
          <w:lang w:val="uk-UA"/>
        </w:rPr>
        <w:t>ТЕОРЕТИЧНІ ОСНОВИ АНАЛІЗУ СТАНУ КРАЇН ЄВРОПИ</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_Toc75333583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5</w:t>
      </w:r>
      <w:r w:rsidRPr="00C453D2">
        <w:rPr>
          <w:rFonts w:ascii="Times New Roman" w:hAnsi="Times New Roman" w:cs="Times New Roman"/>
          <w:noProof/>
          <w:sz w:val="28"/>
          <w:szCs w:val="28"/>
        </w:rPr>
        <w:fldChar w:fldCharType="end"/>
      </w:r>
    </w:p>
    <w:p w14:paraId="12A53914" w14:textId="51C76B47" w:rsidR="00C453D2" w:rsidRPr="00C453D2" w:rsidRDefault="00C453D2">
      <w:pPr>
        <w:pStyle w:val="1"/>
        <w:rPr>
          <w:rFonts w:ascii="Times New Roman" w:eastAsiaTheme="minorEastAsia" w:hAnsi="Times New Roman" w:cs="Times New Roman"/>
          <w:noProof/>
          <w:sz w:val="28"/>
          <w:szCs w:val="28"/>
          <w:lang w:eastAsia="ru-RU"/>
        </w:rPr>
      </w:pPr>
      <w:r w:rsidRPr="00C453D2">
        <w:rPr>
          <w:rFonts w:ascii="Times New Roman" w:hAnsi="Times New Roman" w:cs="Times New Roman"/>
          <w:bCs/>
          <w:noProof/>
          <w:sz w:val="28"/>
          <w:szCs w:val="28"/>
        </w:rPr>
        <w:t>РОЗДІЛ 2</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_Toc75333584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13</w:t>
      </w:r>
      <w:r w:rsidRPr="00C453D2">
        <w:rPr>
          <w:rFonts w:ascii="Times New Roman" w:hAnsi="Times New Roman" w:cs="Times New Roman"/>
          <w:noProof/>
          <w:sz w:val="28"/>
          <w:szCs w:val="28"/>
        </w:rPr>
        <w:fldChar w:fldCharType="end"/>
      </w:r>
    </w:p>
    <w:p w14:paraId="678B5CE0" w14:textId="37513C0C" w:rsidR="00C453D2" w:rsidRPr="00C453D2" w:rsidRDefault="00C453D2">
      <w:pPr>
        <w:pStyle w:val="1"/>
        <w:rPr>
          <w:rFonts w:ascii="Times New Roman" w:eastAsiaTheme="minorEastAsia" w:hAnsi="Times New Roman" w:cs="Times New Roman"/>
          <w:noProof/>
          <w:sz w:val="28"/>
          <w:szCs w:val="28"/>
          <w:lang w:eastAsia="ru-RU"/>
        </w:rPr>
      </w:pPr>
      <w:r w:rsidRPr="00C453D2">
        <w:rPr>
          <w:rFonts w:ascii="Times New Roman" w:hAnsi="Times New Roman" w:cs="Times New Roman"/>
          <w:bCs/>
          <w:noProof/>
          <w:sz w:val="28"/>
          <w:szCs w:val="28"/>
        </w:rPr>
        <w:t>КОНКУРЕНТОСПРОМОЖ</w:t>
      </w:r>
      <w:r w:rsidRPr="00C453D2">
        <w:rPr>
          <w:rFonts w:ascii="Times New Roman" w:hAnsi="Times New Roman" w:cs="Times New Roman"/>
          <w:bCs/>
          <w:noProof/>
          <w:sz w:val="28"/>
          <w:szCs w:val="28"/>
          <w:lang w:val="uk-UA"/>
        </w:rPr>
        <w:t>НІСТЬ</w:t>
      </w:r>
      <w:r w:rsidRPr="00C453D2">
        <w:rPr>
          <w:rFonts w:ascii="Times New Roman" w:hAnsi="Times New Roman" w:cs="Times New Roman"/>
          <w:bCs/>
          <w:noProof/>
          <w:sz w:val="28"/>
          <w:szCs w:val="28"/>
        </w:rPr>
        <w:t xml:space="preserve"> ШВЕЙЦАРІЇ, ПОЛЬЩІ ТА УКРАЇНИ У ПЕРІОД ПАНДЕМІЇ </w:t>
      </w:r>
      <w:r w:rsidRPr="00C453D2">
        <w:rPr>
          <w:rFonts w:ascii="Times New Roman" w:hAnsi="Times New Roman" w:cs="Times New Roman"/>
          <w:bCs/>
          <w:noProof/>
          <w:sz w:val="28"/>
          <w:szCs w:val="28"/>
          <w:lang w:val="en-US"/>
        </w:rPr>
        <w:t>COVID</w:t>
      </w:r>
      <w:r w:rsidRPr="00C453D2">
        <w:rPr>
          <w:rFonts w:ascii="Times New Roman" w:hAnsi="Times New Roman" w:cs="Times New Roman"/>
          <w:bCs/>
          <w:noProof/>
          <w:sz w:val="28"/>
          <w:szCs w:val="28"/>
        </w:rPr>
        <w:t>-19</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_Toc75333585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13</w:t>
      </w:r>
      <w:r w:rsidRPr="00C453D2">
        <w:rPr>
          <w:rFonts w:ascii="Times New Roman" w:hAnsi="Times New Roman" w:cs="Times New Roman"/>
          <w:noProof/>
          <w:sz w:val="28"/>
          <w:szCs w:val="28"/>
        </w:rPr>
        <w:fldChar w:fldCharType="end"/>
      </w:r>
    </w:p>
    <w:p w14:paraId="6876E872" w14:textId="4478AA3B" w:rsidR="00C453D2" w:rsidRPr="00C453D2" w:rsidRDefault="00C453D2">
      <w:pPr>
        <w:pStyle w:val="2"/>
        <w:tabs>
          <w:tab w:val="right" w:leader="dot" w:pos="9486"/>
        </w:tabs>
        <w:rPr>
          <w:rFonts w:ascii="Times New Roman" w:eastAsiaTheme="minorEastAsia" w:hAnsi="Times New Roman" w:cs="Times New Roman"/>
          <w:noProof/>
          <w:sz w:val="28"/>
          <w:szCs w:val="28"/>
          <w:lang w:eastAsia="ru-RU"/>
        </w:rPr>
      </w:pPr>
      <w:r w:rsidRPr="00C453D2">
        <w:rPr>
          <w:rFonts w:ascii="Times New Roman" w:hAnsi="Times New Roman" w:cs="Times New Roman"/>
          <w:bCs/>
          <w:noProof/>
          <w:sz w:val="28"/>
          <w:szCs w:val="28"/>
          <w:lang w:val="uk-UA"/>
        </w:rPr>
        <w:t>2.1 Динаміка та структура соціально-економічних показників країн</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_Toc75333586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13</w:t>
      </w:r>
      <w:r w:rsidRPr="00C453D2">
        <w:rPr>
          <w:rFonts w:ascii="Times New Roman" w:hAnsi="Times New Roman" w:cs="Times New Roman"/>
          <w:noProof/>
          <w:sz w:val="28"/>
          <w:szCs w:val="28"/>
        </w:rPr>
        <w:fldChar w:fldCharType="end"/>
      </w:r>
    </w:p>
    <w:p w14:paraId="34C04CE9" w14:textId="57EB7CB2" w:rsidR="00C453D2" w:rsidRPr="00C453D2" w:rsidRDefault="00C453D2">
      <w:pPr>
        <w:pStyle w:val="2"/>
        <w:tabs>
          <w:tab w:val="right" w:leader="dot" w:pos="9486"/>
        </w:tabs>
        <w:rPr>
          <w:rFonts w:ascii="Times New Roman" w:eastAsiaTheme="minorEastAsia" w:hAnsi="Times New Roman" w:cs="Times New Roman"/>
          <w:noProof/>
          <w:sz w:val="28"/>
          <w:szCs w:val="28"/>
          <w:lang w:eastAsia="ru-RU"/>
        </w:rPr>
      </w:pPr>
      <w:r w:rsidRPr="00C453D2">
        <w:rPr>
          <w:rFonts w:ascii="Times New Roman" w:hAnsi="Times New Roman" w:cs="Times New Roman"/>
          <w:bCs/>
          <w:noProof/>
          <w:sz w:val="28"/>
          <w:szCs w:val="28"/>
          <w:lang w:val="uk-UA"/>
        </w:rPr>
        <w:t>2.2 Валютні курси та платіжні баланси країн у період пандемії</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_Toc75333587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25</w:t>
      </w:r>
      <w:r w:rsidRPr="00C453D2">
        <w:rPr>
          <w:rFonts w:ascii="Times New Roman" w:hAnsi="Times New Roman" w:cs="Times New Roman"/>
          <w:noProof/>
          <w:sz w:val="28"/>
          <w:szCs w:val="28"/>
        </w:rPr>
        <w:fldChar w:fldCharType="end"/>
      </w:r>
    </w:p>
    <w:p w14:paraId="505344E9" w14:textId="3F7F31A0" w:rsidR="00C453D2" w:rsidRPr="00C453D2" w:rsidRDefault="00C453D2">
      <w:pPr>
        <w:pStyle w:val="1"/>
        <w:rPr>
          <w:rFonts w:ascii="Times New Roman" w:eastAsiaTheme="minorEastAsia" w:hAnsi="Times New Roman" w:cs="Times New Roman"/>
          <w:noProof/>
          <w:sz w:val="28"/>
          <w:szCs w:val="28"/>
          <w:lang w:eastAsia="ru-RU"/>
        </w:rPr>
      </w:pPr>
      <w:r w:rsidRPr="00C453D2">
        <w:rPr>
          <w:rFonts w:ascii="Times New Roman" w:hAnsi="Times New Roman" w:cs="Times New Roman"/>
          <w:bCs/>
          <w:noProof/>
          <w:sz w:val="28"/>
          <w:szCs w:val="28"/>
        </w:rPr>
        <w:t xml:space="preserve">2.3 Порівняльний аналіз </w:t>
      </w:r>
      <w:r w:rsidRPr="00C453D2">
        <w:rPr>
          <w:rFonts w:ascii="Times New Roman" w:hAnsi="Times New Roman" w:cs="Times New Roman"/>
          <w:bCs/>
          <w:noProof/>
          <w:sz w:val="28"/>
          <w:szCs w:val="28"/>
          <w:lang w:val="uk-UA"/>
        </w:rPr>
        <w:t>результатів моделювання економічного розвитку України та Швейцарії</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_Toc75333588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42</w:t>
      </w:r>
      <w:r w:rsidRPr="00C453D2">
        <w:rPr>
          <w:rFonts w:ascii="Times New Roman" w:hAnsi="Times New Roman" w:cs="Times New Roman"/>
          <w:noProof/>
          <w:sz w:val="28"/>
          <w:szCs w:val="28"/>
        </w:rPr>
        <w:fldChar w:fldCharType="end"/>
      </w:r>
    </w:p>
    <w:p w14:paraId="25877650" w14:textId="41BDCEF8" w:rsidR="00C453D2" w:rsidRPr="00C453D2" w:rsidRDefault="00C453D2">
      <w:pPr>
        <w:pStyle w:val="1"/>
        <w:rPr>
          <w:rFonts w:ascii="Times New Roman" w:eastAsiaTheme="minorEastAsia" w:hAnsi="Times New Roman" w:cs="Times New Roman"/>
          <w:noProof/>
          <w:sz w:val="28"/>
          <w:szCs w:val="28"/>
          <w:lang w:eastAsia="ru-RU"/>
        </w:rPr>
      </w:pPr>
      <w:r w:rsidRPr="00C453D2">
        <w:rPr>
          <w:rFonts w:ascii="Times New Roman" w:hAnsi="Times New Roman" w:cs="Times New Roman"/>
          <w:bCs/>
          <w:noProof/>
          <w:sz w:val="28"/>
          <w:szCs w:val="28"/>
          <w:lang w:val="uk-UA"/>
        </w:rPr>
        <w:t>РОЗДІЛ 3</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_Toc75333589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47</w:t>
      </w:r>
      <w:r w:rsidRPr="00C453D2">
        <w:rPr>
          <w:rFonts w:ascii="Times New Roman" w:hAnsi="Times New Roman" w:cs="Times New Roman"/>
          <w:noProof/>
          <w:sz w:val="28"/>
          <w:szCs w:val="28"/>
        </w:rPr>
        <w:fldChar w:fldCharType="end"/>
      </w:r>
    </w:p>
    <w:p w14:paraId="58D2A278" w14:textId="576F3413" w:rsidR="00C453D2" w:rsidRPr="00C453D2" w:rsidRDefault="00C453D2">
      <w:pPr>
        <w:pStyle w:val="1"/>
        <w:rPr>
          <w:rFonts w:ascii="Times New Roman" w:eastAsiaTheme="minorEastAsia" w:hAnsi="Times New Roman" w:cs="Times New Roman"/>
          <w:noProof/>
          <w:sz w:val="28"/>
          <w:szCs w:val="28"/>
          <w:lang w:eastAsia="ru-RU"/>
        </w:rPr>
      </w:pPr>
      <w:r w:rsidRPr="00C453D2">
        <w:rPr>
          <w:rFonts w:ascii="Times New Roman" w:hAnsi="Times New Roman" w:cs="Times New Roman"/>
          <w:bCs/>
          <w:noProof/>
          <w:sz w:val="28"/>
          <w:szCs w:val="28"/>
          <w:lang w:val="uk-UA"/>
        </w:rPr>
        <w:t>ОСОБЛИВОСТІ ЗОВНІШНЬОЕКОНОМІЧНИХ ОПЕРАЦІЙ ШВЕЙЦАРІЇ ТА ПОЛЬЩІ З УКРАЇНОЮ</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_Toc75333590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47</w:t>
      </w:r>
      <w:r w:rsidRPr="00C453D2">
        <w:rPr>
          <w:rFonts w:ascii="Times New Roman" w:hAnsi="Times New Roman" w:cs="Times New Roman"/>
          <w:noProof/>
          <w:sz w:val="28"/>
          <w:szCs w:val="28"/>
        </w:rPr>
        <w:fldChar w:fldCharType="end"/>
      </w:r>
    </w:p>
    <w:p w14:paraId="23AFB368" w14:textId="542CF875" w:rsidR="00C453D2" w:rsidRPr="00C453D2" w:rsidRDefault="00C453D2">
      <w:pPr>
        <w:pStyle w:val="1"/>
        <w:rPr>
          <w:rFonts w:ascii="Times New Roman" w:eastAsiaTheme="minorEastAsia" w:hAnsi="Times New Roman" w:cs="Times New Roman"/>
          <w:noProof/>
          <w:sz w:val="28"/>
          <w:szCs w:val="28"/>
          <w:lang w:eastAsia="ru-RU"/>
        </w:rPr>
      </w:pPr>
      <w:r w:rsidRPr="00C453D2">
        <w:rPr>
          <w:rFonts w:ascii="Times New Roman" w:eastAsia="Times New Roman" w:hAnsi="Times New Roman" w:cs="Times New Roman"/>
          <w:bCs/>
          <w:noProof/>
          <w:sz w:val="28"/>
          <w:szCs w:val="28"/>
          <w:lang w:val="uk-UA"/>
        </w:rPr>
        <w:t>ВИСНОВКИ</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_Toc75333591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52</w:t>
      </w:r>
      <w:r w:rsidRPr="00C453D2">
        <w:rPr>
          <w:rFonts w:ascii="Times New Roman" w:hAnsi="Times New Roman" w:cs="Times New Roman"/>
          <w:noProof/>
          <w:sz w:val="28"/>
          <w:szCs w:val="28"/>
        </w:rPr>
        <w:fldChar w:fldCharType="end"/>
      </w:r>
    </w:p>
    <w:p w14:paraId="26826025" w14:textId="49A078F1" w:rsidR="00C453D2" w:rsidRPr="00C453D2" w:rsidRDefault="00C453D2">
      <w:pPr>
        <w:pStyle w:val="1"/>
        <w:rPr>
          <w:rFonts w:ascii="Times New Roman" w:eastAsiaTheme="minorEastAsia" w:hAnsi="Times New Roman" w:cs="Times New Roman"/>
          <w:noProof/>
          <w:sz w:val="28"/>
          <w:szCs w:val="28"/>
          <w:lang w:eastAsia="ru-RU"/>
        </w:rPr>
      </w:pPr>
      <w:r w:rsidRPr="00C453D2">
        <w:rPr>
          <w:rFonts w:ascii="Times New Roman" w:hAnsi="Times New Roman" w:cs="Times New Roman"/>
          <w:bCs/>
          <w:noProof/>
          <w:sz w:val="28"/>
          <w:szCs w:val="28"/>
          <w:lang w:val="uk-UA"/>
        </w:rPr>
        <w:t>СПИСОК ВИКОРИСТАННИХ ДЖЕРЕЛ</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_Toc75333592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55</w:t>
      </w:r>
      <w:r w:rsidRPr="00C453D2">
        <w:rPr>
          <w:rFonts w:ascii="Times New Roman" w:hAnsi="Times New Roman" w:cs="Times New Roman"/>
          <w:noProof/>
          <w:sz w:val="28"/>
          <w:szCs w:val="28"/>
        </w:rPr>
        <w:fldChar w:fldCharType="end"/>
      </w:r>
    </w:p>
    <w:p w14:paraId="72AF2A3B" w14:textId="12678702" w:rsidR="00C453D2" w:rsidRPr="00C453D2" w:rsidRDefault="00C453D2">
      <w:pPr>
        <w:pStyle w:val="1"/>
        <w:rPr>
          <w:rFonts w:ascii="Times New Roman" w:eastAsiaTheme="minorEastAsia" w:hAnsi="Times New Roman" w:cs="Times New Roman"/>
          <w:noProof/>
          <w:sz w:val="28"/>
          <w:szCs w:val="28"/>
          <w:lang w:eastAsia="ru-RU"/>
        </w:rPr>
      </w:pPr>
      <w:r w:rsidRPr="00C453D2">
        <w:rPr>
          <w:rFonts w:ascii="Times New Roman" w:hAnsi="Times New Roman" w:cs="Times New Roman"/>
          <w:noProof/>
          <w:sz w:val="28"/>
          <w:szCs w:val="28"/>
          <w:lang w:val="uk-UA"/>
        </w:rPr>
        <w:t>ДОДАТКИ</w:t>
      </w:r>
      <w:r w:rsidRPr="00C453D2">
        <w:rPr>
          <w:rFonts w:ascii="Times New Roman" w:hAnsi="Times New Roman" w:cs="Times New Roman"/>
          <w:noProof/>
          <w:sz w:val="28"/>
          <w:szCs w:val="28"/>
        </w:rPr>
        <w:tab/>
      </w:r>
      <w:r w:rsidRPr="00C453D2">
        <w:rPr>
          <w:rFonts w:ascii="Times New Roman" w:hAnsi="Times New Roman" w:cs="Times New Roman"/>
          <w:noProof/>
          <w:sz w:val="28"/>
          <w:szCs w:val="28"/>
        </w:rPr>
        <w:fldChar w:fldCharType="begin"/>
      </w:r>
      <w:r w:rsidRPr="00C453D2">
        <w:rPr>
          <w:rFonts w:ascii="Times New Roman" w:hAnsi="Times New Roman" w:cs="Times New Roman"/>
          <w:noProof/>
          <w:sz w:val="28"/>
          <w:szCs w:val="28"/>
        </w:rPr>
        <w:instrText xml:space="preserve"> PAGEREF _Toc75333593 \h </w:instrText>
      </w:r>
      <w:r w:rsidRPr="00C453D2">
        <w:rPr>
          <w:rFonts w:ascii="Times New Roman" w:hAnsi="Times New Roman" w:cs="Times New Roman"/>
          <w:noProof/>
          <w:sz w:val="28"/>
          <w:szCs w:val="28"/>
        </w:rPr>
      </w:r>
      <w:r w:rsidRPr="00C453D2">
        <w:rPr>
          <w:rFonts w:ascii="Times New Roman" w:hAnsi="Times New Roman" w:cs="Times New Roman"/>
          <w:noProof/>
          <w:sz w:val="28"/>
          <w:szCs w:val="28"/>
        </w:rPr>
        <w:fldChar w:fldCharType="separate"/>
      </w:r>
      <w:r w:rsidR="00760EFA">
        <w:rPr>
          <w:rFonts w:ascii="Times New Roman" w:hAnsi="Times New Roman" w:cs="Times New Roman"/>
          <w:noProof/>
          <w:sz w:val="28"/>
          <w:szCs w:val="28"/>
        </w:rPr>
        <w:t>66</w:t>
      </w:r>
      <w:r w:rsidRPr="00C453D2">
        <w:rPr>
          <w:rFonts w:ascii="Times New Roman" w:hAnsi="Times New Roman" w:cs="Times New Roman"/>
          <w:noProof/>
          <w:sz w:val="28"/>
          <w:szCs w:val="28"/>
        </w:rPr>
        <w:fldChar w:fldCharType="end"/>
      </w:r>
    </w:p>
    <w:p w14:paraId="54F2E3DF" w14:textId="6FD34C03" w:rsidR="00C32FF4" w:rsidRPr="00B00D60" w:rsidRDefault="00C32FF4" w:rsidP="00FC7940">
      <w:pPr>
        <w:spacing w:after="0" w:line="360" w:lineRule="auto"/>
        <w:jc w:val="both"/>
        <w:rPr>
          <w:rFonts w:ascii="Times New Roman" w:hAnsi="Times New Roman" w:cs="Times New Roman"/>
          <w:sz w:val="28"/>
          <w:szCs w:val="28"/>
        </w:rPr>
      </w:pPr>
      <w:r w:rsidRPr="00C453D2">
        <w:rPr>
          <w:rFonts w:ascii="Times New Roman" w:hAnsi="Times New Roman" w:cs="Times New Roman"/>
          <w:sz w:val="28"/>
          <w:szCs w:val="28"/>
        </w:rPr>
        <w:fldChar w:fldCharType="end"/>
      </w:r>
    </w:p>
    <w:p w14:paraId="3CC69031" w14:textId="42305E5F" w:rsidR="00C32FF4" w:rsidRDefault="00C32FF4" w:rsidP="00FC7940">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14:paraId="0ECD8684" w14:textId="051CCBE4" w:rsidR="00507D30" w:rsidRPr="007626F7" w:rsidRDefault="00507D30" w:rsidP="007626F7">
      <w:pPr>
        <w:spacing w:after="0" w:line="360" w:lineRule="auto"/>
        <w:jc w:val="center"/>
        <w:outlineLvl w:val="0"/>
        <w:rPr>
          <w:rFonts w:ascii="Times New Roman" w:hAnsi="Times New Roman" w:cs="Times New Roman"/>
          <w:b/>
          <w:bCs/>
          <w:sz w:val="28"/>
          <w:szCs w:val="28"/>
        </w:rPr>
      </w:pPr>
      <w:bookmarkStart w:id="1" w:name="_Toc75333581"/>
      <w:r w:rsidRPr="007626F7">
        <w:rPr>
          <w:rFonts w:ascii="Times New Roman" w:hAnsi="Times New Roman" w:cs="Times New Roman"/>
          <w:b/>
          <w:bCs/>
          <w:sz w:val="28"/>
          <w:szCs w:val="28"/>
        </w:rPr>
        <w:lastRenderedPageBreak/>
        <w:t>ВСТУП</w:t>
      </w:r>
      <w:bookmarkEnd w:id="1"/>
    </w:p>
    <w:p w14:paraId="7DAE36C3" w14:textId="77777777" w:rsidR="00507D30" w:rsidRPr="007626F7" w:rsidRDefault="00507D30" w:rsidP="007626F7">
      <w:pPr>
        <w:spacing w:after="0" w:line="360" w:lineRule="auto"/>
        <w:rPr>
          <w:rFonts w:ascii="Times New Roman" w:hAnsi="Times New Roman" w:cs="Times New Roman"/>
          <w:b/>
          <w:bCs/>
          <w:sz w:val="28"/>
          <w:szCs w:val="28"/>
        </w:rPr>
      </w:pPr>
    </w:p>
    <w:p w14:paraId="1F77DB9D" w14:textId="77777777"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b/>
          <w:sz w:val="28"/>
          <w:szCs w:val="28"/>
          <w:lang w:val="uk-UA"/>
        </w:rPr>
        <w:t>Актуальність роботи:</w:t>
      </w:r>
      <w:r w:rsidRPr="007626F7">
        <w:rPr>
          <w:rFonts w:ascii="Times New Roman" w:hAnsi="Times New Roman" w:cs="Times New Roman"/>
          <w:sz w:val="28"/>
          <w:szCs w:val="28"/>
          <w:lang w:val="uk-UA"/>
        </w:rPr>
        <w:t xml:space="preserve"> Пандемія не може безслідно пройти повз економіку країн. </w:t>
      </w:r>
      <w:bookmarkStart w:id="2" w:name="_Hlk74999341"/>
      <w:r w:rsidRPr="007626F7">
        <w:rPr>
          <w:rFonts w:ascii="Times New Roman" w:hAnsi="Times New Roman" w:cs="Times New Roman"/>
          <w:sz w:val="28"/>
          <w:szCs w:val="28"/>
          <w:lang w:val="uk-UA"/>
        </w:rPr>
        <w:t xml:space="preserve">Погана епідемічна ситуація має не тільки негативний вплив на стан здоров’я населення, демографічну ситуацію але і впливає на стан державних фінансів, ВВП країни, кількість безробітних. Особливо негативний вплив на країну під час пандемії мають додаткові витрати на підтримання функціонування медицини належним чином. З одного боку впровадження карантинного режиму має позитивний вплив на скорочення кількості хворих але з іншого боку, така межа захисту погано впливає на економіку, скорочується експорт та імпорт, що впливає на стан торгового балансу, через закриття підприємств та зменшення вироблення національних товарів зменшується ВВП країн та збільшується кількість безробітних. Тому у даній роботі буде розглянуто як саме пандемія вплинула на країни Європи на прикладі України, Швейцарії та Польщі. </w:t>
      </w:r>
    </w:p>
    <w:bookmarkEnd w:id="2"/>
    <w:p w14:paraId="5430EAC7" w14:textId="69E8A2BC"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Україна входить до розвиваючих країн, економіка країни мала достатньо проблем і без до початку пандемії, тому буде цікаво розглянути як саме така ситуація вплинула на країну. Швейцарія входить до розвинутих країн, економіка країни більш стійка та стабільна тому можна припустити, що  вплив пандемії буде менш значимим. Польща входить до країн з ринком, що розвиваються, вона є однією з перших країн яка змогла вийти зі списку розвиваючих країн, зараз вважається що Польща це країна з високим рівнем доходу як і Швейцарія.</w:t>
      </w:r>
    </w:p>
    <w:p w14:paraId="73ABBED7" w14:textId="74A20707"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 Тобто у роботі будуть розглянуті три країни які входять до різних груп згідно класифікації МВФ, що дасть змогу оцінити більш повну картину впливу пандемії на країни з різним рівнем розвитку.</w:t>
      </w:r>
    </w:p>
    <w:p w14:paraId="1EC52330" w14:textId="41EF8306"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b/>
          <w:sz w:val="28"/>
          <w:szCs w:val="28"/>
          <w:lang w:val="uk-UA"/>
        </w:rPr>
        <w:t xml:space="preserve">Мета роботи: </w:t>
      </w:r>
      <w:r w:rsidRPr="007626F7">
        <w:rPr>
          <w:rFonts w:ascii="Times New Roman" w:hAnsi="Times New Roman" w:cs="Times New Roman"/>
          <w:sz w:val="28"/>
          <w:szCs w:val="28"/>
          <w:lang w:val="uk-UA"/>
        </w:rPr>
        <w:t>полягає в порівняльному аналізі показників конкурентоспроможності України, Швейцарії та Польщі</w:t>
      </w:r>
      <w:r w:rsidR="00FB4D40" w:rsidRPr="007626F7">
        <w:rPr>
          <w:rFonts w:ascii="Times New Roman" w:hAnsi="Times New Roman" w:cs="Times New Roman"/>
          <w:sz w:val="28"/>
          <w:szCs w:val="28"/>
          <w:lang w:val="uk-UA"/>
        </w:rPr>
        <w:t xml:space="preserve"> в умовах пандемії </w:t>
      </w:r>
      <w:r w:rsidR="008838BD" w:rsidRPr="007626F7">
        <w:rPr>
          <w:rFonts w:ascii="Times New Roman" w:hAnsi="Times New Roman" w:cs="Times New Roman"/>
          <w:sz w:val="28"/>
          <w:szCs w:val="28"/>
          <w:lang w:val="en-US"/>
        </w:rPr>
        <w:t>C</w:t>
      </w:r>
      <w:r w:rsidR="00833925" w:rsidRPr="007626F7">
        <w:rPr>
          <w:rFonts w:ascii="Times New Roman" w:hAnsi="Times New Roman" w:cs="Times New Roman"/>
          <w:sz w:val="28"/>
          <w:szCs w:val="28"/>
          <w:lang w:val="en-US"/>
        </w:rPr>
        <w:t>OVID</w:t>
      </w:r>
      <w:r w:rsidR="00FB4D40" w:rsidRPr="007626F7">
        <w:rPr>
          <w:rFonts w:ascii="Times New Roman" w:hAnsi="Times New Roman" w:cs="Times New Roman"/>
          <w:sz w:val="28"/>
          <w:szCs w:val="28"/>
        </w:rPr>
        <w:t>-19</w:t>
      </w:r>
      <w:r w:rsidRPr="007626F7">
        <w:rPr>
          <w:rFonts w:ascii="Times New Roman" w:hAnsi="Times New Roman" w:cs="Times New Roman"/>
          <w:sz w:val="28"/>
          <w:szCs w:val="28"/>
          <w:lang w:val="uk-UA"/>
        </w:rPr>
        <w:t>.</w:t>
      </w:r>
    </w:p>
    <w:p w14:paraId="5C253D20" w14:textId="77777777" w:rsidR="00FB4D40" w:rsidRPr="007626F7" w:rsidRDefault="00FB4D40" w:rsidP="007626F7">
      <w:pPr>
        <w:spacing w:after="0" w:line="360" w:lineRule="auto"/>
        <w:ind w:firstLine="709"/>
        <w:jc w:val="both"/>
        <w:rPr>
          <w:rFonts w:ascii="Times New Roman" w:hAnsi="Times New Roman" w:cs="Times New Roman"/>
          <w:sz w:val="28"/>
          <w:szCs w:val="28"/>
          <w:lang w:val="uk-UA"/>
        </w:rPr>
      </w:pPr>
    </w:p>
    <w:p w14:paraId="0BE39D44" w14:textId="77777777"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b/>
          <w:sz w:val="28"/>
          <w:szCs w:val="28"/>
          <w:lang w:val="uk-UA"/>
        </w:rPr>
        <w:lastRenderedPageBreak/>
        <w:t xml:space="preserve">  Завдання роботи: </w:t>
      </w:r>
    </w:p>
    <w:p w14:paraId="3614EF5A" w14:textId="3F5BF7BC"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w:t>
      </w:r>
      <w:r w:rsidRPr="007626F7">
        <w:rPr>
          <w:rFonts w:ascii="Times New Roman" w:hAnsi="Times New Roman" w:cs="Times New Roman"/>
        </w:rPr>
        <w:t xml:space="preserve"> </w:t>
      </w:r>
      <w:r w:rsidR="00B2591D" w:rsidRPr="007626F7">
        <w:rPr>
          <w:rFonts w:ascii="Times New Roman" w:hAnsi="Times New Roman" w:cs="Times New Roman"/>
          <w:sz w:val="28"/>
          <w:szCs w:val="28"/>
          <w:lang w:val="uk-UA"/>
        </w:rPr>
        <w:t>вивчити теоретичні</w:t>
      </w:r>
      <w:r w:rsidR="00FB4D40"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основи аналізу національних економік у період пандемії;</w:t>
      </w:r>
    </w:p>
    <w:p w14:paraId="5C2F2BA2" w14:textId="4BA545B1"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w:t>
      </w:r>
      <w:r w:rsidR="00FB4D40" w:rsidRPr="007626F7">
        <w:rPr>
          <w:rFonts w:ascii="Times New Roman" w:hAnsi="Times New Roman" w:cs="Times New Roman"/>
          <w:sz w:val="28"/>
          <w:szCs w:val="28"/>
          <w:lang w:val="uk-UA"/>
        </w:rPr>
        <w:t>виявити динаміку соціально-економічних показників країн</w:t>
      </w:r>
      <w:r w:rsidRPr="007626F7">
        <w:rPr>
          <w:rFonts w:ascii="Times New Roman" w:hAnsi="Times New Roman" w:cs="Times New Roman"/>
          <w:sz w:val="28"/>
          <w:szCs w:val="28"/>
          <w:lang w:val="uk-UA"/>
        </w:rPr>
        <w:t>;</w:t>
      </w:r>
    </w:p>
    <w:p w14:paraId="7FCFD8F3" w14:textId="2FC7BB85"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w:t>
      </w:r>
      <w:r w:rsidRPr="007626F7">
        <w:rPr>
          <w:rFonts w:ascii="Times New Roman" w:hAnsi="Times New Roman" w:cs="Times New Roman"/>
        </w:rPr>
        <w:t xml:space="preserve"> </w:t>
      </w:r>
      <w:r w:rsidR="00FB4D40" w:rsidRPr="007626F7">
        <w:rPr>
          <w:rFonts w:ascii="Times New Roman" w:hAnsi="Times New Roman" w:cs="Times New Roman"/>
          <w:sz w:val="28"/>
          <w:szCs w:val="28"/>
          <w:lang w:val="uk-UA"/>
        </w:rPr>
        <w:t xml:space="preserve">охарактеризувати стан валютного курсу та платіжного балансу </w:t>
      </w:r>
      <w:r w:rsidRPr="007626F7">
        <w:rPr>
          <w:rFonts w:ascii="Times New Roman" w:hAnsi="Times New Roman" w:cs="Times New Roman"/>
          <w:sz w:val="28"/>
          <w:szCs w:val="28"/>
          <w:lang w:val="uk-UA"/>
        </w:rPr>
        <w:t>країн;</w:t>
      </w:r>
    </w:p>
    <w:p w14:paraId="63C2E4E0" w14:textId="44687742"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 </w:t>
      </w:r>
      <w:bookmarkStart w:id="3" w:name="_Hlk74997214"/>
      <w:r w:rsidR="00FB4D40" w:rsidRPr="007626F7">
        <w:rPr>
          <w:rFonts w:ascii="Times New Roman" w:hAnsi="Times New Roman" w:cs="Times New Roman"/>
          <w:sz w:val="28"/>
          <w:szCs w:val="28"/>
          <w:lang w:val="uk-UA"/>
        </w:rPr>
        <w:t>дослідити особливості</w:t>
      </w:r>
      <w:r w:rsidRPr="007626F7">
        <w:rPr>
          <w:rFonts w:ascii="Times New Roman" w:hAnsi="Times New Roman" w:cs="Times New Roman"/>
          <w:sz w:val="28"/>
          <w:szCs w:val="28"/>
          <w:lang w:val="uk-UA"/>
        </w:rPr>
        <w:t xml:space="preserve"> зовнішньоекономічних операцій Швейцарії та Польщі з Україною</w:t>
      </w:r>
      <w:bookmarkEnd w:id="3"/>
      <w:r w:rsidRPr="007626F7">
        <w:rPr>
          <w:rFonts w:ascii="Times New Roman" w:hAnsi="Times New Roman" w:cs="Times New Roman"/>
          <w:sz w:val="28"/>
          <w:szCs w:val="28"/>
          <w:lang w:val="uk-UA"/>
        </w:rPr>
        <w:t>.</w:t>
      </w:r>
    </w:p>
    <w:p w14:paraId="46D3564B" w14:textId="77777777"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b/>
          <w:sz w:val="28"/>
          <w:szCs w:val="28"/>
          <w:lang w:val="uk-UA"/>
        </w:rPr>
        <w:t xml:space="preserve">Об'єкт досліджень: </w:t>
      </w:r>
      <w:r w:rsidRPr="007626F7">
        <w:rPr>
          <w:rFonts w:ascii="Times New Roman" w:hAnsi="Times New Roman" w:cs="Times New Roman"/>
          <w:sz w:val="28"/>
          <w:szCs w:val="28"/>
          <w:lang w:val="uk-UA"/>
        </w:rPr>
        <w:t>економіки України, Швейцарії та Польщі.</w:t>
      </w:r>
    </w:p>
    <w:p w14:paraId="34A24AD2" w14:textId="754CB530"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b/>
          <w:sz w:val="28"/>
          <w:szCs w:val="28"/>
          <w:lang w:val="uk-UA"/>
        </w:rPr>
        <w:t>Предмет досліджень:</w:t>
      </w:r>
      <w:r w:rsidRPr="007626F7">
        <w:rPr>
          <w:rFonts w:ascii="Times New Roman" w:hAnsi="Times New Roman" w:cs="Times New Roman"/>
          <w:sz w:val="28"/>
          <w:szCs w:val="28"/>
          <w:lang w:val="uk-UA"/>
        </w:rPr>
        <w:t xml:space="preserve"> стан економічних показників країн та їх зміна </w:t>
      </w:r>
      <w:r w:rsidR="00B2591D" w:rsidRPr="007626F7">
        <w:rPr>
          <w:rFonts w:ascii="Times New Roman" w:hAnsi="Times New Roman" w:cs="Times New Roman"/>
          <w:sz w:val="28"/>
          <w:szCs w:val="28"/>
          <w:lang w:val="uk-UA"/>
        </w:rPr>
        <w:t xml:space="preserve">під впливом </w:t>
      </w:r>
      <w:r w:rsidRPr="007626F7">
        <w:rPr>
          <w:rFonts w:ascii="Times New Roman" w:hAnsi="Times New Roman" w:cs="Times New Roman"/>
          <w:sz w:val="28"/>
          <w:szCs w:val="28"/>
          <w:lang w:val="uk-UA"/>
        </w:rPr>
        <w:t>пандемії</w:t>
      </w:r>
      <w:r w:rsidR="00B2591D" w:rsidRPr="007626F7">
        <w:rPr>
          <w:rFonts w:ascii="Times New Roman" w:hAnsi="Times New Roman" w:cs="Times New Roman"/>
          <w:sz w:val="28"/>
          <w:szCs w:val="28"/>
          <w:lang w:val="uk-UA"/>
        </w:rPr>
        <w:t xml:space="preserve"> </w:t>
      </w:r>
      <w:r w:rsidR="00E22108" w:rsidRPr="007626F7">
        <w:rPr>
          <w:rFonts w:ascii="Times New Roman" w:hAnsi="Times New Roman" w:cs="Times New Roman"/>
          <w:sz w:val="28"/>
          <w:szCs w:val="28"/>
          <w:lang w:val="en-US"/>
        </w:rPr>
        <w:t>COVID</w:t>
      </w:r>
      <w:r w:rsidR="00B2591D" w:rsidRPr="007626F7">
        <w:rPr>
          <w:rFonts w:ascii="Times New Roman" w:hAnsi="Times New Roman" w:cs="Times New Roman"/>
          <w:sz w:val="28"/>
          <w:szCs w:val="28"/>
          <w:lang w:val="uk-UA"/>
        </w:rPr>
        <w:t>-19</w:t>
      </w:r>
      <w:r w:rsidRPr="007626F7">
        <w:rPr>
          <w:rFonts w:ascii="Times New Roman" w:hAnsi="Times New Roman" w:cs="Times New Roman"/>
          <w:sz w:val="28"/>
          <w:szCs w:val="28"/>
          <w:lang w:val="uk-UA"/>
        </w:rPr>
        <w:t>.</w:t>
      </w:r>
    </w:p>
    <w:p w14:paraId="3F126AA4" w14:textId="0F3FBD8C" w:rsidR="00C32FF4"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Робота складається з вступу, трьох розділів, висновків та списку використаних джерел. Основою дослідження є стан економічних показників, валютного ку</w:t>
      </w:r>
      <w:r w:rsidR="0089556E" w:rsidRPr="007626F7">
        <w:rPr>
          <w:rFonts w:ascii="Times New Roman" w:hAnsi="Times New Roman" w:cs="Times New Roman"/>
          <w:sz w:val="28"/>
          <w:szCs w:val="28"/>
          <w:lang w:val="uk-UA"/>
        </w:rPr>
        <w:t>рсу та платіжного балансу,</w:t>
      </w:r>
      <w:r w:rsidRPr="007626F7">
        <w:rPr>
          <w:rFonts w:ascii="Times New Roman" w:hAnsi="Times New Roman" w:cs="Times New Roman"/>
          <w:sz w:val="28"/>
          <w:szCs w:val="28"/>
          <w:lang w:val="uk-UA"/>
        </w:rPr>
        <w:t xml:space="preserve"> статті вчених щодо стану економік у період пандемії. При написанні роботи були використанні такі данні, як : дані щодо державних фінансів, платіжного балансу, валютного курсу та інші економічні показники з початку пандемії. </w:t>
      </w:r>
      <w:bookmarkStart w:id="4" w:name="_Toc56954697"/>
    </w:p>
    <w:p w14:paraId="37DD2197" w14:textId="3EC2BA47" w:rsidR="00C32FF4" w:rsidRPr="007626F7" w:rsidRDefault="0002273F"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Дипломна робота пройшла апробацію на наукових конференціях, а саме: на міжнародній науково-практичній конференції </w:t>
      </w:r>
      <w:r w:rsidR="00901FFC" w:rsidRPr="007626F7">
        <w:rPr>
          <w:rFonts w:ascii="Times New Roman" w:hAnsi="Times New Roman" w:cs="Times New Roman"/>
          <w:sz w:val="28"/>
          <w:szCs w:val="28"/>
          <w:lang w:val="uk-UA"/>
        </w:rPr>
        <w:t>«Економіка, менеджмент та аудит: сучасні напрями розвитку» - 30 квітня 2021 року</w:t>
      </w:r>
      <w:r w:rsidR="00410270" w:rsidRPr="007626F7">
        <w:rPr>
          <w:rFonts w:ascii="Times New Roman" w:hAnsi="Times New Roman" w:cs="Times New Roman"/>
          <w:sz w:val="28"/>
          <w:szCs w:val="28"/>
          <w:lang w:val="uk-UA"/>
        </w:rPr>
        <w:t>, а також на міжнародній науково-практичній конференції «Економіка сьогодення: актуальні питання і трансформаційні процеси»</w:t>
      </w:r>
      <w:r w:rsidR="008E0BD5" w:rsidRPr="007626F7">
        <w:rPr>
          <w:rFonts w:ascii="Times New Roman" w:hAnsi="Times New Roman" w:cs="Times New Roman"/>
          <w:sz w:val="28"/>
          <w:szCs w:val="28"/>
          <w:lang w:val="uk-UA"/>
        </w:rPr>
        <w:t xml:space="preserve"> -30 квітня 2021 року.</w:t>
      </w:r>
      <w:r w:rsidR="00C32FF4" w:rsidRPr="007626F7">
        <w:rPr>
          <w:rFonts w:ascii="Times New Roman" w:hAnsi="Times New Roman" w:cs="Times New Roman"/>
          <w:sz w:val="28"/>
          <w:szCs w:val="28"/>
          <w:lang w:val="uk-UA"/>
        </w:rPr>
        <w:br w:type="page"/>
      </w:r>
    </w:p>
    <w:p w14:paraId="00ACB146" w14:textId="77777777" w:rsidR="00C32FF4" w:rsidRPr="007626F7" w:rsidRDefault="00507D30" w:rsidP="007626F7">
      <w:pPr>
        <w:spacing w:after="0" w:line="360" w:lineRule="auto"/>
        <w:ind w:firstLine="709"/>
        <w:jc w:val="center"/>
        <w:outlineLvl w:val="0"/>
        <w:rPr>
          <w:rFonts w:ascii="Times New Roman" w:eastAsia="Calibri" w:hAnsi="Times New Roman" w:cs="Times New Roman"/>
          <w:b/>
          <w:sz w:val="28"/>
          <w:szCs w:val="28"/>
          <w:lang w:val="uk-UA"/>
        </w:rPr>
      </w:pPr>
      <w:bookmarkStart w:id="5" w:name="_Toc75333582"/>
      <w:r w:rsidRPr="007626F7">
        <w:rPr>
          <w:rFonts w:ascii="Times New Roman" w:eastAsia="Calibri" w:hAnsi="Times New Roman" w:cs="Times New Roman"/>
          <w:b/>
          <w:sz w:val="28"/>
          <w:szCs w:val="28"/>
          <w:lang w:val="uk-UA"/>
        </w:rPr>
        <w:lastRenderedPageBreak/>
        <w:t>РОЗДІЛ 1</w:t>
      </w:r>
      <w:bookmarkEnd w:id="5"/>
    </w:p>
    <w:p w14:paraId="6018AC90" w14:textId="0FBF3D2E" w:rsidR="00C32FF4" w:rsidRPr="007626F7" w:rsidRDefault="00507D30" w:rsidP="007626F7">
      <w:pPr>
        <w:spacing w:after="0" w:line="360" w:lineRule="auto"/>
        <w:ind w:firstLine="709"/>
        <w:jc w:val="center"/>
        <w:outlineLvl w:val="0"/>
        <w:rPr>
          <w:rFonts w:ascii="Times New Roman" w:eastAsia="Calibri" w:hAnsi="Times New Roman" w:cs="Times New Roman"/>
          <w:b/>
          <w:sz w:val="28"/>
          <w:szCs w:val="28"/>
          <w:lang w:val="uk-UA"/>
        </w:rPr>
      </w:pPr>
      <w:bookmarkStart w:id="6" w:name="_Toc75333583"/>
      <w:r w:rsidRPr="007626F7">
        <w:rPr>
          <w:rFonts w:ascii="Times New Roman" w:eastAsia="Calibri" w:hAnsi="Times New Roman" w:cs="Times New Roman"/>
          <w:b/>
          <w:sz w:val="28"/>
          <w:szCs w:val="28"/>
          <w:lang w:val="uk-UA"/>
        </w:rPr>
        <w:t xml:space="preserve">ТЕОРЕТИЧНІ ОСНОВИ АНАЛІЗУ </w:t>
      </w:r>
      <w:bookmarkEnd w:id="4"/>
      <w:r w:rsidRPr="007626F7">
        <w:rPr>
          <w:rFonts w:ascii="Times New Roman" w:eastAsia="Calibri" w:hAnsi="Times New Roman" w:cs="Times New Roman"/>
          <w:b/>
          <w:sz w:val="28"/>
          <w:szCs w:val="28"/>
          <w:lang w:val="uk-UA"/>
        </w:rPr>
        <w:t>СТАНУ КРАЇН ЄВРОПИ</w:t>
      </w:r>
      <w:bookmarkEnd w:id="6"/>
      <w:r w:rsidRPr="007626F7">
        <w:rPr>
          <w:rFonts w:ascii="Times New Roman" w:eastAsia="Calibri" w:hAnsi="Times New Roman" w:cs="Times New Roman"/>
          <w:b/>
          <w:sz w:val="28"/>
          <w:szCs w:val="28"/>
          <w:lang w:val="uk-UA"/>
        </w:rPr>
        <w:t xml:space="preserve"> </w:t>
      </w:r>
    </w:p>
    <w:p w14:paraId="24AF1411" w14:textId="77777777" w:rsidR="008D5A1D" w:rsidRPr="007626F7" w:rsidRDefault="008D5A1D" w:rsidP="007626F7">
      <w:pPr>
        <w:spacing w:after="0" w:line="360" w:lineRule="auto"/>
        <w:ind w:firstLine="709"/>
        <w:rPr>
          <w:rFonts w:ascii="Times New Roman" w:eastAsia="Calibri" w:hAnsi="Times New Roman" w:cs="Times New Roman"/>
          <w:b/>
          <w:sz w:val="28"/>
          <w:szCs w:val="28"/>
          <w:lang w:val="uk-UA"/>
        </w:rPr>
      </w:pPr>
    </w:p>
    <w:p w14:paraId="3344D75B" w14:textId="77777777" w:rsidR="00507D30" w:rsidRPr="007626F7" w:rsidRDefault="00507D30" w:rsidP="007626F7">
      <w:pPr>
        <w:spacing w:after="0" w:line="360" w:lineRule="auto"/>
        <w:ind w:firstLine="709"/>
        <w:jc w:val="both"/>
        <w:rPr>
          <w:rFonts w:ascii="Times New Roman" w:eastAsia="Calibri" w:hAnsi="Times New Roman" w:cs="Times New Roman"/>
          <w:bCs/>
          <w:sz w:val="28"/>
          <w:szCs w:val="28"/>
          <w:lang w:val="uk-UA"/>
        </w:rPr>
      </w:pPr>
      <w:r w:rsidRPr="007626F7">
        <w:rPr>
          <w:rFonts w:ascii="Times New Roman" w:eastAsia="Calibri" w:hAnsi="Times New Roman" w:cs="Times New Roman"/>
          <w:bCs/>
          <w:sz w:val="28"/>
          <w:szCs w:val="28"/>
          <w:lang w:val="uk-UA"/>
        </w:rPr>
        <w:t>У даному розділі будуть проаналізовані статті щодо стану економік України, Польщі, Швейцарії у період пандемії та як саме країни реагували на кризову ситуацію або можливість її виникнення.</w:t>
      </w:r>
    </w:p>
    <w:p w14:paraId="73069C51" w14:textId="77777777" w:rsidR="00507D30" w:rsidRPr="007626F7" w:rsidRDefault="00507D30" w:rsidP="007626F7">
      <w:pPr>
        <w:spacing w:after="0" w:line="360" w:lineRule="auto"/>
        <w:ind w:firstLine="709"/>
        <w:jc w:val="both"/>
        <w:rPr>
          <w:rFonts w:ascii="Times New Roman" w:eastAsia="Calibri" w:hAnsi="Times New Roman" w:cs="Times New Roman"/>
          <w:bCs/>
          <w:sz w:val="28"/>
          <w:szCs w:val="28"/>
          <w:lang w:val="uk-UA"/>
        </w:rPr>
      </w:pPr>
      <w:r w:rsidRPr="007626F7">
        <w:rPr>
          <w:rFonts w:ascii="Times New Roman" w:eastAsia="Calibri" w:hAnsi="Times New Roman" w:cs="Times New Roman"/>
          <w:bCs/>
          <w:sz w:val="28"/>
          <w:szCs w:val="28"/>
          <w:lang w:val="uk-UA"/>
        </w:rPr>
        <w:t>Спочатку розглянемо становище у Швейцарії для цього переглянемо статтю «Фінансова підтримка COVID-19 малому бізнесу у Швейцарії: оцінка та перспективи»</w:t>
      </w:r>
      <w:r w:rsidRPr="007626F7">
        <w:rPr>
          <w:rFonts w:ascii="Times New Roman" w:eastAsia="Calibri" w:hAnsi="Times New Roman" w:cs="Times New Roman"/>
          <w:sz w:val="28"/>
          <w:lang w:val="uk-UA"/>
        </w:rPr>
        <w:t xml:space="preserve"> </w:t>
      </w:r>
      <w:bookmarkStart w:id="7" w:name="_Hlk74996686"/>
      <w:r w:rsidRPr="007626F7">
        <w:rPr>
          <w:rFonts w:ascii="Times New Roman" w:eastAsia="Calibri" w:hAnsi="Times New Roman" w:cs="Times New Roman"/>
          <w:bCs/>
          <w:sz w:val="28"/>
          <w:szCs w:val="28"/>
          <w:lang w:val="uk-UA"/>
        </w:rPr>
        <w:t>Брюльхарт, М., Лаліве, Р., Леман, Т</w:t>
      </w:r>
      <w:bookmarkEnd w:id="7"/>
      <w:r w:rsidRPr="007626F7">
        <w:rPr>
          <w:rFonts w:ascii="Times New Roman" w:eastAsia="Calibri" w:hAnsi="Times New Roman" w:cs="Times New Roman"/>
          <w:bCs/>
          <w:sz w:val="28"/>
          <w:szCs w:val="28"/>
          <w:lang w:val="uk-UA"/>
        </w:rPr>
        <w:t>.</w:t>
      </w:r>
      <w:r w:rsidRPr="007626F7">
        <w:rPr>
          <w:rFonts w:ascii="Times New Roman" w:eastAsia="Calibri" w:hAnsi="Times New Roman" w:cs="Times New Roman"/>
          <w:sz w:val="28"/>
          <w:lang w:val="uk-UA"/>
        </w:rPr>
        <w:t xml:space="preserve"> </w:t>
      </w:r>
      <w:r w:rsidRPr="007626F7">
        <w:rPr>
          <w:rFonts w:ascii="Times New Roman" w:eastAsia="Calibri" w:hAnsi="Times New Roman" w:cs="Times New Roman"/>
          <w:bCs/>
          <w:sz w:val="28"/>
          <w:szCs w:val="28"/>
          <w:lang w:val="uk-UA"/>
        </w:rPr>
        <w:t>(2020). Авторами статті було проаналізовано опитування, яке було проведено серед власників малого бізнесу та працівників у Швейцарії. Авторами було виявлено, що "об'єктивні" заходи, що впливають на блокування та економічну структуру, досить добре пояснюють, як бізнес скористався заходами підтримки для покриття витрат на робочу силу. Власники малого бізнесу більш охоче брали кредит саме під час пандемії навіть, ніж ті, хто був без боргів до пандемії. Також авторами була запропонована ідея виплати кредиту за допомогою майбутніх прибутків які згенерує компанія. «Це буде ефективніше націлювати та підтримувати підприємства, які сьогодні переживають проблеми, але були б життєздатними за відсутності COVID-19» - зазначають автори [1].</w:t>
      </w:r>
    </w:p>
    <w:p w14:paraId="5FA7BC98" w14:textId="64B6F991" w:rsidR="00507D30" w:rsidRPr="007626F7" w:rsidRDefault="00507D30" w:rsidP="007626F7">
      <w:pPr>
        <w:spacing w:after="0" w:line="360" w:lineRule="auto"/>
        <w:ind w:firstLine="709"/>
        <w:jc w:val="both"/>
        <w:rPr>
          <w:rFonts w:ascii="Times New Roman" w:eastAsia="Calibri" w:hAnsi="Times New Roman" w:cs="Times New Roman"/>
          <w:bCs/>
          <w:sz w:val="28"/>
          <w:szCs w:val="28"/>
          <w:lang w:val="uk-UA"/>
        </w:rPr>
      </w:pPr>
      <w:r w:rsidRPr="007626F7">
        <w:rPr>
          <w:rFonts w:ascii="Times New Roman" w:eastAsia="Calibri" w:hAnsi="Times New Roman" w:cs="Times New Roman"/>
          <w:bCs/>
          <w:sz w:val="28"/>
          <w:szCs w:val="28"/>
          <w:lang w:val="uk-UA"/>
        </w:rPr>
        <w:t xml:space="preserve">Далі розглянемо, ще одну статтю щодо становища у Швейцарії «Відповідь на кризу COVID </w:t>
      </w:r>
      <w:r w:rsidRPr="007626F7">
        <w:rPr>
          <w:rFonts w:ascii="Cambria Math" w:eastAsia="Calibri" w:hAnsi="Cambria Math" w:cs="Cambria Math"/>
          <w:bCs/>
          <w:sz w:val="28"/>
          <w:szCs w:val="28"/>
          <w:lang w:val="uk-UA"/>
        </w:rPr>
        <w:t>‐</w:t>
      </w:r>
      <w:r w:rsidRPr="007626F7">
        <w:rPr>
          <w:rFonts w:ascii="Times New Roman" w:eastAsia="Calibri" w:hAnsi="Times New Roman" w:cs="Times New Roman"/>
          <w:bCs/>
          <w:sz w:val="28"/>
          <w:szCs w:val="28"/>
          <w:lang w:val="uk-UA"/>
        </w:rPr>
        <w:t xml:space="preserve"> 19: трансформаційне управління в Швейцарії»</w:t>
      </w:r>
      <w:r w:rsidRPr="007626F7">
        <w:rPr>
          <w:rFonts w:ascii="Times New Roman" w:eastAsia="Calibri" w:hAnsi="Times New Roman" w:cs="Times New Roman"/>
          <w:sz w:val="28"/>
          <w:lang w:val="uk-UA"/>
        </w:rPr>
        <w:t xml:space="preserve"> </w:t>
      </w:r>
      <w:bookmarkStart w:id="8" w:name="_Hlk74996698"/>
      <w:r w:rsidRPr="007626F7">
        <w:rPr>
          <w:rFonts w:ascii="Times New Roman" w:eastAsia="Calibri" w:hAnsi="Times New Roman" w:cs="Times New Roman"/>
          <w:bCs/>
          <w:sz w:val="28"/>
          <w:szCs w:val="28"/>
          <w:lang w:val="uk-UA"/>
        </w:rPr>
        <w:t xml:space="preserve">Я. Віллі, Г. Ніщик, Д. Брауншвейгер, М. Пютц </w:t>
      </w:r>
      <w:bookmarkEnd w:id="8"/>
      <w:r w:rsidRPr="007626F7">
        <w:rPr>
          <w:rFonts w:ascii="Times New Roman" w:eastAsia="Calibri" w:hAnsi="Times New Roman" w:cs="Times New Roman"/>
          <w:bCs/>
          <w:sz w:val="28"/>
          <w:szCs w:val="28"/>
          <w:lang w:val="uk-UA"/>
        </w:rPr>
        <w:t>(2020).</w:t>
      </w:r>
      <w:r w:rsidRPr="007626F7">
        <w:rPr>
          <w:rFonts w:ascii="Times New Roman" w:eastAsia="Calibri" w:hAnsi="Times New Roman" w:cs="Times New Roman"/>
          <w:sz w:val="28"/>
          <w:lang w:val="uk-UA"/>
        </w:rPr>
        <w:t xml:space="preserve"> Автори зазначають, що традиційні методи управління в умовах пандемії є застарілими, тому вони розглядають інші методи управління, які вони назвали трансформативними, ці методі є експериментальними та невизначеними. А саме вони розглядають приклад </w:t>
      </w:r>
      <w:r w:rsidRPr="007626F7">
        <w:rPr>
          <w:rFonts w:ascii="Times New Roman" w:eastAsia="Calibri" w:hAnsi="Times New Roman" w:cs="Times New Roman"/>
          <w:bCs/>
          <w:sz w:val="28"/>
          <w:szCs w:val="28"/>
          <w:lang w:val="uk-UA"/>
        </w:rPr>
        <w:t xml:space="preserve">Швейцарії, і як саме політичні відповіді на COVID-19 відображають трансформативне управління.  Трансформативне управляння передбачає дослідження чотирьох проблем таких, як: фактична база формування політики; роль держави у трансформаційному управлінні; потенціал </w:t>
      </w:r>
      <w:r w:rsidRPr="007626F7">
        <w:rPr>
          <w:rFonts w:ascii="Times New Roman" w:eastAsia="Calibri" w:hAnsi="Times New Roman" w:cs="Times New Roman"/>
          <w:bCs/>
          <w:sz w:val="28"/>
          <w:szCs w:val="28"/>
          <w:lang w:val="uk-UA"/>
        </w:rPr>
        <w:lastRenderedPageBreak/>
        <w:t xml:space="preserve">експериментального управління; та парадигми, що зумовлюють зміну політики </w:t>
      </w:r>
      <w:r w:rsidRPr="007626F7">
        <w:rPr>
          <w:rFonts w:ascii="Times New Roman" w:eastAsia="Calibri" w:hAnsi="Times New Roman" w:cs="Times New Roman"/>
          <w:bCs/>
          <w:sz w:val="28"/>
          <w:szCs w:val="28"/>
        </w:rPr>
        <w:t>[2]</w:t>
      </w:r>
      <w:r w:rsidRPr="007626F7">
        <w:rPr>
          <w:rFonts w:ascii="Times New Roman" w:eastAsia="Calibri" w:hAnsi="Times New Roman" w:cs="Times New Roman"/>
          <w:bCs/>
          <w:sz w:val="28"/>
          <w:szCs w:val="28"/>
          <w:lang w:val="uk-UA"/>
        </w:rPr>
        <w:t xml:space="preserve">. </w:t>
      </w:r>
    </w:p>
    <w:p w14:paraId="40FB0616" w14:textId="6564080E" w:rsidR="00507D30" w:rsidRPr="007626F7" w:rsidRDefault="00507D30" w:rsidP="007626F7">
      <w:pPr>
        <w:spacing w:after="0" w:line="360" w:lineRule="auto"/>
        <w:ind w:firstLine="709"/>
        <w:jc w:val="both"/>
        <w:rPr>
          <w:rFonts w:ascii="Times New Roman" w:eastAsia="Calibri" w:hAnsi="Times New Roman" w:cs="Times New Roman"/>
          <w:color w:val="000000"/>
          <w:sz w:val="28"/>
        </w:rPr>
      </w:pPr>
      <w:r w:rsidRPr="007626F7">
        <w:rPr>
          <w:rFonts w:ascii="Times New Roman" w:eastAsia="Calibri" w:hAnsi="Times New Roman" w:cs="Times New Roman"/>
          <w:sz w:val="28"/>
          <w:lang w:val="uk-UA"/>
        </w:rPr>
        <w:t xml:space="preserve">Розглянемо статтю «Велика пауза: незначне теоретичне дослідження реакції на COVID-19 у Швейцарії» </w:t>
      </w:r>
      <w:bookmarkStart w:id="9" w:name="_Hlk74996709"/>
      <w:r w:rsidRPr="007626F7">
        <w:rPr>
          <w:rFonts w:ascii="Times New Roman" w:eastAsia="Calibri" w:hAnsi="Times New Roman" w:cs="Times New Roman"/>
          <w:sz w:val="28"/>
          <w:lang w:val="uk-UA"/>
        </w:rPr>
        <w:t>С</w:t>
      </w:r>
      <w:r w:rsidR="00071331" w:rsidRPr="007626F7">
        <w:rPr>
          <w:rFonts w:ascii="Times New Roman" w:eastAsia="Calibri" w:hAnsi="Times New Roman" w:cs="Times New Roman"/>
          <w:sz w:val="28"/>
          <w:lang w:val="uk-UA"/>
        </w:rPr>
        <w:t>.</w:t>
      </w:r>
      <w:r w:rsidRPr="007626F7">
        <w:rPr>
          <w:rFonts w:ascii="Times New Roman" w:eastAsia="Calibri" w:hAnsi="Times New Roman" w:cs="Times New Roman"/>
          <w:sz w:val="28"/>
          <w:lang w:val="uk-UA"/>
        </w:rPr>
        <w:t xml:space="preserve"> Д</w:t>
      </w:r>
      <w:r w:rsidR="00071331" w:rsidRPr="007626F7">
        <w:rPr>
          <w:rFonts w:ascii="Times New Roman" w:eastAsia="Calibri" w:hAnsi="Times New Roman" w:cs="Times New Roman"/>
          <w:sz w:val="28"/>
          <w:lang w:val="uk-UA"/>
        </w:rPr>
        <w:t>.</w:t>
      </w:r>
      <w:r w:rsidRPr="007626F7">
        <w:rPr>
          <w:rFonts w:ascii="Times New Roman" w:eastAsia="Calibri" w:hAnsi="Times New Roman" w:cs="Times New Roman"/>
          <w:sz w:val="28"/>
          <w:lang w:val="uk-UA"/>
        </w:rPr>
        <w:t xml:space="preserve"> Вульф </w:t>
      </w:r>
      <w:bookmarkEnd w:id="9"/>
      <w:r w:rsidRPr="007626F7">
        <w:rPr>
          <w:rFonts w:ascii="Times New Roman" w:eastAsia="Calibri" w:hAnsi="Times New Roman" w:cs="Times New Roman"/>
          <w:sz w:val="28"/>
          <w:lang w:val="uk-UA"/>
        </w:rPr>
        <w:t xml:space="preserve">(2020). Автор досліджував вплив пандемії на Швейцарію і зазначав, що не дивлячись на те, що Швейцарія взагалі дуже стабільна країна, пандемія похитнула становище в країні. </w:t>
      </w:r>
      <w:r w:rsidRPr="007626F7">
        <w:rPr>
          <w:rFonts w:ascii="Times New Roman" w:eastAsia="Calibri" w:hAnsi="Times New Roman" w:cs="Times New Roman"/>
          <w:color w:val="000000"/>
          <w:sz w:val="28"/>
        </w:rPr>
        <w:t xml:space="preserve">У Швейцарії культурні спорідненості та економічні зв'язки з сусідніми державами призвели до плавних, практично не існуючих кордонів. </w:t>
      </w:r>
      <w:r w:rsidRPr="007626F7">
        <w:rPr>
          <w:rFonts w:ascii="Times New Roman" w:eastAsia="Calibri" w:hAnsi="Times New Roman" w:cs="Times New Roman"/>
          <w:color w:val="000000"/>
          <w:sz w:val="28"/>
          <w:lang w:val="uk-UA"/>
        </w:rPr>
        <w:t>Автор пише, що в</w:t>
      </w:r>
      <w:r w:rsidRPr="007626F7">
        <w:rPr>
          <w:rFonts w:ascii="Times New Roman" w:eastAsia="Calibri" w:hAnsi="Times New Roman" w:cs="Times New Roman"/>
          <w:color w:val="000000"/>
          <w:sz w:val="28"/>
        </w:rPr>
        <w:t>раховуючи легкість подорожей, не дивно, що COVID-19</w:t>
      </w:r>
      <w:r w:rsidR="008C0C51" w:rsidRPr="007626F7">
        <w:rPr>
          <w:rFonts w:ascii="Times New Roman" w:eastAsia="Calibri" w:hAnsi="Times New Roman" w:cs="Times New Roman"/>
          <w:color w:val="000000"/>
          <w:sz w:val="28"/>
        </w:rPr>
        <w:t xml:space="preserve"> настільки швидко поширився тут </w:t>
      </w:r>
      <w:r w:rsidRPr="007626F7">
        <w:rPr>
          <w:rFonts w:ascii="Times New Roman" w:eastAsia="Calibri" w:hAnsi="Times New Roman" w:cs="Times New Roman"/>
          <w:color w:val="000000"/>
          <w:sz w:val="28"/>
        </w:rPr>
        <w:t>і в контексті кантональної незалежності федеральний уряд повільно розробляв гармонізовану національну відповідь. На місцях криза і блокування також вплинули на людей відповідно до їхніх індивідуальних позицій</w:t>
      </w:r>
      <w:r w:rsidRPr="007626F7">
        <w:rPr>
          <w:rFonts w:ascii="Times New Roman" w:eastAsia="Calibri" w:hAnsi="Times New Roman" w:cs="Times New Roman"/>
          <w:color w:val="000000"/>
          <w:sz w:val="28"/>
          <w:lang w:val="uk-UA"/>
        </w:rPr>
        <w:t xml:space="preserve"> </w:t>
      </w:r>
      <w:r w:rsidRPr="007626F7">
        <w:rPr>
          <w:rFonts w:ascii="Times New Roman" w:eastAsia="Calibri" w:hAnsi="Times New Roman" w:cs="Times New Roman"/>
          <w:color w:val="000000"/>
          <w:sz w:val="28"/>
        </w:rPr>
        <w:t>[</w:t>
      </w:r>
      <w:r w:rsidRPr="007626F7">
        <w:rPr>
          <w:rFonts w:ascii="Times New Roman" w:eastAsia="Calibri" w:hAnsi="Times New Roman" w:cs="Times New Roman"/>
          <w:sz w:val="28"/>
          <w:lang w:val="uk-UA"/>
        </w:rPr>
        <w:t>3</w:t>
      </w:r>
      <w:r w:rsidRPr="007626F7">
        <w:rPr>
          <w:rFonts w:ascii="Times New Roman" w:eastAsia="Calibri" w:hAnsi="Times New Roman" w:cs="Times New Roman"/>
          <w:color w:val="000000"/>
          <w:sz w:val="28"/>
        </w:rPr>
        <w:t>].</w:t>
      </w:r>
    </w:p>
    <w:p w14:paraId="79253EEC" w14:textId="68E8626D"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color w:val="000000"/>
          <w:sz w:val="28"/>
          <w:lang w:val="uk-UA"/>
        </w:rPr>
        <w:t xml:space="preserve">Далі розглянемо статтю </w:t>
      </w:r>
      <w:r w:rsidRPr="007626F7">
        <w:rPr>
          <w:rFonts w:ascii="Times New Roman" w:eastAsia="Calibri" w:hAnsi="Times New Roman" w:cs="Times New Roman"/>
          <w:sz w:val="28"/>
          <w:lang w:val="uk-UA"/>
        </w:rPr>
        <w:t xml:space="preserve">«Відповідь політики Швейцарії на COVID-19: управління консоціаційними кризами та відновлення нового корпоративізму» </w:t>
      </w:r>
      <w:bookmarkStart w:id="10" w:name="_Hlk74996734"/>
      <w:r w:rsidRPr="007626F7">
        <w:rPr>
          <w:rFonts w:ascii="Times New Roman" w:eastAsia="Calibri" w:hAnsi="Times New Roman" w:cs="Times New Roman"/>
          <w:sz w:val="28"/>
          <w:lang w:val="uk-UA"/>
        </w:rPr>
        <w:t>Ф</w:t>
      </w:r>
      <w:r w:rsidR="00071331" w:rsidRPr="007626F7">
        <w:rPr>
          <w:rFonts w:ascii="Times New Roman" w:eastAsia="Calibri" w:hAnsi="Times New Roman" w:cs="Times New Roman"/>
          <w:sz w:val="28"/>
          <w:lang w:val="uk-UA"/>
        </w:rPr>
        <w:t>.</w:t>
      </w:r>
      <w:r w:rsidRPr="007626F7">
        <w:rPr>
          <w:rFonts w:ascii="Times New Roman" w:eastAsia="Calibri" w:hAnsi="Times New Roman" w:cs="Times New Roman"/>
          <w:sz w:val="28"/>
          <w:lang w:val="uk-UA"/>
        </w:rPr>
        <w:t xml:space="preserve"> Сагер, С</w:t>
      </w:r>
      <w:r w:rsidR="00071331" w:rsidRPr="007626F7">
        <w:rPr>
          <w:rFonts w:ascii="Times New Roman" w:eastAsia="Calibri" w:hAnsi="Times New Roman" w:cs="Times New Roman"/>
          <w:sz w:val="28"/>
          <w:lang w:val="uk-UA"/>
        </w:rPr>
        <w:t>.</w:t>
      </w:r>
      <w:r w:rsidRPr="007626F7">
        <w:rPr>
          <w:rFonts w:ascii="Times New Roman" w:eastAsia="Calibri" w:hAnsi="Times New Roman" w:cs="Times New Roman"/>
          <w:sz w:val="28"/>
          <w:lang w:val="uk-UA"/>
        </w:rPr>
        <w:t xml:space="preserve"> Маврот </w:t>
      </w:r>
      <w:bookmarkEnd w:id="10"/>
      <w:r w:rsidRPr="007626F7">
        <w:rPr>
          <w:rFonts w:ascii="Times New Roman" w:eastAsia="Calibri" w:hAnsi="Times New Roman" w:cs="Times New Roman"/>
          <w:sz w:val="28"/>
          <w:lang w:val="uk-UA"/>
        </w:rPr>
        <w:t>(2020). Автор зазначає, що Швейцарія досить успішно відреагувала на першу хвилю COVID-19, застосувавши як засоби охорони здоров'я, так і економічні заходи. Під час надзвичайного стану федеральний уряд прийняв тверде рішення згладити криву зараження та захистити особливо ризиковані групи населення. Під час періоду блокування акцент політичної дискусії перейшов з охорони здоров'я на економіку, коли Федеральна рада (тобто національна виконавча влада) почала готуватися до відкриття країни. [4].</w:t>
      </w:r>
    </w:p>
    <w:p w14:paraId="24EBE822" w14:textId="17541F2E"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 xml:space="preserve"> У статті «Безробіття в Швейцарії після пандемії Covid-19: між часова перспектива» </w:t>
      </w:r>
      <w:bookmarkStart w:id="11" w:name="_Hlk74996754"/>
      <w:r w:rsidRPr="007626F7">
        <w:rPr>
          <w:rFonts w:ascii="Times New Roman" w:eastAsia="Calibri" w:hAnsi="Times New Roman" w:cs="Times New Roman"/>
          <w:sz w:val="28"/>
          <w:lang w:val="uk-UA"/>
        </w:rPr>
        <w:t>Д</w:t>
      </w:r>
      <w:r w:rsidR="00071331" w:rsidRPr="007626F7">
        <w:rPr>
          <w:rFonts w:ascii="Times New Roman" w:eastAsia="Calibri" w:hAnsi="Times New Roman" w:cs="Times New Roman"/>
          <w:sz w:val="28"/>
          <w:lang w:val="uk-UA"/>
        </w:rPr>
        <w:t>.</w:t>
      </w:r>
      <w:r w:rsidRPr="007626F7">
        <w:rPr>
          <w:rFonts w:ascii="Times New Roman" w:eastAsia="Calibri" w:hAnsi="Times New Roman" w:cs="Times New Roman"/>
          <w:sz w:val="28"/>
          <w:lang w:val="uk-UA"/>
        </w:rPr>
        <w:t xml:space="preserve"> Шелдон </w:t>
      </w:r>
      <w:bookmarkEnd w:id="11"/>
      <w:r w:rsidRPr="007626F7">
        <w:rPr>
          <w:rFonts w:ascii="Times New Roman" w:eastAsia="Calibri" w:hAnsi="Times New Roman" w:cs="Times New Roman"/>
          <w:sz w:val="28"/>
          <w:lang w:val="uk-UA"/>
        </w:rPr>
        <w:t xml:space="preserve">(2020). Автор розглядає ситуацію, яка склалась в країні через пандемію, а саме вплив пандемії на рівень безробіття у країні. А також він порівнює безробіття під час пандемії з попередніми кризами зайнятості в країні.  </w:t>
      </w:r>
      <w:r w:rsidR="00071331" w:rsidRPr="007626F7">
        <w:rPr>
          <w:rFonts w:ascii="Times New Roman" w:eastAsia="Calibri" w:hAnsi="Times New Roman" w:cs="Times New Roman"/>
          <w:sz w:val="28"/>
          <w:lang w:val="uk-UA"/>
        </w:rPr>
        <w:t>А</w:t>
      </w:r>
      <w:r w:rsidRPr="007626F7">
        <w:rPr>
          <w:rFonts w:ascii="Times New Roman" w:eastAsia="Calibri" w:hAnsi="Times New Roman" w:cs="Times New Roman"/>
          <w:sz w:val="28"/>
          <w:lang w:val="uk-UA"/>
        </w:rPr>
        <w:t xml:space="preserve">втор прогнозує майбутню траєкторію безробіття на основі постійних змін рівня небезпеки. Автор зазначає, що показник </w:t>
      </w:r>
      <w:r w:rsidRPr="007626F7">
        <w:rPr>
          <w:rFonts w:ascii="Times New Roman" w:eastAsia="Calibri" w:hAnsi="Times New Roman" w:cs="Times New Roman"/>
          <w:sz w:val="28"/>
          <w:lang w:val="uk-UA"/>
        </w:rPr>
        <w:lastRenderedPageBreak/>
        <w:t xml:space="preserve">безробіття в країні буде збільшуватися і навіть може набувати рекордних рівнів </w:t>
      </w:r>
      <w:r w:rsidRPr="007626F7">
        <w:rPr>
          <w:rFonts w:ascii="Times New Roman" w:eastAsia="Calibri" w:hAnsi="Times New Roman" w:cs="Times New Roman"/>
          <w:sz w:val="28"/>
        </w:rPr>
        <w:t>[5]</w:t>
      </w:r>
      <w:r w:rsidRPr="007626F7">
        <w:rPr>
          <w:rFonts w:ascii="Times New Roman" w:eastAsia="Calibri" w:hAnsi="Times New Roman" w:cs="Times New Roman"/>
          <w:sz w:val="28"/>
          <w:lang w:val="uk-UA"/>
        </w:rPr>
        <w:t>.</w:t>
      </w:r>
    </w:p>
    <w:p w14:paraId="093538B2" w14:textId="3D5E0C1E"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Далі розглянемо ситуацію, яка склалась в Поль</w:t>
      </w:r>
      <w:r w:rsidR="00B96E33" w:rsidRPr="007626F7">
        <w:rPr>
          <w:rFonts w:ascii="Times New Roman" w:eastAsia="Calibri" w:hAnsi="Times New Roman" w:cs="Times New Roman"/>
          <w:sz w:val="28"/>
          <w:lang w:val="uk-UA"/>
        </w:rPr>
        <w:t>щ</w:t>
      </w:r>
      <w:r w:rsidRPr="007626F7">
        <w:rPr>
          <w:rFonts w:ascii="Times New Roman" w:eastAsia="Calibri" w:hAnsi="Times New Roman" w:cs="Times New Roman"/>
          <w:sz w:val="28"/>
          <w:lang w:val="uk-UA"/>
        </w:rPr>
        <w:t xml:space="preserve">і через пандемію, для цього розглянемо статтю «Стійкість комерційних банків до кризи, спричиненої пандемією COVID-19: справа Польщі» </w:t>
      </w:r>
      <w:bookmarkStart w:id="12" w:name="_Hlk74996770"/>
      <w:r w:rsidRPr="007626F7">
        <w:rPr>
          <w:rFonts w:ascii="Times New Roman" w:eastAsia="Calibri" w:hAnsi="Times New Roman" w:cs="Times New Roman"/>
          <w:sz w:val="28"/>
          <w:lang w:val="uk-UA"/>
        </w:rPr>
        <w:t xml:space="preserve">Збігнев К., П. Недзюлка </w:t>
      </w:r>
      <w:bookmarkEnd w:id="12"/>
      <w:r w:rsidRPr="007626F7">
        <w:rPr>
          <w:rFonts w:ascii="Times New Roman" w:eastAsia="Calibri" w:hAnsi="Times New Roman" w:cs="Times New Roman"/>
          <w:sz w:val="28"/>
          <w:lang w:val="uk-UA"/>
        </w:rPr>
        <w:t>(2020). Метою дослідження автора було оцінити комерційні банки країни на стійкість до можливих наслідків через пандемію.  Автор використав данні 13 комерційних банків з точки зору можливих наслідків кризи. Він розглянув декілька критеріїв, таких як: достатність капіталу, рівень ліквідності, прибутковість ділової діяльності, частка в портфелі експозицій з визнаним знеціненням та стійкість кредитного портфеля банку до ризику, що виникає внаслідок вплив в секторах економіки. І у кінці статті автор прийшов до висновку, що банки у Польщі, а саме комерційні банки є стійкими до наслідків пандемії. Але також були виявлені банки, що є найбільш вразливими через кризу</w:t>
      </w:r>
      <w:r w:rsidRPr="007626F7">
        <w:rPr>
          <w:rFonts w:ascii="Times New Roman" w:eastAsia="Calibri" w:hAnsi="Times New Roman" w:cs="Times New Roman"/>
          <w:color w:val="FF0000"/>
          <w:sz w:val="28"/>
          <w:lang w:val="uk-UA"/>
        </w:rPr>
        <w:t xml:space="preserve"> </w:t>
      </w:r>
      <w:r w:rsidRPr="007626F7">
        <w:rPr>
          <w:rFonts w:ascii="Times New Roman" w:eastAsia="Calibri" w:hAnsi="Times New Roman" w:cs="Times New Roman"/>
          <w:sz w:val="28"/>
          <w:lang w:val="uk-UA"/>
        </w:rPr>
        <w:t>[6].</w:t>
      </w:r>
    </w:p>
    <w:p w14:paraId="59CCBE0F" w14:textId="11B01113"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Також була розглянута стаття, щодо стану виробництва сталі в Польщі, так як одним з головних статей експорту Польщі є машини та електричне обладнання</w:t>
      </w:r>
      <w:r w:rsidR="00B96E33" w:rsidRPr="007626F7">
        <w:rPr>
          <w:rFonts w:ascii="Times New Roman" w:eastAsia="Calibri" w:hAnsi="Times New Roman" w:cs="Times New Roman"/>
          <w:sz w:val="28"/>
          <w:lang w:val="uk-UA"/>
        </w:rPr>
        <w:t>,</w:t>
      </w:r>
      <w:r w:rsidRPr="007626F7">
        <w:rPr>
          <w:rFonts w:ascii="Times New Roman" w:eastAsia="Calibri" w:hAnsi="Times New Roman" w:cs="Times New Roman"/>
          <w:sz w:val="28"/>
          <w:lang w:val="uk-UA"/>
        </w:rPr>
        <w:t xml:space="preserve"> що включає в себе сталь. «Виробництво сталі в Польщі з песимістичними прогнозами в умовах кризи COVID-19» </w:t>
      </w:r>
      <w:bookmarkStart w:id="13" w:name="_Hlk74996778"/>
      <w:r w:rsidRPr="007626F7">
        <w:rPr>
          <w:rFonts w:ascii="Times New Roman" w:eastAsia="Calibri" w:hAnsi="Times New Roman" w:cs="Times New Roman"/>
          <w:sz w:val="28"/>
          <w:lang w:val="uk-UA"/>
        </w:rPr>
        <w:t xml:space="preserve">Б. Гайдзік </w:t>
      </w:r>
      <w:bookmarkEnd w:id="13"/>
      <w:r w:rsidRPr="007626F7">
        <w:rPr>
          <w:rFonts w:ascii="Times New Roman" w:eastAsia="Calibri" w:hAnsi="Times New Roman" w:cs="Times New Roman"/>
          <w:sz w:val="28"/>
          <w:lang w:val="uk-UA"/>
        </w:rPr>
        <w:t xml:space="preserve">(2020). Аналіз обсягу виробництва сталі в Польщі був проведений у період з січня 2020 року по червень 2020 року та порівняний з виробництвом за той самий період у 2019 році.  І у кінці статті автор прийшов до висновку, що для цієї промисловості у Польщі дуже песимістичні наслідки </w:t>
      </w:r>
      <w:r w:rsidRPr="007626F7">
        <w:rPr>
          <w:rFonts w:ascii="Times New Roman" w:eastAsia="Calibri" w:hAnsi="Times New Roman" w:cs="Times New Roman"/>
          <w:sz w:val="28"/>
        </w:rPr>
        <w:t>[7]</w:t>
      </w:r>
      <w:r w:rsidRPr="007626F7">
        <w:rPr>
          <w:rFonts w:ascii="Times New Roman" w:eastAsia="Calibri" w:hAnsi="Times New Roman" w:cs="Times New Roman"/>
          <w:sz w:val="28"/>
          <w:lang w:val="uk-UA"/>
        </w:rPr>
        <w:t>.</w:t>
      </w:r>
    </w:p>
    <w:p w14:paraId="1EA42489" w14:textId="0B433C23"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Наступна стаття «Вплив COVID-19 на рівень енергетичної бідності в Польщі» Р</w:t>
      </w:r>
      <w:r w:rsidR="00B96E33" w:rsidRPr="007626F7">
        <w:rPr>
          <w:rFonts w:ascii="Times New Roman" w:eastAsia="Calibri" w:hAnsi="Times New Roman" w:cs="Times New Roman"/>
          <w:sz w:val="28"/>
          <w:lang w:val="uk-UA"/>
        </w:rPr>
        <w:t>.</w:t>
      </w:r>
      <w:r w:rsidRPr="007626F7">
        <w:rPr>
          <w:rFonts w:ascii="Times New Roman" w:eastAsia="Calibri" w:hAnsi="Times New Roman" w:cs="Times New Roman"/>
          <w:sz w:val="28"/>
          <w:lang w:val="uk-UA"/>
        </w:rPr>
        <w:t xml:space="preserve"> Нагай</w:t>
      </w:r>
      <w:r w:rsidR="00234586" w:rsidRPr="007626F7">
        <w:rPr>
          <w:rFonts w:ascii="Times New Roman" w:eastAsia="Calibri" w:hAnsi="Times New Roman" w:cs="Times New Roman"/>
          <w:sz w:val="28"/>
        </w:rPr>
        <w:t>,</w:t>
      </w:r>
      <w:r w:rsidRPr="007626F7">
        <w:rPr>
          <w:rFonts w:ascii="Times New Roman" w:eastAsia="Calibri" w:hAnsi="Times New Roman" w:cs="Times New Roman"/>
          <w:sz w:val="28"/>
        </w:rPr>
        <w:t xml:space="preserve"> </w:t>
      </w:r>
      <w:r w:rsidRPr="007626F7">
        <w:rPr>
          <w:rFonts w:ascii="Times New Roman" w:eastAsia="Calibri" w:hAnsi="Times New Roman" w:cs="Times New Roman"/>
          <w:sz w:val="28"/>
          <w:lang w:val="uk-UA"/>
        </w:rPr>
        <w:t>Я</w:t>
      </w:r>
      <w:r w:rsidR="00B96E33" w:rsidRPr="007626F7">
        <w:rPr>
          <w:rFonts w:ascii="Times New Roman" w:eastAsia="Calibri" w:hAnsi="Times New Roman" w:cs="Times New Roman"/>
          <w:sz w:val="28"/>
          <w:lang w:val="uk-UA"/>
        </w:rPr>
        <w:t>.</w:t>
      </w:r>
      <w:r w:rsidRPr="007626F7">
        <w:rPr>
          <w:rFonts w:ascii="Times New Roman" w:eastAsia="Calibri" w:hAnsi="Times New Roman" w:cs="Times New Roman"/>
          <w:sz w:val="28"/>
          <w:lang w:val="uk-UA"/>
        </w:rPr>
        <w:t xml:space="preserve"> Корписа </w:t>
      </w:r>
      <w:r w:rsidRPr="007626F7">
        <w:rPr>
          <w:rFonts w:ascii="Times New Roman" w:eastAsia="Calibri" w:hAnsi="Times New Roman" w:cs="Times New Roman"/>
          <w:sz w:val="28"/>
        </w:rPr>
        <w:t>(</w:t>
      </w:r>
      <w:r w:rsidRPr="007626F7">
        <w:rPr>
          <w:rFonts w:ascii="Times New Roman" w:eastAsia="Calibri" w:hAnsi="Times New Roman" w:cs="Times New Roman"/>
          <w:sz w:val="28"/>
          <w:lang w:val="uk-UA"/>
        </w:rPr>
        <w:t>2</w:t>
      </w:r>
      <w:r w:rsidRPr="007626F7">
        <w:rPr>
          <w:rFonts w:ascii="Times New Roman" w:eastAsia="Calibri" w:hAnsi="Times New Roman" w:cs="Times New Roman"/>
          <w:sz w:val="28"/>
        </w:rPr>
        <w:t>020)</w:t>
      </w:r>
      <w:r w:rsidRPr="007626F7">
        <w:rPr>
          <w:rFonts w:ascii="Times New Roman" w:eastAsia="Calibri" w:hAnsi="Times New Roman" w:cs="Times New Roman"/>
          <w:sz w:val="28"/>
          <w:lang w:val="uk-UA"/>
        </w:rPr>
        <w:t xml:space="preserve">. Метою статті було визначити вплив пандемії на рівень енергетичної бідності в Польщі. Енергетична бідність представляє собою неспроможність домогосподарств обігрівати свої будівлі за доступною ціною. У першому розділі автор дав визначення цьому поняттю. У другому розділі автор аналізував результати досліджень щодо рівня енергетичної бідності та визначаються змінні, що впливають на енергетичну </w:t>
      </w:r>
      <w:r w:rsidRPr="007626F7">
        <w:rPr>
          <w:rFonts w:ascii="Times New Roman" w:eastAsia="Calibri" w:hAnsi="Times New Roman" w:cs="Times New Roman"/>
          <w:sz w:val="28"/>
          <w:lang w:val="uk-UA"/>
        </w:rPr>
        <w:lastRenderedPageBreak/>
        <w:t>бідність у Польщі під час пандемії. На основі  результатів  дослідження автор встановив, що пандемія сприяла загостренню фінансових труднощів у польських домогосподарствах щодо фінансування витрат на енергоносії. Було встановлено, що COVID-19 негативно вплинув на середній наявний дохід домогосподарств Польщі. Автор зазначив, що пандемія мала негативне значення і сприяла посиленню енергетичної бідності країни [8].</w:t>
      </w:r>
    </w:p>
    <w:p w14:paraId="1A1A6281" w14:textId="2746B562"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Також у статті «Вплив пандемі</w:t>
      </w:r>
      <w:r w:rsidR="00B96E33" w:rsidRPr="007626F7">
        <w:rPr>
          <w:rFonts w:ascii="Times New Roman" w:eastAsia="Calibri" w:hAnsi="Times New Roman" w:cs="Times New Roman"/>
          <w:sz w:val="28"/>
          <w:lang w:val="uk-UA"/>
        </w:rPr>
        <w:t>ї</w:t>
      </w:r>
      <w:r w:rsidRPr="007626F7">
        <w:rPr>
          <w:rFonts w:ascii="Times New Roman" w:eastAsia="Calibri" w:hAnsi="Times New Roman" w:cs="Times New Roman"/>
          <w:sz w:val="28"/>
          <w:lang w:val="uk-UA"/>
        </w:rPr>
        <w:t xml:space="preserve"> covid-19 на туризм у </w:t>
      </w:r>
      <w:r w:rsidR="00B96E33" w:rsidRPr="007626F7">
        <w:rPr>
          <w:rFonts w:ascii="Times New Roman" w:eastAsia="Calibri" w:hAnsi="Times New Roman" w:cs="Times New Roman"/>
          <w:sz w:val="28"/>
          <w:lang w:val="uk-UA"/>
        </w:rPr>
        <w:t>Польщі</w:t>
      </w:r>
      <w:r w:rsidRPr="007626F7">
        <w:rPr>
          <w:rFonts w:ascii="Times New Roman" w:eastAsia="Calibri" w:hAnsi="Times New Roman" w:cs="Times New Roman"/>
          <w:sz w:val="28"/>
          <w:lang w:val="uk-UA"/>
        </w:rPr>
        <w:t xml:space="preserve"> в березні» </w:t>
      </w:r>
      <w:bookmarkStart w:id="14" w:name="_Hlk74996813"/>
      <w:r w:rsidRPr="007626F7">
        <w:rPr>
          <w:rFonts w:ascii="Times New Roman" w:eastAsia="Calibri" w:hAnsi="Times New Roman" w:cs="Times New Roman"/>
          <w:sz w:val="28"/>
          <w:lang w:val="uk-UA"/>
        </w:rPr>
        <w:t>Корінт, Б., і Ранасінге</w:t>
      </w:r>
      <w:bookmarkEnd w:id="14"/>
      <w:r w:rsidRPr="007626F7">
        <w:rPr>
          <w:rFonts w:ascii="Times New Roman" w:eastAsia="Calibri" w:hAnsi="Times New Roman" w:cs="Times New Roman"/>
          <w:sz w:val="28"/>
          <w:lang w:val="uk-UA"/>
        </w:rPr>
        <w:t xml:space="preserve">, р.(2020) автор зазначив, що криза пандемії у 2020 році особливо впливає на туризм, що автор і досліджував у своїй роботі. Аналіз був проведений на основі даних повітряного руху, даних щодо рівня заповнюваності житла. Автор прийшов до висновку, що туристичний напрямок в країні значно зменшився в березні 2020 року. Він виявив, що рівень заповнюваності в країні зменшився на 40%, а розміри повітряного руху склали приблизно </w:t>
      </w:r>
      <w:r w:rsidRPr="007626F7">
        <w:rPr>
          <w:rFonts w:ascii="Times New Roman" w:eastAsia="Calibri" w:hAnsi="Times New Roman" w:cs="Times New Roman"/>
          <w:color w:val="FF0000"/>
          <w:sz w:val="28"/>
          <w:lang w:val="uk-UA"/>
        </w:rPr>
        <w:t xml:space="preserve"> </w:t>
      </w:r>
      <w:r w:rsidRPr="007626F7">
        <w:rPr>
          <w:rFonts w:ascii="Times New Roman" w:eastAsia="Calibri" w:hAnsi="Times New Roman" w:cs="Times New Roman"/>
          <w:sz w:val="28"/>
          <w:lang w:val="uk-UA"/>
        </w:rPr>
        <w:t xml:space="preserve">80-90% порівняно з аналогічним періодом минулого року </w:t>
      </w:r>
      <w:r w:rsidRPr="007626F7">
        <w:rPr>
          <w:rFonts w:ascii="Times New Roman" w:eastAsia="Calibri" w:hAnsi="Times New Roman" w:cs="Times New Roman"/>
          <w:sz w:val="28"/>
        </w:rPr>
        <w:t>[9]</w:t>
      </w:r>
      <w:r w:rsidRPr="007626F7">
        <w:rPr>
          <w:rFonts w:ascii="Times New Roman" w:eastAsia="Calibri" w:hAnsi="Times New Roman" w:cs="Times New Roman"/>
          <w:sz w:val="28"/>
          <w:lang w:val="uk-UA"/>
        </w:rPr>
        <w:t>.</w:t>
      </w:r>
    </w:p>
    <w:p w14:paraId="0141B453" w14:textId="77777777"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 xml:space="preserve">У статті «Антикризовий розвиток стратегії страхування компаній в Україні та Польщі в контекст COVID-19» </w:t>
      </w:r>
      <w:bookmarkStart w:id="15" w:name="_Hlk74996821"/>
      <w:r w:rsidRPr="007626F7">
        <w:rPr>
          <w:rFonts w:ascii="Times New Roman" w:eastAsia="Calibri" w:hAnsi="Times New Roman" w:cs="Times New Roman"/>
          <w:sz w:val="28"/>
          <w:lang w:val="uk-UA"/>
        </w:rPr>
        <w:t xml:space="preserve">О. Полінкевич, Р. Камінський </w:t>
      </w:r>
      <w:bookmarkEnd w:id="15"/>
      <w:r w:rsidRPr="007626F7">
        <w:rPr>
          <w:rFonts w:ascii="Times New Roman" w:eastAsia="Calibri" w:hAnsi="Times New Roman" w:cs="Times New Roman"/>
          <w:sz w:val="28"/>
          <w:lang w:val="uk-UA"/>
        </w:rPr>
        <w:t>(2020). Автор зазначав, що основою антикризового розвитку в період пандемії є визначення оптимальної стратегії антикризового розвитку для страхових компаній а також підтримання конкурентоспроможності та забезпечення успішного функціонування на ринках. Страхові компанії розробили та реалізували антикризові стратегії відповідно до вимог кругової економіки.</w:t>
      </w:r>
      <w:r w:rsidRPr="007626F7">
        <w:rPr>
          <w:rFonts w:ascii="Times New Roman" w:eastAsia="Calibri" w:hAnsi="Times New Roman" w:cs="Times New Roman"/>
          <w:color w:val="FF0000"/>
          <w:sz w:val="28"/>
          <w:lang w:val="uk-UA"/>
        </w:rPr>
        <w:t xml:space="preserve"> </w:t>
      </w:r>
      <w:r w:rsidRPr="007626F7">
        <w:rPr>
          <w:rFonts w:ascii="Times New Roman" w:eastAsia="Calibri" w:hAnsi="Times New Roman" w:cs="Times New Roman"/>
          <w:sz w:val="28"/>
          <w:lang w:val="uk-UA"/>
        </w:rPr>
        <w:t>Страхові компанії змінили та консолідували антикризові стратегії розвитку під час COVID-19. Також  з’явилися нові стратегії інновацій та підтримки адекватного рівня фінансової стійкості для компаній. Особливо варто виділити маркетингову стратегію, що забезпечує імідж страхових компаній [10].</w:t>
      </w:r>
    </w:p>
    <w:p w14:paraId="50AF963D" w14:textId="5CD9A4CF"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 xml:space="preserve">Далі будуть розглянуті статті щодо ситуації в Україні у період пандемії COVID-19. Першою була розглянута стаття «Вплив кризи корона вірусу на асоціацію підприємств в Україні» </w:t>
      </w:r>
      <w:bookmarkStart w:id="16" w:name="_Hlk74996828"/>
      <w:r w:rsidRPr="007626F7">
        <w:rPr>
          <w:rFonts w:ascii="Times New Roman" w:eastAsia="Calibri" w:hAnsi="Times New Roman" w:cs="Times New Roman"/>
          <w:sz w:val="28"/>
          <w:lang w:val="uk-UA"/>
        </w:rPr>
        <w:t xml:space="preserve">А. В. Линенко </w:t>
      </w:r>
      <w:bookmarkEnd w:id="16"/>
      <w:r w:rsidRPr="007626F7">
        <w:rPr>
          <w:rFonts w:ascii="Times New Roman" w:eastAsia="Calibri" w:hAnsi="Times New Roman" w:cs="Times New Roman"/>
          <w:sz w:val="28"/>
          <w:lang w:val="uk-UA"/>
        </w:rPr>
        <w:t xml:space="preserve">(2020). </w:t>
      </w:r>
      <w:r w:rsidRPr="007626F7">
        <w:rPr>
          <w:rFonts w:ascii="Times New Roman" w:eastAsia="Calibri" w:hAnsi="Times New Roman" w:cs="Times New Roman"/>
          <w:sz w:val="28"/>
        </w:rPr>
        <w:t xml:space="preserve"> </w:t>
      </w:r>
      <w:r w:rsidRPr="007626F7">
        <w:rPr>
          <w:rFonts w:ascii="Times New Roman" w:eastAsia="Calibri" w:hAnsi="Times New Roman" w:cs="Times New Roman"/>
          <w:sz w:val="28"/>
          <w:lang w:val="uk-UA"/>
        </w:rPr>
        <w:t>У статті автор наголошує, що пандемія має дуже значний негативний вплив саме на бізнес-</w:t>
      </w:r>
      <w:r w:rsidRPr="007626F7">
        <w:rPr>
          <w:rFonts w:ascii="Times New Roman" w:eastAsia="Calibri" w:hAnsi="Times New Roman" w:cs="Times New Roman"/>
          <w:sz w:val="28"/>
          <w:lang w:val="uk-UA"/>
        </w:rPr>
        <w:lastRenderedPageBreak/>
        <w:t>асоціації в Україні. Які представляють собою об’єднання підприємств різних галузей. Автор не тільки наголошує на негативний вплив але і визначає його природу і намагається визначити способи уникнення негативного впливу. Андрій Линенко досліджував як саме підприємствам уникнути кризу а с</w:t>
      </w:r>
      <w:r w:rsidR="00B96E33" w:rsidRPr="007626F7">
        <w:rPr>
          <w:rFonts w:ascii="Times New Roman" w:eastAsia="Calibri" w:hAnsi="Times New Roman" w:cs="Times New Roman"/>
          <w:sz w:val="28"/>
          <w:lang w:val="uk-UA"/>
        </w:rPr>
        <w:t>аме</w:t>
      </w:r>
      <w:r w:rsidRPr="007626F7">
        <w:rPr>
          <w:rFonts w:ascii="Times New Roman" w:eastAsia="Calibri" w:hAnsi="Times New Roman" w:cs="Times New Roman"/>
          <w:sz w:val="28"/>
          <w:lang w:val="uk-UA"/>
        </w:rPr>
        <w:t xml:space="preserve"> за допомогою основних напрямів протидії, таких як : турбота про працівників, створення штабу реагування 24/7, підтримка ланцюга поставок, турбота про громаду. Автор зазначав, що підприємствам які мають фінансову можливість слід спрямувати свої фінанси на удосконалення виробничих </w:t>
      </w:r>
      <w:r w:rsidR="008D1E9E" w:rsidRPr="007626F7">
        <w:rPr>
          <w:rFonts w:ascii="Times New Roman" w:eastAsia="Calibri" w:hAnsi="Times New Roman" w:cs="Times New Roman"/>
          <w:sz w:val="28"/>
          <w:lang w:val="uk-UA"/>
        </w:rPr>
        <w:t>потужностей</w:t>
      </w:r>
      <w:r w:rsidRPr="007626F7">
        <w:rPr>
          <w:rFonts w:ascii="Times New Roman" w:eastAsia="Calibri" w:hAnsi="Times New Roman" w:cs="Times New Roman"/>
          <w:sz w:val="28"/>
          <w:lang w:val="uk-UA"/>
        </w:rPr>
        <w:t xml:space="preserve"> та формування чіткого напряму на розвиток інновацій. Підтримка бізнесу соціальними програмами спрямованих на подолання COVID-19, повинна бути обов’язковою складовою корпоративної та соціальної відповідальності, що сприятиме відновленню як ділового середовища, так і суспільства в цілому [11].</w:t>
      </w:r>
    </w:p>
    <w:p w14:paraId="7B2383F1" w14:textId="4C6EC465" w:rsidR="00507D30" w:rsidRPr="007626F7" w:rsidRDefault="00507D30" w:rsidP="007626F7">
      <w:pPr>
        <w:spacing w:after="0" w:line="360" w:lineRule="auto"/>
        <w:ind w:firstLine="709"/>
        <w:jc w:val="both"/>
        <w:rPr>
          <w:rFonts w:ascii="Times New Roman" w:eastAsia="Calibri" w:hAnsi="Times New Roman" w:cs="Times New Roman"/>
          <w:sz w:val="28"/>
        </w:rPr>
      </w:pPr>
      <w:r w:rsidRPr="007626F7">
        <w:rPr>
          <w:rFonts w:ascii="Times New Roman" w:eastAsia="Calibri" w:hAnsi="Times New Roman" w:cs="Times New Roman"/>
          <w:sz w:val="28"/>
          <w:lang w:val="uk-UA"/>
        </w:rPr>
        <w:t xml:space="preserve">Далі розглянемо статтю «Вплив пандемії covid-19 на економіку України»  </w:t>
      </w:r>
      <w:bookmarkStart w:id="17" w:name="_Hlk74996835"/>
      <w:r w:rsidRPr="007626F7">
        <w:rPr>
          <w:rFonts w:ascii="Times New Roman" w:eastAsia="Calibri" w:hAnsi="Times New Roman" w:cs="Times New Roman"/>
          <w:sz w:val="28"/>
          <w:lang w:val="uk-UA"/>
        </w:rPr>
        <w:t xml:space="preserve">С. Корінний В. Кармазіна </w:t>
      </w:r>
      <w:bookmarkEnd w:id="17"/>
      <w:r w:rsidRPr="007626F7">
        <w:rPr>
          <w:rFonts w:ascii="Times New Roman" w:eastAsia="Calibri" w:hAnsi="Times New Roman" w:cs="Times New Roman"/>
          <w:sz w:val="28"/>
          <w:lang w:val="uk-UA"/>
        </w:rPr>
        <w:t>(2020). Автори розглядають можливості підприємств і порівнюють данні з попередніми роками і досліджують дані щодо стану ВВП, рівня безробіття та стану торгового балансу України. Також вони хоча і намагаються визначити розміри  негативного впливу пандемії але зазначають</w:t>
      </w:r>
      <w:r w:rsidR="00B96E33" w:rsidRPr="007626F7">
        <w:rPr>
          <w:rFonts w:ascii="Times New Roman" w:eastAsia="Calibri" w:hAnsi="Times New Roman" w:cs="Times New Roman"/>
          <w:sz w:val="28"/>
          <w:lang w:val="uk-UA"/>
        </w:rPr>
        <w:t>,</w:t>
      </w:r>
      <w:r w:rsidRPr="007626F7">
        <w:rPr>
          <w:rFonts w:ascii="Times New Roman" w:eastAsia="Calibri" w:hAnsi="Times New Roman" w:cs="Times New Roman"/>
          <w:sz w:val="28"/>
          <w:lang w:val="uk-UA"/>
        </w:rPr>
        <w:t xml:space="preserve"> що не один з економістів не зможе чітко визначити наскільки часу затягнеться відновлення України від пандемії. На погляд авторів Україна повинна робити все можливе задля уникнення жорсткого блокування і зробити все щоб підтримати рівень стабільності в країні. Згідно дослідження авторів ВВП України у першому кварталі 2020 року знизилось і досягло позначки -1,3% а ось у другій половині 2020 року падіння відбулося аж до позначки - 11,4%. У статті також зазначається, що кожна така зміна ВВП призводить до збільшення дефіциту бюджету, що у свою чергу збільшує необхідність країни у запозиченнях. Криза пандемії і різкий спад ВВП збільшує розрив між Україною та іншими країнами Європи і іншими країнами світу. Також автори припускають, що Україна прийде до докризового рівня вже у 2021 році </w:t>
      </w:r>
      <w:r w:rsidRPr="007626F7">
        <w:rPr>
          <w:rFonts w:ascii="Times New Roman" w:eastAsia="Calibri" w:hAnsi="Times New Roman" w:cs="Times New Roman"/>
          <w:sz w:val="28"/>
        </w:rPr>
        <w:t>[12].</w:t>
      </w:r>
    </w:p>
    <w:p w14:paraId="1C899B6E" w14:textId="35937C9D"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lastRenderedPageBreak/>
        <w:t xml:space="preserve">У статті «Розробка системи антикризових заходів для економіки України у розповсюдженні пандемії коронавірусу»  </w:t>
      </w:r>
      <w:bookmarkStart w:id="18" w:name="_Hlk74996843"/>
      <w:r w:rsidRPr="007626F7">
        <w:rPr>
          <w:rFonts w:ascii="Times New Roman" w:eastAsia="Calibri" w:hAnsi="Times New Roman" w:cs="Times New Roman"/>
          <w:sz w:val="28"/>
          <w:lang w:val="uk-UA"/>
        </w:rPr>
        <w:t xml:space="preserve">Б. Данилишин, І. Богдан </w:t>
      </w:r>
      <w:bookmarkEnd w:id="18"/>
      <w:r w:rsidRPr="007626F7">
        <w:rPr>
          <w:rFonts w:ascii="Times New Roman" w:eastAsia="Calibri" w:hAnsi="Times New Roman" w:cs="Times New Roman"/>
          <w:sz w:val="28"/>
          <w:lang w:val="uk-UA"/>
        </w:rPr>
        <w:t>(2020). Автори зазначають, що через кризу пандемії скорочується пропозиція та спричиняється відтік капіталу з таких країн, як Україна. Така ситуація вимагає вживання заходів щодо підтримання стабільності у країні.  В результаті дослідження авторами було виявлені канали впливу зовнішніх шоків на економіку України та зони внутрішньої вразливості національної економіки та, що саме може суттєво посилити негативний вплив зовнішніх ефектів. Основною ціллю України має бути зараз відновлення економіки країни на докризовий рівень.</w:t>
      </w:r>
      <w:r w:rsidRPr="007626F7">
        <w:rPr>
          <w:rFonts w:ascii="Times New Roman" w:eastAsia="Calibri" w:hAnsi="Times New Roman" w:cs="Times New Roman"/>
          <w:sz w:val="28"/>
        </w:rPr>
        <w:t xml:space="preserve"> </w:t>
      </w:r>
      <w:r w:rsidRPr="007626F7">
        <w:rPr>
          <w:rFonts w:ascii="Times New Roman" w:eastAsia="Calibri" w:hAnsi="Times New Roman" w:cs="Times New Roman"/>
          <w:sz w:val="28"/>
          <w:lang w:val="uk-UA"/>
        </w:rPr>
        <w:t xml:space="preserve">На початку 2020 року  в Україні відбулося значне падіння економічних показників реального секторі економіки. Автори зазначають, що  у січні та лютому промислове виробництво зменшилось на 3,1% , товарообіг товарів на 16%, а оптовий товарооборот зменшився на 2,6% </w:t>
      </w:r>
      <w:r w:rsidRPr="007626F7">
        <w:rPr>
          <w:rFonts w:ascii="Times New Roman" w:eastAsia="Calibri" w:hAnsi="Times New Roman" w:cs="Times New Roman"/>
          <w:sz w:val="28"/>
        </w:rPr>
        <w:t>[13]</w:t>
      </w:r>
      <w:r w:rsidRPr="007626F7">
        <w:rPr>
          <w:rFonts w:ascii="Times New Roman" w:eastAsia="Calibri" w:hAnsi="Times New Roman" w:cs="Times New Roman"/>
          <w:sz w:val="28"/>
          <w:lang w:val="uk-UA"/>
        </w:rPr>
        <w:t xml:space="preserve">. </w:t>
      </w:r>
    </w:p>
    <w:p w14:paraId="661C8D92" w14:textId="2301C0F6"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 xml:space="preserve">Так як однією з головних статей експорту України є сільськогосподарська продукція, була розглянута наступна стаття «COVID-19: криза чи час нових можливостей для аграрного сектору України» А. Б. Камінський, </w:t>
      </w:r>
      <w:bookmarkStart w:id="19" w:name="_Hlk74996851"/>
      <w:r w:rsidRPr="007626F7">
        <w:rPr>
          <w:rFonts w:ascii="Times New Roman" w:eastAsia="Calibri" w:hAnsi="Times New Roman" w:cs="Times New Roman"/>
          <w:sz w:val="28"/>
          <w:lang w:val="uk-UA"/>
        </w:rPr>
        <w:t xml:space="preserve">М. В. Негрей та Л. М. Зомчак </w:t>
      </w:r>
      <w:bookmarkEnd w:id="19"/>
      <w:r w:rsidRPr="007626F7">
        <w:rPr>
          <w:rFonts w:ascii="Times New Roman" w:eastAsia="Calibri" w:hAnsi="Times New Roman" w:cs="Times New Roman"/>
          <w:sz w:val="28"/>
          <w:lang w:val="uk-UA"/>
        </w:rPr>
        <w:t xml:space="preserve">(2021). Пандемія призвела до скорочення ВВП України та зниження виробництва і зменшення темпів економічної активності. Автори зазначають, що сільське господарство менш вразливе до пандемії ніж інші сектори економіки. Падіння виробництва, закриття ринків і кордонів, скасування замовлень призвели до того, що аграрний сектор зіткнувся з серйозними логістичними проблемами. Але головним висновком було те, що </w:t>
      </w:r>
      <w:r w:rsidR="00B96E33" w:rsidRPr="007626F7">
        <w:rPr>
          <w:rFonts w:ascii="Times New Roman" w:eastAsia="Calibri" w:hAnsi="Times New Roman" w:cs="Times New Roman"/>
          <w:sz w:val="28"/>
          <w:lang w:val="uk-UA"/>
        </w:rPr>
        <w:t xml:space="preserve">пандемія має </w:t>
      </w:r>
      <w:r w:rsidRPr="007626F7">
        <w:rPr>
          <w:rFonts w:ascii="Times New Roman" w:eastAsia="Calibri" w:hAnsi="Times New Roman" w:cs="Times New Roman"/>
          <w:sz w:val="28"/>
          <w:lang w:val="uk-UA"/>
        </w:rPr>
        <w:t>не тільки негативні наслідки для аграрного сектору але і дає можливості, так</w:t>
      </w:r>
      <w:r w:rsidR="00B96E33" w:rsidRPr="007626F7">
        <w:rPr>
          <w:rFonts w:ascii="Times New Roman" w:eastAsia="Calibri" w:hAnsi="Times New Roman" w:cs="Times New Roman"/>
          <w:sz w:val="28"/>
          <w:lang w:val="uk-UA"/>
        </w:rPr>
        <w:t>і</w:t>
      </w:r>
      <w:r w:rsidRPr="007626F7">
        <w:rPr>
          <w:rFonts w:ascii="Times New Roman" w:eastAsia="Calibri" w:hAnsi="Times New Roman" w:cs="Times New Roman"/>
          <w:sz w:val="28"/>
          <w:lang w:val="uk-UA"/>
        </w:rPr>
        <w:t xml:space="preserve"> як збільшення темпів оцифрування фінансових процесів, розширення експортної продукції, та збільшення робочої сили, не тільки кваліфікованої але і некваліфікованої. Також у статті автори говорять про те, що в Україні не тільки пандемія є основною проблемою але</w:t>
      </w:r>
      <w:r w:rsidR="00B96E33" w:rsidRPr="007626F7">
        <w:rPr>
          <w:rFonts w:ascii="Times New Roman" w:eastAsia="Calibri" w:hAnsi="Times New Roman" w:cs="Times New Roman"/>
          <w:sz w:val="28"/>
          <w:lang w:val="uk-UA"/>
        </w:rPr>
        <w:t xml:space="preserve"> також є проблеми</w:t>
      </w:r>
      <w:r w:rsidRPr="007626F7">
        <w:rPr>
          <w:rFonts w:ascii="Times New Roman" w:eastAsia="Calibri" w:hAnsi="Times New Roman" w:cs="Times New Roman"/>
          <w:sz w:val="28"/>
          <w:lang w:val="uk-UA"/>
        </w:rPr>
        <w:t xml:space="preserve"> з відсутніст</w:t>
      </w:r>
      <w:r w:rsidR="00B96E33" w:rsidRPr="007626F7">
        <w:rPr>
          <w:rFonts w:ascii="Times New Roman" w:eastAsia="Calibri" w:hAnsi="Times New Roman" w:cs="Times New Roman"/>
          <w:sz w:val="28"/>
          <w:lang w:val="uk-UA"/>
        </w:rPr>
        <w:t>ю</w:t>
      </w:r>
      <w:r w:rsidRPr="007626F7">
        <w:rPr>
          <w:rFonts w:ascii="Times New Roman" w:eastAsia="Calibri" w:hAnsi="Times New Roman" w:cs="Times New Roman"/>
          <w:sz w:val="28"/>
          <w:lang w:val="uk-UA"/>
        </w:rPr>
        <w:t xml:space="preserve"> стратегії розвитку сільського господарства </w:t>
      </w:r>
      <w:r w:rsidRPr="007626F7">
        <w:rPr>
          <w:rFonts w:ascii="Times New Roman" w:eastAsia="Calibri" w:hAnsi="Times New Roman" w:cs="Times New Roman"/>
          <w:sz w:val="28"/>
        </w:rPr>
        <w:t>[14]</w:t>
      </w:r>
      <w:r w:rsidRPr="007626F7">
        <w:rPr>
          <w:rFonts w:ascii="Times New Roman" w:eastAsia="Calibri" w:hAnsi="Times New Roman" w:cs="Times New Roman"/>
          <w:sz w:val="28"/>
          <w:lang w:val="uk-UA"/>
        </w:rPr>
        <w:t xml:space="preserve">. </w:t>
      </w:r>
    </w:p>
    <w:p w14:paraId="7070063C" w14:textId="3E3308B5"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lastRenderedPageBreak/>
        <w:t>У статті «Особливості економічної кризи через до пандемії COVID-19 в країні, що розвивається: справа України» Б. Данилишин (2020). Автори пишуть, що через карантинні обмеження багато країн зазнали великий негативний вплив. У статті представлені приклади економічних наслідків пандемії COVID-19 для різних країн світу та узагальнено законодавчі та антикризові заходи українського уряду, а також Національного банку України та інших органів державної влади. Авторами було рекомендовано використовувати ідеї щодо стимулювання зростання в рамках промислової діяльності протекціоністської політики</w:t>
      </w:r>
      <w:r w:rsidR="00A90403" w:rsidRPr="007626F7">
        <w:rPr>
          <w:rFonts w:ascii="Times New Roman" w:eastAsia="Calibri" w:hAnsi="Times New Roman" w:cs="Times New Roman"/>
          <w:sz w:val="28"/>
          <w:lang w:val="uk-UA"/>
        </w:rPr>
        <w:t xml:space="preserve"> </w:t>
      </w:r>
      <w:r w:rsidRPr="007626F7">
        <w:rPr>
          <w:rFonts w:ascii="Times New Roman" w:eastAsia="Calibri" w:hAnsi="Times New Roman" w:cs="Times New Roman"/>
          <w:sz w:val="28"/>
        </w:rPr>
        <w:t>[15]</w:t>
      </w:r>
      <w:r w:rsidRPr="007626F7">
        <w:rPr>
          <w:rFonts w:ascii="Times New Roman" w:eastAsia="Calibri" w:hAnsi="Times New Roman" w:cs="Times New Roman"/>
          <w:sz w:val="28"/>
          <w:lang w:val="uk-UA"/>
        </w:rPr>
        <w:t>.</w:t>
      </w:r>
    </w:p>
    <w:p w14:paraId="14AC10BA" w14:textId="09D44913"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У статті «Малий і середній бізнес України в економічній кризі covid-19: шляхи виживання»</w:t>
      </w:r>
      <w:r w:rsidRPr="007626F7">
        <w:rPr>
          <w:rFonts w:ascii="Times New Roman" w:eastAsia="Calibri" w:hAnsi="Times New Roman" w:cs="Times New Roman"/>
          <w:sz w:val="28"/>
        </w:rPr>
        <w:t xml:space="preserve"> </w:t>
      </w:r>
      <w:bookmarkStart w:id="20" w:name="_Hlk74996865"/>
      <w:r w:rsidRPr="007626F7">
        <w:rPr>
          <w:rFonts w:ascii="Times New Roman" w:eastAsia="Calibri" w:hAnsi="Times New Roman" w:cs="Times New Roman"/>
          <w:sz w:val="28"/>
          <w:lang w:val="uk-UA"/>
        </w:rPr>
        <w:t>Соломніков І., Остоверх Г</w:t>
      </w:r>
      <w:bookmarkEnd w:id="20"/>
      <w:r w:rsidRPr="007626F7">
        <w:rPr>
          <w:rFonts w:ascii="Times New Roman" w:eastAsia="Calibri" w:hAnsi="Times New Roman" w:cs="Times New Roman"/>
          <w:sz w:val="28"/>
          <w:lang w:val="uk-UA"/>
        </w:rPr>
        <w:t xml:space="preserve">. (2020). Головною метою є дослідження шляхів виживання та запобігання негативного впливу пандемії на малий та середній бізнес в Україні. Автори зазначають, що пандемія є наймасштабнішою кризою століття і що наслідки такого виду кризи можуть бути схожими або навіть ймовірніше, що серйозніше ніж після кризи 2008-2009 років. Також у статті визначено, що саме малі та середні підприємства страждають найбільше від економічного спаду через зменшення вільних фінансових ресурсів та збільшення залежності від банківського кредитування. У статті авторами було розглянуто також як саме держава може допомогти таким підприємствам вижити в умовах кризи та у після кризовий період </w:t>
      </w:r>
      <w:r w:rsidRPr="007626F7">
        <w:rPr>
          <w:rFonts w:ascii="Times New Roman" w:eastAsia="Calibri" w:hAnsi="Times New Roman" w:cs="Times New Roman"/>
          <w:sz w:val="28"/>
        </w:rPr>
        <w:t>[16]</w:t>
      </w:r>
      <w:r w:rsidRPr="007626F7">
        <w:rPr>
          <w:rFonts w:ascii="Times New Roman" w:eastAsia="Calibri" w:hAnsi="Times New Roman" w:cs="Times New Roman"/>
          <w:sz w:val="28"/>
          <w:lang w:val="uk-UA"/>
        </w:rPr>
        <w:t xml:space="preserve">. </w:t>
      </w:r>
    </w:p>
    <w:p w14:paraId="280A7CD3" w14:textId="77777777"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 xml:space="preserve">У наступній статті щодо стану України в період пандемії «Економічна безпека України: інноваційна концепція зміцнення в контексті covid-19» </w:t>
      </w:r>
      <w:bookmarkStart w:id="21" w:name="_Hlk74996877"/>
      <w:r w:rsidRPr="007626F7">
        <w:rPr>
          <w:rFonts w:ascii="Times New Roman" w:eastAsia="Calibri" w:hAnsi="Times New Roman" w:cs="Times New Roman"/>
          <w:sz w:val="28"/>
          <w:lang w:val="uk-UA"/>
        </w:rPr>
        <w:t xml:space="preserve">Залізко В ., Новак Д.,  Кухта П. </w:t>
      </w:r>
      <w:bookmarkEnd w:id="21"/>
      <w:r w:rsidRPr="007626F7">
        <w:rPr>
          <w:rFonts w:ascii="Times New Roman" w:eastAsia="Calibri" w:hAnsi="Times New Roman" w:cs="Times New Roman"/>
          <w:sz w:val="28"/>
          <w:lang w:val="uk-UA"/>
        </w:rPr>
        <w:t xml:space="preserve">(2020). Розповідається про те як за допомогою систематизації та взагалі узагальнення досвіду міжнародних опонентів щодо дії у кризовий період для зміцнення та підтримання національної економіки. Автори використовують модель інтегральної оцінки для визначення індексу який відображає рівень захисту національної економіки. Вони пропонують Україні сформувати так званий гіг-економічний простір с короткостроковими контрактами для створення рушійної сили для підтримання національної економіки. Також у статті підкреслюється, що ще одним способом </w:t>
      </w:r>
      <w:r w:rsidRPr="007626F7">
        <w:rPr>
          <w:rFonts w:ascii="Times New Roman" w:eastAsia="Calibri" w:hAnsi="Times New Roman" w:cs="Times New Roman"/>
          <w:sz w:val="28"/>
          <w:lang w:val="uk-UA"/>
        </w:rPr>
        <w:lastRenderedPageBreak/>
        <w:t xml:space="preserve">підтримання національної економіки для України може стати використання технологій блокчейну, які  дають змогу залучити вітчизняні державні інвестиції на навчання, пільгові кредити та перепідготовку економічно активного населення [17]. </w:t>
      </w:r>
    </w:p>
    <w:p w14:paraId="3563688B" w14:textId="77777777" w:rsidR="00507D30"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 xml:space="preserve">«Вплив Covid-19 на бюджетну безпеку національної економіки: прогноз для України» </w:t>
      </w:r>
      <w:bookmarkStart w:id="22" w:name="_Hlk74996885"/>
      <w:r w:rsidRPr="007626F7">
        <w:rPr>
          <w:rFonts w:ascii="Times New Roman" w:eastAsia="Calibri" w:hAnsi="Times New Roman" w:cs="Times New Roman"/>
          <w:sz w:val="28"/>
          <w:lang w:val="uk-UA"/>
        </w:rPr>
        <w:t xml:space="preserve">В. Стрілець, О. Прокопенко, В. Орлов </w:t>
      </w:r>
      <w:bookmarkEnd w:id="22"/>
      <w:r w:rsidRPr="007626F7">
        <w:rPr>
          <w:rFonts w:ascii="Times New Roman" w:eastAsia="Calibri" w:hAnsi="Times New Roman" w:cs="Times New Roman"/>
          <w:sz w:val="28"/>
          <w:lang w:val="uk-UA"/>
        </w:rPr>
        <w:t>(2020). У цій роботі розглядаються методологічні аспекти розрахунку бюджетної безпеки України та їх ключові показники протягом 2015–2019 років. На основі такого аналізу та прогнозування авторами було визначено необхідність у терміновому плануванні та реалізації антикризових заходів у сфері управління бюджетною безпеки України, а також забезпечення узгодженості норм бюджетного та податкового законодавства. Також автори зазначають, що уряд України має вжити заходи для підтримки малих та середніх підприємств, заходи щодо підтримання  стану охорони здоров’я, що у свою чергу може привести до змін фіскальної політики або повну відмову від існуючої [18].</w:t>
      </w:r>
    </w:p>
    <w:p w14:paraId="28DDBE2E" w14:textId="29734759" w:rsidR="00CB2FE9" w:rsidRPr="007626F7" w:rsidRDefault="00507D30"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 xml:space="preserve">У статті «Застосування антикризових заходів банками України про надання банківських послуг в контексті пандемії коронавірусу» </w:t>
      </w:r>
      <w:bookmarkStart w:id="23" w:name="_Hlk74996891"/>
      <w:r w:rsidRPr="007626F7">
        <w:rPr>
          <w:rFonts w:ascii="Times New Roman" w:eastAsia="Calibri" w:hAnsi="Times New Roman" w:cs="Times New Roman"/>
          <w:sz w:val="28"/>
          <w:lang w:val="uk-UA"/>
        </w:rPr>
        <w:t xml:space="preserve">С. О. Кушнір, Х. А. Геворгян </w:t>
      </w:r>
      <w:bookmarkEnd w:id="23"/>
      <w:r w:rsidRPr="007626F7">
        <w:rPr>
          <w:rFonts w:ascii="Times New Roman" w:eastAsia="Calibri" w:hAnsi="Times New Roman" w:cs="Times New Roman"/>
          <w:sz w:val="28"/>
          <w:lang w:val="uk-UA"/>
        </w:rPr>
        <w:t>(2020). Автори розглядають методи та інструменти антикризового регулювання. У статті також було проаналізовано діяльність  комерційних банків у нестабільних економічних умовах і визначено, що в умовах ринкової економіки банки  відіграють ключову роль в підтримці економіки, виступаючи в ролі інституцій, що приносять прибуток, та приймають власні рішення щодо ризику.</w:t>
      </w:r>
      <w:r w:rsidR="0091471B" w:rsidRPr="007626F7">
        <w:rPr>
          <w:rFonts w:ascii="Times New Roman" w:eastAsia="Calibri" w:hAnsi="Times New Roman" w:cs="Times New Roman"/>
          <w:sz w:val="28"/>
          <w:lang w:val="uk-UA"/>
        </w:rPr>
        <w:t xml:space="preserve"> </w:t>
      </w:r>
      <w:r w:rsidRPr="007626F7">
        <w:rPr>
          <w:rFonts w:ascii="Times New Roman" w:eastAsia="Calibri" w:hAnsi="Times New Roman" w:cs="Times New Roman"/>
          <w:sz w:val="28"/>
          <w:lang w:val="uk-UA"/>
        </w:rPr>
        <w:t>Актуальність цього дослідження полягає у виявленні зовнішніх та внутрішніх факторів, що впливають на економіку та банківську систему зокрема, а також у аналізі та прогнозуванні правильних кроків у регулюванні банківських послуг та подальшому розвитку банківського сектору в Україні [19].</w:t>
      </w:r>
    </w:p>
    <w:p w14:paraId="1DEA7AE8" w14:textId="7BDE8593" w:rsidR="00C32FF4" w:rsidRPr="007626F7" w:rsidRDefault="00FA09C9" w:rsidP="007626F7">
      <w:pPr>
        <w:spacing w:after="0" w:line="360" w:lineRule="auto"/>
        <w:ind w:firstLine="709"/>
        <w:jc w:val="both"/>
        <w:rPr>
          <w:rFonts w:ascii="Times New Roman" w:eastAsia="Calibri" w:hAnsi="Times New Roman" w:cs="Times New Roman"/>
          <w:sz w:val="28"/>
          <w:lang w:val="uk-UA"/>
        </w:rPr>
      </w:pPr>
      <w:r w:rsidRPr="007626F7">
        <w:rPr>
          <w:rFonts w:ascii="Times New Roman" w:eastAsia="Calibri" w:hAnsi="Times New Roman" w:cs="Times New Roman"/>
          <w:sz w:val="28"/>
          <w:lang w:val="uk-UA"/>
        </w:rPr>
        <w:t xml:space="preserve">Отже можна прийти до висновку, що згідно досліджень авторів усі країни так чи інакше постраждали від впливу пандемії, </w:t>
      </w:r>
      <w:r w:rsidR="00BE7C11" w:rsidRPr="007626F7">
        <w:rPr>
          <w:rFonts w:ascii="Times New Roman" w:eastAsia="Calibri" w:hAnsi="Times New Roman" w:cs="Times New Roman"/>
          <w:sz w:val="28"/>
          <w:lang w:val="uk-UA"/>
        </w:rPr>
        <w:t xml:space="preserve">Швейцарія хоча і розвинута країна але також зазнала впливу, </w:t>
      </w:r>
      <w:r w:rsidR="007643D4" w:rsidRPr="007626F7">
        <w:rPr>
          <w:rFonts w:ascii="Times New Roman" w:eastAsia="Calibri" w:hAnsi="Times New Roman" w:cs="Times New Roman"/>
          <w:sz w:val="28"/>
          <w:lang w:val="uk-UA"/>
        </w:rPr>
        <w:t xml:space="preserve">у Польщі найстійкішими до </w:t>
      </w:r>
      <w:r w:rsidR="007643D4" w:rsidRPr="007626F7">
        <w:rPr>
          <w:rFonts w:ascii="Times New Roman" w:eastAsia="Calibri" w:hAnsi="Times New Roman" w:cs="Times New Roman"/>
          <w:sz w:val="28"/>
          <w:lang w:val="uk-UA"/>
        </w:rPr>
        <w:lastRenderedPageBreak/>
        <w:t>впливу пандемії виявились комерційні банки, а Україні слід уникати повного закриття країни.</w:t>
      </w:r>
      <w:r w:rsidR="00CB2FE9" w:rsidRPr="007626F7">
        <w:rPr>
          <w:rFonts w:ascii="Times New Roman" w:eastAsia="Calibri" w:hAnsi="Times New Roman" w:cs="Times New Roman"/>
          <w:sz w:val="28"/>
          <w:lang w:val="uk-UA"/>
        </w:rPr>
        <w:br w:type="page"/>
      </w:r>
    </w:p>
    <w:p w14:paraId="1EA1B2F8" w14:textId="30402BD1" w:rsidR="00507D30" w:rsidRPr="007626F7" w:rsidRDefault="00507D30" w:rsidP="007626F7">
      <w:pPr>
        <w:spacing w:after="0" w:line="360" w:lineRule="auto"/>
        <w:jc w:val="center"/>
        <w:outlineLvl w:val="0"/>
        <w:rPr>
          <w:rFonts w:ascii="Times New Roman" w:hAnsi="Times New Roman" w:cs="Times New Roman"/>
          <w:b/>
          <w:bCs/>
          <w:sz w:val="28"/>
          <w:szCs w:val="28"/>
        </w:rPr>
      </w:pPr>
      <w:bookmarkStart w:id="24" w:name="_Toc75333584"/>
      <w:r w:rsidRPr="007626F7">
        <w:rPr>
          <w:rFonts w:ascii="Times New Roman" w:hAnsi="Times New Roman" w:cs="Times New Roman"/>
          <w:b/>
          <w:bCs/>
          <w:sz w:val="28"/>
          <w:szCs w:val="28"/>
        </w:rPr>
        <w:lastRenderedPageBreak/>
        <w:t>РОЗДІЛ 2</w:t>
      </w:r>
      <w:bookmarkEnd w:id="24"/>
    </w:p>
    <w:p w14:paraId="112FE86D" w14:textId="60FF888F" w:rsidR="00507D30" w:rsidRPr="007626F7" w:rsidRDefault="003D23E0" w:rsidP="007626F7">
      <w:pPr>
        <w:spacing w:after="0" w:line="360" w:lineRule="auto"/>
        <w:jc w:val="center"/>
        <w:outlineLvl w:val="0"/>
        <w:rPr>
          <w:rFonts w:ascii="Times New Roman" w:hAnsi="Times New Roman" w:cs="Times New Roman"/>
          <w:b/>
          <w:bCs/>
          <w:sz w:val="28"/>
          <w:szCs w:val="28"/>
        </w:rPr>
      </w:pPr>
      <w:bookmarkStart w:id="25" w:name="_Toc75333585"/>
      <w:r w:rsidRPr="007626F7">
        <w:rPr>
          <w:rFonts w:ascii="Times New Roman" w:hAnsi="Times New Roman" w:cs="Times New Roman"/>
          <w:b/>
          <w:bCs/>
          <w:sz w:val="28"/>
          <w:szCs w:val="28"/>
        </w:rPr>
        <w:t>КОНКУРЕНТОСПРОМОЖ</w:t>
      </w:r>
      <w:r w:rsidRPr="007626F7">
        <w:rPr>
          <w:rFonts w:ascii="Times New Roman" w:hAnsi="Times New Roman" w:cs="Times New Roman"/>
          <w:b/>
          <w:bCs/>
          <w:sz w:val="28"/>
          <w:szCs w:val="28"/>
          <w:lang w:val="uk-UA"/>
        </w:rPr>
        <w:t>НІСТЬ</w:t>
      </w:r>
      <w:r w:rsidR="00507D30" w:rsidRPr="007626F7">
        <w:rPr>
          <w:rFonts w:ascii="Times New Roman" w:hAnsi="Times New Roman" w:cs="Times New Roman"/>
          <w:b/>
          <w:bCs/>
          <w:sz w:val="28"/>
          <w:szCs w:val="28"/>
        </w:rPr>
        <w:t xml:space="preserve"> ШВЕЙЦАРІЇ, ПОЛЬЩІ ТА УКРАЇНИ У ПЕРІОД ПАНДЕМІЇ</w:t>
      </w:r>
      <w:r w:rsidR="0089556E" w:rsidRPr="007626F7">
        <w:rPr>
          <w:rFonts w:ascii="Times New Roman" w:hAnsi="Times New Roman" w:cs="Times New Roman"/>
          <w:b/>
          <w:bCs/>
          <w:sz w:val="28"/>
          <w:szCs w:val="28"/>
        </w:rPr>
        <w:t xml:space="preserve"> </w:t>
      </w:r>
      <w:r w:rsidR="0089556E" w:rsidRPr="007626F7">
        <w:rPr>
          <w:rFonts w:ascii="Times New Roman" w:hAnsi="Times New Roman" w:cs="Times New Roman"/>
          <w:b/>
          <w:bCs/>
          <w:sz w:val="28"/>
          <w:szCs w:val="28"/>
          <w:lang w:val="en-US"/>
        </w:rPr>
        <w:t>COVID</w:t>
      </w:r>
      <w:r w:rsidR="0089556E" w:rsidRPr="007626F7">
        <w:rPr>
          <w:rFonts w:ascii="Times New Roman" w:hAnsi="Times New Roman" w:cs="Times New Roman"/>
          <w:b/>
          <w:bCs/>
          <w:sz w:val="28"/>
          <w:szCs w:val="28"/>
        </w:rPr>
        <w:t>-19</w:t>
      </w:r>
      <w:bookmarkEnd w:id="25"/>
    </w:p>
    <w:p w14:paraId="75F450D9" w14:textId="77777777" w:rsidR="00507D30" w:rsidRPr="007626F7" w:rsidRDefault="00507D30" w:rsidP="007626F7">
      <w:pPr>
        <w:spacing w:after="0" w:line="360" w:lineRule="auto"/>
        <w:jc w:val="center"/>
        <w:rPr>
          <w:rFonts w:ascii="Times New Roman" w:hAnsi="Times New Roman" w:cs="Times New Roman"/>
          <w:b/>
          <w:bCs/>
          <w:sz w:val="28"/>
          <w:szCs w:val="28"/>
        </w:rPr>
      </w:pPr>
    </w:p>
    <w:p w14:paraId="38CE8EF7" w14:textId="3F139F23" w:rsidR="00507D30" w:rsidRPr="007626F7" w:rsidRDefault="00507D30" w:rsidP="007626F7">
      <w:pPr>
        <w:spacing w:after="0" w:line="360" w:lineRule="auto"/>
        <w:ind w:firstLine="720"/>
        <w:jc w:val="both"/>
        <w:outlineLvl w:val="1"/>
        <w:rPr>
          <w:rFonts w:ascii="Times New Roman" w:hAnsi="Times New Roman" w:cs="Times New Roman"/>
          <w:b/>
          <w:bCs/>
          <w:sz w:val="28"/>
          <w:szCs w:val="28"/>
          <w:lang w:val="uk-UA"/>
        </w:rPr>
      </w:pPr>
      <w:bookmarkStart w:id="26" w:name="_Toc75333586"/>
      <w:r w:rsidRPr="007626F7">
        <w:rPr>
          <w:rFonts w:ascii="Times New Roman" w:hAnsi="Times New Roman" w:cs="Times New Roman"/>
          <w:b/>
          <w:bCs/>
          <w:sz w:val="28"/>
          <w:szCs w:val="28"/>
          <w:lang w:val="uk-UA"/>
        </w:rPr>
        <w:t xml:space="preserve">2.1 </w:t>
      </w:r>
      <w:r w:rsidR="003D23E0" w:rsidRPr="007626F7">
        <w:rPr>
          <w:rFonts w:ascii="Times New Roman" w:hAnsi="Times New Roman" w:cs="Times New Roman"/>
          <w:b/>
          <w:bCs/>
          <w:sz w:val="28"/>
          <w:szCs w:val="28"/>
          <w:lang w:val="uk-UA"/>
        </w:rPr>
        <w:t>Динаміка та структура соціально-економічних показників країн</w:t>
      </w:r>
      <w:bookmarkEnd w:id="26"/>
      <w:r w:rsidR="003D23E0" w:rsidRPr="007626F7">
        <w:rPr>
          <w:rFonts w:ascii="Times New Roman" w:hAnsi="Times New Roman" w:cs="Times New Roman"/>
          <w:b/>
          <w:bCs/>
          <w:sz w:val="28"/>
          <w:szCs w:val="28"/>
          <w:lang w:val="uk-UA"/>
        </w:rPr>
        <w:t xml:space="preserve"> </w:t>
      </w:r>
    </w:p>
    <w:p w14:paraId="6ECCCF6A" w14:textId="77777777" w:rsidR="00154072" w:rsidRPr="007626F7" w:rsidRDefault="00154072" w:rsidP="007626F7">
      <w:pPr>
        <w:spacing w:after="0" w:line="360" w:lineRule="auto"/>
        <w:ind w:firstLine="720"/>
        <w:jc w:val="both"/>
        <w:outlineLvl w:val="1"/>
        <w:rPr>
          <w:rFonts w:ascii="Times New Roman" w:hAnsi="Times New Roman" w:cs="Times New Roman"/>
          <w:b/>
          <w:bCs/>
          <w:sz w:val="28"/>
          <w:szCs w:val="28"/>
          <w:lang w:val="uk-UA"/>
        </w:rPr>
      </w:pPr>
    </w:p>
    <w:p w14:paraId="674F7691"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У даному підрозділі буде проаналізована ситуація щодо стану економічних показників у період 2018-2020 років у Швейцарії, Польці та Україні.</w:t>
      </w:r>
    </w:p>
    <w:p w14:paraId="6E847489" w14:textId="69B0E758"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Розглянемо ситуацію яка склалась в Україні. Спочатку розглянемо як пандемія вплинула на зміну ВВП країни ( див.рис.</w:t>
      </w:r>
      <w:r w:rsidR="00936F3E" w:rsidRPr="007626F7">
        <w:rPr>
          <w:rFonts w:ascii="Times New Roman" w:hAnsi="Times New Roman" w:cs="Times New Roman"/>
          <w:sz w:val="28"/>
          <w:szCs w:val="28"/>
          <w:lang w:val="uk-UA"/>
        </w:rPr>
        <w:t>2.1</w:t>
      </w:r>
      <w:r w:rsidRPr="007626F7">
        <w:rPr>
          <w:rFonts w:ascii="Times New Roman" w:hAnsi="Times New Roman" w:cs="Times New Roman"/>
          <w:sz w:val="28"/>
          <w:szCs w:val="28"/>
          <w:lang w:val="uk-UA"/>
        </w:rPr>
        <w:t xml:space="preserve">).         </w:t>
      </w:r>
    </w:p>
    <w:p w14:paraId="6A77A022" w14:textId="27486C81" w:rsidR="00507D30" w:rsidRPr="007626F7" w:rsidRDefault="00507D30" w:rsidP="007626F7">
      <w:pPr>
        <w:spacing w:after="0" w:line="360" w:lineRule="auto"/>
        <w:jc w:val="both"/>
        <w:rPr>
          <w:rFonts w:ascii="Times New Roman" w:hAnsi="Times New Roman" w:cs="Times New Roman"/>
          <w:b/>
          <w:bCs/>
          <w:sz w:val="28"/>
          <w:szCs w:val="28"/>
          <w:lang w:val="uk-UA"/>
        </w:rPr>
      </w:pPr>
      <w:r w:rsidRPr="007626F7">
        <w:rPr>
          <w:rFonts w:ascii="Times New Roman" w:hAnsi="Times New Roman" w:cs="Times New Roman"/>
          <w:noProof/>
          <w:lang w:val="uk-UA" w:eastAsia="uk-UA"/>
        </w:rPr>
        <w:drawing>
          <wp:inline distT="0" distB="0" distL="0" distR="0" wp14:anchorId="14DFFA8B" wp14:editId="3CB8AAAB">
            <wp:extent cx="5991225" cy="2031023"/>
            <wp:effectExtent l="0" t="0" r="9525" b="7620"/>
            <wp:docPr id="1" name="Диаграмма 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45054C3-2238-43B6-845A-A51F3C0413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7626F7">
        <w:rPr>
          <w:rFonts w:ascii="Times New Roman" w:hAnsi="Times New Roman" w:cs="Times New Roman"/>
          <w:b/>
          <w:bCs/>
          <w:sz w:val="28"/>
          <w:szCs w:val="28"/>
          <w:lang w:val="uk-UA"/>
        </w:rPr>
        <w:t xml:space="preserve">      </w:t>
      </w:r>
    </w:p>
    <w:p w14:paraId="0A4715A4" w14:textId="427F7390"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Рис.2</w:t>
      </w:r>
      <w:r w:rsidR="00272339" w:rsidRPr="007626F7">
        <w:rPr>
          <w:rFonts w:ascii="Times New Roman" w:hAnsi="Times New Roman" w:cs="Times New Roman"/>
          <w:sz w:val="28"/>
          <w:szCs w:val="28"/>
          <w:lang w:val="uk-UA"/>
        </w:rPr>
        <w:t>.1</w:t>
      </w:r>
      <w:r w:rsidRPr="007626F7">
        <w:rPr>
          <w:rFonts w:ascii="Times New Roman" w:hAnsi="Times New Roman" w:cs="Times New Roman"/>
          <w:sz w:val="28"/>
          <w:szCs w:val="28"/>
          <w:lang w:val="uk-UA"/>
        </w:rPr>
        <w:t xml:space="preserve"> ВВП України 2018-2020 у фактичних цінах (млн. грн)</w:t>
      </w:r>
    </w:p>
    <w:p w14:paraId="6415ED86" w14:textId="7AC55DE2"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lang w:val="uk-UA"/>
        </w:rPr>
        <w:t xml:space="preserve">Джерело: складено автором на основі </w:t>
      </w:r>
      <w:r w:rsidRPr="007626F7">
        <w:rPr>
          <w:rFonts w:ascii="Times New Roman" w:hAnsi="Times New Roman" w:cs="Times New Roman"/>
          <w:sz w:val="28"/>
          <w:szCs w:val="28"/>
        </w:rPr>
        <w:t>[</w:t>
      </w:r>
      <w:r w:rsidR="00272339" w:rsidRPr="007626F7">
        <w:rPr>
          <w:rFonts w:ascii="Times New Roman" w:hAnsi="Times New Roman" w:cs="Times New Roman"/>
          <w:sz w:val="28"/>
          <w:szCs w:val="28"/>
        </w:rPr>
        <w:t>20</w:t>
      </w:r>
      <w:r w:rsidRPr="007626F7">
        <w:rPr>
          <w:rFonts w:ascii="Times New Roman" w:hAnsi="Times New Roman" w:cs="Times New Roman"/>
          <w:sz w:val="28"/>
          <w:szCs w:val="28"/>
        </w:rPr>
        <w:t>].</w:t>
      </w:r>
    </w:p>
    <w:p w14:paraId="38460951"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Згідно рисунку ВВП України у гривнях починаючи з першого кварталу 2018 року почало зростати і до кінця 2018 року зросло на 33% відсотки. Але ріст відбувався лише до першого кварталу 2019 року, де ВВП у першому ж кварталі 2019 року зменшилось приблизно на 22% відсотки, але починаючи з другого кварталу 2019 і до кінця року ВВП зростало і вже у кінці 2019 року зросло приблизно на 35% у порівнянні з початком року. Щодо 2020 року, на початок пандемії ВВП значно скоротилось на 24% у порівнянні з кінцем 2019 року  але вже у третьому кварталі 2020 року ВВП України почало знову зростати і у четвертому кварталі 2020 року досягнуло свого максимуму за останні 3 роки. Що дуже незвичайно як для ситуації у період пандемії. </w:t>
      </w:r>
    </w:p>
    <w:p w14:paraId="71E047E2" w14:textId="77777777" w:rsidR="00507D30" w:rsidRPr="007626F7" w:rsidRDefault="00507D30"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noProof/>
          <w:lang w:val="uk-UA" w:eastAsia="uk-UA"/>
        </w:rPr>
        <w:lastRenderedPageBreak/>
        <w:drawing>
          <wp:inline distT="0" distB="0" distL="0" distR="0" wp14:anchorId="36CEAC02" wp14:editId="0FEBF2E7">
            <wp:extent cx="6143625" cy="2057400"/>
            <wp:effectExtent l="0" t="0" r="9525" b="0"/>
            <wp:docPr id="2" name="Диаграмма 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6B10BAC-79EC-4800-AA0B-9ED8C3D5F0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43292AD" w14:textId="46675F7A" w:rsidR="00507D30" w:rsidRPr="007626F7" w:rsidRDefault="00507D30"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Рис</w:t>
      </w:r>
      <w:r w:rsidR="0069190D" w:rsidRPr="007626F7">
        <w:rPr>
          <w:rFonts w:ascii="Times New Roman" w:hAnsi="Times New Roman" w:cs="Times New Roman"/>
          <w:sz w:val="28"/>
          <w:szCs w:val="28"/>
          <w:lang w:val="uk-UA"/>
        </w:rPr>
        <w:t>.2.2</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uk-UA"/>
        </w:rPr>
        <w:t>Дефіцит державного бюджету України (млн. грн)</w:t>
      </w:r>
    </w:p>
    <w:p w14:paraId="6331CE23" w14:textId="3BC98C7C" w:rsidR="00507D30" w:rsidRPr="007626F7" w:rsidRDefault="00507D30"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w:t>
      </w:r>
      <w:r w:rsidR="0069190D" w:rsidRPr="007626F7">
        <w:rPr>
          <w:rFonts w:ascii="Times New Roman" w:hAnsi="Times New Roman" w:cs="Times New Roman"/>
          <w:sz w:val="28"/>
          <w:szCs w:val="28"/>
          <w:lang w:val="uk-UA"/>
        </w:rPr>
        <w:t>21</w:t>
      </w:r>
      <w:r w:rsidRPr="007626F7">
        <w:rPr>
          <w:rFonts w:ascii="Times New Roman" w:hAnsi="Times New Roman" w:cs="Times New Roman"/>
          <w:sz w:val="28"/>
          <w:szCs w:val="28"/>
          <w:lang w:val="uk-UA"/>
        </w:rPr>
        <w:t>].</w:t>
      </w:r>
    </w:p>
    <w:p w14:paraId="08BE0603" w14:textId="682C14AE"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Дефіцит державного бюджету був порахований</w:t>
      </w:r>
      <w:r w:rsidR="0077702A" w:rsidRPr="007626F7">
        <w:rPr>
          <w:rFonts w:ascii="Times New Roman" w:hAnsi="Times New Roman" w:cs="Times New Roman"/>
          <w:sz w:val="28"/>
          <w:szCs w:val="28"/>
          <w:lang w:val="uk-UA"/>
        </w:rPr>
        <w:t xml:space="preserve"> внаслідок</w:t>
      </w:r>
      <w:r w:rsidRPr="007626F7">
        <w:rPr>
          <w:rFonts w:ascii="Times New Roman" w:hAnsi="Times New Roman" w:cs="Times New Roman"/>
          <w:sz w:val="28"/>
          <w:szCs w:val="28"/>
          <w:lang w:val="uk-UA"/>
        </w:rPr>
        <w:t xml:space="preserve"> віднімання від бюджетних доходів бюджетн</w:t>
      </w:r>
      <w:r w:rsidR="0077702A" w:rsidRPr="007626F7">
        <w:rPr>
          <w:rFonts w:ascii="Times New Roman" w:hAnsi="Times New Roman" w:cs="Times New Roman"/>
          <w:sz w:val="28"/>
          <w:szCs w:val="28"/>
          <w:lang w:val="uk-UA"/>
        </w:rPr>
        <w:t>их</w:t>
      </w:r>
      <w:r w:rsidRPr="007626F7">
        <w:rPr>
          <w:rFonts w:ascii="Times New Roman" w:hAnsi="Times New Roman" w:cs="Times New Roman"/>
          <w:sz w:val="28"/>
          <w:szCs w:val="28"/>
          <w:lang w:val="uk-UA"/>
        </w:rPr>
        <w:t xml:space="preserve"> витрат. Даний графік показує, що</w:t>
      </w:r>
      <w:r w:rsidR="0077702A"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 xml:space="preserve">стан державного бюджету починаючи з 2018 року був нестабільним, але приблизно у вересні 2018 року навіть спостерігається профіцит державного бюджету. А ось починаючи з 2019, дефіцит державного бюджету ставав все більш волатильним. У січні 2019 року відбувся перший різкий спад показника дефіциту бюджету, який склав приблизно -11 мільйонів гривень. У наступні два місяці державний бюджет більш менш </w:t>
      </w:r>
      <w:r w:rsidR="0077702A" w:rsidRPr="007626F7">
        <w:rPr>
          <w:rFonts w:ascii="Times New Roman" w:hAnsi="Times New Roman" w:cs="Times New Roman"/>
          <w:sz w:val="28"/>
          <w:szCs w:val="28"/>
          <w:lang w:val="uk-UA"/>
        </w:rPr>
        <w:t xml:space="preserve">стабільним і </w:t>
      </w:r>
      <w:r w:rsidRPr="007626F7">
        <w:rPr>
          <w:rFonts w:ascii="Times New Roman" w:hAnsi="Times New Roman" w:cs="Times New Roman"/>
          <w:sz w:val="28"/>
          <w:szCs w:val="28"/>
          <w:lang w:val="uk-UA"/>
        </w:rPr>
        <w:t>почав відновлюватися</w:t>
      </w:r>
      <w:r w:rsidR="0077702A"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 xml:space="preserve">починаючи з серпня до вересня 2019 року державний бюджет мав позитивне значення, тобто нарахувань до державного бюджету було більше ніж видатків з державного бюджету. Але у кінці 2019 року, якраз коли почалося розповсюдження інформації про </w:t>
      </w:r>
      <w:r w:rsidR="0077702A" w:rsidRPr="007626F7">
        <w:rPr>
          <w:rFonts w:ascii="Times New Roman" w:hAnsi="Times New Roman" w:cs="Times New Roman"/>
          <w:sz w:val="28"/>
          <w:szCs w:val="28"/>
          <w:lang w:val="uk-UA"/>
        </w:rPr>
        <w:t>пандемію</w:t>
      </w:r>
      <w:r w:rsidRPr="007626F7">
        <w:rPr>
          <w:rFonts w:ascii="Times New Roman" w:hAnsi="Times New Roman" w:cs="Times New Roman"/>
          <w:sz w:val="28"/>
          <w:szCs w:val="28"/>
          <w:lang w:val="uk-UA"/>
        </w:rPr>
        <w:t xml:space="preserve"> дефіцит збільшився. А на початку 2020 року починають вже відбуватися більш різкі спади, яких не було в Україні протягом трьох розглянутих років.  </w:t>
      </w:r>
    </w:p>
    <w:p w14:paraId="7CF946C6" w14:textId="2BA95779"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На 2020 рік взагалі урядом України було вирішено витратити на соціальне забезпечення</w:t>
      </w:r>
      <w:r w:rsidR="0077702A"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близько 304 мільярдів гривень, що займає одну з найбільших позначок взагалі у розмірі витрат запланованих на 2020 рік. А також відомо, що у 2020 році у січні було витрачено близько 679 мільйонів гривень на соціальне забезпечення, а саме на виплату пенсій та допомоги населенню [</w:t>
      </w:r>
      <w:r w:rsidR="00C42D29" w:rsidRPr="007626F7">
        <w:rPr>
          <w:rFonts w:ascii="Times New Roman" w:hAnsi="Times New Roman" w:cs="Times New Roman"/>
          <w:sz w:val="28"/>
          <w:szCs w:val="28"/>
          <w:lang w:val="uk-UA"/>
        </w:rPr>
        <w:t>22</w:t>
      </w:r>
      <w:r w:rsidRPr="007626F7">
        <w:rPr>
          <w:rFonts w:ascii="Times New Roman" w:hAnsi="Times New Roman" w:cs="Times New Roman"/>
          <w:sz w:val="28"/>
          <w:szCs w:val="28"/>
          <w:lang w:val="uk-UA"/>
        </w:rPr>
        <w:t>].</w:t>
      </w:r>
    </w:p>
    <w:p w14:paraId="021D2826" w14:textId="2868D093" w:rsidR="00507D30" w:rsidRPr="007626F7" w:rsidRDefault="008838BD"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М</w:t>
      </w:r>
      <w:r w:rsidR="00507D30" w:rsidRPr="007626F7">
        <w:rPr>
          <w:rFonts w:ascii="Times New Roman" w:hAnsi="Times New Roman" w:cs="Times New Roman"/>
          <w:sz w:val="28"/>
          <w:szCs w:val="28"/>
          <w:lang w:val="uk-UA"/>
        </w:rPr>
        <w:t>ожна припустити, що саме тому у 2020 році у січні відбувся такий спад. Потім протягом усього 2020 року дефіцит державного бюджету то зменшується то збільшується але у цілому не виходить з мінусів і найменшою позначкою дефіциту бюджету у 2020 році було приблизно – 4 мільйони гривень але саме у січні відбувся такий значний спад. А ось щодо кінця 2020 і початку 2021 років , можна побачити, що показник дефіциту бюджету досяг рекордних показників дефіциту бюджету за останні три роки. Дефіцит бюджету у  грудні 2020 року досяг рекордної позначки в -</w:t>
      </w:r>
      <w:r w:rsidRPr="007626F7">
        <w:rPr>
          <w:rFonts w:ascii="Times New Roman" w:hAnsi="Times New Roman" w:cs="Times New Roman"/>
          <w:sz w:val="28"/>
          <w:szCs w:val="28"/>
        </w:rPr>
        <w:t xml:space="preserve"> </w:t>
      </w:r>
      <w:r w:rsidR="00507D30" w:rsidRPr="007626F7">
        <w:rPr>
          <w:rFonts w:ascii="Times New Roman" w:hAnsi="Times New Roman" w:cs="Times New Roman"/>
          <w:sz w:val="28"/>
          <w:szCs w:val="28"/>
          <w:lang w:val="uk-UA"/>
        </w:rPr>
        <w:t xml:space="preserve">21 мільйон гривень. </w:t>
      </w:r>
    </w:p>
    <w:p w14:paraId="3399E3FE" w14:textId="5A844C79"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У грудні 2021 року відбулося незначне покращення стану державного бюджету і дефіцит склав усього -536 тисяч гривень, за рахунок зменшення бюджетних витрат і росту бюджетних доходів через ріс  податку на додану вартість з імпортних товарів, який у грудні 2021 року склав 31,5% від усіх доходів до бюджету [</w:t>
      </w:r>
      <w:r w:rsidR="00C42D29" w:rsidRPr="007626F7">
        <w:rPr>
          <w:rFonts w:ascii="Times New Roman" w:hAnsi="Times New Roman" w:cs="Times New Roman"/>
          <w:sz w:val="28"/>
          <w:szCs w:val="28"/>
          <w:lang w:val="uk-UA"/>
        </w:rPr>
        <w:t>23</w:t>
      </w:r>
      <w:r w:rsidRPr="007626F7">
        <w:rPr>
          <w:rFonts w:ascii="Times New Roman" w:hAnsi="Times New Roman" w:cs="Times New Roman"/>
          <w:sz w:val="28"/>
          <w:szCs w:val="28"/>
          <w:lang w:val="uk-UA"/>
        </w:rPr>
        <w:t>].</w:t>
      </w:r>
    </w:p>
    <w:p w14:paraId="31CC44DE" w14:textId="681DD39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Також щоб більше розуміти стан державного бюджету країни розглянемо державний борг України протягом 2020-2021 років (див. рис </w:t>
      </w:r>
      <w:r w:rsidR="00617F86" w:rsidRPr="007626F7">
        <w:rPr>
          <w:rFonts w:ascii="Times New Roman" w:hAnsi="Times New Roman" w:cs="Times New Roman"/>
          <w:sz w:val="28"/>
          <w:szCs w:val="28"/>
          <w:lang w:val="uk-UA"/>
        </w:rPr>
        <w:t>2.3</w:t>
      </w:r>
      <w:r w:rsidRPr="007626F7">
        <w:rPr>
          <w:rFonts w:ascii="Times New Roman" w:hAnsi="Times New Roman" w:cs="Times New Roman"/>
          <w:sz w:val="28"/>
          <w:szCs w:val="28"/>
          <w:lang w:val="uk-UA"/>
        </w:rPr>
        <w:t>).</w:t>
      </w:r>
    </w:p>
    <w:p w14:paraId="047ACEF8" w14:textId="1857D608" w:rsidR="00507D30" w:rsidRPr="007626F7" w:rsidRDefault="002C5D48" w:rsidP="007626F7">
      <w:pPr>
        <w:spacing w:after="0" w:line="360" w:lineRule="auto"/>
        <w:ind w:left="-851" w:firstLine="720"/>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7CBAB131" wp14:editId="5F344B3F">
            <wp:extent cx="6162675" cy="2305050"/>
            <wp:effectExtent l="0" t="0" r="9525"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662BD28" w14:textId="400CF1AB" w:rsidR="00507D30" w:rsidRPr="007626F7" w:rsidRDefault="00507D30" w:rsidP="007626F7">
      <w:pPr>
        <w:spacing w:after="0" w:line="360" w:lineRule="auto"/>
        <w:ind w:left="-851"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Рис.</w:t>
      </w:r>
      <w:r w:rsidR="00617F86" w:rsidRPr="007626F7">
        <w:rPr>
          <w:rFonts w:ascii="Times New Roman" w:hAnsi="Times New Roman" w:cs="Times New Roman"/>
          <w:sz w:val="28"/>
          <w:szCs w:val="28"/>
          <w:lang w:val="uk-UA"/>
        </w:rPr>
        <w:t>2.3</w:t>
      </w:r>
      <w:r w:rsidRPr="007626F7">
        <w:rPr>
          <w:rFonts w:ascii="Times New Roman" w:hAnsi="Times New Roman" w:cs="Times New Roman"/>
          <w:sz w:val="28"/>
          <w:szCs w:val="28"/>
          <w:lang w:val="uk-UA"/>
        </w:rPr>
        <w:t xml:space="preserve"> </w:t>
      </w:r>
      <w:bookmarkStart w:id="27" w:name="_Hlk69386908"/>
      <w:r w:rsidRPr="007626F7">
        <w:rPr>
          <w:rFonts w:ascii="Times New Roman" w:hAnsi="Times New Roman" w:cs="Times New Roman"/>
          <w:sz w:val="28"/>
          <w:szCs w:val="28"/>
          <w:lang w:val="uk-UA"/>
        </w:rPr>
        <w:t>Зовнішній б</w:t>
      </w:r>
      <w:r w:rsidR="00F20BAC" w:rsidRPr="007626F7">
        <w:rPr>
          <w:rFonts w:ascii="Times New Roman" w:hAnsi="Times New Roman" w:cs="Times New Roman"/>
          <w:sz w:val="28"/>
          <w:szCs w:val="28"/>
          <w:lang w:val="uk-UA"/>
        </w:rPr>
        <w:t>орг України 2020-2021 (гривні</w:t>
      </w:r>
      <w:r w:rsidRPr="007626F7">
        <w:rPr>
          <w:rFonts w:ascii="Times New Roman" w:hAnsi="Times New Roman" w:cs="Times New Roman"/>
          <w:sz w:val="28"/>
          <w:szCs w:val="28"/>
          <w:lang w:val="uk-UA"/>
        </w:rPr>
        <w:t>)</w:t>
      </w:r>
    </w:p>
    <w:bookmarkEnd w:id="27"/>
    <w:p w14:paraId="44FFA928" w14:textId="00C670A0" w:rsidR="00507D30" w:rsidRPr="007626F7" w:rsidRDefault="00507D30" w:rsidP="007626F7">
      <w:pPr>
        <w:spacing w:after="0" w:line="360" w:lineRule="auto"/>
        <w:ind w:left="-851"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w:t>
      </w:r>
      <w:r w:rsidR="00343DF4" w:rsidRPr="007626F7">
        <w:rPr>
          <w:rFonts w:ascii="Times New Roman" w:hAnsi="Times New Roman" w:cs="Times New Roman"/>
          <w:sz w:val="28"/>
          <w:szCs w:val="28"/>
          <w:lang w:val="uk-UA"/>
        </w:rPr>
        <w:t xml:space="preserve"> складено автором на основі </w:t>
      </w:r>
      <w:r w:rsidRPr="007626F7">
        <w:rPr>
          <w:rFonts w:ascii="Times New Roman" w:hAnsi="Times New Roman" w:cs="Times New Roman"/>
          <w:sz w:val="28"/>
          <w:szCs w:val="28"/>
          <w:lang w:val="uk-UA"/>
        </w:rPr>
        <w:t>[</w:t>
      </w:r>
      <w:r w:rsidR="00C42D29" w:rsidRPr="007626F7">
        <w:rPr>
          <w:rFonts w:ascii="Times New Roman" w:hAnsi="Times New Roman" w:cs="Times New Roman"/>
          <w:sz w:val="28"/>
          <w:szCs w:val="28"/>
          <w:lang w:val="uk-UA"/>
        </w:rPr>
        <w:t>24</w:t>
      </w:r>
      <w:r w:rsidRPr="007626F7">
        <w:rPr>
          <w:rFonts w:ascii="Times New Roman" w:hAnsi="Times New Roman" w:cs="Times New Roman"/>
          <w:sz w:val="28"/>
          <w:szCs w:val="28"/>
          <w:lang w:val="uk-UA"/>
        </w:rPr>
        <w:t>].</w:t>
      </w:r>
    </w:p>
    <w:p w14:paraId="1F0946AA" w14:textId="5CC60C28"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Зовнішній борг України значно виріс через пандемію. На початку 2020 року держ</w:t>
      </w:r>
      <w:r w:rsidR="006F2F0C" w:rsidRPr="007626F7">
        <w:rPr>
          <w:rFonts w:ascii="Times New Roman" w:hAnsi="Times New Roman" w:cs="Times New Roman"/>
          <w:sz w:val="28"/>
          <w:szCs w:val="28"/>
          <w:lang w:val="uk-UA"/>
        </w:rPr>
        <w:t>авний борг України складав 2,079 мільйонів</w:t>
      </w:r>
      <w:r w:rsidRPr="007626F7">
        <w:rPr>
          <w:rFonts w:ascii="Times New Roman" w:hAnsi="Times New Roman" w:cs="Times New Roman"/>
          <w:sz w:val="28"/>
          <w:szCs w:val="28"/>
          <w:lang w:val="uk-UA"/>
        </w:rPr>
        <w:t xml:space="preserve"> гривень. Потім у квітні 2020 року відбувся ріст зовнішнього боргу, він досяг позначки у </w:t>
      </w:r>
      <w:r w:rsidR="00791256" w:rsidRPr="007626F7">
        <w:rPr>
          <w:rFonts w:ascii="Times New Roman" w:hAnsi="Times New Roman" w:cs="Times New Roman"/>
          <w:sz w:val="28"/>
          <w:szCs w:val="28"/>
          <w:lang w:val="uk-UA"/>
        </w:rPr>
        <w:t>2,196</w:t>
      </w:r>
      <w:r w:rsidR="006F2F0C" w:rsidRPr="007626F7">
        <w:rPr>
          <w:rFonts w:ascii="Times New Roman" w:hAnsi="Times New Roman" w:cs="Times New Roman"/>
          <w:sz w:val="28"/>
          <w:szCs w:val="28"/>
          <w:lang w:val="uk-UA"/>
        </w:rPr>
        <w:t xml:space="preserve"> мільйонів </w:t>
      </w:r>
      <w:r w:rsidRPr="007626F7">
        <w:rPr>
          <w:rFonts w:ascii="Times New Roman" w:hAnsi="Times New Roman" w:cs="Times New Roman"/>
          <w:sz w:val="28"/>
          <w:szCs w:val="28"/>
          <w:lang w:val="uk-UA"/>
        </w:rPr>
        <w:t xml:space="preserve">гривень. У травні </w:t>
      </w:r>
      <w:r w:rsidR="00791256" w:rsidRPr="007626F7">
        <w:rPr>
          <w:rFonts w:ascii="Times New Roman" w:hAnsi="Times New Roman" w:cs="Times New Roman"/>
          <w:sz w:val="28"/>
          <w:szCs w:val="28"/>
          <w:lang w:val="uk-UA"/>
        </w:rPr>
        <w:t xml:space="preserve">зовнішній борг досяг 2,269 мільйонів гривень </w:t>
      </w:r>
      <w:r w:rsidRPr="007626F7">
        <w:rPr>
          <w:rFonts w:ascii="Times New Roman" w:hAnsi="Times New Roman" w:cs="Times New Roman"/>
          <w:sz w:val="28"/>
          <w:szCs w:val="28"/>
          <w:lang w:val="uk-UA"/>
        </w:rPr>
        <w:t>і потім знову відбувся ріст, і вже у  липні 2020</w:t>
      </w:r>
      <w:r w:rsidR="00791256" w:rsidRPr="007626F7">
        <w:rPr>
          <w:rFonts w:ascii="Times New Roman" w:hAnsi="Times New Roman" w:cs="Times New Roman"/>
          <w:sz w:val="28"/>
          <w:szCs w:val="28"/>
          <w:lang w:val="uk-UA"/>
        </w:rPr>
        <w:t xml:space="preserve"> року зовнішній борг склав 2,355 </w:t>
      </w:r>
      <w:r w:rsidR="00791256" w:rsidRPr="007626F7">
        <w:rPr>
          <w:rFonts w:ascii="Times New Roman" w:hAnsi="Times New Roman" w:cs="Times New Roman"/>
          <w:sz w:val="28"/>
          <w:szCs w:val="28"/>
          <w:lang w:val="uk-UA"/>
        </w:rPr>
        <w:lastRenderedPageBreak/>
        <w:t xml:space="preserve">мільйонів </w:t>
      </w:r>
      <w:r w:rsidRPr="007626F7">
        <w:rPr>
          <w:rFonts w:ascii="Times New Roman" w:hAnsi="Times New Roman" w:cs="Times New Roman"/>
          <w:sz w:val="28"/>
          <w:szCs w:val="28"/>
          <w:lang w:val="uk-UA"/>
        </w:rPr>
        <w:t xml:space="preserve">гривень. </w:t>
      </w:r>
      <w:r w:rsidR="00791256" w:rsidRPr="007626F7">
        <w:rPr>
          <w:rFonts w:ascii="Times New Roman" w:hAnsi="Times New Roman" w:cs="Times New Roman"/>
          <w:sz w:val="28"/>
          <w:szCs w:val="28"/>
          <w:lang w:val="uk-UA"/>
        </w:rPr>
        <w:t>Н</w:t>
      </w:r>
      <w:r w:rsidRPr="007626F7">
        <w:rPr>
          <w:rFonts w:ascii="Times New Roman" w:hAnsi="Times New Roman" w:cs="Times New Roman"/>
          <w:sz w:val="28"/>
          <w:szCs w:val="28"/>
          <w:lang w:val="uk-UA"/>
        </w:rPr>
        <w:t xml:space="preserve">а початку 2021 року можна побачити ріст показника, державного боргу до позначки </w:t>
      </w:r>
      <w:r w:rsidR="00791256" w:rsidRPr="007626F7">
        <w:rPr>
          <w:rFonts w:ascii="Times New Roman" w:hAnsi="Times New Roman" w:cs="Times New Roman"/>
          <w:sz w:val="28"/>
          <w:szCs w:val="28"/>
          <w:lang w:val="uk-UA"/>
        </w:rPr>
        <w:t xml:space="preserve">2,558 мільйонів </w:t>
      </w:r>
      <w:r w:rsidRPr="007626F7">
        <w:rPr>
          <w:rFonts w:ascii="Times New Roman" w:hAnsi="Times New Roman" w:cs="Times New Roman"/>
          <w:sz w:val="28"/>
          <w:szCs w:val="28"/>
          <w:lang w:val="uk-UA"/>
        </w:rPr>
        <w:t>гривень у січні.</w:t>
      </w:r>
    </w:p>
    <w:p w14:paraId="41E8A726" w14:textId="2A03AA8E"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За даними НАБУ Україна вже отримала 0,6 мільярдів євро від Європейського союзу в якості допомоги для боротьби з наслідками пандемії. Кредит був виданий на 15 років з відсотковою ставкою 0,125% </w:t>
      </w:r>
      <w:r w:rsidRPr="007626F7">
        <w:rPr>
          <w:rFonts w:ascii="Times New Roman" w:hAnsi="Times New Roman" w:cs="Times New Roman"/>
          <w:sz w:val="28"/>
          <w:szCs w:val="28"/>
        </w:rPr>
        <w:t>[</w:t>
      </w:r>
      <w:r w:rsidR="00C42D29" w:rsidRPr="007626F7">
        <w:rPr>
          <w:rFonts w:ascii="Times New Roman" w:hAnsi="Times New Roman" w:cs="Times New Roman"/>
          <w:sz w:val="28"/>
          <w:szCs w:val="28"/>
          <w:lang w:val="uk-UA"/>
        </w:rPr>
        <w:t>24</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w:t>
      </w:r>
    </w:p>
    <w:p w14:paraId="156129E9" w14:textId="42A222F1"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стан безробіття у країні протягом 2018</w:t>
      </w:r>
      <w:r w:rsidR="0077702A"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 початку 2021 років (</w:t>
      </w:r>
      <w:r w:rsidR="00D97AA3" w:rsidRPr="007626F7">
        <w:rPr>
          <w:rFonts w:ascii="Times New Roman" w:hAnsi="Times New Roman" w:cs="Times New Roman"/>
          <w:sz w:val="28"/>
          <w:szCs w:val="28"/>
          <w:lang w:val="uk-UA"/>
        </w:rPr>
        <w:t>див.</w:t>
      </w:r>
      <w:r w:rsidR="002C5D48" w:rsidRPr="007626F7">
        <w:rPr>
          <w:rFonts w:ascii="Times New Roman" w:hAnsi="Times New Roman" w:cs="Times New Roman"/>
          <w:sz w:val="28"/>
          <w:szCs w:val="28"/>
          <w:lang w:val="uk-UA"/>
        </w:rPr>
        <w:t xml:space="preserve"> </w:t>
      </w:r>
      <w:r w:rsidR="00D97AA3" w:rsidRPr="007626F7">
        <w:rPr>
          <w:rFonts w:ascii="Times New Roman" w:hAnsi="Times New Roman" w:cs="Times New Roman"/>
          <w:sz w:val="28"/>
          <w:szCs w:val="28"/>
          <w:lang w:val="uk-UA"/>
        </w:rPr>
        <w:t>Додаток А</w:t>
      </w:r>
      <w:r w:rsidRPr="007626F7">
        <w:rPr>
          <w:rFonts w:ascii="Times New Roman" w:hAnsi="Times New Roman" w:cs="Times New Roman"/>
          <w:sz w:val="28"/>
          <w:szCs w:val="28"/>
          <w:lang w:val="uk-UA"/>
        </w:rPr>
        <w:t>)</w:t>
      </w:r>
      <w:r w:rsidR="00D97AA3" w:rsidRPr="007626F7">
        <w:rPr>
          <w:rFonts w:ascii="Times New Roman" w:hAnsi="Times New Roman" w:cs="Times New Roman"/>
          <w:sz w:val="28"/>
          <w:szCs w:val="28"/>
          <w:lang w:val="uk-UA"/>
        </w:rPr>
        <w:t>.</w:t>
      </w:r>
    </w:p>
    <w:p w14:paraId="69FF49AC"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Багато людей залишись без роботи через пандемію, закривалися ресторани, кафе та багато малого та середнього бізнесу постраждало, тому було розглянуто, як змінювалась кількість безробітних в Україні до початку пандемії та у період пандемії. На рисунку можна побачити, що протягом 2018-2019 років кількість безробітних коливалась але була більш менш стабільною з максимумом в 383 тисячі безробітних на початку 2018 року і мінімумом який склав 259 тисяч безробітних у кінці 2019 року. А ось у 2020 році і у перші два місяці 2021 року ситуація з безробіттям погіршилась. Спочатку кількість безробітних зросла з 373 тисяч людей на початку 2020 року до 457 тисяч вже у квітні. Далі ситуація ще більше погіршилась через пандемію, кількість безробітних зросла до 517 тисяч у квітні місяці, що стало максимумом в Україні за останні 3 роки. У кінці 2020 року кількість безробітних трохи зменшилась до 399 тисяч безробітних у вересні, що стало певним мінімумом кількості безробітних за 2020 рік. На початку 2021 року кількість безробітних знову зросла до позначки в 488 тисяч у січні і за останніми даними у лютому кількість безробітних Україні склала  близько 489 тисяч людей.</w:t>
      </w:r>
    </w:p>
    <w:p w14:paraId="01BA49AB" w14:textId="77777777"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07367D4C" wp14:editId="36E831E7">
            <wp:extent cx="5882005" cy="2009775"/>
            <wp:effectExtent l="0" t="0" r="4445" b="9525"/>
            <wp:docPr id="7" name="Диаграмма 7">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AD52ECA9-FA8E-4A48-98A0-F189D4A21B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2A8D419" w14:textId="43047B02"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Рис.2</w:t>
      </w:r>
      <w:r w:rsidR="00617F86" w:rsidRPr="007626F7">
        <w:rPr>
          <w:rFonts w:ascii="Times New Roman" w:hAnsi="Times New Roman" w:cs="Times New Roman"/>
          <w:sz w:val="28"/>
          <w:szCs w:val="28"/>
          <w:lang w:val="uk-UA"/>
        </w:rPr>
        <w:t>.</w:t>
      </w:r>
      <w:r w:rsidR="0077702A" w:rsidRPr="007626F7">
        <w:rPr>
          <w:rFonts w:ascii="Times New Roman" w:hAnsi="Times New Roman" w:cs="Times New Roman"/>
          <w:sz w:val="28"/>
          <w:szCs w:val="28"/>
          <w:lang w:val="uk-UA"/>
        </w:rPr>
        <w:t>4</w:t>
      </w:r>
      <w:r w:rsidRPr="007626F7">
        <w:rPr>
          <w:rFonts w:ascii="Times New Roman" w:hAnsi="Times New Roman" w:cs="Times New Roman"/>
          <w:sz w:val="28"/>
          <w:szCs w:val="28"/>
          <w:lang w:val="uk-UA"/>
        </w:rPr>
        <w:t xml:space="preserve"> Золотовалютні резерви України (млн. дол. США)</w:t>
      </w:r>
    </w:p>
    <w:p w14:paraId="46119A48" w14:textId="65243A1C" w:rsidR="005D531E" w:rsidRDefault="00507D30" w:rsidP="005D531E">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lang w:val="uk-UA"/>
        </w:rPr>
        <w:t>Джерело: складено автором на основі [</w:t>
      </w:r>
      <w:r w:rsidR="00617F86" w:rsidRPr="007626F7">
        <w:rPr>
          <w:rFonts w:ascii="Times New Roman" w:hAnsi="Times New Roman" w:cs="Times New Roman"/>
          <w:sz w:val="28"/>
          <w:szCs w:val="28"/>
          <w:lang w:val="uk-UA"/>
        </w:rPr>
        <w:t>25</w:t>
      </w:r>
      <w:r w:rsidRPr="007626F7">
        <w:rPr>
          <w:rFonts w:ascii="Times New Roman" w:hAnsi="Times New Roman" w:cs="Times New Roman"/>
          <w:sz w:val="28"/>
          <w:szCs w:val="28"/>
          <w:lang w:val="uk-UA"/>
        </w:rPr>
        <w:t>]</w:t>
      </w:r>
      <w:r w:rsidRPr="007626F7">
        <w:rPr>
          <w:rFonts w:ascii="Times New Roman" w:hAnsi="Times New Roman" w:cs="Times New Roman"/>
          <w:sz w:val="28"/>
          <w:szCs w:val="28"/>
        </w:rPr>
        <w:t>,[</w:t>
      </w:r>
      <w:r w:rsidR="00617F86" w:rsidRPr="007626F7">
        <w:rPr>
          <w:rFonts w:ascii="Times New Roman" w:hAnsi="Times New Roman" w:cs="Times New Roman"/>
          <w:sz w:val="28"/>
          <w:szCs w:val="28"/>
          <w:lang w:val="uk-UA"/>
        </w:rPr>
        <w:t>26</w:t>
      </w:r>
      <w:r w:rsidRPr="007626F7">
        <w:rPr>
          <w:rFonts w:ascii="Times New Roman" w:hAnsi="Times New Roman" w:cs="Times New Roman"/>
          <w:sz w:val="28"/>
          <w:szCs w:val="28"/>
        </w:rPr>
        <w:t>],[</w:t>
      </w:r>
      <w:r w:rsidR="00617F86" w:rsidRPr="007626F7">
        <w:rPr>
          <w:rFonts w:ascii="Times New Roman" w:hAnsi="Times New Roman" w:cs="Times New Roman"/>
          <w:sz w:val="28"/>
          <w:szCs w:val="28"/>
          <w:lang w:val="uk-UA"/>
        </w:rPr>
        <w:t>27</w:t>
      </w:r>
      <w:r w:rsidRPr="007626F7">
        <w:rPr>
          <w:rFonts w:ascii="Times New Roman" w:hAnsi="Times New Roman" w:cs="Times New Roman"/>
          <w:sz w:val="28"/>
          <w:szCs w:val="28"/>
        </w:rPr>
        <w:t>].</w:t>
      </w:r>
      <w:r w:rsidR="005D531E">
        <w:rPr>
          <w:rFonts w:ascii="Times New Roman" w:hAnsi="Times New Roman" w:cs="Times New Roman"/>
          <w:sz w:val="28"/>
          <w:szCs w:val="28"/>
        </w:rPr>
        <w:br w:type="page"/>
      </w:r>
    </w:p>
    <w:p w14:paraId="32F5D791"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Кількість золотих резервів в Україні значно не змінилась за останні роки. Але можна побачити на графіку, що починаючи з кінця 2019 року золотовалютні резерви почали збільшуватися і це тривало до березня 2020 року за період якого золотовалютні резерви зменшились приблизно на 6% у порівнянні з січнем місяцем 2020 року. Потім знову відбувся ріст кількості золотовалютних резервів у період з травня 2020 року до серпня 2020 року. Але це продовжилось не довго і показник знову почав падати вже у вересні місяці і показник залишися на такому ж ріні приблизно до листопаду 2020 року. У наступному місяці показник знову показував позитивну тенденцію яка продовжилась до лютого 2021 року.</w:t>
      </w:r>
    </w:p>
    <w:p w14:paraId="1C5BAAB9" w14:textId="6A83F989"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lang w:val="uk-UA"/>
        </w:rPr>
        <w:t xml:space="preserve">За даними національного банку України золотовалютні резерви України збільшились на початку 2021 року через фінансування МВФ та завдяки допомозі інших партнерів </w:t>
      </w:r>
      <w:r w:rsidRPr="007626F7">
        <w:rPr>
          <w:rFonts w:ascii="Times New Roman" w:hAnsi="Times New Roman" w:cs="Times New Roman"/>
          <w:sz w:val="28"/>
          <w:szCs w:val="28"/>
        </w:rPr>
        <w:t>[</w:t>
      </w:r>
      <w:r w:rsidR="00617F86" w:rsidRPr="007626F7">
        <w:rPr>
          <w:rFonts w:ascii="Times New Roman" w:hAnsi="Times New Roman" w:cs="Times New Roman"/>
          <w:sz w:val="28"/>
          <w:szCs w:val="28"/>
        </w:rPr>
        <w:t>28</w:t>
      </w:r>
      <w:r w:rsidRPr="007626F7">
        <w:rPr>
          <w:rFonts w:ascii="Times New Roman" w:hAnsi="Times New Roman" w:cs="Times New Roman"/>
          <w:sz w:val="28"/>
          <w:szCs w:val="28"/>
        </w:rPr>
        <w:t>].</w:t>
      </w:r>
    </w:p>
    <w:p w14:paraId="43B9CECF" w14:textId="143D14B9"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ситуацію яка склалась у Швейцарії у період пандемії (див.рис.</w:t>
      </w:r>
      <w:r w:rsidR="00617F86" w:rsidRPr="007626F7">
        <w:rPr>
          <w:rFonts w:ascii="Times New Roman" w:hAnsi="Times New Roman" w:cs="Times New Roman"/>
          <w:sz w:val="28"/>
          <w:szCs w:val="28"/>
          <w:lang w:val="uk-UA"/>
        </w:rPr>
        <w:t>2.</w:t>
      </w:r>
      <w:r w:rsidR="0077702A" w:rsidRPr="007626F7">
        <w:rPr>
          <w:rFonts w:ascii="Times New Roman" w:hAnsi="Times New Roman" w:cs="Times New Roman"/>
          <w:sz w:val="28"/>
          <w:szCs w:val="28"/>
          <w:lang w:val="uk-UA"/>
        </w:rPr>
        <w:t>5</w:t>
      </w:r>
      <w:r w:rsidRPr="007626F7">
        <w:rPr>
          <w:rFonts w:ascii="Times New Roman" w:hAnsi="Times New Roman" w:cs="Times New Roman"/>
          <w:sz w:val="28"/>
          <w:szCs w:val="28"/>
          <w:lang w:val="uk-UA"/>
        </w:rPr>
        <w:t>)</w:t>
      </w:r>
    </w:p>
    <w:p w14:paraId="4A3FB8A2" w14:textId="77777777"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2DF53609" wp14:editId="3133A9AC">
            <wp:extent cx="5952392" cy="2487930"/>
            <wp:effectExtent l="0" t="0" r="10795" b="7620"/>
            <wp:docPr id="6" name="Диаграмма 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324A32F-43E0-41BC-BDF6-C31839A8F5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99B0C1A" w14:textId="613AD3DF"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Рис.</w:t>
      </w:r>
      <w:r w:rsidR="00617F86" w:rsidRPr="007626F7">
        <w:rPr>
          <w:rFonts w:ascii="Times New Roman" w:hAnsi="Times New Roman" w:cs="Times New Roman"/>
          <w:sz w:val="28"/>
          <w:szCs w:val="28"/>
          <w:lang w:val="uk-UA"/>
        </w:rPr>
        <w:t>2.</w:t>
      </w:r>
      <w:r w:rsidR="0077702A" w:rsidRPr="007626F7">
        <w:rPr>
          <w:rFonts w:ascii="Times New Roman" w:hAnsi="Times New Roman" w:cs="Times New Roman"/>
          <w:sz w:val="28"/>
          <w:szCs w:val="28"/>
          <w:lang w:val="uk-UA"/>
        </w:rPr>
        <w:t>5</w:t>
      </w:r>
      <w:r w:rsidRPr="007626F7">
        <w:rPr>
          <w:rFonts w:ascii="Times New Roman" w:hAnsi="Times New Roman" w:cs="Times New Roman"/>
          <w:sz w:val="28"/>
          <w:szCs w:val="28"/>
          <w:lang w:val="uk-UA"/>
        </w:rPr>
        <w:t xml:space="preserve"> ВВП Швейцарії (мільйони швейцарських франків)</w:t>
      </w:r>
    </w:p>
    <w:p w14:paraId="1C2BEE7B" w14:textId="19DEA1BF"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lang w:val="uk-UA"/>
        </w:rPr>
        <w:t>Джерело:</w:t>
      </w:r>
      <w:r w:rsidRPr="007626F7">
        <w:rPr>
          <w:rFonts w:ascii="Times New Roman" w:hAnsi="Times New Roman" w:cs="Times New Roman"/>
        </w:rPr>
        <w:t xml:space="preserve"> </w:t>
      </w:r>
      <w:r w:rsidRPr="007626F7">
        <w:rPr>
          <w:rFonts w:ascii="Times New Roman" w:hAnsi="Times New Roman" w:cs="Times New Roman"/>
          <w:sz w:val="28"/>
          <w:szCs w:val="28"/>
          <w:lang w:val="uk-UA"/>
        </w:rPr>
        <w:t xml:space="preserve">складено автором на основі </w:t>
      </w:r>
      <w:r w:rsidRPr="007626F7">
        <w:rPr>
          <w:rFonts w:ascii="Times New Roman" w:hAnsi="Times New Roman" w:cs="Times New Roman"/>
          <w:sz w:val="28"/>
          <w:szCs w:val="28"/>
        </w:rPr>
        <w:t>[</w:t>
      </w:r>
      <w:r w:rsidR="00CE19DC" w:rsidRPr="007626F7">
        <w:rPr>
          <w:rFonts w:ascii="Times New Roman" w:hAnsi="Times New Roman" w:cs="Times New Roman"/>
          <w:sz w:val="28"/>
          <w:szCs w:val="28"/>
        </w:rPr>
        <w:t>29</w:t>
      </w:r>
      <w:r w:rsidRPr="007626F7">
        <w:rPr>
          <w:rFonts w:ascii="Times New Roman" w:hAnsi="Times New Roman" w:cs="Times New Roman"/>
          <w:sz w:val="28"/>
          <w:szCs w:val="28"/>
        </w:rPr>
        <w:t>].</w:t>
      </w:r>
    </w:p>
    <w:p w14:paraId="5C689E87" w14:textId="79B557DA" w:rsidR="00507D30" w:rsidRPr="007626F7" w:rsidRDefault="00507D30" w:rsidP="007626F7">
      <w:pPr>
        <w:spacing w:after="0" w:line="360" w:lineRule="auto"/>
        <w:ind w:firstLine="720"/>
        <w:jc w:val="both"/>
        <w:rPr>
          <w:rFonts w:ascii="Times New Roman" w:hAnsi="Times New Roman" w:cs="Times New Roman"/>
          <w:sz w:val="28"/>
          <w:szCs w:val="28"/>
          <w:lang w:val="uk-UA"/>
        </w:rPr>
      </w:pPr>
      <w:proofErr w:type="gramStart"/>
      <w:r w:rsidRPr="007626F7">
        <w:rPr>
          <w:rFonts w:ascii="Times New Roman" w:hAnsi="Times New Roman" w:cs="Times New Roman"/>
          <w:sz w:val="28"/>
          <w:szCs w:val="28"/>
        </w:rPr>
        <w:t>ВВП Швейцарії згідно з малюнком коливалось протягом 2018-2020 років. У 2018 році у першому кварталі ВВП склало 174 мільйона Швейцарських франків, згодом вже у червертому кварталі 218 року ВВП країни склало 1,844 мільярдів Шв</w:t>
      </w:r>
      <w:r w:rsidR="0077702A" w:rsidRPr="007626F7">
        <w:rPr>
          <w:rFonts w:ascii="Times New Roman" w:hAnsi="Times New Roman" w:cs="Times New Roman"/>
          <w:sz w:val="28"/>
          <w:szCs w:val="28"/>
        </w:rPr>
        <w:t>е</w:t>
      </w:r>
      <w:r w:rsidRPr="007626F7">
        <w:rPr>
          <w:rFonts w:ascii="Times New Roman" w:hAnsi="Times New Roman" w:cs="Times New Roman"/>
          <w:sz w:val="28"/>
          <w:szCs w:val="28"/>
        </w:rPr>
        <w:t xml:space="preserve">йцарських франків, що на 5% більше ніж </w:t>
      </w:r>
      <w:r w:rsidR="00296011" w:rsidRPr="007626F7">
        <w:rPr>
          <w:rFonts w:ascii="Times New Roman" w:hAnsi="Times New Roman" w:cs="Times New Roman"/>
          <w:sz w:val="28"/>
          <w:szCs w:val="28"/>
        </w:rPr>
        <w:t>на початку</w:t>
      </w:r>
      <w:r w:rsidRPr="007626F7">
        <w:rPr>
          <w:rFonts w:ascii="Times New Roman" w:hAnsi="Times New Roman" w:cs="Times New Roman"/>
          <w:sz w:val="28"/>
          <w:szCs w:val="28"/>
        </w:rPr>
        <w:t xml:space="preserve"> року.</w:t>
      </w:r>
      <w:proofErr w:type="gramEnd"/>
      <w:r w:rsidRPr="007626F7">
        <w:rPr>
          <w:rFonts w:ascii="Times New Roman" w:hAnsi="Times New Roman" w:cs="Times New Roman"/>
          <w:sz w:val="28"/>
          <w:szCs w:val="28"/>
        </w:rPr>
        <w:t xml:space="preserve"> У першому кварталі 2019 року ВВП зменшився на 4% у </w:t>
      </w:r>
      <w:r w:rsidRPr="007626F7">
        <w:rPr>
          <w:rFonts w:ascii="Times New Roman" w:hAnsi="Times New Roman" w:cs="Times New Roman"/>
          <w:sz w:val="28"/>
          <w:szCs w:val="28"/>
        </w:rPr>
        <w:lastRenderedPageBreak/>
        <w:t>порівнянні з кінцем 2018 року. У 2019 році ВВП збільшився до 1,815 мільярдів Швейцарських франків вже у трерьому кварталі 2019 року. Тобто, у 2019 році ВВП у цілому за рік виріс на 4%.  У 2020 році згідно з малюнком ВВП країни дуже зменшилось і коливання посилились. У першому кварталі 2020 року ВВП склало 1,759 мільярдів Швейцарських франків, що на 6% менше ніж у червертому кварталі 2019 року. У другому кварталі ВВП країни, впало на 6% порівняно з першим кварталом 2020 року, такі різкі спади обсяг</w:t>
      </w:r>
      <w:r w:rsidR="00A048C0" w:rsidRPr="007626F7">
        <w:rPr>
          <w:rFonts w:ascii="Times New Roman" w:hAnsi="Times New Roman" w:cs="Times New Roman"/>
          <w:sz w:val="28"/>
          <w:szCs w:val="28"/>
          <w:lang w:val="uk-UA"/>
        </w:rPr>
        <w:t>у</w:t>
      </w:r>
      <w:r w:rsidRPr="007626F7">
        <w:rPr>
          <w:rFonts w:ascii="Times New Roman" w:hAnsi="Times New Roman" w:cs="Times New Roman"/>
          <w:sz w:val="28"/>
          <w:szCs w:val="28"/>
        </w:rPr>
        <w:t xml:space="preserve"> ВВП пов'язані і з пандемією, адже карантинні умови погано вплинули на малих та середніх підприємців, також це вплинуло на промисловість країни, що у свою чергу і стало однією з причин різкого зменшення ВВП. </w:t>
      </w:r>
      <w:r w:rsidRPr="007626F7">
        <w:rPr>
          <w:rFonts w:ascii="Times New Roman" w:hAnsi="Times New Roman" w:cs="Times New Roman"/>
          <w:sz w:val="28"/>
          <w:szCs w:val="28"/>
          <w:lang w:val="uk-UA"/>
        </w:rPr>
        <w:t>Але у вже у кінці 2020 року ВВП почало зростати, на 6% у третьому кварталі порівняно з першим, і на 2% у четвертому кварталі 2020 року у порівнянні з третім кварталом.</w:t>
      </w:r>
    </w:p>
    <w:p w14:paraId="34968393" w14:textId="215A06DD"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державний бюджет та його коливання у Швейцарії через пандемію (див.</w:t>
      </w:r>
      <w:r w:rsidR="00444E5F" w:rsidRPr="007626F7">
        <w:rPr>
          <w:rFonts w:ascii="Times New Roman" w:hAnsi="Times New Roman" w:cs="Times New Roman"/>
          <w:sz w:val="28"/>
          <w:szCs w:val="28"/>
          <w:lang w:val="en-US"/>
        </w:rPr>
        <w:t xml:space="preserve"> </w:t>
      </w:r>
      <w:r w:rsidRPr="007626F7">
        <w:rPr>
          <w:rFonts w:ascii="Times New Roman" w:hAnsi="Times New Roman" w:cs="Times New Roman"/>
          <w:sz w:val="28"/>
          <w:szCs w:val="28"/>
          <w:lang w:val="uk-UA"/>
        </w:rPr>
        <w:t>табл.</w:t>
      </w:r>
      <w:r w:rsidR="00CE19DC" w:rsidRPr="007626F7">
        <w:rPr>
          <w:rFonts w:ascii="Times New Roman" w:hAnsi="Times New Roman" w:cs="Times New Roman"/>
          <w:sz w:val="28"/>
          <w:szCs w:val="28"/>
          <w:lang w:val="en-US"/>
        </w:rPr>
        <w:t>2.</w:t>
      </w:r>
      <w:r w:rsidR="0077702A" w:rsidRPr="007626F7">
        <w:rPr>
          <w:rFonts w:ascii="Times New Roman" w:hAnsi="Times New Roman" w:cs="Times New Roman"/>
          <w:sz w:val="28"/>
          <w:szCs w:val="28"/>
          <w:lang w:val="uk-UA"/>
        </w:rPr>
        <w:t>6</w:t>
      </w:r>
      <w:r w:rsidRPr="007626F7">
        <w:rPr>
          <w:rFonts w:ascii="Times New Roman" w:hAnsi="Times New Roman" w:cs="Times New Roman"/>
          <w:sz w:val="28"/>
          <w:szCs w:val="28"/>
          <w:lang w:val="uk-UA"/>
        </w:rPr>
        <w:t xml:space="preserve">). </w:t>
      </w:r>
    </w:p>
    <w:p w14:paraId="0D4272C6" w14:textId="77777777"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noProof/>
          <w:lang w:val="uk-UA" w:eastAsia="uk-UA"/>
        </w:rPr>
        <w:drawing>
          <wp:inline distT="0" distB="0" distL="0" distR="0" wp14:anchorId="712E67FE" wp14:editId="44F476C9">
            <wp:extent cx="6075484" cy="2101361"/>
            <wp:effectExtent l="0" t="0" r="1905" b="13335"/>
            <wp:docPr id="14" name="Диаграмма 1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805E2D0-3F8C-4067-B51C-AC7DBA889A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939DDA3" w14:textId="1C86F0B0"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Рис.</w:t>
      </w:r>
      <w:r w:rsidR="00CE19DC" w:rsidRPr="007626F7">
        <w:rPr>
          <w:rFonts w:ascii="Times New Roman" w:hAnsi="Times New Roman" w:cs="Times New Roman"/>
          <w:sz w:val="28"/>
          <w:szCs w:val="28"/>
        </w:rPr>
        <w:t>2.</w:t>
      </w:r>
      <w:r w:rsidR="0077702A" w:rsidRPr="007626F7">
        <w:rPr>
          <w:rFonts w:ascii="Times New Roman" w:hAnsi="Times New Roman" w:cs="Times New Roman"/>
          <w:sz w:val="28"/>
          <w:szCs w:val="28"/>
        </w:rPr>
        <w:t>6</w:t>
      </w:r>
      <w:r w:rsidRPr="007626F7">
        <w:rPr>
          <w:rFonts w:ascii="Times New Roman" w:hAnsi="Times New Roman" w:cs="Times New Roman"/>
        </w:rPr>
        <w:t xml:space="preserve"> </w:t>
      </w:r>
      <w:r w:rsidRPr="007626F7">
        <w:rPr>
          <w:rFonts w:ascii="Times New Roman" w:hAnsi="Times New Roman" w:cs="Times New Roman"/>
          <w:sz w:val="28"/>
          <w:szCs w:val="28"/>
          <w:lang w:val="uk-UA"/>
        </w:rPr>
        <w:t>Співвідношення дефіцит / надлишок державного бюджету Швейцарії %</w:t>
      </w:r>
    </w:p>
    <w:p w14:paraId="4BF88989" w14:textId="4F52A2F3"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w:t>
      </w:r>
      <w:r w:rsidR="00A00605" w:rsidRPr="007626F7">
        <w:rPr>
          <w:rFonts w:ascii="Times New Roman" w:hAnsi="Times New Roman" w:cs="Times New Roman"/>
          <w:sz w:val="28"/>
          <w:szCs w:val="28"/>
        </w:rPr>
        <w:t>30</w:t>
      </w:r>
      <w:r w:rsidRPr="007626F7">
        <w:rPr>
          <w:rFonts w:ascii="Times New Roman" w:hAnsi="Times New Roman" w:cs="Times New Roman"/>
          <w:sz w:val="28"/>
          <w:szCs w:val="28"/>
          <w:lang w:val="uk-UA"/>
        </w:rPr>
        <w:t>].</w:t>
      </w:r>
    </w:p>
    <w:p w14:paraId="18C12603"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На графіку зображено відношення державного боргу до  надлишку державного бюджету країни. У 2018 цей показник був додатній, тобто у державному бюджеті надлишок державного бюджету був більший ніж дефіцит державного бюджету, що дало змогу бюджету країни нормально функціонувати. У 2019 році показник теж додатній, але він трохи збільшився, що може говорити про ріст дефіциту бюджету або зменшення надлишку. </w:t>
      </w:r>
    </w:p>
    <w:p w14:paraId="44DC0161" w14:textId="47FB0A1E"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 xml:space="preserve">У 2020 році цей показник різко зменшився і став від’ємним згідно з даними з сайту Державного секретаріату з економічних питань це сталося через спад доходів до бюджету на 5% у 2020 році у порівнянні з 2019 роком, а видатки бюджету у свою чергу зросли на рекордну кількість як для Швейцарії, аж на 27% у 2020 році, що у свою чергу теж пов’язано з додатковими видатками бюджету через пандемію </w:t>
      </w:r>
      <w:r w:rsidRPr="007626F7">
        <w:rPr>
          <w:rFonts w:ascii="Times New Roman" w:hAnsi="Times New Roman" w:cs="Times New Roman"/>
          <w:sz w:val="28"/>
          <w:szCs w:val="28"/>
        </w:rPr>
        <w:t>[</w:t>
      </w:r>
      <w:r w:rsidR="00A00605" w:rsidRPr="007626F7">
        <w:rPr>
          <w:rFonts w:ascii="Times New Roman" w:hAnsi="Times New Roman" w:cs="Times New Roman"/>
          <w:sz w:val="28"/>
          <w:szCs w:val="28"/>
        </w:rPr>
        <w:t>31</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w:t>
      </w:r>
    </w:p>
    <w:p w14:paraId="472DBA3C" w14:textId="786B2B76"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Щодо 2021 року,</w:t>
      </w:r>
      <w:r w:rsidR="0077702A"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то Швейцарським Федеральним статистичним управлянням прогнозується, що дефіцит бюджету зменшиться, що у свою чергу зменшить показник співвідношення дефіциту бюджету та надлишку і тобто, показник буде сягати позначки в -0,9%.</w:t>
      </w:r>
    </w:p>
    <w:p w14:paraId="404E5B06" w14:textId="7E4210FC"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Так як пандемія торкнулася не тільки ринку внутрішніх зобов’язань у країнах, розглянемо стан зовнішнього боргу Швейцарії (див.</w:t>
      </w:r>
      <w:r w:rsidR="00D9391E" w:rsidRPr="007626F7">
        <w:rPr>
          <w:rFonts w:ascii="Times New Roman" w:hAnsi="Times New Roman" w:cs="Times New Roman"/>
          <w:sz w:val="28"/>
          <w:szCs w:val="28"/>
        </w:rPr>
        <w:t xml:space="preserve"> </w:t>
      </w:r>
      <w:r w:rsidRPr="007626F7">
        <w:rPr>
          <w:rFonts w:ascii="Times New Roman" w:hAnsi="Times New Roman" w:cs="Times New Roman"/>
          <w:sz w:val="28"/>
          <w:szCs w:val="28"/>
          <w:lang w:val="uk-UA"/>
        </w:rPr>
        <w:t>рис.</w:t>
      </w:r>
      <w:r w:rsidR="008E7794" w:rsidRPr="007626F7">
        <w:rPr>
          <w:rFonts w:ascii="Times New Roman" w:hAnsi="Times New Roman" w:cs="Times New Roman"/>
          <w:sz w:val="28"/>
          <w:szCs w:val="28"/>
        </w:rPr>
        <w:t>2.</w:t>
      </w:r>
      <w:r w:rsidR="00ED4A6C" w:rsidRPr="007626F7">
        <w:rPr>
          <w:rFonts w:ascii="Times New Roman" w:hAnsi="Times New Roman" w:cs="Times New Roman"/>
          <w:sz w:val="28"/>
          <w:szCs w:val="28"/>
        </w:rPr>
        <w:t>7</w:t>
      </w:r>
      <w:r w:rsidRPr="007626F7">
        <w:rPr>
          <w:rFonts w:ascii="Times New Roman" w:hAnsi="Times New Roman" w:cs="Times New Roman"/>
          <w:sz w:val="28"/>
          <w:szCs w:val="28"/>
          <w:lang w:val="uk-UA"/>
        </w:rPr>
        <w:t xml:space="preserve">). </w:t>
      </w:r>
    </w:p>
    <w:p w14:paraId="1906DD1C" w14:textId="77777777"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05051D01" wp14:editId="472834FE">
            <wp:extent cx="5886450" cy="1962150"/>
            <wp:effectExtent l="0" t="0" r="0" b="0"/>
            <wp:docPr id="16" name="Диаграмма 1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97CDF888-FF3C-488B-8B81-82953C2DE0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75D2C2D" w14:textId="16D32041" w:rsidR="00507D30" w:rsidRPr="007626F7" w:rsidRDefault="00507D30" w:rsidP="007626F7">
      <w:pPr>
        <w:spacing w:after="0" w:line="360" w:lineRule="auto"/>
        <w:ind w:left="-851"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Рис.</w:t>
      </w:r>
      <w:r w:rsidR="008E7794" w:rsidRPr="007626F7">
        <w:rPr>
          <w:rFonts w:ascii="Times New Roman" w:hAnsi="Times New Roman" w:cs="Times New Roman"/>
          <w:sz w:val="28"/>
          <w:szCs w:val="28"/>
        </w:rPr>
        <w:t>2.</w:t>
      </w:r>
      <w:r w:rsidR="00ED4A6C" w:rsidRPr="007626F7">
        <w:rPr>
          <w:rFonts w:ascii="Times New Roman" w:hAnsi="Times New Roman" w:cs="Times New Roman"/>
          <w:sz w:val="28"/>
          <w:szCs w:val="28"/>
        </w:rPr>
        <w:t>7</w:t>
      </w:r>
      <w:r w:rsidRPr="007626F7">
        <w:rPr>
          <w:rFonts w:ascii="Times New Roman" w:hAnsi="Times New Roman" w:cs="Times New Roman"/>
        </w:rPr>
        <w:t xml:space="preserve"> </w:t>
      </w:r>
      <w:r w:rsidRPr="007626F7">
        <w:rPr>
          <w:rFonts w:ascii="Times New Roman" w:hAnsi="Times New Roman" w:cs="Times New Roman"/>
          <w:sz w:val="28"/>
          <w:szCs w:val="28"/>
          <w:lang w:val="uk-UA"/>
        </w:rPr>
        <w:t>Зовнішній борг Швейцарії (</w:t>
      </w:r>
      <w:r w:rsidRPr="007626F7">
        <w:rPr>
          <w:rFonts w:ascii="Times New Roman" w:hAnsi="Times New Roman" w:cs="Times New Roman"/>
          <w:sz w:val="28"/>
          <w:szCs w:val="28"/>
          <w:shd w:val="clear" w:color="auto" w:fill="FFFFFF"/>
          <w:lang w:val="uk-UA"/>
        </w:rPr>
        <w:t>Ш</w:t>
      </w:r>
      <w:r w:rsidRPr="007626F7">
        <w:rPr>
          <w:rFonts w:ascii="Times New Roman" w:hAnsi="Times New Roman" w:cs="Times New Roman"/>
          <w:sz w:val="28"/>
          <w:szCs w:val="28"/>
          <w:shd w:val="clear" w:color="auto" w:fill="FFFFFF"/>
        </w:rPr>
        <w:t>вейцарських франків</w:t>
      </w:r>
      <w:r w:rsidRPr="007626F7">
        <w:rPr>
          <w:rFonts w:ascii="Times New Roman" w:hAnsi="Times New Roman" w:cs="Times New Roman"/>
          <w:sz w:val="28"/>
          <w:szCs w:val="28"/>
          <w:shd w:val="clear" w:color="auto" w:fill="FFFFFF"/>
          <w:lang w:val="uk-UA"/>
        </w:rPr>
        <w:t>)</w:t>
      </w:r>
    </w:p>
    <w:p w14:paraId="0C748C3F" w14:textId="4D74A3C5"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lang w:val="uk-UA"/>
        </w:rPr>
        <w:t>Джерело: складено автором на основі [</w:t>
      </w:r>
      <w:r w:rsidR="00C45845" w:rsidRPr="007626F7">
        <w:rPr>
          <w:rFonts w:ascii="Times New Roman" w:hAnsi="Times New Roman" w:cs="Times New Roman"/>
          <w:sz w:val="28"/>
          <w:szCs w:val="28"/>
        </w:rPr>
        <w:t>32</w:t>
      </w:r>
      <w:r w:rsidRPr="007626F7">
        <w:rPr>
          <w:rFonts w:ascii="Times New Roman" w:hAnsi="Times New Roman" w:cs="Times New Roman"/>
          <w:sz w:val="28"/>
          <w:szCs w:val="28"/>
          <w:lang w:val="uk-UA"/>
        </w:rPr>
        <w:t>].</w:t>
      </w:r>
    </w:p>
    <w:p w14:paraId="6E3514D1"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Зовнішній борг Швейцарії зростав з першого кварталу 2019 року до другого кварталу 2020 року.   У першому кварталі 2019 року зовнішній борг склав    1,843 мільярдів Швейцарських франків, а у кінці цього ж року, а саме у четвертому кварталі 2019 року зовнішній борг склав 1,921 мільярд Швейцарських франків, що говорить про ріст зовнішнього боргу на 4%. У першому кварталі 2020 року розмір зовнішнього боргу склав 1,978 мільярдів Швейцарських франків, що вже на 2% більше ніж у четвертому кварталі 2019 року. Далі ріст зовнішнього боргу продовжився до другого кварталу 2020 року, а ось вже у третьому кварталі цього ж року зовнішній борг Швейцарії </w:t>
      </w:r>
      <w:r w:rsidRPr="007626F7">
        <w:rPr>
          <w:rFonts w:ascii="Times New Roman" w:hAnsi="Times New Roman" w:cs="Times New Roman"/>
          <w:sz w:val="28"/>
          <w:szCs w:val="28"/>
          <w:lang w:val="uk-UA"/>
        </w:rPr>
        <w:lastRenderedPageBreak/>
        <w:t>почав зменшуватися і до кінця року, а саме у четвертому кварталі 2020 він зменшився на 1% у порівнянні з другим кварталом 2020 року.</w:t>
      </w:r>
    </w:p>
    <w:p w14:paraId="056C7E28"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 Але не дивлячись на це, доля зовнішнього боргу у відсотках від ВВП Швейцарії не перевищує 40%, що говорить про фінансову стабільність в країні і незалежність від іноземного фінансування.                </w:t>
      </w:r>
    </w:p>
    <w:p w14:paraId="2E306B1F" w14:textId="4B5D138F" w:rsidR="00507D30" w:rsidRPr="007626F7" w:rsidRDefault="00507D30" w:rsidP="007626F7">
      <w:pPr>
        <w:spacing w:after="0" w:line="360" w:lineRule="auto"/>
        <w:ind w:firstLine="720"/>
        <w:jc w:val="both"/>
        <w:rPr>
          <w:rFonts w:ascii="Times New Roman" w:hAnsi="Times New Roman" w:cs="Times New Roman"/>
          <w:lang w:val="uk-UA"/>
        </w:rPr>
      </w:pPr>
      <w:r w:rsidRPr="007626F7">
        <w:rPr>
          <w:rFonts w:ascii="Times New Roman" w:hAnsi="Times New Roman" w:cs="Times New Roman"/>
          <w:sz w:val="28"/>
          <w:szCs w:val="28"/>
          <w:lang w:val="uk-UA"/>
        </w:rPr>
        <w:t>Також розглянемо ринок праці, а саме  кількість зареєстрованих безробітних  у період пандемії, так як банкротство та закриття деяких підприємств призвело до втрати робочих місць (див.</w:t>
      </w:r>
      <w:r w:rsidR="00444E5F" w:rsidRPr="007626F7">
        <w:rPr>
          <w:rFonts w:ascii="Times New Roman" w:hAnsi="Times New Roman" w:cs="Times New Roman"/>
          <w:sz w:val="28"/>
          <w:szCs w:val="28"/>
        </w:rPr>
        <w:t xml:space="preserve"> </w:t>
      </w:r>
      <w:r w:rsidR="00DA2ACD" w:rsidRPr="007626F7">
        <w:rPr>
          <w:rFonts w:ascii="Times New Roman" w:hAnsi="Times New Roman" w:cs="Times New Roman"/>
          <w:sz w:val="28"/>
          <w:szCs w:val="28"/>
          <w:lang w:val="uk-UA"/>
        </w:rPr>
        <w:t>Додаток Б</w:t>
      </w:r>
      <w:r w:rsidRPr="007626F7">
        <w:rPr>
          <w:rFonts w:ascii="Times New Roman" w:hAnsi="Times New Roman" w:cs="Times New Roman"/>
          <w:sz w:val="28"/>
          <w:szCs w:val="28"/>
          <w:lang w:val="uk-UA"/>
        </w:rPr>
        <w:t xml:space="preserve">).                                                                                                                                                                                                                                                                                                                                                                                                                                                                                                                                                                                                                                                                                                                                                                                                                                                                                                                                                                                                                                                                                                                                                                                                                                                                                                                                                                                                                                                                                                                                                                                                                                                                                                                      </w:t>
      </w:r>
    </w:p>
    <w:p w14:paraId="135E62DE" w14:textId="07AA680A"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lang w:val="uk-UA"/>
        </w:rPr>
        <w:t>Згідно з малюнком, кількість безробітних у Швейцарії протягом 2019 року не перевищувала максимуму у 123 тисячі населення та мінімуму в 97 тисяч людей. Але взагалі на графіку можна побачити,</w:t>
      </w:r>
      <w:r w:rsidR="00A048C0"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 xml:space="preserve">що у 2019 році видно спад кількості безробітних з травня місяця до грудня. Але у 2020 році відбувся різкий зріст кількості безробітного населення. У квітні 2020 року кількість безробітних склала 153 тисячі, що на 42% більше ніж у квітні місяці 2019 року. </w:t>
      </w:r>
      <w:r w:rsidRPr="007626F7">
        <w:rPr>
          <w:rFonts w:ascii="Times New Roman" w:hAnsi="Times New Roman" w:cs="Times New Roman"/>
          <w:sz w:val="28"/>
          <w:szCs w:val="28"/>
        </w:rPr>
        <w:t xml:space="preserve">Далі відбувся невеликий спад до 148 тисяч у вересні 2020 році, але до кінця року кількість безробітних зросла до 169 тисяч. </w:t>
      </w:r>
      <w:r w:rsidR="00DA2ACD" w:rsidRPr="007626F7">
        <w:rPr>
          <w:rFonts w:ascii="Times New Roman" w:hAnsi="Times New Roman" w:cs="Times New Roman"/>
          <w:sz w:val="28"/>
          <w:szCs w:val="28"/>
        </w:rPr>
        <w:t>На початку</w:t>
      </w:r>
      <w:r w:rsidRPr="007626F7">
        <w:rPr>
          <w:rFonts w:ascii="Times New Roman" w:hAnsi="Times New Roman" w:cs="Times New Roman"/>
          <w:sz w:val="28"/>
          <w:szCs w:val="28"/>
        </w:rPr>
        <w:t xml:space="preserve"> 2021 року кількість безробітних почала поступово зменшуватися, що говорить про відроження нормального </w:t>
      </w:r>
      <w:proofErr w:type="gramStart"/>
      <w:r w:rsidRPr="007626F7">
        <w:rPr>
          <w:rFonts w:ascii="Times New Roman" w:hAnsi="Times New Roman" w:cs="Times New Roman"/>
          <w:sz w:val="28"/>
          <w:szCs w:val="28"/>
        </w:rPr>
        <w:t>р</w:t>
      </w:r>
      <w:proofErr w:type="gramEnd"/>
      <w:r w:rsidRPr="007626F7">
        <w:rPr>
          <w:rFonts w:ascii="Times New Roman" w:hAnsi="Times New Roman" w:cs="Times New Roman"/>
          <w:sz w:val="28"/>
          <w:szCs w:val="28"/>
        </w:rPr>
        <w:t xml:space="preserve">івня фунціонування економіки країни. </w:t>
      </w:r>
    </w:p>
    <w:p w14:paraId="270392F3" w14:textId="4C680C5D"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rPr>
        <w:t>Далі розглянемо стан золото</w:t>
      </w:r>
      <w:r w:rsidR="00A048C0" w:rsidRPr="007626F7">
        <w:rPr>
          <w:rFonts w:ascii="Times New Roman" w:hAnsi="Times New Roman" w:cs="Times New Roman"/>
          <w:sz w:val="28"/>
          <w:szCs w:val="28"/>
        </w:rPr>
        <w:t>-</w:t>
      </w:r>
      <w:r w:rsidRPr="007626F7">
        <w:rPr>
          <w:rFonts w:ascii="Times New Roman" w:hAnsi="Times New Roman" w:cs="Times New Roman"/>
          <w:sz w:val="28"/>
          <w:szCs w:val="28"/>
        </w:rPr>
        <w:t>валютних резервів к</w:t>
      </w:r>
      <w:r w:rsidR="00D9391E" w:rsidRPr="007626F7">
        <w:rPr>
          <w:rFonts w:ascii="Times New Roman" w:hAnsi="Times New Roman" w:cs="Times New Roman"/>
          <w:sz w:val="28"/>
          <w:szCs w:val="28"/>
        </w:rPr>
        <w:t xml:space="preserve">раїни, адже за допомогою </w:t>
      </w:r>
      <w:r w:rsidR="00D9391E" w:rsidRPr="007626F7">
        <w:rPr>
          <w:rFonts w:ascii="Times New Roman" w:hAnsi="Times New Roman" w:cs="Times New Roman"/>
          <w:sz w:val="28"/>
          <w:szCs w:val="28"/>
          <w:lang w:val="uk-UA"/>
        </w:rPr>
        <w:t>ї</w:t>
      </w:r>
      <w:r w:rsidRPr="007626F7">
        <w:rPr>
          <w:rFonts w:ascii="Times New Roman" w:hAnsi="Times New Roman" w:cs="Times New Roman"/>
          <w:sz w:val="28"/>
          <w:szCs w:val="28"/>
        </w:rPr>
        <w:t>х аналізу можна зрозуміти чи користувалась країна своїми резервами для підтримання рівня валютного курсу (див.рис.</w:t>
      </w:r>
      <w:r w:rsidR="005D079E" w:rsidRPr="007626F7">
        <w:rPr>
          <w:rFonts w:ascii="Times New Roman" w:hAnsi="Times New Roman" w:cs="Times New Roman"/>
          <w:sz w:val="28"/>
          <w:szCs w:val="28"/>
        </w:rPr>
        <w:t>2.</w:t>
      </w:r>
      <w:r w:rsidR="00CF7303" w:rsidRPr="007626F7">
        <w:rPr>
          <w:rFonts w:ascii="Times New Roman" w:hAnsi="Times New Roman" w:cs="Times New Roman"/>
          <w:sz w:val="28"/>
          <w:szCs w:val="28"/>
        </w:rPr>
        <w:t>8</w:t>
      </w:r>
      <w:r w:rsidRPr="007626F7">
        <w:rPr>
          <w:rFonts w:ascii="Times New Roman" w:hAnsi="Times New Roman" w:cs="Times New Roman"/>
          <w:sz w:val="28"/>
          <w:szCs w:val="28"/>
        </w:rPr>
        <w:t>).</w:t>
      </w:r>
    </w:p>
    <w:p w14:paraId="4F2945E0" w14:textId="77777777"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21F2BE35" wp14:editId="33EC9052">
            <wp:extent cx="5762625" cy="1857375"/>
            <wp:effectExtent l="0" t="0" r="9525" b="9525"/>
            <wp:docPr id="15" name="Диаграмма 15">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2F45B70-B990-4E91-B394-592872A62B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D6A74CB" w14:textId="50FD0634" w:rsidR="00507D30" w:rsidRPr="007626F7" w:rsidRDefault="00507D30" w:rsidP="00201F83">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lang w:val="uk-UA"/>
        </w:rPr>
        <w:t>Рис.</w:t>
      </w:r>
      <w:r w:rsidR="005D079E" w:rsidRPr="007626F7">
        <w:rPr>
          <w:rFonts w:ascii="Times New Roman" w:hAnsi="Times New Roman" w:cs="Times New Roman"/>
          <w:sz w:val="28"/>
          <w:szCs w:val="28"/>
        </w:rPr>
        <w:t>2.</w:t>
      </w:r>
      <w:r w:rsidR="00CF7303" w:rsidRPr="007626F7">
        <w:rPr>
          <w:rFonts w:ascii="Times New Roman" w:hAnsi="Times New Roman" w:cs="Times New Roman"/>
          <w:sz w:val="28"/>
          <w:szCs w:val="28"/>
        </w:rPr>
        <w:t>8</w:t>
      </w:r>
      <w:r w:rsidRPr="007626F7">
        <w:rPr>
          <w:rFonts w:ascii="Times New Roman" w:hAnsi="Times New Roman" w:cs="Times New Roman"/>
          <w:sz w:val="28"/>
          <w:szCs w:val="28"/>
          <w:lang w:val="uk-UA"/>
        </w:rPr>
        <w:t xml:space="preserve"> Золото валютні резерви Швейцарії (У мільйонах швейцарських франків)</w:t>
      </w:r>
    </w:p>
    <w:p w14:paraId="0164C9E5" w14:textId="5217CDA2" w:rsidR="005D531E" w:rsidRDefault="00507D30" w:rsidP="00201F83">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lang w:val="uk-UA"/>
        </w:rPr>
        <w:t>Джерело:</w:t>
      </w:r>
      <w:r w:rsidRPr="007626F7">
        <w:rPr>
          <w:rFonts w:ascii="Times New Roman" w:hAnsi="Times New Roman" w:cs="Times New Roman"/>
        </w:rPr>
        <w:t xml:space="preserve"> </w:t>
      </w:r>
      <w:r w:rsidRPr="007626F7">
        <w:rPr>
          <w:rFonts w:ascii="Times New Roman" w:hAnsi="Times New Roman" w:cs="Times New Roman"/>
          <w:sz w:val="28"/>
          <w:szCs w:val="28"/>
          <w:lang w:val="uk-UA"/>
        </w:rPr>
        <w:t xml:space="preserve">складено автором на основі </w:t>
      </w:r>
      <w:r w:rsidRPr="007626F7">
        <w:rPr>
          <w:rFonts w:ascii="Times New Roman" w:hAnsi="Times New Roman" w:cs="Times New Roman"/>
          <w:sz w:val="28"/>
          <w:szCs w:val="28"/>
        </w:rPr>
        <w:t>[</w:t>
      </w:r>
      <w:r w:rsidR="005D079E" w:rsidRPr="007626F7">
        <w:rPr>
          <w:rFonts w:ascii="Times New Roman" w:hAnsi="Times New Roman" w:cs="Times New Roman"/>
          <w:sz w:val="28"/>
          <w:szCs w:val="28"/>
        </w:rPr>
        <w:t>34</w:t>
      </w:r>
      <w:r w:rsidRPr="007626F7">
        <w:rPr>
          <w:rFonts w:ascii="Times New Roman" w:hAnsi="Times New Roman" w:cs="Times New Roman"/>
          <w:sz w:val="28"/>
          <w:szCs w:val="28"/>
        </w:rPr>
        <w:t>].</w:t>
      </w:r>
      <w:r w:rsidR="005D531E">
        <w:rPr>
          <w:rFonts w:ascii="Times New Roman" w:hAnsi="Times New Roman" w:cs="Times New Roman"/>
          <w:sz w:val="28"/>
          <w:szCs w:val="28"/>
        </w:rPr>
        <w:br w:type="page"/>
      </w:r>
    </w:p>
    <w:p w14:paraId="06F2BBF6" w14:textId="77777777"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rPr>
        <w:lastRenderedPageBreak/>
        <w:t>Згідно з графіком кількість золотих резервів Швейцарії не сильно коливалась у 2019-2020 роках. У червні відбувся невеликий приріст кількості золотих резервів, а потім з початку 2020 року золоті резерви у цілому навіть трохи зросли, але було кілька точок спаду. Резерви в іноземній валюті, також навіть збільшились якщо у на початку 2019 року вони були близько 50 мільйонів Швейцарських фраків, то у кінці 2020 року вони вже складали близько одного мільярду Швейцарських франкі</w:t>
      </w:r>
      <w:proofErr w:type="gramStart"/>
      <w:r w:rsidRPr="007626F7">
        <w:rPr>
          <w:rFonts w:ascii="Times New Roman" w:hAnsi="Times New Roman" w:cs="Times New Roman"/>
          <w:sz w:val="28"/>
          <w:szCs w:val="28"/>
        </w:rPr>
        <w:t>в</w:t>
      </w:r>
      <w:proofErr w:type="gramEnd"/>
      <w:r w:rsidRPr="007626F7">
        <w:rPr>
          <w:rFonts w:ascii="Times New Roman" w:hAnsi="Times New Roman" w:cs="Times New Roman"/>
          <w:sz w:val="28"/>
          <w:szCs w:val="28"/>
        </w:rPr>
        <w:t xml:space="preserve">. </w:t>
      </w:r>
    </w:p>
    <w:p w14:paraId="29217C8C" w14:textId="6B9A35F2"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rPr>
        <w:t>Наступним у цьому розділі розглянемо стан економіки Польщі, спочатку теж роглянемо стан ВВП (див.рис.</w:t>
      </w:r>
      <w:r w:rsidR="009A2D48" w:rsidRPr="007626F7">
        <w:rPr>
          <w:rFonts w:ascii="Times New Roman" w:hAnsi="Times New Roman" w:cs="Times New Roman"/>
          <w:sz w:val="28"/>
          <w:szCs w:val="28"/>
        </w:rPr>
        <w:t>2.</w:t>
      </w:r>
      <w:r w:rsidR="00CF7303" w:rsidRPr="007626F7">
        <w:rPr>
          <w:rFonts w:ascii="Times New Roman" w:hAnsi="Times New Roman" w:cs="Times New Roman"/>
          <w:sz w:val="28"/>
          <w:szCs w:val="28"/>
        </w:rPr>
        <w:t>9</w:t>
      </w:r>
      <w:r w:rsidRPr="007626F7">
        <w:rPr>
          <w:rFonts w:ascii="Times New Roman" w:hAnsi="Times New Roman" w:cs="Times New Roman"/>
          <w:sz w:val="28"/>
          <w:szCs w:val="28"/>
        </w:rPr>
        <w:t>).</w:t>
      </w:r>
    </w:p>
    <w:p w14:paraId="04B3D8D6" w14:textId="77777777"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noProof/>
          <w:lang w:val="uk-UA" w:eastAsia="uk-UA"/>
        </w:rPr>
        <w:drawing>
          <wp:inline distT="0" distB="0" distL="0" distR="0" wp14:anchorId="24E8968F" wp14:editId="0986159E">
            <wp:extent cx="5961184" cy="2277207"/>
            <wp:effectExtent l="0" t="0" r="1905" b="8890"/>
            <wp:docPr id="17" name="Диаграмма 17">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B364DBD-563A-40B0-9016-BF141528C2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2923248" w14:textId="3137BF70"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rPr>
        <w:t>Рис.</w:t>
      </w:r>
      <w:r w:rsidR="009A2D48" w:rsidRPr="007626F7">
        <w:rPr>
          <w:rFonts w:ascii="Times New Roman" w:hAnsi="Times New Roman" w:cs="Times New Roman"/>
          <w:sz w:val="28"/>
          <w:szCs w:val="28"/>
        </w:rPr>
        <w:t>2.</w:t>
      </w:r>
      <w:r w:rsidR="00CF7303" w:rsidRPr="007626F7">
        <w:rPr>
          <w:rFonts w:ascii="Times New Roman" w:hAnsi="Times New Roman" w:cs="Times New Roman"/>
          <w:sz w:val="28"/>
          <w:szCs w:val="28"/>
        </w:rPr>
        <w:t>9</w:t>
      </w:r>
      <w:r w:rsidR="009A2D48" w:rsidRPr="007626F7">
        <w:rPr>
          <w:rFonts w:ascii="Times New Roman" w:hAnsi="Times New Roman" w:cs="Times New Roman"/>
          <w:sz w:val="28"/>
          <w:szCs w:val="28"/>
        </w:rPr>
        <w:t xml:space="preserve"> </w:t>
      </w:r>
      <w:r w:rsidRPr="007626F7">
        <w:rPr>
          <w:rFonts w:ascii="Times New Roman" w:hAnsi="Times New Roman" w:cs="Times New Roman"/>
          <w:sz w:val="28"/>
          <w:szCs w:val="28"/>
        </w:rPr>
        <w:t>ВВП Польщі (млн. злотих)</w:t>
      </w:r>
    </w:p>
    <w:p w14:paraId="3D9FB1E6" w14:textId="4EE8D064"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rPr>
        <w:t>Джерело: скрадено автором на основі [</w:t>
      </w:r>
      <w:r w:rsidR="009A2D48" w:rsidRPr="007626F7">
        <w:rPr>
          <w:rFonts w:ascii="Times New Roman" w:hAnsi="Times New Roman" w:cs="Times New Roman"/>
          <w:sz w:val="28"/>
          <w:szCs w:val="28"/>
        </w:rPr>
        <w:t>35</w:t>
      </w:r>
      <w:r w:rsidRPr="007626F7">
        <w:rPr>
          <w:rFonts w:ascii="Times New Roman" w:hAnsi="Times New Roman" w:cs="Times New Roman"/>
          <w:sz w:val="28"/>
          <w:szCs w:val="28"/>
        </w:rPr>
        <w:t>].</w:t>
      </w:r>
    </w:p>
    <w:p w14:paraId="327891CF" w14:textId="23E868E1"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rPr>
        <w:t>ВВП країни у першому кварталі 2019 року складало близько 105,3 мільйонів злотих, у другому кварталі ВВП зменшилось до 104,7 мільйонів злотих. У третьому кварталі 2019 року ВВП знову трохи зменшилось до 104</w:t>
      </w:r>
      <w:r w:rsidR="00514CD2" w:rsidRPr="007626F7">
        <w:rPr>
          <w:rFonts w:ascii="Times New Roman" w:hAnsi="Times New Roman" w:cs="Times New Roman"/>
          <w:sz w:val="28"/>
          <w:szCs w:val="28"/>
        </w:rPr>
        <w:t>,4</w:t>
      </w:r>
      <w:r w:rsidRPr="007626F7">
        <w:rPr>
          <w:rFonts w:ascii="Times New Roman" w:hAnsi="Times New Roman" w:cs="Times New Roman"/>
          <w:sz w:val="28"/>
          <w:szCs w:val="28"/>
        </w:rPr>
        <w:t xml:space="preserve"> </w:t>
      </w:r>
      <w:r w:rsidR="00296011" w:rsidRPr="007626F7">
        <w:rPr>
          <w:rFonts w:ascii="Times New Roman" w:hAnsi="Times New Roman" w:cs="Times New Roman"/>
          <w:sz w:val="28"/>
          <w:szCs w:val="28"/>
        </w:rPr>
        <w:t>мільйонів злотих. У червертому</w:t>
      </w:r>
      <w:r w:rsidRPr="007626F7">
        <w:rPr>
          <w:rFonts w:ascii="Times New Roman" w:hAnsi="Times New Roman" w:cs="Times New Roman"/>
          <w:sz w:val="28"/>
          <w:szCs w:val="28"/>
        </w:rPr>
        <w:t xml:space="preserve"> кварталі ВВП склало 103,9 мільйонів, що на 2% менше ніж </w:t>
      </w:r>
      <w:proofErr w:type="gramStart"/>
      <w:r w:rsidRPr="007626F7">
        <w:rPr>
          <w:rFonts w:ascii="Times New Roman" w:hAnsi="Times New Roman" w:cs="Times New Roman"/>
          <w:sz w:val="28"/>
          <w:szCs w:val="28"/>
        </w:rPr>
        <w:t>на</w:t>
      </w:r>
      <w:proofErr w:type="gramEnd"/>
      <w:r w:rsidRPr="007626F7">
        <w:rPr>
          <w:rFonts w:ascii="Times New Roman" w:hAnsi="Times New Roman" w:cs="Times New Roman"/>
          <w:sz w:val="28"/>
          <w:szCs w:val="28"/>
        </w:rPr>
        <w:t xml:space="preserve"> початку року. У 2020 році ВВП зменшилось ще на 2% вже від четвертого кварталу 2019 року. А ось у другому кварталі 2020 року спад ВВП був дуже великим, приблизно на 9% порівнянно з першим кварталом 2020 року. У третьому кварталі 2020 року ВВП країни трохи зросло і досягло 98,2 мільйони злотих, що на 6% більше ніж у другому кварталі 2020 року і на 6% менше у порівнянні з третім кварталом 2019 року. </w:t>
      </w:r>
    </w:p>
    <w:p w14:paraId="567E8718" w14:textId="278DEB2B"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rPr>
        <w:lastRenderedPageBreak/>
        <w:t>У період пандемії також зростає дефіцит бюджету, тому розглянемо, що трапилось с дефіцитом бюджету у Польщі (див.рис.</w:t>
      </w:r>
      <w:r w:rsidR="009A2D48" w:rsidRPr="007626F7">
        <w:rPr>
          <w:rFonts w:ascii="Times New Roman" w:hAnsi="Times New Roman" w:cs="Times New Roman"/>
          <w:sz w:val="28"/>
          <w:szCs w:val="28"/>
        </w:rPr>
        <w:t>2.1</w:t>
      </w:r>
      <w:r w:rsidR="00CF7303" w:rsidRPr="007626F7">
        <w:rPr>
          <w:rFonts w:ascii="Times New Roman" w:hAnsi="Times New Roman" w:cs="Times New Roman"/>
          <w:sz w:val="28"/>
          <w:szCs w:val="28"/>
        </w:rPr>
        <w:t>0</w:t>
      </w:r>
      <w:r w:rsidRPr="007626F7">
        <w:rPr>
          <w:rFonts w:ascii="Times New Roman" w:hAnsi="Times New Roman" w:cs="Times New Roman"/>
          <w:sz w:val="28"/>
          <w:szCs w:val="28"/>
        </w:rPr>
        <w:t>).</w:t>
      </w:r>
    </w:p>
    <w:p w14:paraId="4F1175D7" w14:textId="77777777"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noProof/>
          <w:lang w:val="uk-UA" w:eastAsia="uk-UA"/>
        </w:rPr>
        <w:drawing>
          <wp:inline distT="0" distB="0" distL="0" distR="0" wp14:anchorId="27D27013" wp14:editId="599B4CAE">
            <wp:extent cx="5943600" cy="2153920"/>
            <wp:effectExtent l="0" t="0" r="0" b="17780"/>
            <wp:docPr id="20" name="Диаграмма 20">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BEC2007B-5524-449F-AC41-C05A9D0815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BE295F0" w14:textId="735B3A25"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lang w:val="uk-UA"/>
        </w:rPr>
        <w:t>Рис.</w:t>
      </w:r>
      <w:r w:rsidR="009A2D48" w:rsidRPr="007626F7">
        <w:rPr>
          <w:rFonts w:ascii="Times New Roman" w:hAnsi="Times New Roman" w:cs="Times New Roman"/>
          <w:sz w:val="28"/>
          <w:szCs w:val="28"/>
        </w:rPr>
        <w:t>2.1</w:t>
      </w:r>
      <w:r w:rsidR="00CF7303" w:rsidRPr="007626F7">
        <w:rPr>
          <w:rFonts w:ascii="Times New Roman" w:hAnsi="Times New Roman" w:cs="Times New Roman"/>
          <w:sz w:val="28"/>
          <w:szCs w:val="28"/>
        </w:rPr>
        <w:t>0</w:t>
      </w:r>
      <w:r w:rsidRPr="007626F7">
        <w:rPr>
          <w:rFonts w:ascii="Times New Roman" w:hAnsi="Times New Roman" w:cs="Times New Roman"/>
          <w:sz w:val="28"/>
          <w:szCs w:val="28"/>
          <w:lang w:val="uk-UA"/>
        </w:rPr>
        <w:t xml:space="preserve"> Дефіцит державного бюджету Польщі ( у мільйонах злотих)</w:t>
      </w:r>
    </w:p>
    <w:p w14:paraId="6E9F1A69" w14:textId="42A4710B"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lang w:val="uk-UA"/>
        </w:rPr>
        <w:t xml:space="preserve">Джерело: складено автором на основі </w:t>
      </w:r>
      <w:r w:rsidRPr="007626F7">
        <w:rPr>
          <w:rFonts w:ascii="Times New Roman" w:hAnsi="Times New Roman" w:cs="Times New Roman"/>
          <w:sz w:val="28"/>
          <w:szCs w:val="28"/>
        </w:rPr>
        <w:t>[</w:t>
      </w:r>
      <w:r w:rsidR="008F6058" w:rsidRPr="007626F7">
        <w:rPr>
          <w:rFonts w:ascii="Times New Roman" w:hAnsi="Times New Roman" w:cs="Times New Roman"/>
          <w:sz w:val="28"/>
          <w:szCs w:val="28"/>
        </w:rPr>
        <w:t>36</w:t>
      </w:r>
      <w:r w:rsidRPr="007626F7">
        <w:rPr>
          <w:rFonts w:ascii="Times New Roman" w:hAnsi="Times New Roman" w:cs="Times New Roman"/>
          <w:sz w:val="28"/>
          <w:szCs w:val="28"/>
        </w:rPr>
        <w:t>].</w:t>
      </w:r>
    </w:p>
    <w:p w14:paraId="68C522A8"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rPr>
        <w:t xml:space="preserve">Дефіцит державного бюджету Польщі у 2019 році показував позитивну динаміку. У першому кварталі 2019 року дефіцит бюджету склав </w:t>
      </w:r>
      <w:r w:rsidRPr="007626F7">
        <w:rPr>
          <w:rFonts w:ascii="Times New Roman" w:hAnsi="Times New Roman" w:cs="Times New Roman"/>
          <w:sz w:val="28"/>
          <w:szCs w:val="28"/>
          <w:lang w:val="uk-UA"/>
        </w:rPr>
        <w:t>-4,489 мільйонів злотих, а у другому кварталі дефіцит збільшився і склав -5,040 мільйонів злотих, що на 12% більше відповідного періоду. У третьому кварталі 2019 року дефіцит бюджету у Польщі зменшився на 65% відсотків, що дуже добре для економіки країни, але ця тенденція не продовжилась і вже у четвертому кварталі 2019 року дефіцит знову почав збільшуватися і він зріс майже у сім разів.  У 2020 році у першому кварталі дефіцит бюджету склав -9,354 мільйонів злотих. У другом кварталі 2020 року дефіцит бюджету збільшився до – 1,718 мільйонів злотих і у третьому кварталі дефіцит бюджету Польщі склав на 20% менше ніж у минулому кварталі. В останньому кварталі 2020 року відбувся дуже різкий ріст видатків державного бюджету, що призвело до збільшення дефіциту у шість разів.</w:t>
      </w:r>
    </w:p>
    <w:p w14:paraId="6DCF7240" w14:textId="79336F2E" w:rsidR="00507D30" w:rsidRPr="007626F7" w:rsidRDefault="00507D30" w:rsidP="007626F7">
      <w:pPr>
        <w:spacing w:after="0" w:line="360" w:lineRule="auto"/>
        <w:ind w:firstLine="720"/>
        <w:jc w:val="both"/>
        <w:rPr>
          <w:rFonts w:ascii="Times New Roman" w:hAnsi="Times New Roman" w:cs="Times New Roman"/>
          <w:b/>
          <w:bCs/>
          <w:sz w:val="28"/>
          <w:szCs w:val="28"/>
          <w:lang w:val="uk-UA"/>
        </w:rPr>
      </w:pPr>
      <w:r w:rsidRPr="007626F7">
        <w:rPr>
          <w:rFonts w:ascii="Times New Roman" w:hAnsi="Times New Roman" w:cs="Times New Roman"/>
          <w:sz w:val="28"/>
          <w:szCs w:val="28"/>
          <w:lang w:val="uk-UA"/>
        </w:rPr>
        <w:t>Далі слід розглянути стан зовнішнього боргу країни (див.</w:t>
      </w:r>
      <w:r w:rsidR="00D9391E"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рис.</w:t>
      </w:r>
      <w:r w:rsidR="005E2F17" w:rsidRPr="007626F7">
        <w:rPr>
          <w:rFonts w:ascii="Times New Roman" w:hAnsi="Times New Roman" w:cs="Times New Roman"/>
          <w:sz w:val="28"/>
          <w:szCs w:val="28"/>
        </w:rPr>
        <w:t>2.1</w:t>
      </w:r>
      <w:r w:rsidR="00CF7303" w:rsidRPr="007626F7">
        <w:rPr>
          <w:rFonts w:ascii="Times New Roman" w:hAnsi="Times New Roman" w:cs="Times New Roman"/>
          <w:sz w:val="28"/>
          <w:szCs w:val="28"/>
        </w:rPr>
        <w:t>1</w:t>
      </w:r>
      <w:r w:rsidRPr="007626F7">
        <w:rPr>
          <w:rFonts w:ascii="Times New Roman" w:hAnsi="Times New Roman" w:cs="Times New Roman"/>
          <w:sz w:val="28"/>
          <w:szCs w:val="28"/>
          <w:lang w:val="uk-UA"/>
        </w:rPr>
        <w:t>).</w:t>
      </w:r>
    </w:p>
    <w:p w14:paraId="4A5EFEAE" w14:textId="77777777"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noProof/>
          <w:lang w:val="uk-UA" w:eastAsia="uk-UA"/>
        </w:rPr>
        <w:lastRenderedPageBreak/>
        <w:drawing>
          <wp:inline distT="0" distB="0" distL="0" distR="0" wp14:anchorId="732D7BF9" wp14:editId="1A8C813A">
            <wp:extent cx="5741377" cy="2320925"/>
            <wp:effectExtent l="0" t="0" r="12065" b="3175"/>
            <wp:docPr id="19" name="Диаграмма 19">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5573446-AD72-4E57-AB8C-560F693ECF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95D35C0" w14:textId="6F25745E" w:rsidR="00507D30" w:rsidRPr="007626F7" w:rsidRDefault="00507D30" w:rsidP="005D531E">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rPr>
        <w:t>Рис.</w:t>
      </w:r>
      <w:r w:rsidR="005E2F17" w:rsidRPr="007626F7">
        <w:rPr>
          <w:rFonts w:ascii="Times New Roman" w:hAnsi="Times New Roman" w:cs="Times New Roman"/>
          <w:sz w:val="28"/>
          <w:szCs w:val="28"/>
        </w:rPr>
        <w:t>2.1</w:t>
      </w:r>
      <w:r w:rsidR="00CF7303" w:rsidRPr="007626F7">
        <w:rPr>
          <w:rFonts w:ascii="Times New Roman" w:hAnsi="Times New Roman" w:cs="Times New Roman"/>
          <w:sz w:val="28"/>
          <w:szCs w:val="28"/>
        </w:rPr>
        <w:t>1</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uk-UA"/>
        </w:rPr>
        <w:t>Зовнішній борг Польщі (млн. доларів США)</w:t>
      </w:r>
    </w:p>
    <w:p w14:paraId="47E3C6BD" w14:textId="6783612B" w:rsidR="00507D30" w:rsidRPr="007626F7" w:rsidRDefault="00507D30" w:rsidP="005D531E">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rPr>
        <w:t>Джерело: скрадено автором на основі [</w:t>
      </w:r>
      <w:r w:rsidR="007A2A80" w:rsidRPr="007626F7">
        <w:rPr>
          <w:rFonts w:ascii="Times New Roman" w:hAnsi="Times New Roman" w:cs="Times New Roman"/>
          <w:sz w:val="28"/>
          <w:szCs w:val="28"/>
        </w:rPr>
        <w:t>37</w:t>
      </w:r>
      <w:r w:rsidRPr="007626F7">
        <w:rPr>
          <w:rFonts w:ascii="Times New Roman" w:hAnsi="Times New Roman" w:cs="Times New Roman"/>
          <w:sz w:val="28"/>
          <w:szCs w:val="28"/>
        </w:rPr>
        <w:t>].</w:t>
      </w:r>
    </w:p>
    <w:p w14:paraId="084C1F26" w14:textId="1FAABFCD"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rPr>
        <w:t xml:space="preserve">Зовнішній борг </w:t>
      </w:r>
      <w:proofErr w:type="gramStart"/>
      <w:r w:rsidRPr="007626F7">
        <w:rPr>
          <w:rFonts w:ascii="Times New Roman" w:hAnsi="Times New Roman" w:cs="Times New Roman"/>
          <w:sz w:val="28"/>
          <w:szCs w:val="28"/>
        </w:rPr>
        <w:t>Польщі у</w:t>
      </w:r>
      <w:proofErr w:type="gramEnd"/>
      <w:r w:rsidRPr="007626F7">
        <w:rPr>
          <w:rFonts w:ascii="Times New Roman" w:hAnsi="Times New Roman" w:cs="Times New Roman"/>
          <w:sz w:val="28"/>
          <w:szCs w:val="28"/>
        </w:rPr>
        <w:t xml:space="preserve"> 2019 році коливався, наприклад, у першому кварталі він складав 350 мільнів доларів США, у другому 358 у третьому 344,</w:t>
      </w:r>
      <w:r w:rsidR="00D9391E" w:rsidRPr="007626F7">
        <w:rPr>
          <w:rFonts w:ascii="Times New Roman" w:hAnsi="Times New Roman" w:cs="Times New Roman"/>
          <w:sz w:val="28"/>
          <w:szCs w:val="28"/>
        </w:rPr>
        <w:t xml:space="preserve"> </w:t>
      </w:r>
      <w:r w:rsidRPr="007626F7">
        <w:rPr>
          <w:rFonts w:ascii="Times New Roman" w:hAnsi="Times New Roman" w:cs="Times New Roman"/>
          <w:sz w:val="28"/>
          <w:szCs w:val="28"/>
        </w:rPr>
        <w:t>у</w:t>
      </w:r>
      <w:r w:rsidR="00514CD2" w:rsidRPr="007626F7">
        <w:rPr>
          <w:rFonts w:ascii="Times New Roman" w:hAnsi="Times New Roman" w:cs="Times New Roman"/>
          <w:sz w:val="28"/>
          <w:szCs w:val="28"/>
        </w:rPr>
        <w:t xml:space="preserve"> </w:t>
      </w:r>
      <w:r w:rsidRPr="007626F7">
        <w:rPr>
          <w:rFonts w:ascii="Times New Roman" w:hAnsi="Times New Roman" w:cs="Times New Roman"/>
          <w:sz w:val="28"/>
          <w:szCs w:val="28"/>
        </w:rPr>
        <w:t>четвертому</w:t>
      </w:r>
      <w:r w:rsidR="00514CD2" w:rsidRPr="007626F7">
        <w:rPr>
          <w:rFonts w:ascii="Times New Roman" w:hAnsi="Times New Roman" w:cs="Times New Roman"/>
          <w:sz w:val="28"/>
          <w:szCs w:val="28"/>
        </w:rPr>
        <w:t xml:space="preserve"> </w:t>
      </w:r>
      <w:r w:rsidRPr="007626F7">
        <w:rPr>
          <w:rFonts w:ascii="Times New Roman" w:hAnsi="Times New Roman" w:cs="Times New Roman"/>
          <w:sz w:val="28"/>
          <w:szCs w:val="28"/>
        </w:rPr>
        <w:t xml:space="preserve">353 мільйони доларів США. Тобто у цілому якщо порівнювати перший квартал 2019 року і четвертий </w:t>
      </w:r>
      <w:proofErr w:type="gramStart"/>
      <w:r w:rsidRPr="007626F7">
        <w:rPr>
          <w:rFonts w:ascii="Times New Roman" w:hAnsi="Times New Roman" w:cs="Times New Roman"/>
          <w:sz w:val="28"/>
          <w:szCs w:val="28"/>
        </w:rPr>
        <w:t>р</w:t>
      </w:r>
      <w:proofErr w:type="gramEnd"/>
      <w:r w:rsidRPr="007626F7">
        <w:rPr>
          <w:rFonts w:ascii="Times New Roman" w:hAnsi="Times New Roman" w:cs="Times New Roman"/>
          <w:sz w:val="28"/>
          <w:szCs w:val="28"/>
        </w:rPr>
        <w:t>іст зовнішнього боргу відбувся на менше ніж на один відсоток, тобто коливання хоча і були, але вони були не значні. У 2020 році за графіком видно, що протягом рокі відбувався ріст з піком у четвертому кварталі.  У першому кварталі відбувся р спад на 6% у порівнянні з кінцем 2019 року, що говорить про можливість країною повернення частки боргу своїм кредиторам, у другому кварталі відбувся ріст на 1% у порівнян</w:t>
      </w:r>
      <w:r w:rsidR="00833925" w:rsidRPr="007626F7">
        <w:rPr>
          <w:rFonts w:ascii="Times New Roman" w:hAnsi="Times New Roman" w:cs="Times New Roman"/>
          <w:sz w:val="28"/>
          <w:szCs w:val="28"/>
        </w:rPr>
        <w:t>ні з першим кварталом 2020 року</w:t>
      </w:r>
      <w:r w:rsidRPr="007626F7">
        <w:rPr>
          <w:rFonts w:ascii="Times New Roman" w:hAnsi="Times New Roman" w:cs="Times New Roman"/>
          <w:sz w:val="28"/>
          <w:szCs w:val="28"/>
        </w:rPr>
        <w:t>, у третьому кварталі відбувся ріст на 4%, а у останньому кварталі 2020 року ріст був на 5%, а у цілому за 2020 рік кількість зовнішнього боргу зросла на 11%.</w:t>
      </w:r>
    </w:p>
    <w:p w14:paraId="6B53AA27" w14:textId="1B50332E"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rPr>
        <w:t xml:space="preserve">Далі розглянемо як змінювалась кількість зареестрованих безробітних у країні протягом пандемії </w:t>
      </w:r>
      <w:r w:rsidR="00DA2ACD" w:rsidRPr="007626F7">
        <w:rPr>
          <w:rFonts w:ascii="Times New Roman" w:hAnsi="Times New Roman" w:cs="Times New Roman"/>
          <w:sz w:val="28"/>
          <w:szCs w:val="28"/>
        </w:rPr>
        <w:t>і</w:t>
      </w:r>
      <w:r w:rsidRPr="007626F7">
        <w:rPr>
          <w:rFonts w:ascii="Times New Roman" w:hAnsi="Times New Roman" w:cs="Times New Roman"/>
          <w:sz w:val="28"/>
          <w:szCs w:val="28"/>
        </w:rPr>
        <w:t xml:space="preserve"> за рік до пандемії (див.</w:t>
      </w:r>
      <w:r w:rsidR="00DA2ACD" w:rsidRPr="007626F7">
        <w:rPr>
          <w:rFonts w:ascii="Times New Roman" w:hAnsi="Times New Roman" w:cs="Times New Roman"/>
          <w:sz w:val="28"/>
          <w:szCs w:val="28"/>
        </w:rPr>
        <w:t xml:space="preserve"> Додаток В</w:t>
      </w:r>
      <w:r w:rsidRPr="007626F7">
        <w:rPr>
          <w:rFonts w:ascii="Times New Roman" w:hAnsi="Times New Roman" w:cs="Times New Roman"/>
          <w:sz w:val="28"/>
          <w:szCs w:val="28"/>
        </w:rPr>
        <w:t>).</w:t>
      </w:r>
    </w:p>
    <w:p w14:paraId="69511B98" w14:textId="09CC634B"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rPr>
        <w:t xml:space="preserve">Кількість зареестрованих безробітних взгалі дає зрозуміти яка ситуація склалась </w:t>
      </w:r>
      <w:proofErr w:type="gramStart"/>
      <w:r w:rsidRPr="007626F7">
        <w:rPr>
          <w:rFonts w:ascii="Times New Roman" w:hAnsi="Times New Roman" w:cs="Times New Roman"/>
          <w:sz w:val="28"/>
          <w:szCs w:val="28"/>
        </w:rPr>
        <w:t>на</w:t>
      </w:r>
      <w:proofErr w:type="gramEnd"/>
      <w:r w:rsidR="00514CD2" w:rsidRPr="007626F7">
        <w:rPr>
          <w:rFonts w:ascii="Times New Roman" w:hAnsi="Times New Roman" w:cs="Times New Roman"/>
          <w:sz w:val="28"/>
          <w:szCs w:val="28"/>
        </w:rPr>
        <w:t xml:space="preserve"> </w:t>
      </w:r>
      <w:r w:rsidRPr="007626F7">
        <w:rPr>
          <w:rFonts w:ascii="Times New Roman" w:hAnsi="Times New Roman" w:cs="Times New Roman"/>
          <w:sz w:val="28"/>
          <w:szCs w:val="28"/>
        </w:rPr>
        <w:t xml:space="preserve">ринку праці у країни і можна приблизно припустити як пандемія вплинула на малий та середній бізнес країни. </w:t>
      </w:r>
      <w:proofErr w:type="gramStart"/>
      <w:r w:rsidRPr="007626F7">
        <w:rPr>
          <w:rFonts w:ascii="Times New Roman" w:hAnsi="Times New Roman" w:cs="Times New Roman"/>
          <w:sz w:val="28"/>
          <w:szCs w:val="28"/>
        </w:rPr>
        <w:t xml:space="preserve">Кількість безробітних у першому кварталі 2019 року склала 984 тисячі людей, у другому кварталі показник кількості безробітних знизився до 877 тисячь людей, у третьому кварталі він зменшився також, до 851 тисячі людей, а у четвертому кварталі кількість </w:t>
      </w:r>
      <w:r w:rsidRPr="007626F7">
        <w:rPr>
          <w:rFonts w:ascii="Times New Roman" w:hAnsi="Times New Roman" w:cs="Times New Roman"/>
          <w:sz w:val="28"/>
          <w:szCs w:val="28"/>
        </w:rPr>
        <w:lastRenderedPageBreak/>
        <w:t>безробітних збільшилась до 866 тисячь.</w:t>
      </w:r>
      <w:proofErr w:type="gramEnd"/>
      <w:r w:rsidRPr="007626F7">
        <w:rPr>
          <w:rFonts w:ascii="Times New Roman" w:hAnsi="Times New Roman" w:cs="Times New Roman"/>
          <w:sz w:val="28"/>
          <w:szCs w:val="28"/>
        </w:rPr>
        <w:t xml:space="preserve"> У 2020 році ситу</w:t>
      </w:r>
      <w:r w:rsidR="00D9391E" w:rsidRPr="007626F7">
        <w:rPr>
          <w:rFonts w:ascii="Times New Roman" w:hAnsi="Times New Roman" w:cs="Times New Roman"/>
          <w:sz w:val="28"/>
          <w:szCs w:val="28"/>
        </w:rPr>
        <w:t>ація з безробіттям у Польщі погі</w:t>
      </w:r>
      <w:r w:rsidRPr="007626F7">
        <w:rPr>
          <w:rFonts w:ascii="Times New Roman" w:hAnsi="Times New Roman" w:cs="Times New Roman"/>
          <w:sz w:val="28"/>
          <w:szCs w:val="28"/>
        </w:rPr>
        <w:t>ршилась. Кількість безробітних у 2020 році у першому кварталі вже склала 909 тисячь, що на 8% мешне ніж у перш</w:t>
      </w:r>
      <w:r w:rsidR="00D9391E" w:rsidRPr="007626F7">
        <w:rPr>
          <w:rFonts w:ascii="Times New Roman" w:hAnsi="Times New Roman" w:cs="Times New Roman"/>
          <w:sz w:val="28"/>
          <w:szCs w:val="28"/>
        </w:rPr>
        <w:t>ому кварталі 2019 року, але далі</w:t>
      </w:r>
      <w:r w:rsidRPr="007626F7">
        <w:rPr>
          <w:rFonts w:ascii="Times New Roman" w:hAnsi="Times New Roman" w:cs="Times New Roman"/>
          <w:sz w:val="28"/>
          <w:szCs w:val="28"/>
        </w:rPr>
        <w:t xml:space="preserve"> у другому кварталі кількість безробітних склала 1,026 мільйонів людей, що на 17% більше ніж у другому кварталі 2019 року і на 12% більше ніж у першому кварталі 2020 року. У тетьому кварталі кількість безробітних зменшилась на 2 тисячі людей, а у четвертому кварталі знову відбувся </w:t>
      </w:r>
      <w:proofErr w:type="gramStart"/>
      <w:r w:rsidRPr="007626F7">
        <w:rPr>
          <w:rFonts w:ascii="Times New Roman" w:hAnsi="Times New Roman" w:cs="Times New Roman"/>
          <w:sz w:val="28"/>
          <w:szCs w:val="28"/>
        </w:rPr>
        <w:t>р</w:t>
      </w:r>
      <w:proofErr w:type="gramEnd"/>
      <w:r w:rsidRPr="007626F7">
        <w:rPr>
          <w:rFonts w:ascii="Times New Roman" w:hAnsi="Times New Roman" w:cs="Times New Roman"/>
          <w:sz w:val="28"/>
          <w:szCs w:val="28"/>
        </w:rPr>
        <w:t>іст до 1,046 мільйонів людей. Тобто за 2020 рік у цілому кількість безробітних зросла на 15%.</w:t>
      </w:r>
    </w:p>
    <w:p w14:paraId="679C7886" w14:textId="6BA3F585"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rPr>
        <w:t>У кінці також розглянемо кількість золото валютних резервів в країні (див.рис.</w:t>
      </w:r>
      <w:r w:rsidR="00022C08" w:rsidRPr="007626F7">
        <w:rPr>
          <w:rFonts w:ascii="Times New Roman" w:hAnsi="Times New Roman" w:cs="Times New Roman"/>
          <w:sz w:val="28"/>
          <w:szCs w:val="28"/>
        </w:rPr>
        <w:t>2.1</w:t>
      </w:r>
      <w:r w:rsidR="00CF7303" w:rsidRPr="007626F7">
        <w:rPr>
          <w:rFonts w:ascii="Times New Roman" w:hAnsi="Times New Roman" w:cs="Times New Roman"/>
          <w:sz w:val="28"/>
          <w:szCs w:val="28"/>
        </w:rPr>
        <w:t>2</w:t>
      </w:r>
      <w:r w:rsidRPr="007626F7">
        <w:rPr>
          <w:rFonts w:ascii="Times New Roman" w:hAnsi="Times New Roman" w:cs="Times New Roman"/>
          <w:sz w:val="28"/>
          <w:szCs w:val="28"/>
        </w:rPr>
        <w:t>).</w:t>
      </w:r>
    </w:p>
    <w:p w14:paraId="78C89281" w14:textId="77777777"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noProof/>
          <w:lang w:val="uk-UA" w:eastAsia="uk-UA"/>
        </w:rPr>
        <w:drawing>
          <wp:inline distT="0" distB="0" distL="0" distR="0" wp14:anchorId="423845A2" wp14:editId="18FC98D5">
            <wp:extent cx="6010275" cy="1943100"/>
            <wp:effectExtent l="0" t="0" r="9525" b="0"/>
            <wp:docPr id="21" name="Диаграмма 2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D154764-5A0B-4107-98EC-0B79AD4697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1A9594C" w14:textId="2F13EC2C"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Рис.</w:t>
      </w:r>
      <w:r w:rsidR="00022C08" w:rsidRPr="007626F7">
        <w:rPr>
          <w:rFonts w:ascii="Times New Roman" w:hAnsi="Times New Roman" w:cs="Times New Roman"/>
          <w:sz w:val="28"/>
          <w:szCs w:val="28"/>
        </w:rPr>
        <w:t>2.1</w:t>
      </w:r>
      <w:r w:rsidR="00CF7303" w:rsidRPr="007626F7">
        <w:rPr>
          <w:rFonts w:ascii="Times New Roman" w:hAnsi="Times New Roman" w:cs="Times New Roman"/>
          <w:sz w:val="28"/>
          <w:szCs w:val="28"/>
        </w:rPr>
        <w:t>2</w:t>
      </w:r>
      <w:r w:rsidR="00022C08" w:rsidRPr="007626F7">
        <w:rPr>
          <w:rFonts w:ascii="Times New Roman" w:hAnsi="Times New Roman" w:cs="Times New Roman"/>
          <w:sz w:val="28"/>
          <w:szCs w:val="28"/>
        </w:rPr>
        <w:t xml:space="preserve"> </w:t>
      </w:r>
      <w:r w:rsidRPr="007626F7">
        <w:rPr>
          <w:rFonts w:ascii="Times New Roman" w:hAnsi="Times New Roman" w:cs="Times New Roman"/>
          <w:sz w:val="28"/>
          <w:szCs w:val="28"/>
          <w:lang w:val="uk-UA"/>
        </w:rPr>
        <w:t xml:space="preserve">Золото валютні резерви Польщі (мільйони злотих) </w:t>
      </w:r>
    </w:p>
    <w:p w14:paraId="18D38AF5" w14:textId="0144AFD9" w:rsidR="00507D30" w:rsidRPr="007626F7" w:rsidRDefault="00507D3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lang w:val="uk-UA"/>
        </w:rPr>
        <w:t xml:space="preserve">Джерело: </w:t>
      </w:r>
      <w:r w:rsidRPr="007626F7">
        <w:rPr>
          <w:rFonts w:ascii="Times New Roman" w:hAnsi="Times New Roman" w:cs="Times New Roman"/>
          <w:sz w:val="28"/>
          <w:szCs w:val="28"/>
        </w:rPr>
        <w:t>скрадено автором на основі [</w:t>
      </w:r>
      <w:r w:rsidR="00022C08" w:rsidRPr="007626F7">
        <w:rPr>
          <w:rFonts w:ascii="Times New Roman" w:hAnsi="Times New Roman" w:cs="Times New Roman"/>
          <w:sz w:val="28"/>
          <w:szCs w:val="28"/>
        </w:rPr>
        <w:t>39</w:t>
      </w:r>
      <w:r w:rsidRPr="007626F7">
        <w:rPr>
          <w:rFonts w:ascii="Times New Roman" w:hAnsi="Times New Roman" w:cs="Times New Roman"/>
          <w:sz w:val="28"/>
          <w:szCs w:val="28"/>
        </w:rPr>
        <w:t>].</w:t>
      </w:r>
    </w:p>
    <w:p w14:paraId="0686A463" w14:textId="512355A1"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rPr>
        <w:t>Кількість золотих резервів у Польщі зросла з 20 353,4 мільйнів злотих у першому кварталі 2019 року до 44 570,5 мільйонів злотих у серпні 2019 року, тобто близько у два рази. Далі у у грудні 2019 року кількість золотих резервів зменшилась до 42 518,8 мільйонів злотих. У 2020 році кількість золотих резервів склала 45 321,5 мільйонів злотих у січні, 52 663,0 мільйонів злотих у квітні і 52 252,6</w:t>
      </w:r>
      <w:r w:rsidRPr="007626F7">
        <w:rPr>
          <w:rFonts w:ascii="Times New Roman" w:hAnsi="Times New Roman" w:cs="Times New Roman"/>
        </w:rPr>
        <w:t xml:space="preserve"> </w:t>
      </w:r>
      <w:r w:rsidRPr="007626F7">
        <w:rPr>
          <w:rFonts w:ascii="Times New Roman" w:hAnsi="Times New Roman" w:cs="Times New Roman"/>
          <w:sz w:val="28"/>
          <w:szCs w:val="28"/>
        </w:rPr>
        <w:t>мільйонів злотих у грудні 2020 року. Тобто з початку 2019 року до кінця 2020 року к</w:t>
      </w:r>
      <w:r w:rsidR="00D9391E" w:rsidRPr="007626F7">
        <w:rPr>
          <w:rFonts w:ascii="Times New Roman" w:hAnsi="Times New Roman" w:cs="Times New Roman"/>
          <w:sz w:val="28"/>
          <w:szCs w:val="28"/>
        </w:rPr>
        <w:t>ількіс</w:t>
      </w:r>
      <w:r w:rsidRPr="007626F7">
        <w:rPr>
          <w:rFonts w:ascii="Times New Roman" w:hAnsi="Times New Roman" w:cs="Times New Roman"/>
          <w:sz w:val="28"/>
          <w:szCs w:val="28"/>
        </w:rPr>
        <w:t xml:space="preserve">ть золотих резервів збільшилась на 32,309 мільйонів злотих. Щодо всього резервних активів у країні включаючи золото, СПЗ, резервну позицію в МВФ та інші резервні активи, то кількість активів виросла з 423 682,7 мільйонів злотих у січні 2019 року до 579 718,7 мільйонів </w:t>
      </w:r>
      <w:r w:rsidRPr="007626F7">
        <w:rPr>
          <w:rFonts w:ascii="Times New Roman" w:hAnsi="Times New Roman" w:cs="Times New Roman"/>
          <w:sz w:val="28"/>
          <w:szCs w:val="28"/>
        </w:rPr>
        <w:lastRenderedPageBreak/>
        <w:t>злотих у грудні 2020 року, в основному через ріст кількості золотих резервів країни та росту інших резервних активів у Польщі.</w:t>
      </w:r>
    </w:p>
    <w:p w14:paraId="38B934B6" w14:textId="5B65C9AA" w:rsidR="00154072"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rPr>
        <w:t>Отже, можна зробити у цілому ви</w:t>
      </w:r>
      <w:r w:rsidR="00514CD2" w:rsidRPr="007626F7">
        <w:rPr>
          <w:rFonts w:ascii="Times New Roman" w:hAnsi="Times New Roman" w:cs="Times New Roman"/>
          <w:sz w:val="28"/>
          <w:szCs w:val="28"/>
        </w:rPr>
        <w:t>с</w:t>
      </w:r>
      <w:r w:rsidRPr="007626F7">
        <w:rPr>
          <w:rFonts w:ascii="Times New Roman" w:hAnsi="Times New Roman" w:cs="Times New Roman"/>
          <w:sz w:val="28"/>
          <w:szCs w:val="28"/>
        </w:rPr>
        <w:t>новок у цьому підрозділі, ВВП України як не дивно для ситуації з пандемією виросло, ВВП Швейцарії падало до третього кварталу 2020 року</w:t>
      </w:r>
      <w:r w:rsidR="00D9391E" w:rsidRPr="007626F7">
        <w:rPr>
          <w:rFonts w:ascii="Times New Roman" w:hAnsi="Times New Roman" w:cs="Times New Roman"/>
          <w:sz w:val="28"/>
          <w:szCs w:val="28"/>
          <w:lang w:val="uk-UA"/>
        </w:rPr>
        <w:t>,</w:t>
      </w:r>
      <w:r w:rsidRPr="007626F7">
        <w:rPr>
          <w:rFonts w:ascii="Times New Roman" w:hAnsi="Times New Roman" w:cs="Times New Roman"/>
          <w:sz w:val="28"/>
          <w:szCs w:val="28"/>
        </w:rPr>
        <w:t xml:space="preserve"> а потів </w:t>
      </w:r>
      <w:proofErr w:type="gramStart"/>
      <w:r w:rsidRPr="007626F7">
        <w:rPr>
          <w:rFonts w:ascii="Times New Roman" w:hAnsi="Times New Roman" w:cs="Times New Roman"/>
          <w:sz w:val="28"/>
          <w:szCs w:val="28"/>
        </w:rPr>
        <w:t>в</w:t>
      </w:r>
      <w:proofErr w:type="gramEnd"/>
      <w:r w:rsidRPr="007626F7">
        <w:rPr>
          <w:rFonts w:ascii="Times New Roman" w:hAnsi="Times New Roman" w:cs="Times New Roman"/>
          <w:sz w:val="28"/>
          <w:szCs w:val="28"/>
        </w:rPr>
        <w:t>ідбулось невеликий ріст, ВВП Польщі зменшилось на 9% за 2020 рік. Д</w:t>
      </w:r>
      <w:r w:rsidR="00992E0F" w:rsidRPr="007626F7">
        <w:rPr>
          <w:rFonts w:ascii="Times New Roman" w:hAnsi="Times New Roman" w:cs="Times New Roman"/>
          <w:sz w:val="28"/>
          <w:szCs w:val="28"/>
        </w:rPr>
        <w:t>ефіцит бюджету в Україні збільши</w:t>
      </w:r>
      <w:r w:rsidRPr="007626F7">
        <w:rPr>
          <w:rFonts w:ascii="Times New Roman" w:hAnsi="Times New Roman" w:cs="Times New Roman"/>
          <w:sz w:val="28"/>
          <w:szCs w:val="28"/>
        </w:rPr>
        <w:t>вся дуже, особливо у кін</w:t>
      </w:r>
      <w:r w:rsidR="00992E0F" w:rsidRPr="007626F7">
        <w:rPr>
          <w:rFonts w:ascii="Times New Roman" w:hAnsi="Times New Roman" w:cs="Times New Roman"/>
          <w:sz w:val="28"/>
          <w:szCs w:val="28"/>
        </w:rPr>
        <w:t>ці 2020 року, у Швейцарії теж ви</w:t>
      </w:r>
      <w:r w:rsidRPr="007626F7">
        <w:rPr>
          <w:rFonts w:ascii="Times New Roman" w:hAnsi="Times New Roman" w:cs="Times New Roman"/>
          <w:sz w:val="28"/>
          <w:szCs w:val="28"/>
        </w:rPr>
        <w:t xml:space="preserve">ріс і у Польщі дефіцит дуже виріс, а саме на у четвертому кварталі 2020 року близько у шість разів. Зовнішній борг в Україні виріс через кредит ЕС, у Швейцарії борг </w:t>
      </w:r>
      <w:proofErr w:type="gramStart"/>
      <w:r w:rsidRPr="007626F7">
        <w:rPr>
          <w:rFonts w:ascii="Times New Roman" w:hAnsi="Times New Roman" w:cs="Times New Roman"/>
          <w:sz w:val="28"/>
          <w:szCs w:val="28"/>
        </w:rPr>
        <w:t>р</w:t>
      </w:r>
      <w:proofErr w:type="gramEnd"/>
      <w:r w:rsidRPr="007626F7">
        <w:rPr>
          <w:rFonts w:ascii="Times New Roman" w:hAnsi="Times New Roman" w:cs="Times New Roman"/>
          <w:sz w:val="28"/>
          <w:szCs w:val="28"/>
        </w:rPr>
        <w:t>іст до другого квартало 2020 року</w:t>
      </w:r>
      <w:r w:rsidR="00D9391E" w:rsidRPr="007626F7">
        <w:rPr>
          <w:rFonts w:ascii="Times New Roman" w:hAnsi="Times New Roman" w:cs="Times New Roman"/>
          <w:sz w:val="28"/>
          <w:szCs w:val="28"/>
          <w:lang w:val="uk-UA"/>
        </w:rPr>
        <w:t>,</w:t>
      </w:r>
      <w:r w:rsidRPr="007626F7">
        <w:rPr>
          <w:rFonts w:ascii="Times New Roman" w:hAnsi="Times New Roman" w:cs="Times New Roman"/>
          <w:sz w:val="28"/>
          <w:szCs w:val="28"/>
        </w:rPr>
        <w:t xml:space="preserve"> а потім почав зменшуватись, у Польщі зовнішній борг збільшився на 11% за 2020 рік. Кількість безробітних в Україні збільшилось на 31% за 2020 рік через карантин, у Швейцарії кількість безробітних дуже виросло навіть більше ніж в Україні, а сеаме на 40%, у Польщі кількість безробітних зросла на 15% за 2020 рік. Щодо золото валютних резервів, то в усіх країнах кількість </w:t>
      </w:r>
      <w:r w:rsidR="00514CD2" w:rsidRPr="007626F7">
        <w:rPr>
          <w:rFonts w:ascii="Times New Roman" w:hAnsi="Times New Roman" w:cs="Times New Roman"/>
          <w:sz w:val="28"/>
          <w:szCs w:val="28"/>
        </w:rPr>
        <w:t>р</w:t>
      </w:r>
      <w:r w:rsidRPr="007626F7">
        <w:rPr>
          <w:rFonts w:ascii="Times New Roman" w:hAnsi="Times New Roman" w:cs="Times New Roman"/>
          <w:sz w:val="28"/>
          <w:szCs w:val="28"/>
        </w:rPr>
        <w:t>е</w:t>
      </w:r>
      <w:r w:rsidR="00514CD2" w:rsidRPr="007626F7">
        <w:rPr>
          <w:rFonts w:ascii="Times New Roman" w:hAnsi="Times New Roman" w:cs="Times New Roman"/>
          <w:sz w:val="28"/>
          <w:szCs w:val="28"/>
        </w:rPr>
        <w:t>з</w:t>
      </w:r>
      <w:r w:rsidRPr="007626F7">
        <w:rPr>
          <w:rFonts w:ascii="Times New Roman" w:hAnsi="Times New Roman" w:cs="Times New Roman"/>
          <w:sz w:val="28"/>
          <w:szCs w:val="28"/>
        </w:rPr>
        <w:t>е</w:t>
      </w:r>
      <w:r w:rsidR="00514CD2" w:rsidRPr="007626F7">
        <w:rPr>
          <w:rFonts w:ascii="Times New Roman" w:hAnsi="Times New Roman" w:cs="Times New Roman"/>
          <w:sz w:val="28"/>
          <w:szCs w:val="28"/>
        </w:rPr>
        <w:t>р</w:t>
      </w:r>
      <w:r w:rsidRPr="007626F7">
        <w:rPr>
          <w:rFonts w:ascii="Times New Roman" w:hAnsi="Times New Roman" w:cs="Times New Roman"/>
          <w:sz w:val="28"/>
          <w:szCs w:val="28"/>
        </w:rPr>
        <w:t>вів збіл</w:t>
      </w:r>
      <w:r w:rsidR="00D9391E" w:rsidRPr="007626F7">
        <w:rPr>
          <w:rFonts w:ascii="Times New Roman" w:hAnsi="Times New Roman" w:cs="Times New Roman"/>
          <w:sz w:val="28"/>
          <w:szCs w:val="28"/>
        </w:rPr>
        <w:t>ьшилось, в Україні через фінансу</w:t>
      </w:r>
      <w:r w:rsidRPr="007626F7">
        <w:rPr>
          <w:rFonts w:ascii="Times New Roman" w:hAnsi="Times New Roman" w:cs="Times New Roman"/>
          <w:sz w:val="28"/>
          <w:szCs w:val="28"/>
        </w:rPr>
        <w:t>вання МВФ, у Швейцарії не сильний ріст відбувся, а у Польщі вирісла кількість саме золотих резервів.</w:t>
      </w:r>
    </w:p>
    <w:p w14:paraId="6AF667A8" w14:textId="77777777" w:rsidR="00154072" w:rsidRPr="007626F7" w:rsidRDefault="00154072" w:rsidP="007626F7">
      <w:pPr>
        <w:spacing w:after="0" w:line="360" w:lineRule="auto"/>
        <w:ind w:firstLine="720"/>
        <w:jc w:val="both"/>
        <w:rPr>
          <w:rFonts w:ascii="Times New Roman" w:hAnsi="Times New Roman" w:cs="Times New Roman"/>
          <w:sz w:val="28"/>
          <w:szCs w:val="28"/>
        </w:rPr>
      </w:pPr>
    </w:p>
    <w:p w14:paraId="6BB29B91" w14:textId="74FC75F1" w:rsidR="00507D30" w:rsidRPr="007626F7" w:rsidRDefault="00507D30" w:rsidP="007626F7">
      <w:pPr>
        <w:spacing w:after="0" w:line="360" w:lineRule="auto"/>
        <w:ind w:firstLine="720"/>
        <w:jc w:val="both"/>
        <w:outlineLvl w:val="1"/>
        <w:rPr>
          <w:rFonts w:ascii="Times New Roman" w:hAnsi="Times New Roman" w:cs="Times New Roman"/>
          <w:b/>
          <w:bCs/>
          <w:sz w:val="28"/>
          <w:szCs w:val="28"/>
          <w:lang w:val="uk-UA"/>
        </w:rPr>
      </w:pPr>
      <w:bookmarkStart w:id="28" w:name="_Toc75333587"/>
      <w:r w:rsidRPr="007626F7">
        <w:rPr>
          <w:rFonts w:ascii="Times New Roman" w:hAnsi="Times New Roman" w:cs="Times New Roman"/>
          <w:b/>
          <w:bCs/>
          <w:sz w:val="28"/>
          <w:szCs w:val="28"/>
          <w:lang w:val="uk-UA"/>
        </w:rPr>
        <w:t xml:space="preserve">2.2 </w:t>
      </w:r>
      <w:r w:rsidR="003D23E0" w:rsidRPr="007626F7">
        <w:rPr>
          <w:rFonts w:ascii="Times New Roman" w:hAnsi="Times New Roman" w:cs="Times New Roman"/>
          <w:b/>
          <w:bCs/>
          <w:sz w:val="28"/>
          <w:szCs w:val="28"/>
          <w:lang w:val="uk-UA"/>
        </w:rPr>
        <w:t>Валютні курси та платіжні баланси країн у період пандемії</w:t>
      </w:r>
      <w:bookmarkEnd w:id="28"/>
    </w:p>
    <w:p w14:paraId="14459517" w14:textId="77777777" w:rsidR="00154072" w:rsidRPr="007626F7" w:rsidRDefault="00154072" w:rsidP="007626F7">
      <w:pPr>
        <w:spacing w:after="0" w:line="360" w:lineRule="auto"/>
        <w:ind w:firstLine="720"/>
        <w:jc w:val="both"/>
        <w:outlineLvl w:val="1"/>
        <w:rPr>
          <w:rFonts w:ascii="Times New Roman" w:hAnsi="Times New Roman" w:cs="Times New Roman"/>
          <w:b/>
          <w:bCs/>
          <w:sz w:val="28"/>
          <w:szCs w:val="28"/>
          <w:lang w:val="uk-UA"/>
        </w:rPr>
      </w:pPr>
    </w:p>
    <w:p w14:paraId="3E0702AF" w14:textId="6593CC21"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Спочатку розглянемо як співвідносяться валютний курс на абсолютний ППС в Україні, для того щоб зрозуміти чи є Українська валюта переоцінена чи недооцінена і як це співвідношення змінилось у період пандемії (див.рис.2</w:t>
      </w:r>
      <w:r w:rsidR="00A7547A" w:rsidRPr="007626F7">
        <w:rPr>
          <w:rFonts w:ascii="Times New Roman" w:hAnsi="Times New Roman" w:cs="Times New Roman"/>
          <w:sz w:val="28"/>
          <w:szCs w:val="28"/>
          <w:lang w:val="uk-UA"/>
        </w:rPr>
        <w:t>.1</w:t>
      </w:r>
      <w:r w:rsidR="00CF7303" w:rsidRPr="007626F7">
        <w:rPr>
          <w:rFonts w:ascii="Times New Roman" w:hAnsi="Times New Roman" w:cs="Times New Roman"/>
          <w:sz w:val="28"/>
          <w:szCs w:val="28"/>
          <w:lang w:val="uk-UA"/>
        </w:rPr>
        <w:t>3</w:t>
      </w:r>
      <w:r w:rsidRPr="007626F7">
        <w:rPr>
          <w:rFonts w:ascii="Times New Roman" w:hAnsi="Times New Roman" w:cs="Times New Roman"/>
          <w:sz w:val="28"/>
          <w:szCs w:val="28"/>
          <w:lang w:val="uk-UA"/>
        </w:rPr>
        <w:t>).</w:t>
      </w:r>
    </w:p>
    <w:p w14:paraId="2DFEDAE7" w14:textId="77777777"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00D90A14" wp14:editId="468D6719">
            <wp:extent cx="6000750" cy="1533525"/>
            <wp:effectExtent l="0" t="0" r="0" b="9525"/>
            <wp:docPr id="4" name="Диаграмма 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AA9F0F89-CB57-43A0-AEDE-12363F079C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52095E7" w14:textId="124D7B90"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Рис.2.</w:t>
      </w:r>
      <w:r w:rsidR="00A7547A" w:rsidRPr="007626F7">
        <w:rPr>
          <w:rFonts w:ascii="Times New Roman" w:hAnsi="Times New Roman" w:cs="Times New Roman"/>
          <w:sz w:val="28"/>
          <w:szCs w:val="28"/>
        </w:rPr>
        <w:t>1</w:t>
      </w:r>
      <w:r w:rsidR="00CF7303" w:rsidRPr="007626F7">
        <w:rPr>
          <w:rFonts w:ascii="Times New Roman" w:hAnsi="Times New Roman" w:cs="Times New Roman"/>
          <w:sz w:val="28"/>
          <w:szCs w:val="28"/>
        </w:rPr>
        <w:t>3</w:t>
      </w:r>
      <w:r w:rsidRPr="007626F7">
        <w:rPr>
          <w:rFonts w:ascii="Times New Roman" w:hAnsi="Times New Roman" w:cs="Times New Roman"/>
          <w:sz w:val="28"/>
          <w:szCs w:val="28"/>
          <w:lang w:val="uk-UA"/>
        </w:rPr>
        <w:t xml:space="preserve"> Валютний курс України та Абсолютний  ППС у порівнянні </w:t>
      </w:r>
    </w:p>
    <w:p w14:paraId="6E238B6B" w14:textId="5F2D2CF6"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w:t>
      </w:r>
      <w:r w:rsidR="00A7547A" w:rsidRPr="007626F7">
        <w:rPr>
          <w:rFonts w:ascii="Times New Roman" w:hAnsi="Times New Roman" w:cs="Times New Roman"/>
          <w:sz w:val="28"/>
          <w:szCs w:val="28"/>
        </w:rPr>
        <w:t>40</w:t>
      </w:r>
      <w:r w:rsidRPr="007626F7">
        <w:rPr>
          <w:rFonts w:ascii="Times New Roman" w:hAnsi="Times New Roman" w:cs="Times New Roman"/>
          <w:sz w:val="28"/>
          <w:szCs w:val="28"/>
          <w:lang w:val="uk-UA"/>
        </w:rPr>
        <w:t>],</w:t>
      </w:r>
      <w:r w:rsidRPr="007626F7">
        <w:rPr>
          <w:rFonts w:ascii="Times New Roman" w:hAnsi="Times New Roman" w:cs="Times New Roman"/>
        </w:rPr>
        <w:t xml:space="preserve"> </w:t>
      </w:r>
      <w:r w:rsidRPr="007626F7">
        <w:rPr>
          <w:rFonts w:ascii="Times New Roman" w:hAnsi="Times New Roman" w:cs="Times New Roman"/>
          <w:sz w:val="28"/>
          <w:szCs w:val="28"/>
          <w:lang w:val="uk-UA"/>
        </w:rPr>
        <w:t>[</w:t>
      </w:r>
      <w:r w:rsidR="00A7547A" w:rsidRPr="007626F7">
        <w:rPr>
          <w:rFonts w:ascii="Times New Roman" w:hAnsi="Times New Roman" w:cs="Times New Roman"/>
          <w:sz w:val="28"/>
          <w:szCs w:val="28"/>
          <w:lang w:val="uk-UA"/>
        </w:rPr>
        <w:t>41</w:t>
      </w:r>
      <w:r w:rsidRPr="007626F7">
        <w:rPr>
          <w:rFonts w:ascii="Times New Roman" w:hAnsi="Times New Roman" w:cs="Times New Roman"/>
          <w:sz w:val="28"/>
          <w:szCs w:val="28"/>
          <w:lang w:val="uk-UA"/>
        </w:rPr>
        <w:t>]. [</w:t>
      </w:r>
      <w:r w:rsidR="00A33737" w:rsidRPr="007626F7">
        <w:rPr>
          <w:rFonts w:ascii="Times New Roman" w:hAnsi="Times New Roman" w:cs="Times New Roman"/>
          <w:sz w:val="28"/>
          <w:szCs w:val="28"/>
        </w:rPr>
        <w:t>42</w:t>
      </w:r>
      <w:r w:rsidRPr="007626F7">
        <w:rPr>
          <w:rFonts w:ascii="Times New Roman" w:hAnsi="Times New Roman" w:cs="Times New Roman"/>
          <w:sz w:val="28"/>
          <w:szCs w:val="28"/>
          <w:lang w:val="uk-UA"/>
        </w:rPr>
        <w:t>].</w:t>
      </w:r>
    </w:p>
    <w:p w14:paraId="64A8732B" w14:textId="77777777" w:rsidR="00507D30" w:rsidRPr="007626F7" w:rsidRDefault="00507D30" w:rsidP="007626F7">
      <w:pPr>
        <w:spacing w:after="0" w:line="360" w:lineRule="auto"/>
        <w:ind w:firstLine="720"/>
        <w:jc w:val="both"/>
        <w:rPr>
          <w:rFonts w:ascii="Times New Roman" w:eastAsia="Times New Roman" w:hAnsi="Times New Roman" w:cs="Times New Roman"/>
          <w:i/>
          <w:sz w:val="28"/>
          <w:szCs w:val="28"/>
          <w:lang w:val="uk-UA"/>
        </w:rPr>
      </w:pPr>
      <m:oMath>
        <m:r>
          <w:rPr>
            <w:rFonts w:ascii="Cambria Math" w:hAnsi="Cambria Math" w:cs="Times New Roman"/>
            <w:sz w:val="28"/>
            <w:szCs w:val="28"/>
          </w:rPr>
          <w:lastRenderedPageBreak/>
          <m:t>E=</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d</m:t>
                </m:r>
              </m:sub>
            </m:sSub>
          </m:num>
          <m:den>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f</m:t>
                </m:r>
              </m:sub>
            </m:sSub>
          </m:den>
        </m:f>
      </m:oMath>
      <w:r w:rsidRPr="007626F7">
        <w:rPr>
          <w:rFonts w:ascii="Times New Roman" w:eastAsia="Times New Roman" w:hAnsi="Times New Roman" w:cs="Times New Roman"/>
          <w:i/>
          <w:sz w:val="28"/>
          <w:szCs w:val="28"/>
        </w:rPr>
        <w:t xml:space="preserve">, де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P</m:t>
            </m:r>
          </m:e>
          <m:sub>
            <m:r>
              <w:rPr>
                <w:rFonts w:ascii="Cambria Math" w:eastAsia="Times New Roman" w:hAnsi="Cambria Math" w:cs="Times New Roman"/>
                <w:sz w:val="28"/>
                <w:szCs w:val="28"/>
              </w:rPr>
              <m:t>d</m:t>
            </m:r>
          </m:sub>
        </m:sSub>
      </m:oMath>
      <w:r w:rsidRPr="007626F7">
        <w:rPr>
          <w:rFonts w:ascii="Times New Roman" w:eastAsia="Times New Roman" w:hAnsi="Times New Roman" w:cs="Times New Roman"/>
          <w:i/>
          <w:sz w:val="28"/>
          <w:szCs w:val="28"/>
        </w:rPr>
        <w:t>-</w:t>
      </w:r>
      <w:r w:rsidRPr="007626F7">
        <w:rPr>
          <w:rFonts w:ascii="Times New Roman" w:eastAsia="Times New Roman" w:hAnsi="Times New Roman" w:cs="Times New Roman"/>
          <w:i/>
          <w:sz w:val="28"/>
          <w:szCs w:val="28"/>
          <w:lang w:val="uk-UA"/>
        </w:rPr>
        <w:t xml:space="preserve">рівень цін в Україні,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P</m:t>
            </m:r>
          </m:e>
          <m:sub>
            <m:r>
              <w:rPr>
                <w:rFonts w:ascii="Cambria Math" w:eastAsia="Times New Roman" w:hAnsi="Cambria Math" w:cs="Times New Roman"/>
                <w:sz w:val="28"/>
                <w:szCs w:val="28"/>
                <w:lang w:val="uk-UA"/>
              </w:rPr>
              <m:t>f</m:t>
            </m:r>
          </m:sub>
        </m:sSub>
      </m:oMath>
      <w:r w:rsidRPr="007626F7">
        <w:rPr>
          <w:rFonts w:ascii="Times New Roman" w:eastAsia="Times New Roman" w:hAnsi="Times New Roman" w:cs="Times New Roman"/>
          <w:i/>
          <w:sz w:val="28"/>
          <w:szCs w:val="28"/>
          <w:lang w:val="uk-UA"/>
        </w:rPr>
        <w:t>-рівень цін у США.</w:t>
      </w:r>
    </w:p>
    <w:p w14:paraId="2D5716A8" w14:textId="77777777"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Проаналізувавши  данні, можна зробити висновок, що Україні гривня переоцінена протягом 2018 та початку 2021 років, адже валютний курс на всьому проміжку розглянутого часу набагато більший ніж абсолютний ППС. Це погано для країни, адже це говорить про можливість подальшого росту валютного курсу і знецінення валюти. Також згідно графіку починаючи з січня 2020 року валютний курс в Україні зріс, що можна вважати наслідком пандемії. Ріст валютного курсу у свою чергу вказує на ріст рівня цін в країні, що теж не є гарним показником. І взагалі можна сказати, що в Україні склалась невдала ситуація, адже валютний курс не тільки протягом трьох років вищий за абсолютний ППС але він ще і продовжує збільшуватись.</w:t>
      </w:r>
    </w:p>
    <w:p w14:paraId="010D034D" w14:textId="77777777"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hAnsi="Times New Roman" w:cs="Times New Roman"/>
          <w:noProof/>
          <w:lang w:val="uk-UA" w:eastAsia="uk-UA"/>
        </w:rPr>
        <w:drawing>
          <wp:inline distT="0" distB="0" distL="0" distR="0" wp14:anchorId="1F08A63C" wp14:editId="60CA145C">
            <wp:extent cx="5953125" cy="2047875"/>
            <wp:effectExtent l="0" t="0" r="9525" b="9525"/>
            <wp:docPr id="29" name="Диаграмма 29">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DCEDDD3-B0D4-48CA-8E5E-1C565509E8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B445366" w14:textId="2ABC7B8A" w:rsidR="00507D30" w:rsidRPr="007626F7" w:rsidRDefault="00507D30" w:rsidP="005D531E">
      <w:pPr>
        <w:spacing w:after="0" w:line="360" w:lineRule="auto"/>
        <w:jc w:val="both"/>
        <w:rPr>
          <w:rFonts w:ascii="Times New Roman" w:eastAsia="Calibri" w:hAnsi="Times New Roman" w:cs="Times New Roman"/>
          <w:sz w:val="28"/>
          <w:szCs w:val="28"/>
        </w:rPr>
      </w:pPr>
      <w:r w:rsidRPr="007626F7">
        <w:rPr>
          <w:rFonts w:ascii="Times New Roman" w:eastAsia="Calibri" w:hAnsi="Times New Roman" w:cs="Times New Roman"/>
          <w:sz w:val="28"/>
          <w:szCs w:val="28"/>
          <w:lang w:val="uk-UA"/>
        </w:rPr>
        <w:t>Рис.2</w:t>
      </w:r>
      <w:r w:rsidR="00A371F4" w:rsidRPr="007626F7">
        <w:rPr>
          <w:rFonts w:ascii="Times New Roman" w:eastAsia="Calibri" w:hAnsi="Times New Roman" w:cs="Times New Roman"/>
          <w:sz w:val="28"/>
          <w:szCs w:val="28"/>
        </w:rPr>
        <w:t>.1</w:t>
      </w:r>
      <w:r w:rsidR="00CF7303" w:rsidRPr="007626F7">
        <w:rPr>
          <w:rFonts w:ascii="Times New Roman" w:eastAsia="Calibri" w:hAnsi="Times New Roman" w:cs="Times New Roman"/>
          <w:sz w:val="28"/>
          <w:szCs w:val="28"/>
        </w:rPr>
        <w:t>4</w:t>
      </w:r>
      <w:r w:rsidRPr="007626F7">
        <w:rPr>
          <w:rFonts w:ascii="Times New Roman" w:eastAsia="Calibri" w:hAnsi="Times New Roman" w:cs="Times New Roman"/>
          <w:sz w:val="28"/>
          <w:szCs w:val="28"/>
        </w:rPr>
        <w:t xml:space="preserve"> Відсоткова ставка </w:t>
      </w:r>
      <w:r w:rsidRPr="007626F7">
        <w:rPr>
          <w:rFonts w:ascii="Times New Roman" w:eastAsia="Calibri" w:hAnsi="Times New Roman" w:cs="Times New Roman"/>
          <w:sz w:val="28"/>
          <w:szCs w:val="28"/>
          <w:lang w:val="uk-UA"/>
        </w:rPr>
        <w:t>України</w:t>
      </w:r>
      <w:r w:rsidRPr="007626F7">
        <w:rPr>
          <w:rFonts w:ascii="Times New Roman" w:eastAsia="Calibri" w:hAnsi="Times New Roman" w:cs="Times New Roman"/>
          <w:sz w:val="28"/>
          <w:szCs w:val="28"/>
        </w:rPr>
        <w:t xml:space="preserve"> та валютный курс</w:t>
      </w:r>
    </w:p>
    <w:p w14:paraId="37405343" w14:textId="5FACF258" w:rsidR="00507D30" w:rsidRPr="007626F7" w:rsidRDefault="00507D30" w:rsidP="005D531E">
      <w:pPr>
        <w:spacing w:after="0" w:line="360" w:lineRule="auto"/>
        <w:jc w:val="both"/>
        <w:rPr>
          <w:rFonts w:ascii="Times New Roman" w:eastAsia="Calibri" w:hAnsi="Times New Roman" w:cs="Times New Roman"/>
          <w:sz w:val="28"/>
          <w:szCs w:val="28"/>
        </w:rPr>
      </w:pPr>
      <w:r w:rsidRPr="007626F7">
        <w:rPr>
          <w:rFonts w:ascii="Times New Roman" w:eastAsia="Calibri" w:hAnsi="Times New Roman" w:cs="Times New Roman"/>
          <w:sz w:val="28"/>
          <w:szCs w:val="28"/>
          <w:lang w:val="uk-UA"/>
        </w:rPr>
        <w:t>Джерело: складено автором</w:t>
      </w:r>
      <w:r w:rsidRPr="007626F7">
        <w:rPr>
          <w:rFonts w:ascii="Times New Roman" w:eastAsia="Calibri" w:hAnsi="Times New Roman" w:cs="Times New Roman"/>
          <w:sz w:val="28"/>
          <w:szCs w:val="28"/>
        </w:rPr>
        <w:t xml:space="preserve"> </w:t>
      </w:r>
      <w:r w:rsidRPr="007626F7">
        <w:rPr>
          <w:rFonts w:ascii="Times New Roman" w:eastAsia="Calibri" w:hAnsi="Times New Roman" w:cs="Times New Roman"/>
          <w:sz w:val="28"/>
          <w:szCs w:val="28"/>
          <w:lang w:val="uk-UA"/>
        </w:rPr>
        <w:t xml:space="preserve">на основі </w:t>
      </w:r>
      <w:r w:rsidRPr="007626F7">
        <w:rPr>
          <w:rFonts w:ascii="Times New Roman" w:eastAsia="Calibri" w:hAnsi="Times New Roman" w:cs="Times New Roman"/>
          <w:sz w:val="28"/>
          <w:szCs w:val="28"/>
        </w:rPr>
        <w:t>[</w:t>
      </w:r>
      <w:r w:rsidR="00B77F22" w:rsidRPr="007626F7">
        <w:rPr>
          <w:rFonts w:ascii="Times New Roman" w:eastAsia="Calibri" w:hAnsi="Times New Roman" w:cs="Times New Roman"/>
          <w:sz w:val="28"/>
          <w:szCs w:val="28"/>
        </w:rPr>
        <w:t>40</w:t>
      </w:r>
      <w:r w:rsidRPr="007626F7">
        <w:rPr>
          <w:rFonts w:ascii="Times New Roman" w:eastAsia="Calibri" w:hAnsi="Times New Roman" w:cs="Times New Roman"/>
          <w:sz w:val="28"/>
          <w:szCs w:val="28"/>
        </w:rPr>
        <w:t>] [</w:t>
      </w:r>
      <w:r w:rsidR="00B77F22" w:rsidRPr="007626F7">
        <w:rPr>
          <w:rFonts w:ascii="Times New Roman" w:eastAsia="Calibri" w:hAnsi="Times New Roman" w:cs="Times New Roman"/>
          <w:sz w:val="28"/>
          <w:szCs w:val="28"/>
        </w:rPr>
        <w:t>43</w:t>
      </w:r>
      <w:r w:rsidRPr="007626F7">
        <w:rPr>
          <w:rFonts w:ascii="Times New Roman" w:eastAsia="Calibri" w:hAnsi="Times New Roman" w:cs="Times New Roman"/>
          <w:sz w:val="28"/>
          <w:szCs w:val="28"/>
        </w:rPr>
        <w:t>].</w:t>
      </w:r>
    </w:p>
    <w:p w14:paraId="39C7033D" w14:textId="77777777"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Облікова ставка Національного банку в Україні у період з 2018 року до кінця 2019 року була більш менш стабільна і коливалась між максимумом в 18% і мінімумом в 15%. Але починаючи з кінця 2019 року відсоткова ставка почала різко зменшувалися і спочатку у січні 2020 року склала 11% а згодом вже у квітні місяці становила 8%. А у червні місяці відсоткова ставка достигла позначки 6% і приблизно на такій позначці і тримається до сьогодні.</w:t>
      </w:r>
    </w:p>
    <w:p w14:paraId="22D40318" w14:textId="30BB4D0A"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 xml:space="preserve"> Це все результат монетарної політики центрального банку України, він ухвалив рішення про закріплення валютного курсу на рівні 8% у  квітні 2020 задля пом’якшення монетарної політики, що повинно допомогти підтриманню </w:t>
      </w:r>
      <w:r w:rsidRPr="007626F7">
        <w:rPr>
          <w:rFonts w:ascii="Times New Roman" w:eastAsia="Times New Roman" w:hAnsi="Times New Roman" w:cs="Times New Roman"/>
          <w:iCs/>
          <w:sz w:val="28"/>
          <w:szCs w:val="28"/>
          <w:lang w:val="uk-UA"/>
        </w:rPr>
        <w:lastRenderedPageBreak/>
        <w:t xml:space="preserve">здорового рівня економічного розвитку у країні. За словами офіційного Інтернет-представництва Національного банку України така відсоткова ставка дасть змогу покрити дефіцит державного бюджету, що повинно допомогти Україні впоратись з періодом боргового навантаження </w:t>
      </w:r>
      <w:r w:rsidRPr="007626F7">
        <w:rPr>
          <w:rFonts w:ascii="Times New Roman" w:eastAsia="Times New Roman" w:hAnsi="Times New Roman" w:cs="Times New Roman"/>
          <w:iCs/>
          <w:sz w:val="28"/>
          <w:szCs w:val="28"/>
        </w:rPr>
        <w:t>[</w:t>
      </w:r>
      <w:r w:rsidR="000915F7" w:rsidRPr="007626F7">
        <w:rPr>
          <w:rFonts w:ascii="Times New Roman" w:eastAsia="Times New Roman" w:hAnsi="Times New Roman" w:cs="Times New Roman"/>
          <w:iCs/>
          <w:sz w:val="28"/>
          <w:szCs w:val="28"/>
        </w:rPr>
        <w:t>44</w:t>
      </w:r>
      <w:r w:rsidRPr="007626F7">
        <w:rPr>
          <w:rFonts w:ascii="Times New Roman" w:eastAsia="Times New Roman" w:hAnsi="Times New Roman" w:cs="Times New Roman"/>
          <w:iCs/>
          <w:sz w:val="28"/>
          <w:szCs w:val="28"/>
        </w:rPr>
        <w:t>]</w:t>
      </w:r>
      <w:r w:rsidRPr="007626F7">
        <w:rPr>
          <w:rFonts w:ascii="Times New Roman" w:eastAsia="Times New Roman" w:hAnsi="Times New Roman" w:cs="Times New Roman"/>
          <w:iCs/>
          <w:sz w:val="28"/>
          <w:szCs w:val="28"/>
          <w:lang w:val="uk-UA"/>
        </w:rPr>
        <w:t>.</w:t>
      </w:r>
    </w:p>
    <w:p w14:paraId="3A877195" w14:textId="17BA1CBC"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А ось у червні 2020 року відсоткова ставка була встановлена на рівні 6%. За словами офіційного Інтернет-представництва Національного банку України «Це – найнижчий рівень облікової ставки за історію незалежної України».</w:t>
      </w:r>
      <w:r w:rsidRPr="007626F7">
        <w:rPr>
          <w:rFonts w:ascii="Times New Roman" w:eastAsia="Times New Roman" w:hAnsi="Times New Roman" w:cs="Times New Roman"/>
          <w:iCs/>
          <w:sz w:val="28"/>
          <w:szCs w:val="28"/>
        </w:rPr>
        <w:t xml:space="preserve"> </w:t>
      </w:r>
      <w:r w:rsidRPr="007626F7">
        <w:rPr>
          <w:rFonts w:ascii="Times New Roman" w:eastAsia="Times New Roman" w:hAnsi="Times New Roman" w:cs="Times New Roman"/>
          <w:iCs/>
          <w:sz w:val="28"/>
          <w:szCs w:val="28"/>
          <w:lang w:val="uk-UA"/>
        </w:rPr>
        <w:t>З одного боку  така облікова ставка не тільки дасть змогу країні утримувати інфляцію на рівень нижче і це дасть змогу профінансувати бюджетний дефіцит але з іншого боку це може бути погано для економіки країні, адже «падіння української економіки може бути глибшим, ніж очікувалося» [</w:t>
      </w:r>
      <w:r w:rsidR="000915F7" w:rsidRPr="007626F7">
        <w:rPr>
          <w:rFonts w:ascii="Times New Roman" w:eastAsia="Times New Roman" w:hAnsi="Times New Roman" w:cs="Times New Roman"/>
          <w:iCs/>
          <w:sz w:val="28"/>
          <w:szCs w:val="28"/>
          <w:lang w:val="uk-UA"/>
        </w:rPr>
        <w:t>45</w:t>
      </w:r>
      <w:r w:rsidRPr="007626F7">
        <w:rPr>
          <w:rFonts w:ascii="Times New Roman" w:eastAsia="Times New Roman" w:hAnsi="Times New Roman" w:cs="Times New Roman"/>
          <w:iCs/>
          <w:sz w:val="28"/>
          <w:szCs w:val="28"/>
          <w:lang w:val="uk-UA"/>
        </w:rPr>
        <w:t>].</w:t>
      </w:r>
    </w:p>
    <w:p w14:paraId="791D2E01" w14:textId="77777777"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Також розглянемо як саме відобразився вплив пандемії на відсоткову ставку та на валютний курс. З початку 2020 року валютний курс країни різко знизився, а ось відсоткова ставка збільшилась хоча, зменшення відсоткової ставки повинно було б привести до укріплення валюти а не до її знецінення. Аде це в перчу чергу обловлено тим, що зниження рівня відсоткової ставки є примусовим рішенням національного банку України.</w:t>
      </w:r>
    </w:p>
    <w:p w14:paraId="53C36295" w14:textId="33DDB5E0" w:rsidR="00507D30" w:rsidRPr="007626F7" w:rsidRDefault="00507D30" w:rsidP="007626F7">
      <w:pPr>
        <w:spacing w:after="0" w:line="360" w:lineRule="auto"/>
        <w:jc w:val="both"/>
        <w:rPr>
          <w:rFonts w:ascii="Times New Roman" w:eastAsia="Times New Roman" w:hAnsi="Times New Roman" w:cs="Times New Roman"/>
          <w:i/>
          <w:sz w:val="28"/>
          <w:szCs w:val="28"/>
          <w:lang w:val="uk-UA"/>
        </w:rPr>
      </w:pPr>
      <w:r w:rsidRPr="007626F7">
        <w:rPr>
          <w:rFonts w:ascii="Times New Roman" w:hAnsi="Times New Roman" w:cs="Times New Roman"/>
          <w:noProof/>
          <w:lang w:val="uk-UA" w:eastAsia="uk-UA"/>
        </w:rPr>
        <w:drawing>
          <wp:inline distT="0" distB="0" distL="0" distR="0" wp14:anchorId="49698A8E" wp14:editId="70742C8B">
            <wp:extent cx="5926015" cy="1969477"/>
            <wp:effectExtent l="0" t="0" r="17780" b="12065"/>
            <wp:docPr id="28" name="Диаграмма 28">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C4CE005-641D-428B-BA69-14F98D621A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9A9CF51" w14:textId="2568EEE2"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Рис.2</w:t>
      </w:r>
      <w:r w:rsidR="000915F7" w:rsidRPr="007626F7">
        <w:rPr>
          <w:rFonts w:ascii="Times New Roman" w:eastAsia="Times New Roman" w:hAnsi="Times New Roman" w:cs="Times New Roman"/>
          <w:iCs/>
          <w:sz w:val="28"/>
          <w:szCs w:val="28"/>
          <w:lang w:val="uk-UA"/>
        </w:rPr>
        <w:t>.1</w:t>
      </w:r>
      <w:r w:rsidR="00ED37DB" w:rsidRPr="007626F7">
        <w:rPr>
          <w:rFonts w:ascii="Times New Roman" w:eastAsia="Times New Roman" w:hAnsi="Times New Roman" w:cs="Times New Roman"/>
          <w:iCs/>
          <w:sz w:val="28"/>
          <w:szCs w:val="28"/>
          <w:lang w:val="uk-UA"/>
        </w:rPr>
        <w:t>5</w:t>
      </w:r>
      <w:r w:rsidRPr="007626F7">
        <w:rPr>
          <w:rFonts w:ascii="Times New Roman" w:eastAsia="Times New Roman" w:hAnsi="Times New Roman" w:cs="Times New Roman"/>
          <w:iCs/>
          <w:sz w:val="28"/>
          <w:szCs w:val="28"/>
          <w:lang w:val="uk-UA"/>
        </w:rPr>
        <w:t xml:space="preserve"> Грошова маса України та валютний курс</w:t>
      </w:r>
    </w:p>
    <w:p w14:paraId="5282FA17" w14:textId="1FD58341" w:rsidR="00507D30" w:rsidRPr="007626F7" w:rsidRDefault="00507D30" w:rsidP="007626F7">
      <w:pPr>
        <w:spacing w:after="0" w:line="360" w:lineRule="auto"/>
        <w:jc w:val="both"/>
        <w:rPr>
          <w:rFonts w:ascii="Times New Roman" w:eastAsia="Times New Roman" w:hAnsi="Times New Roman" w:cs="Times New Roman"/>
          <w:iCs/>
          <w:sz w:val="28"/>
          <w:szCs w:val="28"/>
        </w:rPr>
      </w:pPr>
      <w:r w:rsidRPr="007626F7">
        <w:rPr>
          <w:rFonts w:ascii="Times New Roman" w:eastAsia="Times New Roman" w:hAnsi="Times New Roman" w:cs="Times New Roman"/>
          <w:iCs/>
          <w:sz w:val="28"/>
          <w:szCs w:val="28"/>
          <w:lang w:val="uk-UA"/>
        </w:rPr>
        <w:t>Джерело: складено автором на основі [</w:t>
      </w:r>
      <w:r w:rsidR="0096292F" w:rsidRPr="007626F7">
        <w:rPr>
          <w:rFonts w:ascii="Times New Roman" w:eastAsia="Times New Roman" w:hAnsi="Times New Roman" w:cs="Times New Roman"/>
          <w:iCs/>
          <w:sz w:val="28"/>
          <w:szCs w:val="28"/>
          <w:lang w:val="uk-UA"/>
        </w:rPr>
        <w:t>40</w:t>
      </w:r>
      <w:r w:rsidRPr="007626F7">
        <w:rPr>
          <w:rFonts w:ascii="Times New Roman" w:eastAsia="Times New Roman" w:hAnsi="Times New Roman" w:cs="Times New Roman"/>
          <w:iCs/>
          <w:sz w:val="28"/>
          <w:szCs w:val="28"/>
          <w:lang w:val="uk-UA"/>
        </w:rPr>
        <w:t>]</w:t>
      </w:r>
      <w:r w:rsidRPr="007626F7">
        <w:rPr>
          <w:rFonts w:ascii="Times New Roman" w:eastAsia="Times New Roman" w:hAnsi="Times New Roman" w:cs="Times New Roman"/>
          <w:iCs/>
          <w:sz w:val="28"/>
          <w:szCs w:val="28"/>
        </w:rPr>
        <w:t>,[</w:t>
      </w:r>
      <w:r w:rsidR="008264AB" w:rsidRPr="007626F7">
        <w:rPr>
          <w:rFonts w:ascii="Times New Roman" w:eastAsia="Times New Roman" w:hAnsi="Times New Roman" w:cs="Times New Roman"/>
          <w:iCs/>
          <w:sz w:val="28"/>
          <w:szCs w:val="28"/>
        </w:rPr>
        <w:t>46</w:t>
      </w:r>
      <w:r w:rsidRPr="007626F7">
        <w:rPr>
          <w:rFonts w:ascii="Times New Roman" w:eastAsia="Times New Roman" w:hAnsi="Times New Roman" w:cs="Times New Roman"/>
          <w:iCs/>
          <w:sz w:val="28"/>
          <w:szCs w:val="28"/>
        </w:rPr>
        <w:t>]</w:t>
      </w:r>
      <w:r w:rsidRPr="007626F7">
        <w:rPr>
          <w:rFonts w:ascii="Times New Roman" w:eastAsia="Times New Roman" w:hAnsi="Times New Roman" w:cs="Times New Roman"/>
          <w:iCs/>
          <w:sz w:val="28"/>
          <w:szCs w:val="28"/>
          <w:lang w:val="uk-UA"/>
        </w:rPr>
        <w:t>.</w:t>
      </w:r>
    </w:p>
    <w:p w14:paraId="05C12FE2" w14:textId="57D4A27F"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 xml:space="preserve">Кількість грошової маси в Україні з 2018 року до кінця 2019 року біла більш-менш стабільною. Але у травні 2018 року відбувся невеликий ріст кількості грошової маси, що через кілька місяців привело до зростання </w:t>
      </w:r>
      <w:r w:rsidRPr="007626F7">
        <w:rPr>
          <w:rFonts w:ascii="Times New Roman" w:eastAsia="Times New Roman" w:hAnsi="Times New Roman" w:cs="Times New Roman"/>
          <w:iCs/>
          <w:sz w:val="28"/>
          <w:szCs w:val="28"/>
          <w:lang w:val="uk-UA"/>
        </w:rPr>
        <w:lastRenderedPageBreak/>
        <w:t xml:space="preserve">валютного курсу. Але це нормальна реакція, так як ріст грошової маси призводить до росту валютного курсу і може говорити про можливу появу інфляції в країні. У кінці 2019 році теж відбувся невеликий ріст грошової маси, що на початку 2020 року призвело до росту валютного курс. Також дуже помітний ріст грошової маси відбувся </w:t>
      </w:r>
      <w:r w:rsidR="00D9391E" w:rsidRPr="007626F7">
        <w:rPr>
          <w:rFonts w:ascii="Times New Roman" w:eastAsia="Times New Roman" w:hAnsi="Times New Roman" w:cs="Times New Roman"/>
          <w:iCs/>
          <w:sz w:val="28"/>
          <w:szCs w:val="28"/>
          <w:lang w:val="uk-UA"/>
        </w:rPr>
        <w:t>на початку</w:t>
      </w:r>
      <w:r w:rsidRPr="007626F7">
        <w:rPr>
          <w:rFonts w:ascii="Times New Roman" w:eastAsia="Times New Roman" w:hAnsi="Times New Roman" w:cs="Times New Roman"/>
          <w:iCs/>
          <w:sz w:val="28"/>
          <w:szCs w:val="28"/>
          <w:lang w:val="uk-UA"/>
        </w:rPr>
        <w:t xml:space="preserve"> 2021 року, що також призвело до росту валютного курсу. Отже між валютним курсом та грошовою масою в Україні пряма залежність.</w:t>
      </w:r>
    </w:p>
    <w:p w14:paraId="5F569750" w14:textId="4CE8D351"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Далі розглянемо ситуацію яка склалась у Швейцарії з валютним курсом під час пандемії (див.рис.2.</w:t>
      </w:r>
      <w:r w:rsidR="00ED37DB" w:rsidRPr="007626F7">
        <w:rPr>
          <w:rFonts w:ascii="Times New Roman" w:eastAsia="Times New Roman" w:hAnsi="Times New Roman" w:cs="Times New Roman"/>
          <w:iCs/>
          <w:sz w:val="28"/>
          <w:szCs w:val="28"/>
          <w:lang w:val="uk-UA"/>
        </w:rPr>
        <w:t>16</w:t>
      </w:r>
      <w:r w:rsidRPr="007626F7">
        <w:rPr>
          <w:rFonts w:ascii="Times New Roman" w:eastAsia="Times New Roman" w:hAnsi="Times New Roman" w:cs="Times New Roman"/>
          <w:iCs/>
          <w:sz w:val="28"/>
          <w:szCs w:val="28"/>
          <w:lang w:val="uk-UA"/>
        </w:rPr>
        <w:t>).</w:t>
      </w:r>
    </w:p>
    <w:p w14:paraId="17F7CA55" w14:textId="77777777"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p>
    <w:p w14:paraId="1819D26F" w14:textId="77777777"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hAnsi="Times New Roman" w:cs="Times New Roman"/>
          <w:noProof/>
          <w:lang w:val="uk-UA" w:eastAsia="uk-UA"/>
        </w:rPr>
        <w:drawing>
          <wp:inline distT="0" distB="0" distL="0" distR="0" wp14:anchorId="0E2C7719" wp14:editId="60997207">
            <wp:extent cx="6013938" cy="2101362"/>
            <wp:effectExtent l="0" t="0" r="6350" b="13335"/>
            <wp:docPr id="8" name="Диаграмма 8">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A8E2E350-5D4D-4921-8B5D-14BB935B13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1AA9E9A" w14:textId="77777777"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en-US"/>
        </w:rPr>
      </w:pPr>
    </w:p>
    <w:p w14:paraId="79934F36" w14:textId="63098CDA"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Рис.2</w:t>
      </w:r>
      <w:r w:rsidR="008264AB" w:rsidRPr="007626F7">
        <w:rPr>
          <w:rFonts w:ascii="Times New Roman" w:eastAsia="Times New Roman" w:hAnsi="Times New Roman" w:cs="Times New Roman"/>
          <w:iCs/>
          <w:sz w:val="28"/>
          <w:szCs w:val="28"/>
          <w:lang w:val="uk-UA"/>
        </w:rPr>
        <w:t>.</w:t>
      </w:r>
      <w:r w:rsidR="00ED37DB" w:rsidRPr="007626F7">
        <w:rPr>
          <w:rFonts w:ascii="Times New Roman" w:eastAsia="Times New Roman" w:hAnsi="Times New Roman" w:cs="Times New Roman"/>
          <w:iCs/>
          <w:sz w:val="28"/>
          <w:szCs w:val="28"/>
          <w:lang w:val="uk-UA"/>
        </w:rPr>
        <w:t>16</w:t>
      </w:r>
      <w:r w:rsidRPr="007626F7">
        <w:rPr>
          <w:rFonts w:ascii="Times New Roman" w:eastAsia="Times New Roman" w:hAnsi="Times New Roman" w:cs="Times New Roman"/>
          <w:iCs/>
          <w:sz w:val="28"/>
          <w:szCs w:val="28"/>
          <w:lang w:val="uk-UA"/>
        </w:rPr>
        <w:t xml:space="preserve"> Абсолютний ППС та валютний курс Швейцарії</w:t>
      </w:r>
    </w:p>
    <w:p w14:paraId="2352BF95" w14:textId="2898DDD8"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Джерело: складено автором на основі [</w:t>
      </w:r>
      <w:r w:rsidR="008264AB" w:rsidRPr="007626F7">
        <w:rPr>
          <w:rFonts w:ascii="Times New Roman" w:eastAsia="Times New Roman" w:hAnsi="Times New Roman" w:cs="Times New Roman"/>
          <w:iCs/>
          <w:sz w:val="28"/>
          <w:szCs w:val="28"/>
          <w:lang w:val="uk-UA"/>
        </w:rPr>
        <w:t>47</w:t>
      </w:r>
      <w:r w:rsidRPr="007626F7">
        <w:rPr>
          <w:rFonts w:ascii="Times New Roman" w:eastAsia="Times New Roman" w:hAnsi="Times New Roman" w:cs="Times New Roman"/>
          <w:iCs/>
          <w:sz w:val="28"/>
          <w:szCs w:val="28"/>
          <w:lang w:val="uk-UA"/>
        </w:rPr>
        <w:t>]</w:t>
      </w:r>
      <w:r w:rsidRPr="007626F7">
        <w:rPr>
          <w:rFonts w:ascii="Times New Roman" w:eastAsia="Times New Roman" w:hAnsi="Times New Roman" w:cs="Times New Roman"/>
          <w:iCs/>
          <w:sz w:val="28"/>
          <w:szCs w:val="28"/>
        </w:rPr>
        <w:t>,[</w:t>
      </w:r>
      <w:r w:rsidR="008264AB" w:rsidRPr="007626F7">
        <w:rPr>
          <w:rFonts w:ascii="Times New Roman" w:eastAsia="Times New Roman" w:hAnsi="Times New Roman" w:cs="Times New Roman"/>
          <w:iCs/>
          <w:sz w:val="28"/>
          <w:szCs w:val="28"/>
        </w:rPr>
        <w:t>48</w:t>
      </w:r>
      <w:r w:rsidRPr="007626F7">
        <w:rPr>
          <w:rFonts w:ascii="Times New Roman" w:eastAsia="Times New Roman" w:hAnsi="Times New Roman" w:cs="Times New Roman"/>
          <w:iCs/>
          <w:sz w:val="28"/>
          <w:szCs w:val="28"/>
        </w:rPr>
        <w:t xml:space="preserve">], </w:t>
      </w:r>
      <w:r w:rsidRPr="007626F7">
        <w:rPr>
          <w:rFonts w:ascii="Times New Roman" w:eastAsia="Times New Roman" w:hAnsi="Times New Roman" w:cs="Times New Roman"/>
          <w:iCs/>
          <w:sz w:val="28"/>
          <w:szCs w:val="28"/>
          <w:lang w:val="uk-UA"/>
        </w:rPr>
        <w:t>[</w:t>
      </w:r>
      <w:r w:rsidR="008264AB" w:rsidRPr="007626F7">
        <w:rPr>
          <w:rFonts w:ascii="Times New Roman" w:eastAsia="Times New Roman" w:hAnsi="Times New Roman" w:cs="Times New Roman"/>
          <w:iCs/>
          <w:sz w:val="28"/>
          <w:szCs w:val="28"/>
          <w:lang w:val="uk-UA"/>
        </w:rPr>
        <w:t>42</w:t>
      </w:r>
      <w:r w:rsidRPr="007626F7">
        <w:rPr>
          <w:rFonts w:ascii="Times New Roman" w:eastAsia="Times New Roman" w:hAnsi="Times New Roman" w:cs="Times New Roman"/>
          <w:iCs/>
          <w:sz w:val="28"/>
          <w:szCs w:val="28"/>
          <w:lang w:val="uk-UA"/>
        </w:rPr>
        <w:t>].</w:t>
      </w:r>
    </w:p>
    <w:p w14:paraId="388C7F6F" w14:textId="77777777" w:rsidR="00507D30" w:rsidRPr="007626F7" w:rsidRDefault="00507D30" w:rsidP="007626F7">
      <w:pPr>
        <w:spacing w:after="0" w:line="360" w:lineRule="auto"/>
        <w:ind w:firstLine="720"/>
        <w:jc w:val="both"/>
        <w:rPr>
          <w:rFonts w:ascii="Times New Roman" w:eastAsia="Times New Roman" w:hAnsi="Times New Roman" w:cs="Times New Roman"/>
          <w:i/>
          <w:sz w:val="28"/>
          <w:szCs w:val="28"/>
          <w:lang w:val="uk-UA"/>
        </w:rPr>
      </w:pPr>
      <m:oMath>
        <m:r>
          <w:rPr>
            <w:rFonts w:ascii="Cambria Math" w:hAnsi="Cambria Math" w:cs="Times New Roman"/>
            <w:sz w:val="28"/>
            <w:szCs w:val="28"/>
          </w:rPr>
          <m:t>E=</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d</m:t>
                </m:r>
              </m:sub>
            </m:sSub>
          </m:num>
          <m:den>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f</m:t>
                </m:r>
              </m:sub>
            </m:sSub>
          </m:den>
        </m:f>
      </m:oMath>
      <w:r w:rsidRPr="007626F7">
        <w:rPr>
          <w:rFonts w:ascii="Times New Roman" w:eastAsia="Times New Roman" w:hAnsi="Times New Roman" w:cs="Times New Roman"/>
          <w:i/>
          <w:sz w:val="28"/>
          <w:szCs w:val="28"/>
        </w:rPr>
        <w:t xml:space="preserve">, де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P</m:t>
            </m:r>
          </m:e>
          <m:sub>
            <m:r>
              <w:rPr>
                <w:rFonts w:ascii="Cambria Math" w:eastAsia="Times New Roman" w:hAnsi="Cambria Math" w:cs="Times New Roman"/>
                <w:sz w:val="28"/>
                <w:szCs w:val="28"/>
              </w:rPr>
              <m:t>d</m:t>
            </m:r>
          </m:sub>
        </m:sSub>
      </m:oMath>
      <w:r w:rsidRPr="007626F7">
        <w:rPr>
          <w:rFonts w:ascii="Times New Roman" w:eastAsia="Times New Roman" w:hAnsi="Times New Roman" w:cs="Times New Roman"/>
          <w:i/>
          <w:sz w:val="28"/>
          <w:szCs w:val="28"/>
        </w:rPr>
        <w:t>-</w:t>
      </w:r>
      <w:r w:rsidRPr="007626F7">
        <w:rPr>
          <w:rFonts w:ascii="Times New Roman" w:eastAsia="Times New Roman" w:hAnsi="Times New Roman" w:cs="Times New Roman"/>
          <w:i/>
          <w:sz w:val="28"/>
          <w:szCs w:val="28"/>
          <w:lang w:val="uk-UA"/>
        </w:rPr>
        <w:t>рівень цін в</w:t>
      </w:r>
      <w:r w:rsidRPr="007626F7">
        <w:rPr>
          <w:rFonts w:ascii="Times New Roman" w:eastAsia="Times New Roman" w:hAnsi="Times New Roman" w:cs="Times New Roman"/>
          <w:i/>
          <w:sz w:val="28"/>
          <w:szCs w:val="28"/>
        </w:rPr>
        <w:t xml:space="preserve"> Швейцарії</w:t>
      </w:r>
      <w:r w:rsidRPr="007626F7">
        <w:rPr>
          <w:rFonts w:ascii="Times New Roman" w:eastAsia="Times New Roman" w:hAnsi="Times New Roman" w:cs="Times New Roman"/>
          <w:i/>
          <w:sz w:val="28"/>
          <w:szCs w:val="28"/>
          <w:lang w:val="uk-UA"/>
        </w:rPr>
        <w:t xml:space="preserve">,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P</m:t>
            </m:r>
          </m:e>
          <m:sub>
            <m:r>
              <w:rPr>
                <w:rFonts w:ascii="Cambria Math" w:eastAsia="Times New Roman" w:hAnsi="Cambria Math" w:cs="Times New Roman"/>
                <w:sz w:val="28"/>
                <w:szCs w:val="28"/>
                <w:lang w:val="uk-UA"/>
              </w:rPr>
              <m:t>f</m:t>
            </m:r>
          </m:sub>
        </m:sSub>
      </m:oMath>
      <w:r w:rsidRPr="007626F7">
        <w:rPr>
          <w:rFonts w:ascii="Times New Roman" w:eastAsia="Times New Roman" w:hAnsi="Times New Roman" w:cs="Times New Roman"/>
          <w:i/>
          <w:sz w:val="28"/>
          <w:szCs w:val="28"/>
          <w:lang w:val="uk-UA"/>
        </w:rPr>
        <w:t>-рівень цін у США.</w:t>
      </w:r>
    </w:p>
    <w:p w14:paraId="0101AA08" w14:textId="77777777"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Валютний курс Швейцарії взагалі у зменшився з початку 2019 року до початку 2021 року. Валютний курс у 2019 році клав 0,399 Швейцарських франків за один долар США, а у кінці 2020 року валютний курс склав 0,384 Швейцарських франків за один долар США, тобто пандемія майже не вплинула на валютний курс країни і скоріше всього валютний курс впав через укріплення Швейцарського франку по відношенню до долару США,  а саме через чатове знецінення долару.</w:t>
      </w:r>
    </w:p>
    <w:p w14:paraId="37E4AD2E" w14:textId="77777777"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lastRenderedPageBreak/>
        <w:t xml:space="preserve">Також можна на малюнку побачити, що лінія валютного курсу та лінія абсолютного ППС майже співпадають. У січні 2019 року абсолютний ППС більший ніж валютний курс, що говорить про неоціненність валюти, з квітня абсолютний ППС зменшився і валютний курс виріс, що говорить про тимчасову пере оціненість валютного курсу Швейцарії. Далі з липня місяця валютний курс Швейцарії став більшим ніж абсолютний ППС, що говорить про те, що валюта переоцінена і таке становище продовжилось до червня 2020 року. І потім знову відбувалися скачки через то зменшення валютного курс то збільшення. З серпня 2020 року по вересень валютний курс був недооцінений, з вересня 2020 по листопад валютний курс був переоцінений, а з грудня 2020 року до січня 2021 року валютний курс знову став бути недооціненим, а потім ситуація знову змінилась. </w:t>
      </w:r>
    </w:p>
    <w:p w14:paraId="5AD480FF" w14:textId="31FACB88"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Також розглянемо як змінилась відсоткова ставка країни у період пандемії і як вона впливає на валютний курс (див.рис.2</w:t>
      </w:r>
      <w:r w:rsidR="008264AB" w:rsidRPr="007626F7">
        <w:rPr>
          <w:rFonts w:ascii="Times New Roman" w:eastAsia="Times New Roman" w:hAnsi="Times New Roman" w:cs="Times New Roman"/>
          <w:iCs/>
          <w:sz w:val="28"/>
          <w:szCs w:val="28"/>
          <w:lang w:val="uk-UA"/>
        </w:rPr>
        <w:t>.</w:t>
      </w:r>
      <w:r w:rsidR="00ED37DB" w:rsidRPr="007626F7">
        <w:rPr>
          <w:rFonts w:ascii="Times New Roman" w:eastAsia="Times New Roman" w:hAnsi="Times New Roman" w:cs="Times New Roman"/>
          <w:iCs/>
          <w:sz w:val="28"/>
          <w:szCs w:val="28"/>
          <w:lang w:val="uk-UA"/>
        </w:rPr>
        <w:t>17</w:t>
      </w:r>
      <w:r w:rsidRPr="007626F7">
        <w:rPr>
          <w:rFonts w:ascii="Times New Roman" w:eastAsia="Times New Roman" w:hAnsi="Times New Roman" w:cs="Times New Roman"/>
          <w:iCs/>
          <w:sz w:val="28"/>
          <w:szCs w:val="28"/>
          <w:lang w:val="uk-UA"/>
        </w:rPr>
        <w:t>).</w:t>
      </w:r>
    </w:p>
    <w:p w14:paraId="2565A04A" w14:textId="77777777"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hAnsi="Times New Roman" w:cs="Times New Roman"/>
          <w:noProof/>
          <w:lang w:val="uk-UA" w:eastAsia="uk-UA"/>
        </w:rPr>
        <w:drawing>
          <wp:inline distT="0" distB="0" distL="0" distR="0" wp14:anchorId="1DA12613" wp14:editId="3D18423C">
            <wp:extent cx="5741377" cy="2453005"/>
            <wp:effectExtent l="0" t="0" r="12065" b="4445"/>
            <wp:docPr id="12" name="Диаграмма 1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9C5CC3C-E0C4-465E-BB7D-2F132B9420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6C2EEB4" w14:textId="2EB50762"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Рис.2</w:t>
      </w:r>
      <w:r w:rsidR="008264AB" w:rsidRPr="007626F7">
        <w:rPr>
          <w:rFonts w:ascii="Times New Roman" w:eastAsia="Times New Roman" w:hAnsi="Times New Roman" w:cs="Times New Roman"/>
          <w:iCs/>
          <w:sz w:val="28"/>
          <w:szCs w:val="28"/>
          <w:lang w:val="uk-UA"/>
        </w:rPr>
        <w:t>.</w:t>
      </w:r>
      <w:r w:rsidR="00ED37DB" w:rsidRPr="007626F7">
        <w:rPr>
          <w:rFonts w:ascii="Times New Roman" w:eastAsia="Times New Roman" w:hAnsi="Times New Roman" w:cs="Times New Roman"/>
          <w:iCs/>
          <w:sz w:val="28"/>
          <w:szCs w:val="28"/>
          <w:lang w:val="uk-UA"/>
        </w:rPr>
        <w:t>17</w:t>
      </w:r>
      <w:r w:rsidRPr="007626F7">
        <w:rPr>
          <w:rFonts w:ascii="Times New Roman" w:eastAsia="Times New Roman" w:hAnsi="Times New Roman" w:cs="Times New Roman"/>
          <w:iCs/>
          <w:sz w:val="28"/>
          <w:szCs w:val="28"/>
          <w:lang w:val="uk-UA"/>
        </w:rPr>
        <w:t xml:space="preserve"> Відсоткова ставка Швейцарії  та валютний курс</w:t>
      </w:r>
    </w:p>
    <w:p w14:paraId="3F4C5598" w14:textId="73889999" w:rsidR="00507D30" w:rsidRPr="007626F7" w:rsidRDefault="00507D30" w:rsidP="005D531E">
      <w:pPr>
        <w:spacing w:after="0" w:line="360" w:lineRule="auto"/>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Джерело: складено автором на основі [</w:t>
      </w:r>
      <w:r w:rsidR="00AA6305" w:rsidRPr="007626F7">
        <w:rPr>
          <w:rFonts w:ascii="Times New Roman" w:hAnsi="Times New Roman" w:cs="Times New Roman"/>
          <w:sz w:val="28"/>
          <w:szCs w:val="28"/>
          <w:lang w:val="uk-UA"/>
        </w:rPr>
        <w:t>47</w:t>
      </w:r>
      <w:r w:rsidRPr="007626F7">
        <w:rPr>
          <w:rFonts w:ascii="Times New Roman" w:eastAsia="Times New Roman" w:hAnsi="Times New Roman" w:cs="Times New Roman"/>
          <w:iCs/>
          <w:sz w:val="28"/>
          <w:szCs w:val="28"/>
          <w:lang w:val="uk-UA"/>
        </w:rPr>
        <w:t>]</w:t>
      </w:r>
      <w:r w:rsidRPr="007626F7">
        <w:rPr>
          <w:rFonts w:ascii="Times New Roman" w:eastAsia="Times New Roman" w:hAnsi="Times New Roman" w:cs="Times New Roman"/>
          <w:iCs/>
          <w:sz w:val="28"/>
          <w:szCs w:val="28"/>
        </w:rPr>
        <w:t>,[</w:t>
      </w:r>
      <w:r w:rsidR="00AA6305" w:rsidRPr="007626F7">
        <w:rPr>
          <w:rFonts w:ascii="Times New Roman" w:eastAsia="Times New Roman" w:hAnsi="Times New Roman" w:cs="Times New Roman"/>
          <w:iCs/>
          <w:sz w:val="28"/>
          <w:szCs w:val="28"/>
        </w:rPr>
        <w:t>49</w:t>
      </w:r>
      <w:r w:rsidRPr="007626F7">
        <w:rPr>
          <w:rFonts w:ascii="Times New Roman" w:eastAsia="Times New Roman" w:hAnsi="Times New Roman" w:cs="Times New Roman"/>
          <w:iCs/>
          <w:sz w:val="28"/>
          <w:szCs w:val="28"/>
        </w:rPr>
        <w:t>]</w:t>
      </w:r>
      <w:r w:rsidRPr="007626F7">
        <w:rPr>
          <w:rFonts w:ascii="Times New Roman" w:eastAsia="Times New Roman" w:hAnsi="Times New Roman" w:cs="Times New Roman"/>
          <w:iCs/>
          <w:sz w:val="28"/>
          <w:szCs w:val="28"/>
          <w:lang w:val="uk-UA"/>
        </w:rPr>
        <w:t>.</w:t>
      </w:r>
    </w:p>
    <w:p w14:paraId="6E7C78C4" w14:textId="77777777"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Відсоткова ставка у Швейцарії завжди на одному рівні протягом 2019-2020 років. У Швейцарії відсоткова ставка складає -0,75, тобто у країні від’ємна ставка кредитування. Така відсоткова ставка у країні ще з березні місяця 2015 року.</w:t>
      </w:r>
      <w:r w:rsidRPr="007626F7">
        <w:rPr>
          <w:rFonts w:ascii="Times New Roman" w:eastAsia="Times New Roman" w:hAnsi="Times New Roman" w:cs="Times New Roman"/>
          <w:iCs/>
          <w:sz w:val="28"/>
          <w:szCs w:val="28"/>
        </w:rPr>
        <w:t xml:space="preserve"> </w:t>
      </w:r>
      <w:r w:rsidRPr="007626F7">
        <w:rPr>
          <w:rFonts w:ascii="Times New Roman" w:eastAsia="Times New Roman" w:hAnsi="Times New Roman" w:cs="Times New Roman"/>
          <w:iCs/>
          <w:sz w:val="28"/>
          <w:szCs w:val="28"/>
          <w:lang w:val="uk-UA"/>
        </w:rPr>
        <w:t xml:space="preserve">Таким чином країна намагається підняти своє економічне становище, задля того, щоб громадянам було не вигідно вкладати гроші на зберігання в банк і щоб вони вкладали гроші в економіку країни, що повинно </w:t>
      </w:r>
      <w:r w:rsidRPr="007626F7">
        <w:rPr>
          <w:rFonts w:ascii="Times New Roman" w:eastAsia="Times New Roman" w:hAnsi="Times New Roman" w:cs="Times New Roman"/>
          <w:iCs/>
          <w:sz w:val="28"/>
          <w:szCs w:val="28"/>
          <w:lang w:val="uk-UA"/>
        </w:rPr>
        <w:lastRenderedPageBreak/>
        <w:t>також допомогти розвитку. Тому згідно графіку відсоткова ставка не має прямого впливу на валютний курс країни, а на валютний курс має вплив саме попит та пропозиція на валюту, адже у Швейцарії вільно плаваючий валютний курс.</w:t>
      </w:r>
    </w:p>
    <w:p w14:paraId="3831DB29" w14:textId="0C201592"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Далі буде розглянуто стан грошової маси у Швейцарії і валютного курсу (див.рис.2</w:t>
      </w:r>
      <w:r w:rsidR="00163476" w:rsidRPr="007626F7">
        <w:rPr>
          <w:rFonts w:ascii="Times New Roman" w:eastAsia="Times New Roman" w:hAnsi="Times New Roman" w:cs="Times New Roman"/>
          <w:iCs/>
          <w:sz w:val="28"/>
          <w:szCs w:val="28"/>
          <w:lang w:val="uk-UA"/>
        </w:rPr>
        <w:t>.</w:t>
      </w:r>
      <w:r w:rsidR="00ED37DB" w:rsidRPr="007626F7">
        <w:rPr>
          <w:rFonts w:ascii="Times New Roman" w:eastAsia="Times New Roman" w:hAnsi="Times New Roman" w:cs="Times New Roman"/>
          <w:iCs/>
          <w:sz w:val="28"/>
          <w:szCs w:val="28"/>
          <w:lang w:val="uk-UA"/>
        </w:rPr>
        <w:t>18</w:t>
      </w:r>
      <w:r w:rsidRPr="007626F7">
        <w:rPr>
          <w:rFonts w:ascii="Times New Roman" w:eastAsia="Times New Roman" w:hAnsi="Times New Roman" w:cs="Times New Roman"/>
          <w:iCs/>
          <w:sz w:val="28"/>
          <w:szCs w:val="28"/>
          <w:lang w:val="uk-UA"/>
        </w:rPr>
        <w:t>).</w:t>
      </w:r>
    </w:p>
    <w:p w14:paraId="6BB1735B" w14:textId="77777777"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hAnsi="Times New Roman" w:cs="Times New Roman"/>
          <w:noProof/>
          <w:lang w:val="uk-UA" w:eastAsia="uk-UA"/>
        </w:rPr>
        <w:drawing>
          <wp:inline distT="0" distB="0" distL="0" distR="0" wp14:anchorId="5609C24E" wp14:editId="0601BD21">
            <wp:extent cx="6022731" cy="2734408"/>
            <wp:effectExtent l="0" t="0" r="16510" b="8890"/>
            <wp:docPr id="11" name="Диаграмма 1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9B193996-349E-43C5-B773-482C806450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1A3647F" w14:textId="726AE74A"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Рис.2</w:t>
      </w:r>
      <w:r w:rsidR="00163476" w:rsidRPr="007626F7">
        <w:rPr>
          <w:rFonts w:ascii="Times New Roman" w:eastAsia="Times New Roman" w:hAnsi="Times New Roman" w:cs="Times New Roman"/>
          <w:iCs/>
          <w:sz w:val="28"/>
          <w:szCs w:val="28"/>
          <w:lang w:val="uk-UA"/>
        </w:rPr>
        <w:t>.</w:t>
      </w:r>
      <w:r w:rsidR="00ED37DB" w:rsidRPr="007626F7">
        <w:rPr>
          <w:rFonts w:ascii="Times New Roman" w:eastAsia="Times New Roman" w:hAnsi="Times New Roman" w:cs="Times New Roman"/>
          <w:iCs/>
          <w:sz w:val="28"/>
          <w:szCs w:val="28"/>
          <w:lang w:val="uk-UA"/>
        </w:rPr>
        <w:t>18</w:t>
      </w:r>
      <w:r w:rsidR="00163476" w:rsidRPr="007626F7">
        <w:rPr>
          <w:rFonts w:ascii="Times New Roman" w:eastAsia="Times New Roman" w:hAnsi="Times New Roman" w:cs="Times New Roman"/>
          <w:iCs/>
          <w:sz w:val="28"/>
          <w:szCs w:val="28"/>
          <w:lang w:val="uk-UA"/>
        </w:rPr>
        <w:t xml:space="preserve"> </w:t>
      </w:r>
      <w:r w:rsidRPr="007626F7">
        <w:rPr>
          <w:rFonts w:ascii="Times New Roman" w:eastAsia="Times New Roman" w:hAnsi="Times New Roman" w:cs="Times New Roman"/>
          <w:iCs/>
          <w:sz w:val="28"/>
          <w:szCs w:val="28"/>
          <w:lang w:val="uk-UA"/>
        </w:rPr>
        <w:t>Грошова маса Швейцарії  та валютний курс</w:t>
      </w:r>
    </w:p>
    <w:p w14:paraId="4453081F" w14:textId="2289F378"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Джерело: складено автором на основі [</w:t>
      </w:r>
      <w:r w:rsidR="00012156" w:rsidRPr="007626F7">
        <w:rPr>
          <w:rFonts w:ascii="Times New Roman" w:hAnsi="Times New Roman" w:cs="Times New Roman"/>
          <w:sz w:val="28"/>
          <w:szCs w:val="28"/>
          <w:lang w:val="uk-UA"/>
        </w:rPr>
        <w:t>47</w:t>
      </w:r>
      <w:r w:rsidRPr="007626F7">
        <w:rPr>
          <w:rFonts w:ascii="Times New Roman" w:eastAsia="Times New Roman" w:hAnsi="Times New Roman" w:cs="Times New Roman"/>
          <w:iCs/>
          <w:sz w:val="28"/>
          <w:szCs w:val="28"/>
          <w:lang w:val="uk-UA"/>
        </w:rPr>
        <w:t>]</w:t>
      </w:r>
      <w:r w:rsidRPr="007626F7">
        <w:rPr>
          <w:rFonts w:ascii="Times New Roman" w:eastAsia="Times New Roman" w:hAnsi="Times New Roman" w:cs="Times New Roman"/>
          <w:iCs/>
          <w:sz w:val="28"/>
          <w:szCs w:val="28"/>
        </w:rPr>
        <w:t>,[</w:t>
      </w:r>
      <w:r w:rsidR="004E2B07" w:rsidRPr="007626F7">
        <w:rPr>
          <w:rFonts w:ascii="Times New Roman" w:eastAsia="Times New Roman" w:hAnsi="Times New Roman" w:cs="Times New Roman"/>
          <w:iCs/>
          <w:sz w:val="28"/>
          <w:szCs w:val="28"/>
        </w:rPr>
        <w:t>50</w:t>
      </w:r>
      <w:r w:rsidRPr="007626F7">
        <w:rPr>
          <w:rFonts w:ascii="Times New Roman" w:eastAsia="Times New Roman" w:hAnsi="Times New Roman" w:cs="Times New Roman"/>
          <w:iCs/>
          <w:sz w:val="28"/>
          <w:szCs w:val="28"/>
        </w:rPr>
        <w:t>]</w:t>
      </w:r>
      <w:r w:rsidRPr="007626F7">
        <w:rPr>
          <w:rFonts w:ascii="Times New Roman" w:eastAsia="Times New Roman" w:hAnsi="Times New Roman" w:cs="Times New Roman"/>
          <w:iCs/>
          <w:sz w:val="28"/>
          <w:szCs w:val="28"/>
          <w:lang w:val="uk-UA"/>
        </w:rPr>
        <w:t>.</w:t>
      </w:r>
    </w:p>
    <w:p w14:paraId="406B58A4" w14:textId="77777777"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 xml:space="preserve">Грошова маса у країні, а саме грошовий агрегат </w:t>
      </w:r>
      <w:r w:rsidRPr="007626F7">
        <w:rPr>
          <w:rFonts w:ascii="Times New Roman" w:eastAsia="Times New Roman" w:hAnsi="Times New Roman" w:cs="Times New Roman"/>
          <w:iCs/>
          <w:sz w:val="28"/>
          <w:szCs w:val="28"/>
          <w:lang w:val="en-US"/>
        </w:rPr>
        <w:t>M</w:t>
      </w:r>
      <w:r w:rsidRPr="007626F7">
        <w:rPr>
          <w:rFonts w:ascii="Times New Roman" w:eastAsia="Times New Roman" w:hAnsi="Times New Roman" w:cs="Times New Roman"/>
          <w:iCs/>
          <w:sz w:val="28"/>
          <w:szCs w:val="28"/>
        </w:rPr>
        <w:t>1</w:t>
      </w:r>
      <w:r w:rsidRPr="007626F7">
        <w:rPr>
          <w:rFonts w:ascii="Times New Roman" w:eastAsia="Times New Roman" w:hAnsi="Times New Roman" w:cs="Times New Roman"/>
          <w:iCs/>
          <w:sz w:val="28"/>
          <w:szCs w:val="28"/>
          <w:lang w:val="uk-UA"/>
        </w:rPr>
        <w:t>, з початку 2019 року до початку 2020 року була більш менш стабільна, з невеликим ростом показника у квітні 2019 року та у травні. Але не видно прямого впливу роста грошової маси на валютний курс. З початку 2020 року кількість грошової маси в країні почала зростати, і з червня 2020 року можна почити, що грошова маса почала різко зростати, а валютний курс теж з червня 2020 року почав зменшуватись, тобто відбувається зворотна залежність валютного курсу від грошової маси, хоча навпаки ріст грошової маси повинен був би привести до знецінення валютного курсу. Отже можна побачити, що з 2019 року до початку 2021 року грошова маса зросла приблизно на 10%.</w:t>
      </w:r>
    </w:p>
    <w:p w14:paraId="71345B13" w14:textId="5B5AB23C"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Після розгляду стану валютного курс України та Швейцарії перейдемо до розгляду стану валютного курсу у Польщі (див.рис.2</w:t>
      </w:r>
      <w:r w:rsidR="00A04628" w:rsidRPr="007626F7">
        <w:rPr>
          <w:rFonts w:ascii="Times New Roman" w:eastAsia="Times New Roman" w:hAnsi="Times New Roman" w:cs="Times New Roman"/>
          <w:iCs/>
          <w:sz w:val="28"/>
          <w:szCs w:val="28"/>
          <w:lang w:val="uk-UA"/>
        </w:rPr>
        <w:t>.</w:t>
      </w:r>
      <w:r w:rsidR="00ED37DB" w:rsidRPr="007626F7">
        <w:rPr>
          <w:rFonts w:ascii="Times New Roman" w:eastAsia="Times New Roman" w:hAnsi="Times New Roman" w:cs="Times New Roman"/>
          <w:iCs/>
          <w:sz w:val="28"/>
          <w:szCs w:val="28"/>
          <w:lang w:val="uk-UA"/>
        </w:rPr>
        <w:t>19</w:t>
      </w:r>
      <w:r w:rsidRPr="007626F7">
        <w:rPr>
          <w:rFonts w:ascii="Times New Roman" w:eastAsia="Times New Roman" w:hAnsi="Times New Roman" w:cs="Times New Roman"/>
          <w:iCs/>
          <w:sz w:val="28"/>
          <w:szCs w:val="28"/>
          <w:lang w:val="uk-UA"/>
        </w:rPr>
        <w:t>).</w:t>
      </w:r>
    </w:p>
    <w:p w14:paraId="0096DD65" w14:textId="77777777"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hAnsi="Times New Roman" w:cs="Times New Roman"/>
          <w:noProof/>
          <w:lang w:val="uk-UA" w:eastAsia="uk-UA"/>
        </w:rPr>
        <w:lastRenderedPageBreak/>
        <w:drawing>
          <wp:inline distT="0" distB="0" distL="0" distR="0" wp14:anchorId="18657820" wp14:editId="6D15676F">
            <wp:extent cx="5776546" cy="2154116"/>
            <wp:effectExtent l="0" t="0" r="15240" b="17780"/>
            <wp:docPr id="9" name="Диаграмма 9">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2D13B436-B4AE-4C17-A564-FC9CE9A5AA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6B817FA" w14:textId="7FB931A9"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Рис. 2</w:t>
      </w:r>
      <w:r w:rsidR="00A04628" w:rsidRPr="007626F7">
        <w:rPr>
          <w:rFonts w:ascii="Times New Roman" w:eastAsia="Times New Roman" w:hAnsi="Times New Roman" w:cs="Times New Roman"/>
          <w:iCs/>
          <w:sz w:val="28"/>
          <w:szCs w:val="28"/>
          <w:lang w:val="uk-UA"/>
        </w:rPr>
        <w:t>.</w:t>
      </w:r>
      <w:r w:rsidR="00ED37DB" w:rsidRPr="007626F7">
        <w:rPr>
          <w:rFonts w:ascii="Times New Roman" w:eastAsia="Times New Roman" w:hAnsi="Times New Roman" w:cs="Times New Roman"/>
          <w:iCs/>
          <w:sz w:val="28"/>
          <w:szCs w:val="28"/>
          <w:lang w:val="uk-UA"/>
        </w:rPr>
        <w:t>19</w:t>
      </w:r>
      <w:r w:rsidRPr="007626F7">
        <w:rPr>
          <w:rFonts w:ascii="Times New Roman" w:eastAsia="Times New Roman" w:hAnsi="Times New Roman" w:cs="Times New Roman"/>
          <w:iCs/>
          <w:sz w:val="28"/>
          <w:szCs w:val="28"/>
          <w:lang w:val="uk-UA"/>
        </w:rPr>
        <w:t xml:space="preserve"> Абсолютний ППС та валютний курс Польщі </w:t>
      </w:r>
    </w:p>
    <w:p w14:paraId="4F7C92B5" w14:textId="60EFD8C3" w:rsidR="00507D30" w:rsidRPr="007626F7" w:rsidRDefault="00507D30" w:rsidP="007626F7">
      <w:pPr>
        <w:spacing w:after="0" w:line="360" w:lineRule="auto"/>
        <w:jc w:val="both"/>
        <w:rPr>
          <w:rFonts w:ascii="Times New Roman" w:eastAsia="Times New Roman" w:hAnsi="Times New Roman" w:cs="Times New Roman"/>
          <w:iCs/>
          <w:sz w:val="28"/>
          <w:szCs w:val="28"/>
        </w:rPr>
      </w:pPr>
      <w:r w:rsidRPr="007626F7">
        <w:rPr>
          <w:rFonts w:ascii="Times New Roman" w:eastAsia="Times New Roman" w:hAnsi="Times New Roman" w:cs="Times New Roman"/>
          <w:iCs/>
          <w:sz w:val="28"/>
          <w:szCs w:val="28"/>
          <w:lang w:val="uk-UA"/>
        </w:rPr>
        <w:t xml:space="preserve">Джерело: складено автором на основі </w:t>
      </w:r>
      <w:r w:rsidRPr="007626F7">
        <w:rPr>
          <w:rFonts w:ascii="Times New Roman" w:eastAsia="Times New Roman" w:hAnsi="Times New Roman" w:cs="Times New Roman"/>
          <w:iCs/>
          <w:sz w:val="28"/>
          <w:szCs w:val="28"/>
        </w:rPr>
        <w:t>[</w:t>
      </w:r>
      <w:r w:rsidR="00A04628" w:rsidRPr="007626F7">
        <w:rPr>
          <w:rFonts w:ascii="Times New Roman" w:eastAsia="Times New Roman" w:hAnsi="Times New Roman" w:cs="Times New Roman"/>
          <w:iCs/>
          <w:sz w:val="28"/>
          <w:szCs w:val="28"/>
        </w:rPr>
        <w:t>51</w:t>
      </w:r>
      <w:r w:rsidRPr="007626F7">
        <w:rPr>
          <w:rFonts w:ascii="Times New Roman" w:eastAsia="Times New Roman" w:hAnsi="Times New Roman" w:cs="Times New Roman"/>
          <w:iCs/>
          <w:sz w:val="28"/>
          <w:szCs w:val="28"/>
        </w:rPr>
        <w:t>],[</w:t>
      </w:r>
      <w:r w:rsidR="00A04628" w:rsidRPr="007626F7">
        <w:rPr>
          <w:rFonts w:ascii="Times New Roman" w:eastAsia="Times New Roman" w:hAnsi="Times New Roman" w:cs="Times New Roman"/>
          <w:iCs/>
          <w:sz w:val="28"/>
          <w:szCs w:val="28"/>
        </w:rPr>
        <w:t>42</w:t>
      </w:r>
      <w:r w:rsidRPr="007626F7">
        <w:rPr>
          <w:rFonts w:ascii="Times New Roman" w:eastAsia="Times New Roman" w:hAnsi="Times New Roman" w:cs="Times New Roman"/>
          <w:iCs/>
          <w:sz w:val="28"/>
          <w:szCs w:val="28"/>
        </w:rPr>
        <w:t>],[</w:t>
      </w:r>
      <w:r w:rsidR="00A04628" w:rsidRPr="007626F7">
        <w:rPr>
          <w:rFonts w:ascii="Times New Roman" w:eastAsia="Times New Roman" w:hAnsi="Times New Roman" w:cs="Times New Roman"/>
          <w:iCs/>
          <w:sz w:val="28"/>
          <w:szCs w:val="28"/>
        </w:rPr>
        <w:t>52</w:t>
      </w:r>
      <w:r w:rsidRPr="007626F7">
        <w:rPr>
          <w:rFonts w:ascii="Times New Roman" w:eastAsia="Times New Roman" w:hAnsi="Times New Roman" w:cs="Times New Roman"/>
          <w:iCs/>
          <w:sz w:val="28"/>
          <w:szCs w:val="28"/>
        </w:rPr>
        <w:t>].</w:t>
      </w:r>
    </w:p>
    <w:p w14:paraId="79151A98" w14:textId="77777777" w:rsidR="00507D30" w:rsidRPr="007626F7" w:rsidRDefault="00507D30" w:rsidP="007626F7">
      <w:pPr>
        <w:spacing w:after="0" w:line="360" w:lineRule="auto"/>
        <w:ind w:firstLine="720"/>
        <w:jc w:val="both"/>
        <w:rPr>
          <w:rFonts w:ascii="Times New Roman" w:eastAsia="Times New Roman" w:hAnsi="Times New Roman" w:cs="Times New Roman"/>
          <w:i/>
          <w:sz w:val="28"/>
          <w:szCs w:val="28"/>
          <w:lang w:val="uk-UA"/>
        </w:rPr>
      </w:pPr>
      <m:oMath>
        <m:r>
          <w:rPr>
            <w:rFonts w:ascii="Cambria Math" w:hAnsi="Cambria Math" w:cs="Times New Roman"/>
            <w:sz w:val="28"/>
            <w:szCs w:val="28"/>
          </w:rPr>
          <m:t>E=</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d</m:t>
                </m:r>
              </m:sub>
            </m:sSub>
          </m:num>
          <m:den>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f</m:t>
                </m:r>
              </m:sub>
            </m:sSub>
          </m:den>
        </m:f>
      </m:oMath>
      <w:r w:rsidRPr="007626F7">
        <w:rPr>
          <w:rFonts w:ascii="Times New Roman" w:eastAsia="Times New Roman" w:hAnsi="Times New Roman" w:cs="Times New Roman"/>
          <w:i/>
          <w:sz w:val="28"/>
          <w:szCs w:val="28"/>
        </w:rPr>
        <w:t xml:space="preserve">, де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P</m:t>
            </m:r>
          </m:e>
          <m:sub>
            <m:r>
              <w:rPr>
                <w:rFonts w:ascii="Cambria Math" w:eastAsia="Times New Roman" w:hAnsi="Cambria Math" w:cs="Times New Roman"/>
                <w:sz w:val="28"/>
                <w:szCs w:val="28"/>
              </w:rPr>
              <m:t>d</m:t>
            </m:r>
          </m:sub>
        </m:sSub>
      </m:oMath>
      <w:r w:rsidRPr="007626F7">
        <w:rPr>
          <w:rFonts w:ascii="Times New Roman" w:eastAsia="Times New Roman" w:hAnsi="Times New Roman" w:cs="Times New Roman"/>
          <w:i/>
          <w:sz w:val="28"/>
          <w:szCs w:val="28"/>
        </w:rPr>
        <w:t>-</w:t>
      </w:r>
      <w:r w:rsidRPr="007626F7">
        <w:rPr>
          <w:rFonts w:ascii="Times New Roman" w:eastAsia="Times New Roman" w:hAnsi="Times New Roman" w:cs="Times New Roman"/>
          <w:i/>
          <w:sz w:val="28"/>
          <w:szCs w:val="28"/>
          <w:lang w:val="uk-UA"/>
        </w:rPr>
        <w:t>рівень цін в</w:t>
      </w:r>
      <w:r w:rsidRPr="007626F7">
        <w:rPr>
          <w:rFonts w:ascii="Times New Roman" w:eastAsia="Times New Roman" w:hAnsi="Times New Roman" w:cs="Times New Roman"/>
          <w:i/>
          <w:sz w:val="28"/>
          <w:szCs w:val="28"/>
        </w:rPr>
        <w:t xml:space="preserve"> Польщі</w:t>
      </w:r>
      <w:r w:rsidRPr="007626F7">
        <w:rPr>
          <w:rFonts w:ascii="Times New Roman" w:eastAsia="Times New Roman" w:hAnsi="Times New Roman" w:cs="Times New Roman"/>
          <w:i/>
          <w:sz w:val="28"/>
          <w:szCs w:val="28"/>
          <w:lang w:val="uk-UA"/>
        </w:rPr>
        <w:t xml:space="preserve">,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en-US"/>
              </w:rPr>
              <m:t>P</m:t>
            </m:r>
          </m:e>
          <m:sub>
            <m:r>
              <w:rPr>
                <w:rFonts w:ascii="Cambria Math" w:eastAsia="Times New Roman" w:hAnsi="Cambria Math" w:cs="Times New Roman"/>
                <w:sz w:val="28"/>
                <w:szCs w:val="28"/>
                <w:lang w:val="uk-UA"/>
              </w:rPr>
              <m:t>f</m:t>
            </m:r>
          </m:sub>
        </m:sSub>
      </m:oMath>
      <w:r w:rsidRPr="007626F7">
        <w:rPr>
          <w:rFonts w:ascii="Times New Roman" w:eastAsia="Times New Roman" w:hAnsi="Times New Roman" w:cs="Times New Roman"/>
          <w:i/>
          <w:sz w:val="28"/>
          <w:szCs w:val="28"/>
          <w:lang w:val="uk-UA"/>
        </w:rPr>
        <w:t>-рівень цін у США.</w:t>
      </w:r>
    </w:p>
    <w:p w14:paraId="39AA2830" w14:textId="77777777"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 xml:space="preserve">Валютний курс у Польщі у січні 2019 року складав 3,7271 польських злотих за один долар США. З січня 2019 року валютний курс почав зростати, у червня відбувся спад, але потім знову почався ріст, ще більшим темпом до вересня 2019 року, коли валютний курс почав складати 4 польських злотих за один долар США. Потім з вересня до лютого 2020 року знову відбувалися коливання і у березні, якраз у пік карантину валютний курс виріс до 4,1466 польських злотих за один долар США, але такий рівень валютного курсу протримався лише місяць і у травні він  став 4,0031 польських злотих за один долар США. Спад відбувався до червня 2020 року, і потім у жовтні 2020 валютний курс складав 3,7166 польських злотих за один долар США. З жовтня по листопад валютний курс зменшувався і з того часу він став більш менш стабільним. </w:t>
      </w:r>
    </w:p>
    <w:p w14:paraId="4FD493BA" w14:textId="77777777"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Абсолютний ППС з січня 2019 року березень 2020 року завжди більший ніж валютний курс, що говорить про недооцінку валюти, що говорить про достатньо низький рівень цін у країні. З березня 2020 по червень валютний курс був переоцінений, потім до вересня 2020 року валютний курс знову став недооціненим. З вересня по листопад валютний курс став бути переоцінений, але у наступні місяці ситуація знову стала бути протилежною.</w:t>
      </w:r>
    </w:p>
    <w:p w14:paraId="29341BB1" w14:textId="652945F6" w:rsidR="00507D30" w:rsidRPr="007626F7" w:rsidRDefault="00507D30" w:rsidP="007626F7">
      <w:pPr>
        <w:spacing w:after="0" w:line="360" w:lineRule="auto"/>
        <w:ind w:firstLine="720"/>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Розглянемо відсоткову ставку та валютний курс Польщі (див.ри</w:t>
      </w:r>
      <w:r w:rsidR="00ED37DB" w:rsidRPr="007626F7">
        <w:rPr>
          <w:rFonts w:ascii="Times New Roman" w:eastAsia="Times New Roman" w:hAnsi="Times New Roman" w:cs="Times New Roman"/>
          <w:iCs/>
          <w:sz w:val="28"/>
          <w:szCs w:val="28"/>
          <w:lang w:val="uk-UA"/>
        </w:rPr>
        <w:t>с</w:t>
      </w:r>
      <w:r w:rsidRPr="007626F7">
        <w:rPr>
          <w:rFonts w:ascii="Times New Roman" w:eastAsia="Times New Roman" w:hAnsi="Times New Roman" w:cs="Times New Roman"/>
          <w:iCs/>
          <w:sz w:val="28"/>
          <w:szCs w:val="28"/>
          <w:lang w:val="uk-UA"/>
        </w:rPr>
        <w:t>.2</w:t>
      </w:r>
      <w:r w:rsidR="00210E3A" w:rsidRPr="007626F7">
        <w:rPr>
          <w:rFonts w:ascii="Times New Roman" w:eastAsia="Times New Roman" w:hAnsi="Times New Roman" w:cs="Times New Roman"/>
          <w:iCs/>
          <w:sz w:val="28"/>
          <w:szCs w:val="28"/>
          <w:lang w:val="uk-UA"/>
        </w:rPr>
        <w:t>.2</w:t>
      </w:r>
      <w:r w:rsidR="00ED37DB" w:rsidRPr="007626F7">
        <w:rPr>
          <w:rFonts w:ascii="Times New Roman" w:eastAsia="Times New Roman" w:hAnsi="Times New Roman" w:cs="Times New Roman"/>
          <w:iCs/>
          <w:sz w:val="28"/>
          <w:szCs w:val="28"/>
          <w:lang w:val="uk-UA"/>
        </w:rPr>
        <w:t>0</w:t>
      </w:r>
      <w:r w:rsidRPr="007626F7">
        <w:rPr>
          <w:rFonts w:ascii="Times New Roman" w:eastAsia="Times New Roman" w:hAnsi="Times New Roman" w:cs="Times New Roman"/>
          <w:iCs/>
          <w:sz w:val="28"/>
          <w:szCs w:val="28"/>
          <w:lang w:val="uk-UA"/>
        </w:rPr>
        <w:t>).</w:t>
      </w:r>
    </w:p>
    <w:p w14:paraId="4F1715F7" w14:textId="77777777"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hAnsi="Times New Roman" w:cs="Times New Roman"/>
          <w:noProof/>
          <w:lang w:val="uk-UA" w:eastAsia="uk-UA"/>
        </w:rPr>
        <w:lastRenderedPageBreak/>
        <w:drawing>
          <wp:inline distT="0" distB="0" distL="0" distR="0" wp14:anchorId="23244B23" wp14:editId="6D135EF6">
            <wp:extent cx="5934808" cy="2259623"/>
            <wp:effectExtent l="0" t="0" r="8890" b="7620"/>
            <wp:docPr id="24" name="Диаграмма 2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CB8B2D2-8661-4901-9CED-7EDBD8B209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3B27534" w14:textId="38CB4132" w:rsidR="00507D30" w:rsidRPr="007626F7" w:rsidRDefault="00507D30" w:rsidP="005D531E">
      <w:pPr>
        <w:spacing w:after="0" w:line="360" w:lineRule="auto"/>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Рис.2</w:t>
      </w:r>
      <w:r w:rsidR="00210E3A" w:rsidRPr="007626F7">
        <w:rPr>
          <w:rFonts w:ascii="Times New Roman" w:eastAsia="Times New Roman" w:hAnsi="Times New Roman" w:cs="Times New Roman"/>
          <w:iCs/>
          <w:sz w:val="28"/>
          <w:szCs w:val="28"/>
          <w:lang w:val="uk-UA"/>
        </w:rPr>
        <w:t>.2</w:t>
      </w:r>
      <w:r w:rsidR="00ED37DB" w:rsidRPr="007626F7">
        <w:rPr>
          <w:rFonts w:ascii="Times New Roman" w:eastAsia="Times New Roman" w:hAnsi="Times New Roman" w:cs="Times New Roman"/>
          <w:iCs/>
          <w:sz w:val="28"/>
          <w:szCs w:val="28"/>
          <w:lang w:val="uk-UA"/>
        </w:rPr>
        <w:t>0</w:t>
      </w:r>
      <w:r w:rsidRPr="007626F7">
        <w:rPr>
          <w:rFonts w:ascii="Times New Roman" w:eastAsia="Times New Roman" w:hAnsi="Times New Roman" w:cs="Times New Roman"/>
          <w:iCs/>
          <w:sz w:val="28"/>
          <w:szCs w:val="28"/>
          <w:lang w:val="uk-UA"/>
        </w:rPr>
        <w:t xml:space="preserve"> Відсоткова ставка та валютний курс Польщі</w:t>
      </w:r>
    </w:p>
    <w:p w14:paraId="304728E1" w14:textId="50EF28FD" w:rsidR="00507D30" w:rsidRPr="007626F7" w:rsidRDefault="00507D30" w:rsidP="005D531E">
      <w:pPr>
        <w:spacing w:after="0" w:line="360" w:lineRule="auto"/>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 xml:space="preserve">Джерело: складено автором на основі </w:t>
      </w:r>
      <w:r w:rsidRPr="007626F7">
        <w:rPr>
          <w:rFonts w:ascii="Times New Roman" w:eastAsia="Times New Roman" w:hAnsi="Times New Roman" w:cs="Times New Roman"/>
          <w:iCs/>
          <w:sz w:val="28"/>
          <w:szCs w:val="28"/>
        </w:rPr>
        <w:t>[</w:t>
      </w:r>
      <w:r w:rsidR="005A747B" w:rsidRPr="007626F7">
        <w:rPr>
          <w:rFonts w:ascii="Times New Roman" w:hAnsi="Times New Roman" w:cs="Times New Roman"/>
          <w:sz w:val="28"/>
          <w:szCs w:val="28"/>
          <w:lang w:val="uk-UA"/>
        </w:rPr>
        <w:t>51</w:t>
      </w:r>
      <w:r w:rsidRPr="007626F7">
        <w:rPr>
          <w:rFonts w:ascii="Times New Roman" w:eastAsia="Times New Roman" w:hAnsi="Times New Roman" w:cs="Times New Roman"/>
          <w:iCs/>
          <w:sz w:val="28"/>
          <w:szCs w:val="28"/>
        </w:rPr>
        <w:t>]</w:t>
      </w:r>
      <w:r w:rsidR="003C0CFE" w:rsidRPr="007626F7">
        <w:rPr>
          <w:rFonts w:ascii="Times New Roman" w:eastAsia="Times New Roman" w:hAnsi="Times New Roman" w:cs="Times New Roman"/>
          <w:iCs/>
          <w:sz w:val="28"/>
          <w:szCs w:val="28"/>
        </w:rPr>
        <w:t>,</w:t>
      </w:r>
      <w:r w:rsidRPr="007626F7">
        <w:rPr>
          <w:rFonts w:ascii="Times New Roman" w:eastAsia="Times New Roman" w:hAnsi="Times New Roman" w:cs="Times New Roman"/>
          <w:iCs/>
          <w:sz w:val="28"/>
          <w:szCs w:val="28"/>
          <w:lang w:val="uk-UA"/>
        </w:rPr>
        <w:t>[</w:t>
      </w:r>
      <w:r w:rsidR="00715415" w:rsidRPr="007626F7">
        <w:rPr>
          <w:rFonts w:ascii="Times New Roman" w:eastAsia="Times New Roman" w:hAnsi="Times New Roman" w:cs="Times New Roman"/>
          <w:iCs/>
          <w:sz w:val="28"/>
          <w:szCs w:val="28"/>
          <w:lang w:val="uk-UA"/>
        </w:rPr>
        <w:t>53</w:t>
      </w:r>
      <w:r w:rsidRPr="007626F7">
        <w:rPr>
          <w:rFonts w:ascii="Times New Roman" w:eastAsia="Times New Roman" w:hAnsi="Times New Roman" w:cs="Times New Roman"/>
          <w:iCs/>
          <w:sz w:val="28"/>
          <w:szCs w:val="28"/>
          <w:lang w:val="uk-UA"/>
        </w:rPr>
        <w:t>].</w:t>
      </w:r>
    </w:p>
    <w:p w14:paraId="34F8032D"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Відсоткова ставка Польщі біла на одному рівні починаючи з січня 2019 року по лютий 2020 року, вона складала 3.5%. Але з лютого 2020 року вона почала зменшуватись і це відбувалось поступово, у березні 2020 вона складала 2,5%, у квітні 2% і  з травня місяця вона почала бути 1,5% і є такою до сьогодні.  Така відсоткова ставка була встановлена центральним банком Польщі, для того щоб теж збільшити економічний розвиток, щоб кредити стали бути більш доступними для громадян і вони змоги стимулювати економіку країни. </w:t>
      </w:r>
      <w:r w:rsidRPr="007626F7">
        <w:rPr>
          <w:rFonts w:ascii="Times New Roman" w:hAnsi="Times New Roman" w:cs="Times New Roman"/>
          <w:sz w:val="28"/>
          <w:szCs w:val="28"/>
          <w:lang w:val="uk-UA"/>
        </w:rPr>
        <w:tab/>
        <w:t xml:space="preserve">Згідно з малюнком не має прямої залежності між  валютним курсом і відсотковою ставкою у Польщі. </w:t>
      </w:r>
    </w:p>
    <w:p w14:paraId="299E9B1C" w14:textId="41B41C3D"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І на останок розглянемо як грошова маса впиває на валютний курс Польщі і чи змінилось це під час пандемії (див.рис.2</w:t>
      </w:r>
      <w:r w:rsidR="00715415" w:rsidRPr="007626F7">
        <w:rPr>
          <w:rFonts w:ascii="Times New Roman" w:hAnsi="Times New Roman" w:cs="Times New Roman"/>
          <w:sz w:val="28"/>
          <w:szCs w:val="28"/>
          <w:lang w:val="uk-UA"/>
        </w:rPr>
        <w:t>.2</w:t>
      </w:r>
      <w:r w:rsidR="00ED37DB" w:rsidRPr="007626F7">
        <w:rPr>
          <w:rFonts w:ascii="Times New Roman" w:hAnsi="Times New Roman" w:cs="Times New Roman"/>
          <w:sz w:val="28"/>
          <w:szCs w:val="28"/>
          <w:lang w:val="uk-UA"/>
        </w:rPr>
        <w:t>1</w:t>
      </w:r>
      <w:r w:rsidRPr="007626F7">
        <w:rPr>
          <w:rFonts w:ascii="Times New Roman" w:hAnsi="Times New Roman" w:cs="Times New Roman"/>
          <w:sz w:val="28"/>
          <w:szCs w:val="28"/>
          <w:lang w:val="uk-UA"/>
        </w:rPr>
        <w:t>).</w:t>
      </w:r>
    </w:p>
    <w:p w14:paraId="44B138C5" w14:textId="77777777" w:rsidR="00507D30" w:rsidRPr="007626F7" w:rsidRDefault="00507D30" w:rsidP="007626F7">
      <w:pPr>
        <w:spacing w:after="0" w:line="360" w:lineRule="auto"/>
        <w:jc w:val="both"/>
        <w:rPr>
          <w:rFonts w:ascii="Times New Roman" w:eastAsia="Times New Roman" w:hAnsi="Times New Roman" w:cs="Times New Roman"/>
          <w:iCs/>
          <w:sz w:val="28"/>
          <w:szCs w:val="28"/>
          <w:lang w:val="uk-UA"/>
        </w:rPr>
      </w:pPr>
      <w:r w:rsidRPr="007626F7">
        <w:rPr>
          <w:rFonts w:ascii="Times New Roman" w:hAnsi="Times New Roman" w:cs="Times New Roman"/>
          <w:noProof/>
          <w:lang w:val="uk-UA" w:eastAsia="uk-UA"/>
        </w:rPr>
        <w:drawing>
          <wp:inline distT="0" distB="0" distL="0" distR="0" wp14:anchorId="7376EA0E" wp14:editId="4031839D">
            <wp:extent cx="5867400" cy="2228850"/>
            <wp:effectExtent l="0" t="0" r="0" b="0"/>
            <wp:docPr id="23" name="Диаграмма 23">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45B7320A-A019-4B38-8874-594E8F4892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DDBAEDD" w14:textId="2A0A85B5" w:rsidR="00507D30" w:rsidRPr="007626F7" w:rsidRDefault="00507D30" w:rsidP="005D531E">
      <w:pPr>
        <w:spacing w:after="0" w:line="360" w:lineRule="auto"/>
        <w:jc w:val="both"/>
        <w:rPr>
          <w:rFonts w:ascii="Times New Roman" w:eastAsia="Times New Roman" w:hAnsi="Times New Roman" w:cs="Times New Roman"/>
          <w:iCs/>
          <w:sz w:val="28"/>
          <w:szCs w:val="28"/>
          <w:lang w:val="uk-UA"/>
        </w:rPr>
      </w:pPr>
      <w:r w:rsidRPr="007626F7">
        <w:rPr>
          <w:rFonts w:ascii="Times New Roman" w:eastAsia="Times New Roman" w:hAnsi="Times New Roman" w:cs="Times New Roman"/>
          <w:iCs/>
          <w:sz w:val="28"/>
          <w:szCs w:val="28"/>
          <w:lang w:val="uk-UA"/>
        </w:rPr>
        <w:t>Рис.2</w:t>
      </w:r>
      <w:r w:rsidR="00715415" w:rsidRPr="007626F7">
        <w:rPr>
          <w:rFonts w:ascii="Times New Roman" w:eastAsia="Times New Roman" w:hAnsi="Times New Roman" w:cs="Times New Roman"/>
          <w:iCs/>
          <w:sz w:val="28"/>
          <w:szCs w:val="28"/>
          <w:lang w:val="uk-UA"/>
        </w:rPr>
        <w:t>.2</w:t>
      </w:r>
      <w:r w:rsidR="00ED37DB" w:rsidRPr="007626F7">
        <w:rPr>
          <w:rFonts w:ascii="Times New Roman" w:eastAsia="Times New Roman" w:hAnsi="Times New Roman" w:cs="Times New Roman"/>
          <w:iCs/>
          <w:sz w:val="28"/>
          <w:szCs w:val="28"/>
          <w:lang w:val="uk-UA"/>
        </w:rPr>
        <w:t>1</w:t>
      </w:r>
      <w:r w:rsidRPr="007626F7">
        <w:rPr>
          <w:rFonts w:ascii="Times New Roman" w:eastAsia="Times New Roman" w:hAnsi="Times New Roman" w:cs="Times New Roman"/>
          <w:iCs/>
          <w:sz w:val="28"/>
          <w:szCs w:val="28"/>
          <w:lang w:val="uk-UA"/>
        </w:rPr>
        <w:t xml:space="preserve"> Грошова маса Польщі  та валютний курс</w:t>
      </w:r>
    </w:p>
    <w:p w14:paraId="4FD03132" w14:textId="2F50B703" w:rsidR="00507D30" w:rsidRPr="007626F7" w:rsidRDefault="00507D30" w:rsidP="005D531E">
      <w:pPr>
        <w:spacing w:after="0" w:line="360" w:lineRule="auto"/>
        <w:jc w:val="both"/>
        <w:rPr>
          <w:rFonts w:ascii="Times New Roman" w:hAnsi="Times New Roman" w:cs="Times New Roman"/>
          <w:sz w:val="28"/>
          <w:szCs w:val="28"/>
          <w:lang w:val="uk-UA"/>
        </w:rPr>
      </w:pPr>
      <w:r w:rsidRPr="007626F7">
        <w:rPr>
          <w:rFonts w:ascii="Times New Roman" w:eastAsia="Times New Roman" w:hAnsi="Times New Roman" w:cs="Times New Roman"/>
          <w:iCs/>
          <w:sz w:val="28"/>
          <w:szCs w:val="28"/>
          <w:lang w:val="uk-UA"/>
        </w:rPr>
        <w:t xml:space="preserve">Джерело: складено автором на основі </w:t>
      </w:r>
      <w:r w:rsidRPr="007626F7">
        <w:rPr>
          <w:rFonts w:ascii="Times New Roman" w:eastAsia="Times New Roman" w:hAnsi="Times New Roman" w:cs="Times New Roman"/>
          <w:iCs/>
          <w:sz w:val="28"/>
          <w:szCs w:val="28"/>
        </w:rPr>
        <w:t>[</w:t>
      </w:r>
      <w:r w:rsidR="003C0CFE" w:rsidRPr="007626F7">
        <w:rPr>
          <w:rFonts w:ascii="Times New Roman" w:hAnsi="Times New Roman" w:cs="Times New Roman"/>
          <w:sz w:val="28"/>
          <w:szCs w:val="28"/>
          <w:lang w:val="uk-UA"/>
        </w:rPr>
        <w:t>51</w:t>
      </w:r>
      <w:r w:rsidRPr="007626F7">
        <w:rPr>
          <w:rFonts w:ascii="Times New Roman" w:eastAsia="Times New Roman" w:hAnsi="Times New Roman" w:cs="Times New Roman"/>
          <w:iCs/>
          <w:sz w:val="28"/>
          <w:szCs w:val="28"/>
          <w:lang w:val="uk-UA"/>
        </w:rPr>
        <w:t>][</w:t>
      </w:r>
      <w:r w:rsidR="003C0CFE" w:rsidRPr="007626F7">
        <w:rPr>
          <w:rFonts w:ascii="Times New Roman" w:eastAsia="Times New Roman" w:hAnsi="Times New Roman" w:cs="Times New Roman"/>
          <w:iCs/>
          <w:sz w:val="28"/>
          <w:szCs w:val="28"/>
          <w:lang w:val="uk-UA"/>
        </w:rPr>
        <w:t>54</w:t>
      </w:r>
      <w:r w:rsidRPr="007626F7">
        <w:rPr>
          <w:rFonts w:ascii="Times New Roman" w:hAnsi="Times New Roman" w:cs="Times New Roman"/>
          <w:sz w:val="28"/>
          <w:szCs w:val="28"/>
          <w:lang w:val="uk-UA"/>
        </w:rPr>
        <w:t>].</w:t>
      </w:r>
    </w:p>
    <w:p w14:paraId="00FC2E00"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Грошова маса у Польщі протягом 2019-2020 років була більш менш стабільна, але відбувся ріст грошової маси з 987 021,0 мільйонів злотих у 2019 році до 1 570 540,8 мільйонів злотих у 2020 році. Тобто грошова маса зросла і зріс валютний курс але не на всьому проміжку часу відбувалась пряма залежність, адже валютний курс коливався більше ніж грошова маса.</w:t>
      </w:r>
    </w:p>
    <w:p w14:paraId="657D5984" w14:textId="420A276D"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Отже, були розглянуті валютні курси країн і декілька показників які мають вплив на валютний курс. В Україні валютний курс виріс у період пандемії, гривня є переоціненою валютою, відсоткова ставка у країні має протилежну залежність, вона зменшилась у період пандемії, задля виплати державою боргів по більш низькій відсотковій ставці, кількість грошової маси різко виросла у кінці 2020 року але до цього була більш менш стабільною. У Швейцарії валютний курс навпаки укріпився по відношенню до долару США, але це скоріше всього через знецінення долару, абсолютний ППС майже співпадає з валютним курсом, відсоткова ставка у країні стабільна протягом вже 5 років на рівні -0,75%, грошова маса у країні теж збільшилась. У Польщі валютний курс був не стабільним, з ростом як раз у період пандемії, абсолютний  ППС майже завжди більший ніж валютний курс, виходить що Польський злотий є недооціненою валютою, відсоткова ставка біла знижена центральним банком до рівня 1,5% задля полегшення існування бізнесу у пандемію, грошова маса у країні збільшувалась також як і у інших країнах.</w:t>
      </w:r>
    </w:p>
    <w:p w14:paraId="76EF69A3" w14:textId="0EC28F4D" w:rsidR="00507D30" w:rsidRPr="007626F7" w:rsidRDefault="003D23E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Далі </w:t>
      </w:r>
      <w:r w:rsidR="00507D30" w:rsidRPr="007626F7">
        <w:rPr>
          <w:rFonts w:ascii="Times New Roman" w:hAnsi="Times New Roman" w:cs="Times New Roman"/>
          <w:sz w:val="28"/>
          <w:szCs w:val="28"/>
          <w:lang w:val="uk-UA"/>
        </w:rPr>
        <w:t>будуть розглянуті основні статті платіжних балансів України, Швейцарії і Польщі за 2019-2020 року поквартально, для того, щоб побачити як змінився стан платі</w:t>
      </w:r>
      <w:r w:rsidR="00870AEB" w:rsidRPr="007626F7">
        <w:rPr>
          <w:rFonts w:ascii="Times New Roman" w:hAnsi="Times New Roman" w:cs="Times New Roman"/>
          <w:sz w:val="28"/>
          <w:szCs w:val="28"/>
          <w:lang w:val="uk-UA"/>
        </w:rPr>
        <w:t xml:space="preserve">жних балансів під час пандемії. </w:t>
      </w:r>
      <w:r w:rsidR="00507D30" w:rsidRPr="007626F7">
        <w:rPr>
          <w:rFonts w:ascii="Times New Roman" w:hAnsi="Times New Roman" w:cs="Times New Roman"/>
          <w:sz w:val="28"/>
          <w:szCs w:val="28"/>
          <w:lang w:val="uk-UA"/>
        </w:rPr>
        <w:t>Спочатку розглянемо стан Українського платіжного балансу, а саме рахунок з поточних операцій (див.</w:t>
      </w:r>
      <w:r w:rsidR="00A95E05" w:rsidRPr="007626F7">
        <w:rPr>
          <w:rFonts w:ascii="Times New Roman" w:hAnsi="Times New Roman" w:cs="Times New Roman"/>
          <w:sz w:val="28"/>
          <w:szCs w:val="28"/>
          <w:lang w:val="uk-UA"/>
        </w:rPr>
        <w:t xml:space="preserve"> Додаток Г.1</w:t>
      </w:r>
      <w:r w:rsidR="00870AEB" w:rsidRPr="007626F7">
        <w:rPr>
          <w:rFonts w:ascii="Times New Roman" w:hAnsi="Times New Roman" w:cs="Times New Roman"/>
          <w:sz w:val="28"/>
          <w:szCs w:val="28"/>
          <w:lang w:val="uk-UA"/>
        </w:rPr>
        <w:t xml:space="preserve">). </w:t>
      </w:r>
      <w:r w:rsidR="00507D30" w:rsidRPr="007626F7">
        <w:rPr>
          <w:rFonts w:ascii="Times New Roman" w:hAnsi="Times New Roman" w:cs="Times New Roman"/>
          <w:sz w:val="28"/>
          <w:szCs w:val="28"/>
          <w:lang w:val="uk-UA"/>
        </w:rPr>
        <w:t xml:space="preserve">Згідно з малюнком, в Україні баланс товарів з першого кварталу 2019 року по четвертий квартал 2020 року має від’ємне значення, тобто в України експорт товарів завжди менший ніж імпорт товарів, а у період пандемії можна побачити, що відбулося скорочення  балансу товарів, це відбулось через те, що у період пандемії в Україні трохи зменшився експорт і достатньо значимо зменшився імпорт товарів з інших країн. Щодо балансу </w:t>
      </w:r>
      <w:r w:rsidR="00507D30" w:rsidRPr="007626F7">
        <w:rPr>
          <w:rFonts w:ascii="Times New Roman" w:hAnsi="Times New Roman" w:cs="Times New Roman"/>
          <w:sz w:val="28"/>
          <w:szCs w:val="28"/>
          <w:lang w:val="uk-UA"/>
        </w:rPr>
        <w:lastRenderedPageBreak/>
        <w:t>послуг, то в України він завжди додатній, так як у країні експорт послуг більший ніж імпорт, також можна побачити, що у період пандемії баланс послуг збільшився, а сталось це через зменшення імпорту послуг з починаючи з першого кварталу 2020 року, а ось експорт послуг не змінився вагомо у цей період. А ось сам рахунок з поточних операцій в Україні у першому, другому та третьому кварталі 2019 року був від’ємний, а у період карантину він став додатній, через те що країна частково зменшила імпорт та трохи експорт.</w:t>
      </w:r>
    </w:p>
    <w:p w14:paraId="67E1EFC6" w14:textId="1B649B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стан первинних доходів України (див.</w:t>
      </w:r>
      <w:r w:rsidR="00A95E05" w:rsidRPr="007626F7">
        <w:rPr>
          <w:rFonts w:ascii="Times New Roman" w:hAnsi="Times New Roman" w:cs="Times New Roman"/>
          <w:sz w:val="28"/>
          <w:szCs w:val="28"/>
          <w:lang w:val="uk-UA"/>
        </w:rPr>
        <w:t xml:space="preserve"> Додаток Г.2</w:t>
      </w:r>
      <w:r w:rsidR="00870AEB"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Згідно з малюнком оплата праці в Україні завжди була з додатнім знаком, але у період пандемії показник трохи зменшився, але у цілому позитивне значення оплати праці означає, що в Україні відбувається  ріст кількості грошей які заробили резиденти за межами країни, підґрунтям для цього може служити міграція з країни для заробітку. Але так як у період пандемії трохи зменшився експорт послуг, можна припустити, що саме через це зменшилось значення оплати праці. Щодо доходів від інвестицій, то вони в Україні завжди з мінусом і у період пандемії сальдо зменшилось. Негативне значення оплати праці говорить про те, що нерезиденти країни інвестують у національні фінансові активи і таким чином вони отримують прибуток, який їм виплачує країна, тому для неї він з мінусом. У першому кварталі 2020 року, кількість виплат Україною зменшилась, саме тому показник трохи збільшився. Баланс первинних доходів в Україні в Україні коливався, він був завжди додатнім окрім третього кварталу 2019 року через збільшення виплат по оплаті праці і по доходам від інвестицій. У період початку пандемії значення первинного доходу спочатку виросло у першому кварталі 2020 року, а потім зменшилось через зменшення обсягів виплат по доходам від інвестицій.</w:t>
      </w:r>
    </w:p>
    <w:p w14:paraId="45B8E2EA" w14:textId="444013A8"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стан вторинних доходів та рахунку з капіталом (див.</w:t>
      </w:r>
      <w:r w:rsidR="00A95E05" w:rsidRPr="007626F7">
        <w:rPr>
          <w:rFonts w:ascii="Times New Roman" w:hAnsi="Times New Roman" w:cs="Times New Roman"/>
          <w:sz w:val="28"/>
          <w:szCs w:val="28"/>
          <w:lang w:val="uk-UA"/>
        </w:rPr>
        <w:t xml:space="preserve"> Додаток Г.3</w:t>
      </w:r>
      <w:r w:rsidR="00870AEB" w:rsidRPr="007626F7">
        <w:rPr>
          <w:rFonts w:ascii="Times New Roman" w:hAnsi="Times New Roman" w:cs="Times New Roman"/>
          <w:sz w:val="28"/>
          <w:szCs w:val="28"/>
          <w:lang w:val="uk-UA"/>
        </w:rPr>
        <w:t>).</w:t>
      </w:r>
      <w:r w:rsidR="00870AEB" w:rsidRPr="007626F7">
        <w:rPr>
          <w:rFonts w:ascii="Times New Roman" w:hAnsi="Times New Roman" w:cs="Times New Roman"/>
          <w:sz w:val="28"/>
          <w:szCs w:val="28"/>
        </w:rPr>
        <w:t xml:space="preserve"> </w:t>
      </w:r>
      <w:r w:rsidRPr="007626F7">
        <w:rPr>
          <w:rFonts w:ascii="Times New Roman" w:hAnsi="Times New Roman" w:cs="Times New Roman"/>
          <w:sz w:val="28"/>
          <w:szCs w:val="28"/>
          <w:lang w:val="uk-UA"/>
        </w:rPr>
        <w:t xml:space="preserve">Вторинний дохід в Україні з першого по третій квартал був стабільним, а осі у четвертому кварталі відбувся ріст показника, через те, що в Україну відбулось надходження односторонніх платежів, це можуть бути гранти, або просто допомога країні від інших держав. У період пандемії, а </w:t>
      </w:r>
      <w:r w:rsidRPr="007626F7">
        <w:rPr>
          <w:rFonts w:ascii="Times New Roman" w:hAnsi="Times New Roman" w:cs="Times New Roman"/>
          <w:sz w:val="28"/>
          <w:szCs w:val="28"/>
          <w:lang w:val="uk-UA"/>
        </w:rPr>
        <w:lastRenderedPageBreak/>
        <w:t>тобто протягом 2020 року об'єм вторинних доходів знову повернувся на колишній рівень і навіть трохи менший ніж був у першому кварталі 2019 року. А далі він почав збільшуватись, відомо, що країни Європи якраз приблизно у цей час передавали Україні допомогу для боротьби з пандемією. Щодо рахунку операцій з капіталом, то показник в Україні був завжди додатній, окрім першого кварталу 2019 року і останнього кварталу 2020 року, це говорить про зобов’язань резидентів перед нерезидентами.</w:t>
      </w:r>
    </w:p>
    <w:p w14:paraId="18BE44DC" w14:textId="59132DA9"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І останнім для України розглянемо стан фінансового рахунку та резервних активів (див.</w:t>
      </w:r>
      <w:r w:rsidR="00A95E05" w:rsidRPr="007626F7">
        <w:rPr>
          <w:rFonts w:ascii="Times New Roman" w:hAnsi="Times New Roman" w:cs="Times New Roman"/>
          <w:sz w:val="28"/>
          <w:szCs w:val="28"/>
          <w:lang w:val="uk-UA"/>
        </w:rPr>
        <w:t xml:space="preserve"> Додаток Г.4</w:t>
      </w:r>
      <w:r w:rsidRPr="007626F7">
        <w:rPr>
          <w:rFonts w:ascii="Times New Roman" w:hAnsi="Times New Roman" w:cs="Times New Roman"/>
          <w:sz w:val="28"/>
          <w:szCs w:val="28"/>
          <w:lang w:val="uk-UA"/>
        </w:rPr>
        <w:t>). Стан фінансового рахунку відображає операції між резидентами та резидентами країни ст</w:t>
      </w:r>
      <w:r w:rsidR="00870AEB" w:rsidRPr="007626F7">
        <w:rPr>
          <w:rFonts w:ascii="Times New Roman" w:hAnsi="Times New Roman" w:cs="Times New Roman"/>
          <w:sz w:val="28"/>
          <w:szCs w:val="28"/>
          <w:lang w:val="uk-UA"/>
        </w:rPr>
        <w:t xml:space="preserve">осовно активів та зобов’язань. </w:t>
      </w:r>
      <w:r w:rsidRPr="007626F7">
        <w:rPr>
          <w:rFonts w:ascii="Times New Roman" w:hAnsi="Times New Roman" w:cs="Times New Roman"/>
          <w:sz w:val="28"/>
          <w:szCs w:val="28"/>
          <w:lang w:val="uk-UA"/>
        </w:rPr>
        <w:t>Спочатку розглянемо стан прямих інвестицій, вони в Україні у 2019 році були від’ємними, через те, що прямі інвестиції пасиви більше ніж активи, тобто більше резидентів  України інвестували закордон, а у 2020 році ситуація змінилась і сальдо прямих інвестицій стало у першому кварталі додатнім через зменшення інвестування громаддями України за кордон, у другому кварталі 2020 року сальдо знову було від’ємним, а у третьому і четвертому додатнім. Щодо портфельних інвестицій, інвестування в які не дає власнику право голосу, то в Україні сальдо від’ємне протягом 2019 року,  першого і четвертого кварталів 2020 року, через те, що більше Українців інвестують у портфельні інвестиції ніж отримують. Інші інвестиції, а саме сальдо, додатне в Україні окрім третього кварталу 3019 року і четвертого кварталу 2020 року. Взагалі в Україні активи більше ніж пасиви, що говорить про отримання Україною інших інвестицій від нерезидентів, а саме в основному це інвестиції зв’язані з банківським сектором. Резервні активи в Україні мають тенденцію до значного коливання, саме через те, що за платіжним балансом Україна то отримувала допомогу від країн, то оплачувала свої борги.</w:t>
      </w:r>
    </w:p>
    <w:p w14:paraId="2638352A" w14:textId="5FF2C971" w:rsidR="00507D30" w:rsidRPr="007626F7" w:rsidRDefault="00507D30" w:rsidP="005D531E">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становище у Швейцарії, як пандемія вплинула на стан рахунку з поточних операцій (див.</w:t>
      </w:r>
      <w:r w:rsidR="00A95E05" w:rsidRPr="007626F7">
        <w:rPr>
          <w:rFonts w:ascii="Times New Roman" w:hAnsi="Times New Roman" w:cs="Times New Roman"/>
          <w:sz w:val="28"/>
          <w:szCs w:val="28"/>
          <w:lang w:val="uk-UA"/>
        </w:rPr>
        <w:t xml:space="preserve"> Додаток </w:t>
      </w:r>
      <w:r w:rsidR="00FD00A9" w:rsidRPr="007626F7">
        <w:rPr>
          <w:rFonts w:ascii="Times New Roman" w:hAnsi="Times New Roman" w:cs="Times New Roman"/>
          <w:sz w:val="28"/>
          <w:szCs w:val="28"/>
        </w:rPr>
        <w:t>Д</w:t>
      </w:r>
      <w:r w:rsidR="00A95E05" w:rsidRPr="007626F7">
        <w:rPr>
          <w:rFonts w:ascii="Times New Roman" w:hAnsi="Times New Roman" w:cs="Times New Roman"/>
          <w:sz w:val="28"/>
          <w:szCs w:val="28"/>
        </w:rPr>
        <w:t>.1</w:t>
      </w:r>
      <w:r w:rsidR="005D531E">
        <w:rPr>
          <w:rFonts w:ascii="Times New Roman" w:hAnsi="Times New Roman" w:cs="Times New Roman"/>
          <w:sz w:val="28"/>
          <w:szCs w:val="28"/>
          <w:lang w:val="uk-UA"/>
        </w:rPr>
        <w:t>).</w:t>
      </w:r>
      <w:r w:rsidR="005D531E" w:rsidRPr="005D531E">
        <w:rPr>
          <w:rFonts w:ascii="Times New Roman" w:hAnsi="Times New Roman" w:cs="Times New Roman"/>
          <w:sz w:val="28"/>
          <w:szCs w:val="28"/>
        </w:rPr>
        <w:t xml:space="preserve"> </w:t>
      </w:r>
      <w:r w:rsidRPr="007626F7">
        <w:rPr>
          <w:rFonts w:ascii="Times New Roman" w:hAnsi="Times New Roman" w:cs="Times New Roman"/>
          <w:sz w:val="28"/>
          <w:szCs w:val="28"/>
          <w:lang w:val="uk-UA"/>
        </w:rPr>
        <w:t xml:space="preserve">Баланс товарів у Швейцарії завжди має позитивне значення і у період пандемії лише трохи зменшилось </w:t>
      </w:r>
      <w:r w:rsidRPr="007626F7">
        <w:rPr>
          <w:rFonts w:ascii="Times New Roman" w:hAnsi="Times New Roman" w:cs="Times New Roman"/>
          <w:sz w:val="28"/>
          <w:szCs w:val="28"/>
          <w:lang w:val="uk-UA"/>
        </w:rPr>
        <w:lastRenderedPageBreak/>
        <w:t>значення сальдо балансу товарів. Тобто Швейцарія більше експортує товарів ніж імпортує. У період карантину у Швейцарії зменшились як обсяги експорту так і імпорту. Щодо балансу послуг у Швейцарії воно майже завжди додатне, але у четвертому кварталі 2019 році і у останньому кварталі 2020 року сальдо від’ємне. Тобто, країна є в основному експортером послуг, а у період пандемії зменшилась кількість імпорту послуг та експорту. Рахунок з поточних операцій у Швейцарії завжди додатній крім четвертого кварталу 2020 року</w:t>
      </w:r>
      <w:r w:rsidR="00C33F52" w:rsidRPr="007626F7">
        <w:rPr>
          <w:rFonts w:ascii="Times New Roman" w:hAnsi="Times New Roman" w:cs="Times New Roman"/>
          <w:sz w:val="36"/>
          <w:szCs w:val="36"/>
        </w:rPr>
        <w:t xml:space="preserve"> </w:t>
      </w:r>
      <w:r w:rsidR="00C33F52" w:rsidRPr="007626F7">
        <w:rPr>
          <w:rFonts w:ascii="Times New Roman" w:hAnsi="Times New Roman" w:cs="Times New Roman"/>
          <w:sz w:val="28"/>
          <w:szCs w:val="28"/>
        </w:rPr>
        <w:t>[56]</w:t>
      </w:r>
      <w:r w:rsidRPr="007626F7">
        <w:rPr>
          <w:rFonts w:ascii="Times New Roman" w:hAnsi="Times New Roman" w:cs="Times New Roman"/>
          <w:sz w:val="28"/>
          <w:szCs w:val="28"/>
          <w:lang w:val="uk-UA"/>
        </w:rPr>
        <w:t>.</w:t>
      </w:r>
    </w:p>
    <w:p w14:paraId="00E2FEF6" w14:textId="0C51928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стан первинного балансу у Швейцарії (</w:t>
      </w:r>
      <w:r w:rsidR="00A95E05" w:rsidRPr="007626F7">
        <w:rPr>
          <w:rFonts w:ascii="Times New Roman" w:hAnsi="Times New Roman" w:cs="Times New Roman"/>
          <w:sz w:val="28"/>
          <w:szCs w:val="28"/>
          <w:lang w:val="uk-UA"/>
        </w:rPr>
        <w:t xml:space="preserve">див. Додаток </w:t>
      </w:r>
      <w:r w:rsidR="00FD00A9" w:rsidRPr="007626F7">
        <w:rPr>
          <w:rFonts w:ascii="Times New Roman" w:hAnsi="Times New Roman" w:cs="Times New Roman"/>
          <w:sz w:val="28"/>
          <w:szCs w:val="28"/>
        </w:rPr>
        <w:t>Д</w:t>
      </w:r>
      <w:r w:rsidR="00A95E05" w:rsidRPr="007626F7">
        <w:rPr>
          <w:rFonts w:ascii="Times New Roman" w:hAnsi="Times New Roman" w:cs="Times New Roman"/>
          <w:sz w:val="28"/>
          <w:szCs w:val="28"/>
        </w:rPr>
        <w:t>.2</w:t>
      </w:r>
      <w:r w:rsidRPr="007626F7">
        <w:rPr>
          <w:rFonts w:ascii="Times New Roman" w:hAnsi="Times New Roman" w:cs="Times New Roman"/>
          <w:sz w:val="28"/>
          <w:szCs w:val="28"/>
          <w:lang w:val="uk-UA"/>
        </w:rPr>
        <w:t>).</w:t>
      </w:r>
      <w:r w:rsidR="00A95E05"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Оплата праці у країні завжди мала негативне значення, тобто витрати країни на оплату труда більше ніж доходи, тобто не резиденти країни приїжджають на заробітки у країну і Швейцарія виплачує гроші, тому цей показник у країни з мінусом. У період пандемії зменшились витрати, а доходи залишились незмінними. Сальдо доходів від інвестицій у країні зі знаком плюс окрім першого кварталу 2019 року і останнього кварталу 2020 року. Тобто в основному у Швейцарії  доходи від інвестицій більші ніж витрати, що говорить про те, що резиденти країни інвестують закордон і отримують дохід більше ніж не резиденти інвестують у країну. У період пандемії зменшились доходи від інвестицій, що говорить про зменшення інвестування резидентами закордон і отримання від цього доходу.  Первинний дохід Швейцарії завжди з мінусом, у період пандемії погіршилась ситуація, тобто первинний дохід зменшився</w:t>
      </w:r>
      <w:r w:rsidR="00C33F52" w:rsidRPr="007626F7">
        <w:rPr>
          <w:rFonts w:ascii="Times New Roman" w:hAnsi="Times New Roman" w:cs="Times New Roman"/>
          <w:sz w:val="36"/>
          <w:szCs w:val="36"/>
          <w:lang w:val="uk-UA"/>
        </w:rPr>
        <w:t xml:space="preserve"> </w:t>
      </w:r>
      <w:r w:rsidR="00C33F52" w:rsidRPr="007626F7">
        <w:rPr>
          <w:rFonts w:ascii="Times New Roman" w:hAnsi="Times New Roman" w:cs="Times New Roman"/>
          <w:sz w:val="28"/>
          <w:szCs w:val="28"/>
          <w:lang w:val="uk-UA"/>
        </w:rPr>
        <w:t>[56]</w:t>
      </w:r>
      <w:r w:rsidRPr="007626F7">
        <w:rPr>
          <w:rFonts w:ascii="Times New Roman" w:hAnsi="Times New Roman" w:cs="Times New Roman"/>
          <w:sz w:val="28"/>
          <w:szCs w:val="28"/>
          <w:lang w:val="uk-UA"/>
        </w:rPr>
        <w:t>.</w:t>
      </w:r>
    </w:p>
    <w:p w14:paraId="36B37FA3" w14:textId="2BC25DAE"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стан вторинних доходів та стан рахунку операцій з капіталом в Швейцарії (</w:t>
      </w:r>
      <w:r w:rsidR="00A95E05" w:rsidRPr="007626F7">
        <w:rPr>
          <w:rFonts w:ascii="Times New Roman" w:hAnsi="Times New Roman" w:cs="Times New Roman"/>
          <w:sz w:val="28"/>
          <w:szCs w:val="28"/>
          <w:lang w:val="uk-UA"/>
        </w:rPr>
        <w:t xml:space="preserve">див. Додаток </w:t>
      </w:r>
      <w:r w:rsidR="00FD00A9" w:rsidRPr="007626F7">
        <w:rPr>
          <w:rFonts w:ascii="Times New Roman" w:hAnsi="Times New Roman" w:cs="Times New Roman"/>
          <w:sz w:val="28"/>
          <w:szCs w:val="28"/>
        </w:rPr>
        <w:t>Д</w:t>
      </w:r>
      <w:r w:rsidR="00A95E05" w:rsidRPr="007626F7">
        <w:rPr>
          <w:rFonts w:ascii="Times New Roman" w:hAnsi="Times New Roman" w:cs="Times New Roman"/>
          <w:sz w:val="28"/>
          <w:szCs w:val="28"/>
        </w:rPr>
        <w:t>.3</w:t>
      </w:r>
      <w:r w:rsidRPr="007626F7">
        <w:rPr>
          <w:rFonts w:ascii="Times New Roman" w:hAnsi="Times New Roman" w:cs="Times New Roman"/>
          <w:sz w:val="28"/>
          <w:szCs w:val="28"/>
          <w:lang w:val="uk-UA"/>
        </w:rPr>
        <w:t>).</w:t>
      </w:r>
      <w:r w:rsidR="00A95E05"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Баланс вторинних доходів у Швейцарії завжди мав негативне значення, тобто країна більше надсилає односторонньої допомоги ніж отримує. Але у третьому кварталі 2020 року країна відправляла менше допомоги, це можливо пов’язано з пандемією. Рахунок операцій з капіталом у Швейцарії коливався протягом 2019-2020 років. У країні більше зобов’язань нерезидентів перед резидентами країни</w:t>
      </w:r>
      <w:r w:rsidR="00576C6A" w:rsidRPr="007626F7">
        <w:rPr>
          <w:rFonts w:ascii="Times New Roman" w:hAnsi="Times New Roman" w:cs="Times New Roman"/>
          <w:sz w:val="36"/>
          <w:szCs w:val="36"/>
        </w:rPr>
        <w:t xml:space="preserve"> </w:t>
      </w:r>
      <w:r w:rsidR="00576C6A" w:rsidRPr="007626F7">
        <w:rPr>
          <w:rFonts w:ascii="Times New Roman" w:hAnsi="Times New Roman" w:cs="Times New Roman"/>
          <w:sz w:val="28"/>
          <w:szCs w:val="28"/>
        </w:rPr>
        <w:t>[56]</w:t>
      </w:r>
      <w:r w:rsidRPr="007626F7">
        <w:rPr>
          <w:rFonts w:ascii="Times New Roman" w:hAnsi="Times New Roman" w:cs="Times New Roman"/>
          <w:sz w:val="28"/>
          <w:szCs w:val="28"/>
          <w:lang w:val="uk-UA"/>
        </w:rPr>
        <w:t>.</w:t>
      </w:r>
    </w:p>
    <w:p w14:paraId="369F263C" w14:textId="7B013546" w:rsidR="00507D30" w:rsidRPr="007626F7" w:rsidRDefault="00507D30"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Також розглянемо стан фінансового рахунку у Швейцарії (</w:t>
      </w:r>
      <w:r w:rsidR="00A95E05" w:rsidRPr="007626F7">
        <w:rPr>
          <w:rFonts w:ascii="Times New Roman" w:hAnsi="Times New Roman" w:cs="Times New Roman"/>
          <w:sz w:val="28"/>
          <w:szCs w:val="28"/>
          <w:lang w:val="uk-UA"/>
        </w:rPr>
        <w:t xml:space="preserve">див. Додаток </w:t>
      </w:r>
      <w:r w:rsidR="00FD00A9" w:rsidRPr="007626F7">
        <w:rPr>
          <w:rFonts w:ascii="Times New Roman" w:hAnsi="Times New Roman" w:cs="Times New Roman"/>
          <w:sz w:val="28"/>
          <w:szCs w:val="28"/>
        </w:rPr>
        <w:t>Д</w:t>
      </w:r>
      <w:r w:rsidR="00A95E05" w:rsidRPr="007626F7">
        <w:rPr>
          <w:rFonts w:ascii="Times New Roman" w:hAnsi="Times New Roman" w:cs="Times New Roman"/>
          <w:sz w:val="28"/>
          <w:szCs w:val="28"/>
        </w:rPr>
        <w:t>.4</w:t>
      </w:r>
      <w:r w:rsidRPr="007626F7">
        <w:rPr>
          <w:rFonts w:ascii="Times New Roman" w:hAnsi="Times New Roman" w:cs="Times New Roman"/>
          <w:sz w:val="28"/>
          <w:szCs w:val="28"/>
          <w:lang w:val="uk-UA"/>
        </w:rPr>
        <w:t>).</w:t>
      </w:r>
    </w:p>
    <w:p w14:paraId="128AAB69" w14:textId="15C31746"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Щодо стану фінансового рахунку, то у Швейцарії сальдо прямих інвестицій має переважно позитивне значення крім першого кварталу 2019 року і останнього кварталу 2020 року. Це означає, що країна більше отримує прямих інвестицій які дають право на приймання в участі в діяльності компанії. Сальдо портфельних інвестицій у країні позитивне окрім другого кварталу 2019 року. Це говорить, про те, що Швейцарія в основному отримує портфельні інвестиції. У період пандемії збільшилось кількість активів які були куплені не резидентами країни. Щодо інших інвестицій то вони у країні завжди з мінусом, тобто Швейцарія більше надає інших інвестицій країнам ніж отримує. У період пандемії зменшилась кількість зобов’язань резидентів перед нерезидентами а також зменшилось кількість активів. У цілому стан фінансового рахунку зменшився у період пандемії, а саме у першому та другому кварталі 2020 року, а ось у третьому та четвертому кварталах 2020 року, сальдо фінансового рахунку знову збільшилось до рівня перед карантином</w:t>
      </w:r>
      <w:r w:rsidR="00576C6A" w:rsidRPr="007626F7">
        <w:rPr>
          <w:rFonts w:ascii="Times New Roman" w:hAnsi="Times New Roman" w:cs="Times New Roman"/>
          <w:sz w:val="36"/>
          <w:szCs w:val="36"/>
        </w:rPr>
        <w:t xml:space="preserve"> </w:t>
      </w:r>
      <w:r w:rsidR="00576C6A" w:rsidRPr="007626F7">
        <w:rPr>
          <w:rFonts w:ascii="Times New Roman" w:hAnsi="Times New Roman" w:cs="Times New Roman"/>
          <w:sz w:val="28"/>
          <w:szCs w:val="28"/>
        </w:rPr>
        <w:t>[56]</w:t>
      </w:r>
      <w:r w:rsidRPr="007626F7">
        <w:rPr>
          <w:rFonts w:ascii="Times New Roman" w:hAnsi="Times New Roman" w:cs="Times New Roman"/>
          <w:sz w:val="28"/>
          <w:szCs w:val="28"/>
          <w:lang w:val="uk-UA"/>
        </w:rPr>
        <w:t>.</w:t>
      </w:r>
    </w:p>
    <w:p w14:paraId="7473F47B" w14:textId="7EED962A" w:rsidR="00507D30" w:rsidRPr="005D531E" w:rsidRDefault="00507D30" w:rsidP="005D531E">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стан платіжного балансу Польщі у період пандемії (див.</w:t>
      </w:r>
      <w:r w:rsidR="00A95E05" w:rsidRPr="007626F7">
        <w:rPr>
          <w:rFonts w:ascii="Times New Roman" w:hAnsi="Times New Roman" w:cs="Times New Roman"/>
          <w:sz w:val="28"/>
          <w:szCs w:val="28"/>
          <w:lang w:val="uk-UA"/>
        </w:rPr>
        <w:t xml:space="preserve"> Додаток </w:t>
      </w:r>
      <w:r w:rsidR="00FD00A9" w:rsidRPr="007626F7">
        <w:rPr>
          <w:rFonts w:ascii="Times New Roman" w:hAnsi="Times New Roman" w:cs="Times New Roman"/>
          <w:sz w:val="28"/>
          <w:szCs w:val="28"/>
          <w:lang w:val="uk-UA"/>
        </w:rPr>
        <w:t>Е</w:t>
      </w:r>
      <w:r w:rsidR="00A95E05" w:rsidRPr="007626F7">
        <w:rPr>
          <w:rFonts w:ascii="Times New Roman" w:hAnsi="Times New Roman" w:cs="Times New Roman"/>
          <w:sz w:val="28"/>
          <w:szCs w:val="28"/>
          <w:lang w:val="uk-UA"/>
        </w:rPr>
        <w:t>.1</w:t>
      </w:r>
      <w:r w:rsidR="005D531E">
        <w:rPr>
          <w:rFonts w:ascii="Times New Roman" w:hAnsi="Times New Roman" w:cs="Times New Roman"/>
          <w:sz w:val="28"/>
          <w:szCs w:val="28"/>
          <w:lang w:val="uk-UA"/>
        </w:rPr>
        <w:t>).</w:t>
      </w:r>
      <w:r w:rsidR="005D531E" w:rsidRPr="005D531E">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У Польщі баланс товарів має позитивне значення у першому та другому кварталі 2019 року, у третьому кварталі баланс товарів мав негативне значення і надалі починаючи з четверного кварталу 2019 року баланс товарів був додатнім, що говорить про те, що країна більше експортує товарів ніж імпортує. У період пандемії сальдо балансу товарів збільшилось, через скорочення обсягів експорту та імпорту товарів. Баланс послуг у Польщі має більші обсяги ніж баланс товарів,  та він є завжди зі знаком плюс. Тобто, Польща більше експортує послуг ніж імпортує. У період пандемії, а саме у перших двох кварталах 2020 року зменшився імпорт послуг у країну, що у свою чергу привело до росту балансу послуг у першому кварталі 2020 року. А сам рахунок з поточних операцій у Польщі був позитивний на всьому періоді був додатній, крім третього кварталу 2019 року.</w:t>
      </w:r>
    </w:p>
    <w:p w14:paraId="51141303" w14:textId="28D32C8A"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Далі розглянемо баланс первинних та вторинних доходів Польщі (</w:t>
      </w:r>
      <w:r w:rsidR="00A95E05" w:rsidRPr="007626F7">
        <w:rPr>
          <w:rFonts w:ascii="Times New Roman" w:hAnsi="Times New Roman" w:cs="Times New Roman"/>
          <w:sz w:val="28"/>
          <w:szCs w:val="28"/>
          <w:lang w:val="uk-UA"/>
        </w:rPr>
        <w:t xml:space="preserve">див. Додаток </w:t>
      </w:r>
      <w:r w:rsidR="00FD00A9" w:rsidRPr="007626F7">
        <w:rPr>
          <w:rFonts w:ascii="Times New Roman" w:hAnsi="Times New Roman" w:cs="Times New Roman"/>
          <w:sz w:val="28"/>
          <w:szCs w:val="28"/>
          <w:lang w:val="uk-UA"/>
        </w:rPr>
        <w:t>Е</w:t>
      </w:r>
      <w:r w:rsidR="00A95E05" w:rsidRPr="007626F7">
        <w:rPr>
          <w:rFonts w:ascii="Times New Roman" w:hAnsi="Times New Roman" w:cs="Times New Roman"/>
          <w:sz w:val="28"/>
          <w:szCs w:val="28"/>
          <w:lang w:val="uk-UA"/>
        </w:rPr>
        <w:t>.2</w:t>
      </w:r>
      <w:r w:rsidRPr="007626F7">
        <w:rPr>
          <w:rFonts w:ascii="Times New Roman" w:hAnsi="Times New Roman" w:cs="Times New Roman"/>
          <w:sz w:val="28"/>
          <w:szCs w:val="28"/>
          <w:lang w:val="uk-UA"/>
        </w:rPr>
        <w:t>).</w:t>
      </w:r>
      <w:r w:rsidR="00A95E05"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Первинний баланс у Польщі має негативне значення на всьому проміжку часу, у період пандемії ситуація з балансом первинних доходів навіть покращилась і дефіцит трохи зменшився. Це можливо сталось через негативне значення як сальдо оплати праці так і доходів від інвестицій, що говорить про те, що країну багато людей приїжджають на заробітки у Польщу і країна виплачує їм заробітну плату, тому оплата праці з мінусом, а від’ємне значення доходів від інвестицій говорить про те, що країна більше отримує інвестицій і виплачує не резидентам доходи по інвестиціям. Щодо балансу вторинних доходів, він в основному має від’ємне значення, що говорить про те, що країна більше виплачує односторонніх трансфертів та допомоги країнам. Щодо рахунку операцій з капіталом, то показник завжди додатній, що говорить про ріст зобов’язань нерезидентів перед резидентами.</w:t>
      </w:r>
    </w:p>
    <w:p w14:paraId="1A2A287C" w14:textId="29602A7B"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стан фінансового рахунку Польщі (</w:t>
      </w:r>
      <w:r w:rsidR="00A95E05" w:rsidRPr="007626F7">
        <w:rPr>
          <w:rFonts w:ascii="Times New Roman" w:hAnsi="Times New Roman" w:cs="Times New Roman"/>
          <w:sz w:val="28"/>
          <w:szCs w:val="28"/>
          <w:lang w:val="uk-UA"/>
        </w:rPr>
        <w:t xml:space="preserve">див. Додаток </w:t>
      </w:r>
      <w:r w:rsidR="00FD00A9" w:rsidRPr="007626F7">
        <w:rPr>
          <w:rFonts w:ascii="Times New Roman" w:hAnsi="Times New Roman" w:cs="Times New Roman"/>
          <w:sz w:val="28"/>
          <w:szCs w:val="28"/>
          <w:lang w:val="uk-UA"/>
        </w:rPr>
        <w:t>Е</w:t>
      </w:r>
      <w:r w:rsidR="00A95E05" w:rsidRPr="007626F7">
        <w:rPr>
          <w:rFonts w:ascii="Times New Roman" w:hAnsi="Times New Roman" w:cs="Times New Roman"/>
          <w:sz w:val="28"/>
          <w:szCs w:val="28"/>
          <w:lang w:val="uk-UA"/>
        </w:rPr>
        <w:t>.3</w:t>
      </w:r>
      <w:r w:rsidRPr="007626F7">
        <w:rPr>
          <w:rFonts w:ascii="Times New Roman" w:hAnsi="Times New Roman" w:cs="Times New Roman"/>
          <w:sz w:val="28"/>
          <w:szCs w:val="28"/>
          <w:lang w:val="uk-UA"/>
        </w:rPr>
        <w:t>).</w:t>
      </w:r>
      <w:r w:rsidR="00A95E05"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 xml:space="preserve">Згідно з малюнком фінансовий рахунок країни, а саме прямі інвестиції завжди крім четвертого кварталу 2020 року мають додатні значення, що говорить про те, що країна більше отримує прямих іноземних інвестицій ніж резиденти країни вкладають закордон. У період пандемії кількість вкладів прямих інвестицій у країну збільшилось а кількість прямих інвестицій резидентами закордон була нестабільною. Портфельні інвестиції в країні завжди мали додатне значення окрім останнього кварталу 2020 року, тобто Польща більше отримую портфельних інвестицій ніж інвестує у інші країни. А у період пандемії збільшилось кількість активів які інвестували в країну і зменшилась кількість активів які інвестували резиденти Польщі закордон. Інші інвестиції у країні у першому кварталі 2019 року були додатними, так як нерезиденти більше інвестували у Польщу інших інвестицій, з періоду другого кварталу 2019 року по перший квартал 2020 року мали тенденцію до росту, так як збільшувалась кількість активів інвестованих у країну. У другому кварталі 2020 року відбувся значний ріст, через скорочення активів інвестованих в країну. Щодо фінансового рахунку у цілому, то у Польщі фінансовий рахунок </w:t>
      </w:r>
      <w:r w:rsidRPr="007626F7">
        <w:rPr>
          <w:rFonts w:ascii="Times New Roman" w:hAnsi="Times New Roman" w:cs="Times New Roman"/>
          <w:sz w:val="28"/>
          <w:szCs w:val="28"/>
          <w:lang w:val="uk-UA"/>
        </w:rPr>
        <w:lastRenderedPageBreak/>
        <w:t xml:space="preserve">мав тенденцію до росту, що говорить про ріст інвестицій в країну. Резервні активи у Польщі мають тенденцію до зростання, окрім третього кварталу 2020 року, у якому кількість резервних активів трохи зменшилась. </w:t>
      </w:r>
    </w:p>
    <w:p w14:paraId="5E82EB73" w14:textId="1B074C39" w:rsidR="003D23E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Отже, можна зробити висновок, що в Україні не дивлячись на пандемію ситуація ніби не погіршилась, а навпаки покращилась, рахунок з поточних операцій став додатнім, баланс первинних доходів зменшився в об’ємах, баланс вторинних доходів у 2020 році залишився майже незмінним але з невеликим ростом, фінансовий рахунок країни почав бути додатнім. У Швейцарії рахунок з поточних операцій трохи зменшився, але значно не змінився, сальдо первинних доходів як було від’ємним, так і залишилось, але мало тенденцію до ще більшого зменшення. Баланс вторинних доходів  коливався протягом карантину але у цілому залишався від’ємним. Фінансовий рахунок Швейцарії зріз на початку 2020 року а потім зменшився. У Польщі стан рахунку з поточних операцій збільшився по таким же причинам як і в Україні, баланс первинних доходів залишився від’ємним, фінансовий рахунок збільшився через збільшення інвестицій у краї</w:t>
      </w:r>
      <w:r w:rsidR="003D23E0" w:rsidRPr="007626F7">
        <w:rPr>
          <w:rFonts w:ascii="Times New Roman" w:hAnsi="Times New Roman" w:cs="Times New Roman"/>
          <w:sz w:val="28"/>
          <w:szCs w:val="28"/>
          <w:lang w:val="uk-UA"/>
        </w:rPr>
        <w:t>ну.</w:t>
      </w:r>
    </w:p>
    <w:p w14:paraId="5D406268" w14:textId="57FD1607" w:rsidR="00507D30" w:rsidRPr="007626F7" w:rsidRDefault="003D23E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bCs/>
          <w:sz w:val="28"/>
          <w:szCs w:val="28"/>
          <w:lang w:val="uk-UA"/>
        </w:rPr>
        <w:t>Також слід розглянути стан фондових ринків країн.</w:t>
      </w:r>
      <w:r w:rsidRPr="007626F7">
        <w:rPr>
          <w:rFonts w:ascii="Times New Roman" w:hAnsi="Times New Roman" w:cs="Times New Roman"/>
          <w:sz w:val="28"/>
          <w:szCs w:val="28"/>
          <w:lang w:val="uk-UA"/>
        </w:rPr>
        <w:t xml:space="preserve"> </w:t>
      </w:r>
      <w:r w:rsidR="00507D30" w:rsidRPr="007626F7">
        <w:rPr>
          <w:rFonts w:ascii="Times New Roman" w:hAnsi="Times New Roman" w:cs="Times New Roman"/>
          <w:sz w:val="28"/>
          <w:szCs w:val="28"/>
          <w:lang w:val="uk-UA"/>
        </w:rPr>
        <w:t>Фондовий ринок України містить близько 11 фондових бірж. Але однією за найбільших є біржа ПФТС. Учасниками біржі є близько 61 Українська компанія. Членами цієї біржі є так</w:t>
      </w:r>
      <w:r w:rsidR="004915C7" w:rsidRPr="007626F7">
        <w:rPr>
          <w:rFonts w:ascii="Times New Roman" w:hAnsi="Times New Roman" w:cs="Times New Roman"/>
          <w:sz w:val="28"/>
          <w:szCs w:val="28"/>
          <w:lang w:val="uk-UA"/>
        </w:rPr>
        <w:t xml:space="preserve">і Українські компанії : </w:t>
      </w:r>
      <w:r w:rsidR="0093715D" w:rsidRPr="007626F7">
        <w:rPr>
          <w:rFonts w:ascii="Times New Roman" w:hAnsi="Times New Roman" w:cs="Times New Roman"/>
          <w:sz w:val="28"/>
          <w:szCs w:val="28"/>
          <w:lang w:val="uk-UA"/>
        </w:rPr>
        <w:t>АТ "Банк Альянс "ТОВ "Арт</w:t>
      </w:r>
      <w:r w:rsidR="00507D30" w:rsidRPr="007626F7">
        <w:rPr>
          <w:rFonts w:ascii="Times New Roman" w:hAnsi="Times New Roman" w:cs="Times New Roman"/>
          <w:sz w:val="28"/>
          <w:szCs w:val="28"/>
          <w:lang w:val="uk-UA"/>
        </w:rPr>
        <w:t>-</w:t>
      </w:r>
      <w:r w:rsidR="0093715D" w:rsidRPr="007626F7">
        <w:rPr>
          <w:rFonts w:ascii="Times New Roman" w:hAnsi="Times New Roman" w:cs="Times New Roman"/>
          <w:sz w:val="28"/>
          <w:szCs w:val="28"/>
          <w:lang w:val="uk-UA"/>
        </w:rPr>
        <w:t>Капітал Кастоді","Фондова компанія "Автоальянс-Інвест",АТ "Альфа-Банк", АТ "Альтбанк",АТ "Райффайзен Банк Аваль</w:t>
      </w:r>
      <w:r w:rsidR="00507D30" w:rsidRPr="007626F7">
        <w:rPr>
          <w:rFonts w:ascii="Times New Roman" w:hAnsi="Times New Roman" w:cs="Times New Roman"/>
          <w:sz w:val="28"/>
          <w:szCs w:val="28"/>
          <w:lang w:val="uk-UA"/>
        </w:rPr>
        <w:t>" [</w:t>
      </w:r>
      <w:r w:rsidR="00125568" w:rsidRPr="007626F7">
        <w:rPr>
          <w:rFonts w:ascii="Times New Roman" w:hAnsi="Times New Roman" w:cs="Times New Roman"/>
          <w:sz w:val="28"/>
          <w:szCs w:val="28"/>
          <w:lang w:val="uk-UA"/>
        </w:rPr>
        <w:t>5</w:t>
      </w:r>
      <w:r w:rsidR="00576C6A" w:rsidRPr="007626F7">
        <w:rPr>
          <w:rFonts w:ascii="Times New Roman" w:hAnsi="Times New Roman" w:cs="Times New Roman"/>
          <w:sz w:val="28"/>
          <w:szCs w:val="28"/>
          <w:lang w:val="uk-UA"/>
        </w:rPr>
        <w:t>8</w:t>
      </w:r>
      <w:r w:rsidR="00507D30" w:rsidRPr="007626F7">
        <w:rPr>
          <w:rFonts w:ascii="Times New Roman" w:hAnsi="Times New Roman" w:cs="Times New Roman"/>
          <w:sz w:val="28"/>
          <w:szCs w:val="28"/>
          <w:lang w:val="uk-UA"/>
        </w:rPr>
        <w:t>].</w:t>
      </w:r>
    </w:p>
    <w:p w14:paraId="644C9A19" w14:textId="77777777" w:rsidR="008C667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Також ще однією з найбільших Українських бірж є «Українська біржа», до неї входять 67 Українських компаній, таких як:</w:t>
      </w:r>
      <w:r w:rsidRPr="007626F7">
        <w:rPr>
          <w:rFonts w:ascii="Times New Roman" w:hAnsi="Times New Roman" w:cs="Times New Roman"/>
          <w:lang w:val="uk-UA"/>
        </w:rPr>
        <w:t xml:space="preserve"> </w:t>
      </w:r>
      <w:r w:rsidR="0093715D" w:rsidRPr="007626F7">
        <w:rPr>
          <w:rFonts w:ascii="Times New Roman" w:hAnsi="Times New Roman" w:cs="Times New Roman"/>
          <w:sz w:val="28"/>
          <w:szCs w:val="28"/>
          <w:lang w:val="uk-UA"/>
        </w:rPr>
        <w:t>ТОВ "Про Капітал» СЕК "Юрітіз</w:t>
      </w:r>
      <w:r w:rsidRPr="007626F7">
        <w:rPr>
          <w:rFonts w:ascii="Times New Roman" w:hAnsi="Times New Roman" w:cs="Times New Roman"/>
          <w:sz w:val="28"/>
          <w:szCs w:val="28"/>
          <w:lang w:val="uk-UA"/>
        </w:rPr>
        <w:t>",</w:t>
      </w:r>
      <w:r w:rsidRPr="007626F7">
        <w:rPr>
          <w:rFonts w:ascii="Times New Roman" w:hAnsi="Times New Roman" w:cs="Times New Roman"/>
          <w:lang w:val="uk-UA"/>
        </w:rPr>
        <w:t xml:space="preserve"> </w:t>
      </w:r>
      <w:r w:rsidR="0093715D" w:rsidRPr="007626F7">
        <w:rPr>
          <w:rFonts w:ascii="Times New Roman" w:hAnsi="Times New Roman" w:cs="Times New Roman"/>
          <w:sz w:val="28"/>
          <w:szCs w:val="28"/>
          <w:lang w:val="uk-UA"/>
        </w:rPr>
        <w:t>АТ "Альфі-Банк</w:t>
      </w:r>
      <w:r w:rsidRPr="007626F7">
        <w:rPr>
          <w:rFonts w:ascii="Times New Roman" w:hAnsi="Times New Roman" w:cs="Times New Roman"/>
          <w:sz w:val="28"/>
          <w:szCs w:val="28"/>
          <w:lang w:val="uk-UA"/>
        </w:rPr>
        <w:t>",</w:t>
      </w:r>
      <w:r w:rsidRPr="007626F7">
        <w:rPr>
          <w:rFonts w:ascii="Times New Roman" w:hAnsi="Times New Roman" w:cs="Times New Roman"/>
          <w:lang w:val="uk-UA"/>
        </w:rPr>
        <w:t xml:space="preserve"> </w:t>
      </w:r>
      <w:r w:rsidR="0093715D" w:rsidRPr="007626F7">
        <w:rPr>
          <w:rFonts w:ascii="Times New Roman" w:hAnsi="Times New Roman" w:cs="Times New Roman"/>
          <w:sz w:val="28"/>
          <w:szCs w:val="28"/>
          <w:lang w:val="uk-UA"/>
        </w:rPr>
        <w:t>АТ "Альтбанк</w:t>
      </w:r>
      <w:r w:rsidRPr="007626F7">
        <w:rPr>
          <w:rFonts w:ascii="Times New Roman" w:hAnsi="Times New Roman" w:cs="Times New Roman"/>
          <w:sz w:val="28"/>
          <w:szCs w:val="28"/>
          <w:lang w:val="uk-UA"/>
        </w:rPr>
        <w:t>",</w:t>
      </w:r>
      <w:r w:rsidRPr="007626F7">
        <w:rPr>
          <w:rFonts w:ascii="Times New Roman" w:hAnsi="Times New Roman" w:cs="Times New Roman"/>
          <w:lang w:val="uk-UA"/>
        </w:rPr>
        <w:t xml:space="preserve"> </w:t>
      </w:r>
      <w:r w:rsidR="0093715D" w:rsidRPr="007626F7">
        <w:rPr>
          <w:rFonts w:ascii="Times New Roman" w:hAnsi="Times New Roman" w:cs="Times New Roman"/>
          <w:sz w:val="28"/>
          <w:szCs w:val="28"/>
          <w:lang w:val="uk-UA"/>
        </w:rPr>
        <w:t>ТОВ "Арт-Капітал Кастоді</w:t>
      </w:r>
      <w:r w:rsidRPr="007626F7">
        <w:rPr>
          <w:rFonts w:ascii="Times New Roman" w:hAnsi="Times New Roman" w:cs="Times New Roman"/>
          <w:sz w:val="28"/>
          <w:szCs w:val="28"/>
          <w:lang w:val="uk-UA"/>
        </w:rPr>
        <w:t>",</w:t>
      </w:r>
      <w:r w:rsidRPr="007626F7">
        <w:rPr>
          <w:rFonts w:ascii="Times New Roman" w:hAnsi="Times New Roman" w:cs="Times New Roman"/>
          <w:lang w:val="uk-UA"/>
        </w:rPr>
        <w:t xml:space="preserve"> </w:t>
      </w:r>
      <w:r w:rsidR="0093715D" w:rsidRPr="007626F7">
        <w:rPr>
          <w:rFonts w:ascii="Times New Roman" w:hAnsi="Times New Roman" w:cs="Times New Roman"/>
          <w:sz w:val="28"/>
          <w:szCs w:val="28"/>
          <w:lang w:val="uk-UA"/>
        </w:rPr>
        <w:t>ПАТ "Асвіо Банк</w:t>
      </w:r>
      <w:r w:rsidRPr="007626F7">
        <w:rPr>
          <w:rFonts w:ascii="Times New Roman" w:hAnsi="Times New Roman" w:cs="Times New Roman"/>
          <w:sz w:val="28"/>
          <w:szCs w:val="28"/>
          <w:lang w:val="uk-UA"/>
        </w:rPr>
        <w:t>"</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w:t>
      </w:r>
      <w:r w:rsidR="00125568" w:rsidRPr="007626F7">
        <w:rPr>
          <w:rFonts w:ascii="Times New Roman" w:hAnsi="Times New Roman" w:cs="Times New Roman"/>
          <w:sz w:val="28"/>
          <w:szCs w:val="28"/>
          <w:lang w:val="uk-UA"/>
        </w:rPr>
        <w:t>5</w:t>
      </w:r>
      <w:r w:rsidR="00576C6A" w:rsidRPr="007626F7">
        <w:rPr>
          <w:rFonts w:ascii="Times New Roman" w:hAnsi="Times New Roman" w:cs="Times New Roman"/>
          <w:sz w:val="28"/>
          <w:szCs w:val="28"/>
          <w:lang w:val="uk-UA"/>
        </w:rPr>
        <w:t>9</w:t>
      </w:r>
      <w:r w:rsidR="008C6670" w:rsidRPr="007626F7">
        <w:rPr>
          <w:rFonts w:ascii="Times New Roman" w:hAnsi="Times New Roman" w:cs="Times New Roman"/>
          <w:sz w:val="28"/>
          <w:szCs w:val="28"/>
          <w:lang w:val="uk-UA"/>
        </w:rPr>
        <w:t xml:space="preserve">]. </w:t>
      </w:r>
    </w:p>
    <w:p w14:paraId="0AD9EA70" w14:textId="3967F5C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Для того, щоб краще оцінити становище на Українському ринку розглянемо як змінювались індекси найбільших фондових бірж, які були перечисленні вище. Це індекс ПФТС та індекс </w:t>
      </w:r>
      <w:r w:rsidRPr="007626F7">
        <w:rPr>
          <w:rFonts w:ascii="Times New Roman" w:hAnsi="Times New Roman" w:cs="Times New Roman"/>
          <w:sz w:val="28"/>
          <w:szCs w:val="28"/>
          <w:lang w:val="en-US"/>
        </w:rPr>
        <w:t>UX</w:t>
      </w:r>
      <w:r w:rsidRPr="007626F7">
        <w:rPr>
          <w:rFonts w:ascii="Times New Roman" w:hAnsi="Times New Roman" w:cs="Times New Roman"/>
          <w:sz w:val="28"/>
          <w:szCs w:val="28"/>
          <w:lang w:val="uk-UA"/>
        </w:rPr>
        <w:t xml:space="preserve">, тобто індекс Української біржі. Індекс Української біржі розраховується на  основуючись на 5 </w:t>
      </w:r>
      <w:r w:rsidRPr="007626F7">
        <w:rPr>
          <w:rFonts w:ascii="Times New Roman" w:hAnsi="Times New Roman" w:cs="Times New Roman"/>
          <w:sz w:val="28"/>
          <w:szCs w:val="28"/>
          <w:lang w:val="uk-UA"/>
        </w:rPr>
        <w:lastRenderedPageBreak/>
        <w:t>компаніях а саме на цінах акцій так званих "блакитних фішок" України</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uk-UA"/>
        </w:rPr>
        <w:t>(див.</w:t>
      </w:r>
      <w:r w:rsidR="00715060" w:rsidRPr="007626F7">
        <w:rPr>
          <w:rFonts w:ascii="Times New Roman" w:hAnsi="Times New Roman" w:cs="Times New Roman"/>
          <w:sz w:val="28"/>
          <w:szCs w:val="28"/>
          <w:lang w:val="uk-UA"/>
        </w:rPr>
        <w:t xml:space="preserve"> Додаток </w:t>
      </w:r>
      <w:r w:rsidR="00FD00A9" w:rsidRPr="007626F7">
        <w:rPr>
          <w:rFonts w:ascii="Times New Roman" w:hAnsi="Times New Roman" w:cs="Times New Roman"/>
          <w:sz w:val="28"/>
          <w:szCs w:val="28"/>
          <w:lang w:val="uk-UA"/>
        </w:rPr>
        <w:t>Ж.1</w:t>
      </w:r>
      <w:r w:rsidRPr="007626F7">
        <w:rPr>
          <w:rFonts w:ascii="Times New Roman" w:hAnsi="Times New Roman" w:cs="Times New Roman"/>
          <w:sz w:val="28"/>
          <w:szCs w:val="28"/>
          <w:lang w:val="uk-UA"/>
        </w:rPr>
        <w:t>).</w:t>
      </w:r>
    </w:p>
    <w:p w14:paraId="6AA3A134" w14:textId="2FEF472C"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На малюнку можна побачити індекси двох найбільших Українських бірж. Індекс ПФТС мав тенденцію до спаду ще з 2019 року. На початку 2020 року він стан трохи стабільним але вже у березні місяці він виріс але через місяць він знову зменшився до рівня навіть меншого ніж був до стрімкого росту. Далі індекс був стабільним до листопаду 2020 року і на початку 2021 року індекс знову почав рости. Щодо індексу Української біржі, то він почав зменшуватись з червня 2019 року до березня 2020, де так само як і індексу ПФТС відбувся ріст. Далі індекс почав зменшуватись і був на приблизно цьому рівні до листопаду 2020 року, після якого індекс почав зростати.</w:t>
      </w:r>
    </w:p>
    <w:p w14:paraId="226C28C6" w14:textId="7C7A77D2"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На біржі ПФТС  з 26 квітня 2021 р. до торгів були допущенні близько 332 американських акцій, таких як акції компаній Microsoft Corporation, Advanced Micro Devices Inc, Visa Inc. , Tesla Inc. , Netflix Inc., Facebook Inc., Apple Inc.</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w:t>
      </w:r>
      <w:r w:rsidR="003162CF" w:rsidRPr="007626F7">
        <w:rPr>
          <w:rFonts w:ascii="Times New Roman" w:hAnsi="Times New Roman" w:cs="Times New Roman"/>
          <w:sz w:val="28"/>
          <w:szCs w:val="28"/>
          <w:lang w:val="uk-UA"/>
        </w:rPr>
        <w:t>6</w:t>
      </w:r>
      <w:r w:rsidR="00576C6A" w:rsidRPr="007626F7">
        <w:rPr>
          <w:rFonts w:ascii="Times New Roman" w:hAnsi="Times New Roman" w:cs="Times New Roman"/>
          <w:sz w:val="28"/>
          <w:szCs w:val="28"/>
          <w:lang w:val="uk-UA"/>
        </w:rPr>
        <w:t>2</w:t>
      </w:r>
      <w:r w:rsidRPr="007626F7">
        <w:rPr>
          <w:rFonts w:ascii="Times New Roman" w:hAnsi="Times New Roman" w:cs="Times New Roman"/>
          <w:sz w:val="28"/>
          <w:szCs w:val="28"/>
          <w:lang w:val="uk-UA"/>
        </w:rPr>
        <w:t xml:space="preserve">]. </w:t>
      </w:r>
    </w:p>
    <w:p w14:paraId="2A650873"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Тобто можна побачити, що пандемія вплинула з одного боку негативно через те, що індекси Українських бірж зменшились але з іншого боку і позитивно, адже через умови карантину на біржах вводяться нові технології та нові акції задля функціонування у карантин.</w:t>
      </w:r>
    </w:p>
    <w:p w14:paraId="0101F96D" w14:textId="03FFB02E"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ситуацію на фондовому ринку Швейцарії. У Швейцарії знаходиться фондова біржа під назвою «Швейцарська фондова біржа». До неї входять близько 180 найбільших Швейцарських компанії. Також відомо, що на біржі існують декілька індексів, наприклад індекс SMI, до якого входять найвідоміші Швейцарські компанії, такі, як: ABB,</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Actelion,</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Nestlé,</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Roche,</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Nestlé. Даний індекс представляє середнє значення стану Швейцарських компаній.</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w:t>
      </w:r>
      <w:r w:rsidR="003162CF" w:rsidRPr="007626F7">
        <w:rPr>
          <w:rFonts w:ascii="Times New Roman" w:hAnsi="Times New Roman" w:cs="Times New Roman"/>
          <w:sz w:val="28"/>
          <w:szCs w:val="28"/>
        </w:rPr>
        <w:t>6</w:t>
      </w:r>
      <w:r w:rsidR="00576C6A" w:rsidRPr="007626F7">
        <w:rPr>
          <w:rFonts w:ascii="Times New Roman" w:hAnsi="Times New Roman" w:cs="Times New Roman"/>
          <w:sz w:val="28"/>
          <w:szCs w:val="28"/>
        </w:rPr>
        <w:t>3</w:t>
      </w:r>
      <w:r w:rsidRPr="007626F7">
        <w:rPr>
          <w:rFonts w:ascii="Times New Roman" w:hAnsi="Times New Roman" w:cs="Times New Roman"/>
          <w:sz w:val="28"/>
          <w:szCs w:val="28"/>
          <w:lang w:val="uk-UA"/>
        </w:rPr>
        <w:t>].</w:t>
      </w:r>
    </w:p>
    <w:p w14:paraId="538E6ECA" w14:textId="079E0E7E" w:rsidR="00507D30" w:rsidRPr="007626F7" w:rsidRDefault="00507D30"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lang w:val="uk-UA"/>
        </w:rPr>
        <w:t>Розглянемо стан індексу за 2019-2021 роки (</w:t>
      </w:r>
      <w:r w:rsidR="00715060" w:rsidRPr="007626F7">
        <w:rPr>
          <w:rFonts w:ascii="Times New Roman" w:hAnsi="Times New Roman" w:cs="Times New Roman"/>
          <w:sz w:val="28"/>
          <w:szCs w:val="28"/>
          <w:lang w:val="uk-UA"/>
        </w:rPr>
        <w:t xml:space="preserve">див. Додаток </w:t>
      </w:r>
      <w:r w:rsidR="00FD00A9" w:rsidRPr="007626F7">
        <w:rPr>
          <w:rFonts w:ascii="Times New Roman" w:hAnsi="Times New Roman" w:cs="Times New Roman"/>
          <w:sz w:val="28"/>
          <w:szCs w:val="28"/>
          <w:lang w:val="uk-UA"/>
        </w:rPr>
        <w:t>Ж.2</w:t>
      </w:r>
      <w:r w:rsidRPr="007626F7">
        <w:rPr>
          <w:rFonts w:ascii="Times New Roman" w:hAnsi="Times New Roman" w:cs="Times New Roman"/>
          <w:sz w:val="28"/>
          <w:szCs w:val="28"/>
          <w:lang w:val="uk-UA"/>
        </w:rPr>
        <w:t>).</w:t>
      </w:r>
      <w:r w:rsidR="00715060"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 xml:space="preserve">Можна побачити, що індекс Швейцарської біржі мав тенденцію до росту у 2019 році, але наприкінці 2019 року почались вже коливання а згодом у березні 2020 року відбувся обвал індексу. </w:t>
      </w:r>
      <w:r w:rsidRPr="007626F7">
        <w:rPr>
          <w:rFonts w:ascii="Times New Roman" w:hAnsi="Times New Roman" w:cs="Times New Roman"/>
          <w:sz w:val="28"/>
          <w:szCs w:val="28"/>
        </w:rPr>
        <w:t xml:space="preserve">Але взагалі у цей період відбувся обвал на </w:t>
      </w:r>
      <w:r w:rsidRPr="007626F7">
        <w:rPr>
          <w:rFonts w:ascii="Times New Roman" w:hAnsi="Times New Roman" w:cs="Times New Roman"/>
          <w:sz w:val="28"/>
          <w:szCs w:val="28"/>
        </w:rPr>
        <w:lastRenderedPageBreak/>
        <w:t>багатьох великих біржах, що було обумовлено пандемією і таких крах фондового ринку не було вже з кризи 2008 року.</w:t>
      </w:r>
      <w:r w:rsidRPr="007626F7">
        <w:rPr>
          <w:rFonts w:ascii="Times New Roman" w:hAnsi="Times New Roman" w:cs="Times New Roman"/>
          <w:sz w:val="28"/>
          <w:szCs w:val="28"/>
          <w:lang w:val="uk-UA"/>
        </w:rPr>
        <w:t xml:space="preserve"> Згідно з малюнком індекс Швейцарської біржі був наприкінці 2020 року нижчий, але з грудня 2020 року він почав відновлюватись, і вже у на початку 2021 року можна побачити великий ріст показника. Отже ситуація на фондовому ринку Швейцарії була подібна до ситуацію в інших розвинених країнах, тобто пандемія сприяла падінню індексу, а тобто і падіння акцій основних компаній.</w:t>
      </w:r>
    </w:p>
    <w:p w14:paraId="1A3D130D"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rPr>
        <w:t>Далі розглянемо фондовий ринок Польщ</w:t>
      </w:r>
      <w:r w:rsidRPr="007626F7">
        <w:rPr>
          <w:rFonts w:ascii="Times New Roman" w:hAnsi="Times New Roman" w:cs="Times New Roman"/>
          <w:sz w:val="28"/>
          <w:szCs w:val="28"/>
          <w:lang w:val="uk-UA"/>
        </w:rPr>
        <w:t>і. Найбільша фондова біржа Польщі і взагалі східної та центральної Європи – це Варшавська фондова біржа, на якій містяться близько 483 компанії. На Варшавській біржі числяться не тільки Польські компанії, а також навіть деякі Українські компанії та компанії інших країн Європи. Саме Польських компанії на Варшавській біржі найбільше, а саме близько 432.</w:t>
      </w:r>
    </w:p>
    <w:p w14:paraId="3410A121" w14:textId="4344A8FA"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До списку компаній які містяться на біржі входять такі компанії, як:  KGHM,</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CD</w:t>
      </w:r>
      <w:r w:rsidR="002C4790" w:rsidRPr="007626F7">
        <w:rPr>
          <w:rFonts w:ascii="Times New Roman" w:hAnsi="Times New Roman" w:cs="Times New Roman"/>
          <w:sz w:val="28"/>
          <w:szCs w:val="28"/>
          <w:lang w:val="uk-UA"/>
        </w:rPr>
        <w:t xml:space="preserve"> P</w:t>
      </w:r>
      <w:r w:rsidR="002C4790" w:rsidRPr="007626F7">
        <w:rPr>
          <w:rFonts w:ascii="Times New Roman" w:hAnsi="Times New Roman" w:cs="Times New Roman"/>
          <w:sz w:val="28"/>
          <w:szCs w:val="28"/>
          <w:lang w:val="en-US"/>
        </w:rPr>
        <w:t>roject</w:t>
      </w:r>
      <w:r w:rsidRPr="007626F7">
        <w:rPr>
          <w:rFonts w:ascii="Times New Roman" w:hAnsi="Times New Roman" w:cs="Times New Roman"/>
          <w:sz w:val="28"/>
          <w:szCs w:val="28"/>
          <w:lang w:val="uk-UA"/>
        </w:rPr>
        <w:t>,</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PKO</w:t>
      </w:r>
      <w:r w:rsidR="002C4790"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BP,</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PKN</w:t>
      </w:r>
      <w:r w:rsidR="002C4790" w:rsidRPr="007626F7">
        <w:rPr>
          <w:rFonts w:ascii="Times New Roman" w:hAnsi="Times New Roman" w:cs="Times New Roman"/>
          <w:sz w:val="28"/>
          <w:szCs w:val="28"/>
          <w:lang w:val="uk-UA"/>
        </w:rPr>
        <w:t xml:space="preserve"> Orlen</w:t>
      </w:r>
      <w:r w:rsidRPr="007626F7">
        <w:rPr>
          <w:rFonts w:ascii="Times New Roman" w:hAnsi="Times New Roman" w:cs="Times New Roman"/>
          <w:sz w:val="28"/>
          <w:szCs w:val="28"/>
          <w:lang w:val="uk-UA"/>
        </w:rPr>
        <w:t xml:space="preserve"> [</w:t>
      </w:r>
      <w:r w:rsidR="00880111" w:rsidRPr="007626F7">
        <w:rPr>
          <w:rFonts w:ascii="Times New Roman" w:hAnsi="Times New Roman" w:cs="Times New Roman"/>
          <w:sz w:val="28"/>
          <w:szCs w:val="28"/>
          <w:lang w:val="uk-UA"/>
        </w:rPr>
        <w:t>6</w:t>
      </w:r>
      <w:r w:rsidR="00576C6A" w:rsidRPr="007626F7">
        <w:rPr>
          <w:rFonts w:ascii="Times New Roman" w:hAnsi="Times New Roman" w:cs="Times New Roman"/>
          <w:sz w:val="28"/>
          <w:szCs w:val="28"/>
          <w:lang w:val="uk-UA"/>
        </w:rPr>
        <w:t>5</w:t>
      </w:r>
      <w:r w:rsidRPr="007626F7">
        <w:rPr>
          <w:rFonts w:ascii="Times New Roman" w:hAnsi="Times New Roman" w:cs="Times New Roman"/>
          <w:sz w:val="28"/>
          <w:szCs w:val="28"/>
          <w:lang w:val="uk-UA"/>
        </w:rPr>
        <w:t>].</w:t>
      </w:r>
    </w:p>
    <w:p w14:paraId="4C92105F" w14:textId="42089456"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Для кращого розуміння стану фондового ринку Польщі розглянемо індекс Варшавської біржі. Індекс називається «Індекс Варшавської фондової біржі» або ж «</w:t>
      </w:r>
      <w:r w:rsidRPr="007626F7">
        <w:rPr>
          <w:rFonts w:ascii="Times New Roman" w:hAnsi="Times New Roman" w:cs="Times New Roman"/>
          <w:sz w:val="28"/>
          <w:szCs w:val="28"/>
          <w:lang w:val="en-US"/>
        </w:rPr>
        <w:t>WIG</w:t>
      </w:r>
      <w:r w:rsidRPr="007626F7">
        <w:rPr>
          <w:rFonts w:ascii="Times New Roman" w:hAnsi="Times New Roman" w:cs="Times New Roman"/>
          <w:sz w:val="28"/>
          <w:szCs w:val="28"/>
          <w:lang w:val="uk-UA"/>
        </w:rPr>
        <w:t>». До індексу входять усі Польські компанії, саме тому розгляд стану індексу допоможе зрозуміти динаміку фондового ринку країни у пандемію (</w:t>
      </w:r>
      <w:r w:rsidR="00715060" w:rsidRPr="007626F7">
        <w:rPr>
          <w:rFonts w:ascii="Times New Roman" w:hAnsi="Times New Roman" w:cs="Times New Roman"/>
          <w:sz w:val="28"/>
          <w:szCs w:val="28"/>
          <w:lang w:val="uk-UA"/>
        </w:rPr>
        <w:t>див. Додаток Ж</w:t>
      </w:r>
      <w:r w:rsidR="00FD00A9" w:rsidRPr="007626F7">
        <w:rPr>
          <w:rFonts w:ascii="Times New Roman" w:hAnsi="Times New Roman" w:cs="Times New Roman"/>
          <w:sz w:val="28"/>
          <w:szCs w:val="28"/>
          <w:lang w:val="uk-UA"/>
        </w:rPr>
        <w:t>.3</w:t>
      </w:r>
      <w:r w:rsidRPr="007626F7">
        <w:rPr>
          <w:rFonts w:ascii="Times New Roman" w:hAnsi="Times New Roman" w:cs="Times New Roman"/>
          <w:sz w:val="28"/>
          <w:szCs w:val="28"/>
          <w:lang w:val="uk-UA"/>
        </w:rPr>
        <w:t>).</w:t>
      </w:r>
      <w:r w:rsidR="00715060"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 xml:space="preserve">Згідно з малюнком ситуація на Варшавській біржі скалась приблизно така ж як і на Швейцарській біржі, тобто у 2019 році індекс був стабільний и тримався приблизно на одному рівні з невеликим коливанням. А ось починаючи з січня 2020 року індекс почав різко зменшуватись и у квітні він досяг свого мінімуму за період 2019-2021 років, тобто якраз у період погіршення ситуації з пандемією.  Виходить, що у Польщі теж відбулося падіння ціни, а тобто відбувся теж обвал біржі. </w:t>
      </w:r>
    </w:p>
    <w:p w14:paraId="0E859C30" w14:textId="56DD7755" w:rsidR="005D531E"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Отже можна зробити висновок, що пандемія не пройшла повз і фондовий ринок. Карантин та інші обмежувальні організації створили несприятливі умови для функціонування малого та середнього бізнесу але також і великих компаній, які є учасниками фондових бірж країн. Саме тому </w:t>
      </w:r>
      <w:r w:rsidRPr="007626F7">
        <w:rPr>
          <w:rFonts w:ascii="Times New Roman" w:hAnsi="Times New Roman" w:cs="Times New Roman"/>
          <w:sz w:val="28"/>
          <w:szCs w:val="28"/>
          <w:lang w:val="uk-UA"/>
        </w:rPr>
        <w:lastRenderedPageBreak/>
        <w:t>акції багатьох великих компаній зменшились у ціні, що у свою чергу вплинула на падіння індексів бірж та зменшення оборотів проведених операцій на біржах.</w:t>
      </w:r>
    </w:p>
    <w:p w14:paraId="0937DB8A" w14:textId="77777777" w:rsidR="005D531E" w:rsidRDefault="005D531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0D5D849" w14:textId="1136B0DB" w:rsidR="00507D30" w:rsidRPr="007626F7" w:rsidRDefault="00154072" w:rsidP="007626F7">
      <w:pPr>
        <w:spacing w:after="0" w:line="360" w:lineRule="auto"/>
        <w:ind w:firstLine="720"/>
        <w:jc w:val="both"/>
        <w:outlineLvl w:val="0"/>
        <w:rPr>
          <w:rFonts w:ascii="Times New Roman" w:hAnsi="Times New Roman" w:cs="Times New Roman"/>
          <w:b/>
          <w:bCs/>
          <w:sz w:val="28"/>
          <w:szCs w:val="28"/>
          <w:lang w:val="uk-UA"/>
        </w:rPr>
      </w:pPr>
      <w:bookmarkStart w:id="29" w:name="_Toc75333588"/>
      <w:r w:rsidRPr="007626F7">
        <w:rPr>
          <w:rFonts w:ascii="Times New Roman" w:hAnsi="Times New Roman" w:cs="Times New Roman"/>
          <w:b/>
          <w:bCs/>
          <w:sz w:val="28"/>
          <w:szCs w:val="28"/>
        </w:rPr>
        <w:lastRenderedPageBreak/>
        <w:t>2.3</w:t>
      </w:r>
      <w:r w:rsidR="00507D30" w:rsidRPr="007626F7">
        <w:rPr>
          <w:rFonts w:ascii="Times New Roman" w:hAnsi="Times New Roman" w:cs="Times New Roman"/>
          <w:b/>
          <w:bCs/>
          <w:sz w:val="28"/>
          <w:szCs w:val="28"/>
        </w:rPr>
        <w:t xml:space="preserve"> Порівняльний аналіз </w:t>
      </w:r>
      <w:r w:rsidR="00FB4D40" w:rsidRPr="007626F7">
        <w:rPr>
          <w:rFonts w:ascii="Times New Roman" w:hAnsi="Times New Roman" w:cs="Times New Roman"/>
          <w:b/>
          <w:bCs/>
          <w:sz w:val="28"/>
          <w:szCs w:val="28"/>
          <w:lang w:val="uk-UA"/>
        </w:rPr>
        <w:t xml:space="preserve">результатів моделювання економічного розвитку </w:t>
      </w:r>
      <w:r w:rsidR="00507D30" w:rsidRPr="007626F7">
        <w:rPr>
          <w:rFonts w:ascii="Times New Roman" w:hAnsi="Times New Roman" w:cs="Times New Roman"/>
          <w:b/>
          <w:bCs/>
          <w:sz w:val="28"/>
          <w:szCs w:val="28"/>
          <w:lang w:val="uk-UA"/>
        </w:rPr>
        <w:t xml:space="preserve">України </w:t>
      </w:r>
      <w:r w:rsidR="00537EAA" w:rsidRPr="007626F7">
        <w:rPr>
          <w:rFonts w:ascii="Times New Roman" w:hAnsi="Times New Roman" w:cs="Times New Roman"/>
          <w:b/>
          <w:bCs/>
          <w:sz w:val="28"/>
          <w:szCs w:val="28"/>
          <w:lang w:val="uk-UA"/>
        </w:rPr>
        <w:t xml:space="preserve">та </w:t>
      </w:r>
      <w:r w:rsidR="00507D30" w:rsidRPr="007626F7">
        <w:rPr>
          <w:rFonts w:ascii="Times New Roman" w:hAnsi="Times New Roman" w:cs="Times New Roman"/>
          <w:b/>
          <w:bCs/>
          <w:sz w:val="28"/>
          <w:szCs w:val="28"/>
          <w:lang w:val="uk-UA"/>
        </w:rPr>
        <w:t>Швейцарії</w:t>
      </w:r>
      <w:bookmarkEnd w:id="29"/>
    </w:p>
    <w:p w14:paraId="671F3565" w14:textId="77777777" w:rsidR="00D9391E" w:rsidRPr="007626F7" w:rsidRDefault="00D9391E" w:rsidP="007626F7">
      <w:pPr>
        <w:spacing w:after="0" w:line="360" w:lineRule="auto"/>
        <w:jc w:val="both"/>
        <w:rPr>
          <w:rFonts w:ascii="Times New Roman" w:hAnsi="Times New Roman" w:cs="Times New Roman"/>
          <w:sz w:val="28"/>
          <w:szCs w:val="28"/>
          <w:lang w:val="uk-UA"/>
        </w:rPr>
      </w:pPr>
    </w:p>
    <w:p w14:paraId="06D74309" w14:textId="3BC8B8F5"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У даному підрозділі будуть проаналізовані однакові економічні показники по відношенню до ВВП, що дасть змогу виявити які економічні показники мають вплив на ВВП країни і які ні, також така модель буде застосована до дв</w:t>
      </w:r>
      <w:r w:rsidR="00514CD2" w:rsidRPr="007626F7">
        <w:rPr>
          <w:rFonts w:ascii="Times New Roman" w:hAnsi="Times New Roman" w:cs="Times New Roman"/>
          <w:sz w:val="28"/>
          <w:szCs w:val="28"/>
          <w:lang w:val="uk-UA"/>
        </w:rPr>
        <w:t>о</w:t>
      </w:r>
      <w:r w:rsidRPr="007626F7">
        <w:rPr>
          <w:rFonts w:ascii="Times New Roman" w:hAnsi="Times New Roman" w:cs="Times New Roman"/>
          <w:sz w:val="28"/>
          <w:szCs w:val="28"/>
          <w:lang w:val="uk-UA"/>
        </w:rPr>
        <w:t>х країн для кращого порівняння як кожен з показників впливає на ВВП  залежності від рівня економічного розвитку країни.</w:t>
      </w:r>
    </w:p>
    <w:p w14:paraId="0B3373EF" w14:textId="77777777" w:rsidR="00507D30" w:rsidRPr="007626F7" w:rsidRDefault="00507D30" w:rsidP="007626F7">
      <w:pPr>
        <w:spacing w:after="0" w:line="360" w:lineRule="auto"/>
        <w:ind w:firstLine="720"/>
        <w:rPr>
          <w:rFonts w:ascii="Times New Roman" w:hAnsi="Times New Roman" w:cs="Times New Roman"/>
          <w:sz w:val="28"/>
          <w:szCs w:val="28"/>
          <w:lang w:val="uk-UA"/>
        </w:rPr>
      </w:pPr>
      <w:r w:rsidRPr="007626F7">
        <w:rPr>
          <w:rFonts w:ascii="Times New Roman" w:hAnsi="Times New Roman" w:cs="Times New Roman"/>
          <w:sz w:val="28"/>
          <w:szCs w:val="28"/>
          <w:lang w:val="uk-UA"/>
        </w:rPr>
        <w:t>Спочатку проведемо аналіз регресійної моделі для України. Буде проведений регресійний аналіз для виявлення теоретичної залежності між ВВП (GDP) України та такими незалежними змінними, як:</w:t>
      </w:r>
    </w:p>
    <w:p w14:paraId="4FF34C20" w14:textId="77777777" w:rsidR="00507D30" w:rsidRPr="007626F7" w:rsidRDefault="00507D30" w:rsidP="007626F7">
      <w:pPr>
        <w:pStyle w:val="a4"/>
        <w:numPr>
          <w:ilvl w:val="0"/>
          <w:numId w:val="2"/>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Відсоткова ставка </w:t>
      </w:r>
      <w:r w:rsidRPr="007626F7">
        <w:rPr>
          <w:rFonts w:ascii="Times New Roman" w:hAnsi="Times New Roman" w:cs="Times New Roman"/>
          <w:sz w:val="28"/>
          <w:szCs w:val="28"/>
          <w:lang w:val="en-US"/>
        </w:rPr>
        <w:t>(I</w:t>
      </w:r>
      <w:r w:rsidRPr="007626F7">
        <w:rPr>
          <w:rFonts w:ascii="Times New Roman" w:hAnsi="Times New Roman" w:cs="Times New Roman"/>
          <w:sz w:val="28"/>
          <w:szCs w:val="28"/>
          <w:lang w:val="uk-UA"/>
        </w:rPr>
        <w:t>nterest rate</w:t>
      </w:r>
      <w:r w:rsidRPr="007626F7">
        <w:rPr>
          <w:rFonts w:ascii="Times New Roman" w:hAnsi="Times New Roman" w:cs="Times New Roman"/>
          <w:sz w:val="28"/>
          <w:szCs w:val="28"/>
          <w:lang w:val="en-US"/>
        </w:rPr>
        <w:t>);</w:t>
      </w:r>
    </w:p>
    <w:p w14:paraId="43BC3939" w14:textId="77777777" w:rsidR="00507D30" w:rsidRPr="007626F7" w:rsidRDefault="00507D30" w:rsidP="007626F7">
      <w:pPr>
        <w:pStyle w:val="a4"/>
        <w:numPr>
          <w:ilvl w:val="0"/>
          <w:numId w:val="2"/>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Зовнішній борг</w:t>
      </w:r>
      <w:r w:rsidRPr="007626F7">
        <w:rPr>
          <w:rFonts w:ascii="Times New Roman" w:hAnsi="Times New Roman" w:cs="Times New Roman"/>
        </w:rPr>
        <w:t xml:space="preserve"> </w:t>
      </w:r>
      <w:r w:rsidRPr="007626F7">
        <w:rPr>
          <w:rFonts w:ascii="Times New Roman" w:hAnsi="Times New Roman" w:cs="Times New Roman"/>
          <w:lang w:val="uk-UA"/>
        </w:rPr>
        <w:t>(</w:t>
      </w:r>
      <w:r w:rsidRPr="007626F7">
        <w:rPr>
          <w:rFonts w:ascii="Times New Roman" w:hAnsi="Times New Roman" w:cs="Times New Roman"/>
          <w:sz w:val="28"/>
          <w:szCs w:val="28"/>
          <w:lang w:val="uk-UA"/>
        </w:rPr>
        <w:t>External debt);</w:t>
      </w:r>
    </w:p>
    <w:p w14:paraId="26EC1221" w14:textId="77777777" w:rsidR="00507D30" w:rsidRPr="007626F7" w:rsidRDefault="00507D30" w:rsidP="007626F7">
      <w:pPr>
        <w:pStyle w:val="a4"/>
        <w:numPr>
          <w:ilvl w:val="0"/>
          <w:numId w:val="2"/>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Валютний курс (Exchange rate);</w:t>
      </w:r>
    </w:p>
    <w:p w14:paraId="49804E56" w14:textId="77777777" w:rsidR="00507D30" w:rsidRPr="007626F7" w:rsidRDefault="00507D30" w:rsidP="007626F7">
      <w:pPr>
        <w:pStyle w:val="a4"/>
        <w:numPr>
          <w:ilvl w:val="0"/>
          <w:numId w:val="2"/>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Рівень цін (</w:t>
      </w:r>
      <w:r w:rsidRPr="007626F7">
        <w:rPr>
          <w:rFonts w:ascii="Times New Roman" w:hAnsi="Times New Roman" w:cs="Times New Roman"/>
          <w:sz w:val="28"/>
          <w:szCs w:val="28"/>
          <w:lang w:val="en-US"/>
        </w:rPr>
        <w:t>CPI);</w:t>
      </w:r>
    </w:p>
    <w:p w14:paraId="5A4A049E" w14:textId="77777777" w:rsidR="00507D30" w:rsidRPr="007626F7" w:rsidRDefault="00507D30" w:rsidP="007626F7">
      <w:pPr>
        <w:pStyle w:val="a4"/>
        <w:numPr>
          <w:ilvl w:val="0"/>
          <w:numId w:val="2"/>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Грошова маса </w:t>
      </w:r>
      <w:r w:rsidRPr="007626F7">
        <w:rPr>
          <w:rFonts w:ascii="Times New Roman" w:hAnsi="Times New Roman" w:cs="Times New Roman"/>
          <w:sz w:val="28"/>
          <w:szCs w:val="28"/>
          <w:lang w:val="en-US"/>
        </w:rPr>
        <w:t>(</w:t>
      </w:r>
      <w:r w:rsidRPr="007626F7">
        <w:rPr>
          <w:rFonts w:ascii="Times New Roman" w:hAnsi="Times New Roman" w:cs="Times New Roman"/>
          <w:sz w:val="28"/>
          <w:szCs w:val="28"/>
          <w:lang w:val="uk-UA"/>
        </w:rPr>
        <w:t>М1</w:t>
      </w:r>
      <w:r w:rsidRPr="007626F7">
        <w:rPr>
          <w:rFonts w:ascii="Times New Roman" w:hAnsi="Times New Roman" w:cs="Times New Roman"/>
          <w:sz w:val="28"/>
          <w:szCs w:val="28"/>
          <w:lang w:val="en-US"/>
        </w:rPr>
        <w:t>).</w:t>
      </w:r>
    </w:p>
    <w:p w14:paraId="64A01742" w14:textId="77777777"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Модель матиме такий вигляд:</w:t>
      </w:r>
    </w:p>
    <w:p w14:paraId="6CA93476" w14:textId="77777777" w:rsidR="00507D30" w:rsidRPr="007626F7" w:rsidRDefault="00507D30" w:rsidP="007626F7">
      <w:pPr>
        <w:spacing w:after="0" w:line="360" w:lineRule="auto"/>
        <w:jc w:val="center"/>
        <w:rPr>
          <w:rFonts w:ascii="Times New Roman" w:hAnsi="Times New Roman" w:cs="Times New Roman"/>
          <w:b/>
          <w:i/>
          <w:sz w:val="28"/>
          <w:szCs w:val="28"/>
          <w:lang w:val="uk-UA"/>
        </w:rPr>
      </w:pPr>
      <m:oMathPara>
        <m:oMath>
          <m:r>
            <m:rPr>
              <m:sty m:val="bi"/>
            </m:rPr>
            <w:rPr>
              <w:rFonts w:ascii="Cambria Math" w:hAnsi="Cambria Math" w:cs="Times New Roman"/>
              <w:sz w:val="28"/>
              <w:szCs w:val="28"/>
              <w:lang w:val="uk-UA"/>
            </w:rPr>
            <m:t>GDP=</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1</m:t>
              </m:r>
            </m:sub>
          </m:sSub>
          <m:r>
            <m:rPr>
              <m:sty m:val="bi"/>
            </m:rPr>
            <w:rPr>
              <w:rFonts w:ascii="Cambria Math" w:hAnsi="Cambria Math" w:cs="Times New Roman"/>
              <w:sz w:val="28"/>
              <w:szCs w:val="28"/>
              <w:lang w:val="uk-UA"/>
            </w:rPr>
            <m:t>*Interest rate+</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2</m:t>
              </m:r>
            </m:sub>
          </m:sSub>
          <m:r>
            <m:rPr>
              <m:sty m:val="bi"/>
            </m:rPr>
            <w:rPr>
              <w:rFonts w:ascii="Cambria Math" w:hAnsi="Cambria Math" w:cs="Times New Roman"/>
              <w:sz w:val="28"/>
              <w:szCs w:val="28"/>
              <w:lang w:val="uk-UA"/>
            </w:rPr>
            <m:t>*External debt +</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3</m:t>
              </m:r>
            </m:sub>
          </m:sSub>
          <m:r>
            <m:rPr>
              <m:sty m:val="bi"/>
            </m:rPr>
            <w:rPr>
              <w:rFonts w:ascii="Cambria Math" w:hAnsi="Cambria Math" w:cs="Times New Roman"/>
              <w:sz w:val="28"/>
              <w:szCs w:val="28"/>
              <w:lang w:val="uk-UA"/>
            </w:rPr>
            <m:t>*Exchange rate+</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en-US"/>
                </w:rPr>
                <m:t>a</m:t>
              </m:r>
            </m:e>
            <m:sub>
              <m:r>
                <m:rPr>
                  <m:sty m:val="bi"/>
                </m:rPr>
                <w:rPr>
                  <w:rFonts w:ascii="Cambria Math" w:hAnsi="Cambria Math" w:cs="Times New Roman"/>
                  <w:sz w:val="28"/>
                  <w:szCs w:val="28"/>
                  <w:lang w:val="uk-UA"/>
                </w:rPr>
                <m:t xml:space="preserve">4 </m:t>
              </m:r>
            </m:sub>
          </m:sSub>
          <m:r>
            <m:rPr>
              <m:sty m:val="bi"/>
            </m:rPr>
            <w:rPr>
              <w:rFonts w:ascii="Cambria Math" w:hAnsi="Cambria Math" w:cs="Times New Roman"/>
              <w:sz w:val="28"/>
              <w:szCs w:val="28"/>
              <w:lang w:val="uk-UA"/>
            </w:rPr>
            <m:t>*CPI+</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en-US"/>
                </w:rPr>
                <m:t>a</m:t>
              </m:r>
            </m:e>
            <m:sub>
              <m:r>
                <m:rPr>
                  <m:sty m:val="bi"/>
                </m:rPr>
                <w:rPr>
                  <w:rFonts w:ascii="Cambria Math" w:hAnsi="Cambria Math" w:cs="Times New Roman"/>
                  <w:sz w:val="28"/>
                  <w:szCs w:val="28"/>
                  <w:lang w:val="uk-UA"/>
                </w:rPr>
                <m:t xml:space="preserve">5 </m:t>
              </m:r>
            </m:sub>
          </m:sSub>
          <m:r>
            <m:rPr>
              <m:sty m:val="bi"/>
            </m:rPr>
            <w:rPr>
              <w:rFonts w:ascii="Cambria Math" w:hAnsi="Cambria Math" w:cs="Times New Roman"/>
              <w:sz w:val="28"/>
              <w:szCs w:val="28"/>
              <w:lang w:val="uk-UA"/>
            </w:rPr>
            <m:t>*M</m:t>
          </m:r>
          <m:r>
            <m:rPr>
              <m:sty m:val="bi"/>
            </m:rPr>
            <w:rPr>
              <w:rFonts w:ascii="Cambria Math" w:hAnsi="Cambria Math" w:cs="Times New Roman"/>
              <w:sz w:val="28"/>
              <w:szCs w:val="28"/>
              <w:lang w:val="uk-UA"/>
            </w:rPr>
            <m:t>1</m:t>
          </m:r>
        </m:oMath>
      </m:oMathPara>
    </w:p>
    <w:p w14:paraId="324E8BE1" w14:textId="77777777"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Результати моделі передбачають:</w:t>
      </w:r>
    </w:p>
    <w:p w14:paraId="0A58F7B4" w14:textId="77777777" w:rsidR="00507D30" w:rsidRPr="007626F7" w:rsidRDefault="00507D30" w:rsidP="007626F7">
      <w:pPr>
        <w:pStyle w:val="a4"/>
        <w:numPr>
          <w:ilvl w:val="0"/>
          <w:numId w:val="1"/>
        </w:numPr>
        <w:spacing w:after="0" w:line="360" w:lineRule="auto"/>
        <w:rPr>
          <w:rFonts w:ascii="Times New Roman" w:hAnsi="Times New Roman" w:cs="Times New Roman"/>
          <w:sz w:val="28"/>
          <w:szCs w:val="28"/>
          <w:lang w:val="en-US"/>
        </w:rPr>
      </w:pPr>
      <w:r w:rsidRPr="007626F7">
        <w:rPr>
          <w:rFonts w:ascii="Times New Roman" w:hAnsi="Times New Roman" w:cs="Times New Roman"/>
          <w:sz w:val="28"/>
          <w:szCs w:val="28"/>
          <w:lang w:val="uk-UA"/>
        </w:rPr>
        <w:t xml:space="preserve"> Interest rate ↑ − </w:t>
      </w:r>
      <w:r w:rsidRPr="007626F7">
        <w:rPr>
          <w:rFonts w:ascii="Times New Roman" w:hAnsi="Times New Roman" w:cs="Times New Roman"/>
          <w:sz w:val="28"/>
          <w:szCs w:val="28"/>
          <w:lang w:val="en-US"/>
        </w:rPr>
        <w:t>GDP ↓</w:t>
      </w:r>
    </w:p>
    <w:p w14:paraId="12237A60" w14:textId="77777777" w:rsidR="00507D30" w:rsidRPr="007626F7" w:rsidRDefault="00507D30" w:rsidP="007626F7">
      <w:pPr>
        <w:pStyle w:val="a4"/>
        <w:numPr>
          <w:ilvl w:val="0"/>
          <w:numId w:val="1"/>
        </w:num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External debt ↑ − </w:t>
      </w:r>
      <w:r w:rsidRPr="007626F7">
        <w:rPr>
          <w:rFonts w:ascii="Times New Roman" w:hAnsi="Times New Roman" w:cs="Times New Roman"/>
          <w:sz w:val="28"/>
          <w:szCs w:val="28"/>
          <w:lang w:val="en-US"/>
        </w:rPr>
        <w:t>GDP</w:t>
      </w:r>
      <w:r w:rsidRPr="007626F7">
        <w:rPr>
          <w:rFonts w:ascii="Times New Roman" w:hAnsi="Times New Roman" w:cs="Times New Roman"/>
          <w:sz w:val="28"/>
          <w:szCs w:val="28"/>
          <w:lang w:val="uk-UA"/>
        </w:rPr>
        <w:t xml:space="preserve"> ↓</w:t>
      </w:r>
    </w:p>
    <w:p w14:paraId="761A8160" w14:textId="77777777" w:rsidR="00507D30" w:rsidRPr="007626F7" w:rsidRDefault="00507D30" w:rsidP="007626F7">
      <w:pPr>
        <w:pStyle w:val="a4"/>
        <w:numPr>
          <w:ilvl w:val="0"/>
          <w:numId w:val="1"/>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Exchange rate ↑ − </w:t>
      </w:r>
      <w:r w:rsidRPr="007626F7">
        <w:rPr>
          <w:rFonts w:ascii="Times New Roman" w:hAnsi="Times New Roman" w:cs="Times New Roman"/>
          <w:sz w:val="28"/>
          <w:szCs w:val="28"/>
          <w:lang w:val="en-US"/>
        </w:rPr>
        <w:t>GDP</w:t>
      </w:r>
      <w:r w:rsidRPr="007626F7">
        <w:rPr>
          <w:rFonts w:ascii="Times New Roman" w:hAnsi="Times New Roman" w:cs="Times New Roman"/>
          <w:sz w:val="28"/>
          <w:szCs w:val="28"/>
          <w:lang w:val="uk-UA"/>
        </w:rPr>
        <w:t xml:space="preserve"> ↓</w:t>
      </w:r>
    </w:p>
    <w:p w14:paraId="71E22B2B" w14:textId="77777777" w:rsidR="00507D30" w:rsidRPr="007626F7" w:rsidRDefault="00507D30" w:rsidP="007626F7">
      <w:pPr>
        <w:pStyle w:val="a4"/>
        <w:numPr>
          <w:ilvl w:val="0"/>
          <w:numId w:val="1"/>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CPI</w:t>
      </w:r>
      <w:r w:rsidRPr="007626F7">
        <w:rPr>
          <w:rFonts w:ascii="Times New Roman" w:hAnsi="Times New Roman" w:cs="Times New Roman"/>
          <w:sz w:val="28"/>
          <w:szCs w:val="28"/>
          <w:lang w:val="en-US"/>
        </w:rPr>
        <w:t xml:space="preserve"> </w:t>
      </w:r>
      <w:r w:rsidRPr="007626F7">
        <w:rPr>
          <w:rFonts w:ascii="Times New Roman" w:hAnsi="Times New Roman" w:cs="Times New Roman"/>
          <w:sz w:val="28"/>
          <w:szCs w:val="28"/>
          <w:lang w:val="uk-UA"/>
        </w:rPr>
        <w:t>↑ − GDP ↓</w:t>
      </w:r>
    </w:p>
    <w:p w14:paraId="0C9F1506" w14:textId="77777777" w:rsidR="00507D30" w:rsidRPr="007626F7" w:rsidRDefault="00507D30" w:rsidP="007626F7">
      <w:pPr>
        <w:pStyle w:val="a4"/>
        <w:numPr>
          <w:ilvl w:val="0"/>
          <w:numId w:val="1"/>
        </w:num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М1↑ − GDP ↑</w:t>
      </w:r>
    </w:p>
    <w:p w14:paraId="133B547E" w14:textId="61328062" w:rsidR="00507D30" w:rsidRPr="007626F7" w:rsidRDefault="00507D30" w:rsidP="007626F7">
      <w:pPr>
        <w:spacing w:after="0" w:line="360" w:lineRule="auto"/>
        <w:ind w:firstLine="709"/>
        <w:jc w:val="both"/>
        <w:rPr>
          <w:rFonts w:ascii="Times New Roman" w:eastAsiaTheme="minorEastAsia" w:hAnsi="Times New Roman" w:cs="Times New Roman"/>
          <w:sz w:val="28"/>
          <w:szCs w:val="28"/>
          <w:lang w:val="uk-UA"/>
        </w:rPr>
      </w:pPr>
      <w:r w:rsidRPr="007626F7">
        <w:rPr>
          <w:rFonts w:ascii="Times New Roman" w:eastAsiaTheme="minorEastAsia" w:hAnsi="Times New Roman" w:cs="Times New Roman"/>
          <w:sz w:val="28"/>
          <w:szCs w:val="28"/>
        </w:rPr>
        <w:t xml:space="preserve">Розглянемо </w:t>
      </w:r>
      <w:r w:rsidRPr="007626F7">
        <w:rPr>
          <w:rFonts w:ascii="Times New Roman" w:eastAsiaTheme="minorEastAsia" w:hAnsi="Times New Roman" w:cs="Times New Roman"/>
          <w:sz w:val="28"/>
          <w:szCs w:val="28"/>
          <w:lang w:val="uk-UA"/>
        </w:rPr>
        <w:t>результати детальніше</w:t>
      </w:r>
      <w:r w:rsidR="003236B7" w:rsidRPr="007626F7">
        <w:rPr>
          <w:rFonts w:ascii="Times New Roman" w:eastAsiaTheme="minorEastAsia" w:hAnsi="Times New Roman" w:cs="Times New Roman"/>
          <w:sz w:val="28"/>
          <w:szCs w:val="28"/>
          <w:lang w:val="uk-UA"/>
        </w:rPr>
        <w:t xml:space="preserve"> у таблиці (Додаток </w:t>
      </w:r>
      <w:r w:rsidR="00FD00A9" w:rsidRPr="007626F7">
        <w:rPr>
          <w:rFonts w:ascii="Times New Roman" w:eastAsiaTheme="minorEastAsia" w:hAnsi="Times New Roman" w:cs="Times New Roman"/>
          <w:sz w:val="28"/>
          <w:szCs w:val="28"/>
          <w:lang w:val="uk-UA"/>
        </w:rPr>
        <w:t>И</w:t>
      </w:r>
      <w:r w:rsidR="00457C58" w:rsidRPr="007626F7">
        <w:rPr>
          <w:rFonts w:ascii="Times New Roman" w:eastAsiaTheme="minorEastAsia" w:hAnsi="Times New Roman" w:cs="Times New Roman"/>
          <w:sz w:val="28"/>
          <w:szCs w:val="28"/>
          <w:lang w:val="uk-UA"/>
        </w:rPr>
        <w:t>.1</w:t>
      </w:r>
      <w:r w:rsidR="003236B7" w:rsidRPr="007626F7">
        <w:rPr>
          <w:rFonts w:ascii="Times New Roman" w:eastAsiaTheme="minorEastAsia" w:hAnsi="Times New Roman" w:cs="Times New Roman"/>
          <w:sz w:val="28"/>
          <w:szCs w:val="28"/>
          <w:lang w:val="uk-UA"/>
        </w:rPr>
        <w:t xml:space="preserve">). </w:t>
      </w:r>
      <w:r w:rsidRPr="007626F7">
        <w:rPr>
          <w:rFonts w:ascii="Times New Roman" w:hAnsi="Times New Roman" w:cs="Times New Roman"/>
          <w:sz w:val="28"/>
          <w:szCs w:val="28"/>
        </w:rPr>
        <w:t xml:space="preserve">За </w:t>
      </w:r>
      <w:r w:rsidR="003C3DA8" w:rsidRPr="007626F7">
        <w:rPr>
          <w:rFonts w:ascii="Times New Roman" w:hAnsi="Times New Roman" w:cs="Times New Roman"/>
          <w:sz w:val="28"/>
          <w:szCs w:val="28"/>
          <w:lang w:val="uk-UA"/>
        </w:rPr>
        <w:t xml:space="preserve">допомогою </w:t>
      </w:r>
      <w:r w:rsidRPr="007626F7">
        <w:rPr>
          <w:rFonts w:ascii="Times New Roman" w:hAnsi="Times New Roman" w:cs="Times New Roman"/>
          <w:sz w:val="28"/>
          <w:szCs w:val="28"/>
        </w:rPr>
        <w:t xml:space="preserve">показника R-квадрату можна оцінити наскільки вибрані фактори пояснюють залежну змінну. Чим ближче R квадрат до 1 – тим краща якість модель. У даній моделі R-квадрат = </w:t>
      </w:r>
      <w:r w:rsidRPr="007626F7">
        <w:rPr>
          <w:rFonts w:ascii="Times New Roman" w:hAnsi="Times New Roman" w:cs="Times New Roman"/>
          <w:sz w:val="28"/>
          <w:szCs w:val="28"/>
          <w:lang w:val="uk-UA"/>
        </w:rPr>
        <w:t>0</w:t>
      </w:r>
      <w:r w:rsidRPr="007626F7">
        <w:rPr>
          <w:rFonts w:ascii="Times New Roman" w:hAnsi="Times New Roman" w:cs="Times New Roman"/>
          <w:sz w:val="28"/>
          <w:szCs w:val="28"/>
        </w:rPr>
        <w:t>,928</w:t>
      </w:r>
      <w:r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rPr>
        <w:t>і це означає, що вибрані фактори пояснюю залежну змінну на 9</w:t>
      </w:r>
      <w:r w:rsidRPr="007626F7">
        <w:rPr>
          <w:rFonts w:ascii="Times New Roman" w:hAnsi="Times New Roman" w:cs="Times New Roman"/>
          <w:sz w:val="28"/>
          <w:szCs w:val="28"/>
          <w:lang w:val="uk-UA"/>
        </w:rPr>
        <w:t>2</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8</w:t>
      </w:r>
      <w:r w:rsidRPr="007626F7">
        <w:rPr>
          <w:rFonts w:ascii="Times New Roman" w:hAnsi="Times New Roman" w:cs="Times New Roman"/>
          <w:sz w:val="28"/>
          <w:szCs w:val="28"/>
        </w:rPr>
        <w:t xml:space="preserve">%, що є </w:t>
      </w:r>
      <w:r w:rsidRPr="007626F7">
        <w:rPr>
          <w:rFonts w:ascii="Times New Roman" w:hAnsi="Times New Roman" w:cs="Times New Roman"/>
          <w:sz w:val="28"/>
          <w:szCs w:val="28"/>
          <w:lang w:val="uk-UA"/>
        </w:rPr>
        <w:t xml:space="preserve">непоганим </w:t>
      </w:r>
      <w:r w:rsidRPr="007626F7">
        <w:rPr>
          <w:rFonts w:ascii="Times New Roman" w:hAnsi="Times New Roman" w:cs="Times New Roman"/>
          <w:sz w:val="28"/>
          <w:szCs w:val="28"/>
        </w:rPr>
        <w:t>показником</w:t>
      </w:r>
      <w:r w:rsidRPr="007626F7">
        <w:rPr>
          <w:rFonts w:ascii="Times New Roman" w:hAnsi="Times New Roman" w:cs="Times New Roman"/>
          <w:sz w:val="28"/>
          <w:szCs w:val="28"/>
          <w:lang w:val="uk-UA"/>
        </w:rPr>
        <w:t xml:space="preserve"> для моделі</w:t>
      </w:r>
      <w:r w:rsidRPr="007626F7">
        <w:rPr>
          <w:rFonts w:ascii="Times New Roman" w:hAnsi="Times New Roman" w:cs="Times New Roman"/>
          <w:sz w:val="28"/>
          <w:szCs w:val="28"/>
        </w:rPr>
        <w:t xml:space="preserve">. </w:t>
      </w:r>
    </w:p>
    <w:p w14:paraId="466C5792" w14:textId="398C5D70"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Згідно з таблицею</w:t>
      </w:r>
      <w:r w:rsidR="00D9391E" w:rsidRPr="007626F7">
        <w:rPr>
          <w:rFonts w:ascii="Times New Roman" w:hAnsi="Times New Roman" w:cs="Times New Roman"/>
          <w:sz w:val="28"/>
          <w:szCs w:val="28"/>
          <w:lang w:val="uk-UA"/>
        </w:rPr>
        <w:t xml:space="preserve"> (див. Д</w:t>
      </w:r>
      <w:r w:rsidR="001C3A0F" w:rsidRPr="007626F7">
        <w:rPr>
          <w:rFonts w:ascii="Times New Roman" w:hAnsi="Times New Roman" w:cs="Times New Roman"/>
          <w:sz w:val="28"/>
          <w:szCs w:val="28"/>
          <w:lang w:val="uk-UA"/>
        </w:rPr>
        <w:t>отаток</w:t>
      </w:r>
      <w:r w:rsidR="00FD00A9" w:rsidRPr="007626F7">
        <w:rPr>
          <w:rFonts w:ascii="Times New Roman" w:hAnsi="Times New Roman" w:cs="Times New Roman"/>
          <w:sz w:val="28"/>
          <w:szCs w:val="28"/>
          <w:lang w:val="uk-UA"/>
        </w:rPr>
        <w:t xml:space="preserve"> И</w:t>
      </w:r>
      <w:r w:rsidR="00457C58" w:rsidRPr="007626F7">
        <w:rPr>
          <w:rFonts w:ascii="Times New Roman" w:hAnsi="Times New Roman" w:cs="Times New Roman"/>
          <w:sz w:val="28"/>
          <w:szCs w:val="28"/>
          <w:lang w:val="uk-UA"/>
        </w:rPr>
        <w:t>.2</w:t>
      </w:r>
      <w:r w:rsidR="001C3A0F" w:rsidRPr="007626F7">
        <w:rPr>
          <w:rFonts w:ascii="Times New Roman" w:hAnsi="Times New Roman" w:cs="Times New Roman"/>
          <w:sz w:val="28"/>
          <w:szCs w:val="28"/>
          <w:lang w:val="uk-UA"/>
        </w:rPr>
        <w:t>)</w:t>
      </w:r>
      <w:r w:rsidRPr="007626F7">
        <w:rPr>
          <w:rFonts w:ascii="Times New Roman" w:hAnsi="Times New Roman" w:cs="Times New Roman"/>
          <w:sz w:val="28"/>
          <w:szCs w:val="28"/>
          <w:lang w:val="uk-UA"/>
        </w:rPr>
        <w:t xml:space="preserve">, де наведені стандартизовані коефіцієнти, можна побачити, що найбільший вплив на ВВП України має грошова маса (0,797), так як абсолютне значення модуля стандартизованого коефіцієнту показує чи е вплив на залежну змінну, тобто при рості грошової маси в країні на одну стандартну позначку ВВП збільшується на (0,797). Можна сказати скоріше, що якщо у країні збільшилось кількість грошей це говорить про стимулювання економіки, що в свою чергу і стимулює виробництво в країні, а тобто ВВП. Наступним за впливом показником є валютний курс, при рості валютного курсу на 1 стандартну позначку ВВП збільшується на (0,245). Далі по рейтингу впливу знаходиться зовнішній борг, який має зворотну залежність з ВВП, тобто при рості зовнішнього боргу на 1 стандартну позначку ВВП країни зменшується на (-0,124). Далі знаходиться показник рівня цін, який теж має зворотну залежність, при рості рівня цін </w:t>
      </w:r>
      <w:r w:rsidRPr="007626F7">
        <w:rPr>
          <w:rFonts w:ascii="Times New Roman" w:hAnsi="Times New Roman" w:cs="Times New Roman"/>
        </w:rPr>
        <w:t xml:space="preserve"> </w:t>
      </w:r>
      <w:r w:rsidRPr="007626F7">
        <w:rPr>
          <w:rFonts w:ascii="Times New Roman" w:hAnsi="Times New Roman" w:cs="Times New Roman"/>
          <w:sz w:val="28"/>
          <w:szCs w:val="28"/>
          <w:lang w:val="uk-UA"/>
        </w:rPr>
        <w:t>на 1 стандартну позначку ВВП країни зменшується на ( -0,080). Останнім за впливом на ВВП України є відсоткова ставка, при рості відсоткової ставки на 1 стандартну позначку ВВП країни збільшується  на (0,037).</w:t>
      </w:r>
    </w:p>
    <w:p w14:paraId="45685C79"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проаналізуємо коефіцієнт Стьюдента (T). Не всі показники перевищують критерій, який дорівнює 2,2 по модулю.  Таким чином показники мають суттєвий вплив на залежну змінну мають тільки валютний курс та грошова маса.</w:t>
      </w:r>
    </w:p>
    <w:p w14:paraId="4FB05F07"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Наступним буде проаналізований  показник значимості, який вкаже на рівень значимості α. Найбільший рівень значимості має грошова маса, значимість якої 1%</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і це означає, що  існує лише 1% шанс, що коефіцієнт змінної дорівнює нулю і 99%, що він статистично відрізняється від 0. Рівень значимості 5% мають зовнішній борг, валютний курс та рівень цін, тобто що  існує 5% шанс, що коефіцієнт змінної дорівнює нулю і 99%,</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що він статистично відрізняється від 0. Щодо показника відсоткової ставки, то він не має значимості на ВВП, він статистично не відрізняється від нуля.</w:t>
      </w:r>
    </w:p>
    <w:p w14:paraId="3C3A7DEA" w14:textId="3C04CAFC" w:rsidR="00507D30"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отримуємо таку кінчену модель:</w:t>
      </w:r>
    </w:p>
    <w:p w14:paraId="1EEBEB62" w14:textId="77777777" w:rsidR="005D531E" w:rsidRPr="007626F7" w:rsidRDefault="005D531E" w:rsidP="007626F7">
      <w:pPr>
        <w:spacing w:after="0" w:line="360" w:lineRule="auto"/>
        <w:ind w:firstLine="720"/>
        <w:jc w:val="both"/>
        <w:rPr>
          <w:rFonts w:ascii="Times New Roman" w:hAnsi="Times New Roman" w:cs="Times New Roman"/>
          <w:sz w:val="28"/>
          <w:szCs w:val="28"/>
          <w:lang w:val="uk-UA"/>
        </w:rPr>
      </w:pPr>
    </w:p>
    <w:p w14:paraId="2AFD42D7" w14:textId="77777777" w:rsidR="00507D30" w:rsidRPr="007626F7" w:rsidRDefault="00507D30" w:rsidP="007626F7">
      <w:pPr>
        <w:spacing w:after="0" w:line="360" w:lineRule="auto"/>
        <w:ind w:firstLine="709"/>
        <w:jc w:val="both"/>
        <w:rPr>
          <w:rFonts w:ascii="Times New Roman" w:eastAsiaTheme="minorEastAsia" w:hAnsi="Times New Roman" w:cs="Times New Roman"/>
          <w:b/>
          <w:bCs/>
          <w:sz w:val="28"/>
          <w:szCs w:val="28"/>
          <w:lang w:val="uk-UA"/>
        </w:rPr>
      </w:pPr>
      <m:oMathPara>
        <m:oMath>
          <m:r>
            <m:rPr>
              <m:sty m:val="bi"/>
            </m:rPr>
            <w:rPr>
              <w:rFonts w:ascii="Cambria Math" w:eastAsiaTheme="minorEastAsia" w:hAnsi="Cambria Math" w:cs="Times New Roman"/>
              <w:sz w:val="28"/>
              <w:szCs w:val="28"/>
              <w:lang w:val="uk-UA"/>
            </w:rPr>
            <w:lastRenderedPageBreak/>
            <m:t>GDP=-0,124* External debt+ 0,245 * Exch</m:t>
          </m:r>
          <m:r>
            <m:rPr>
              <m:sty m:val="bi"/>
            </m:rPr>
            <w:rPr>
              <w:rFonts w:ascii="Cambria Math" w:eastAsiaTheme="minorEastAsia" w:hAnsi="Cambria Math" w:cs="Times New Roman"/>
              <w:sz w:val="28"/>
              <w:szCs w:val="28"/>
              <w:lang w:val="uk-UA"/>
            </w:rPr>
            <m:t>ange rate-</m:t>
          </m:r>
        </m:oMath>
      </m:oMathPara>
    </w:p>
    <w:p w14:paraId="50F9FADC" w14:textId="77777777" w:rsidR="00507D30" w:rsidRPr="007626F7" w:rsidRDefault="00507D30" w:rsidP="007626F7">
      <w:pPr>
        <w:spacing w:after="0" w:line="360" w:lineRule="auto"/>
        <w:ind w:firstLine="709"/>
        <w:jc w:val="both"/>
        <w:rPr>
          <w:rFonts w:ascii="Times New Roman" w:eastAsiaTheme="minorEastAsia" w:hAnsi="Times New Roman" w:cs="Times New Roman"/>
          <w:sz w:val="28"/>
          <w:szCs w:val="28"/>
          <w:lang w:val="en-US"/>
        </w:rPr>
      </w:pPr>
      <w:r w:rsidRPr="007626F7">
        <w:rPr>
          <w:rFonts w:ascii="Times New Roman" w:eastAsiaTheme="minorEastAsia" w:hAnsi="Times New Roman" w:cs="Times New Roman"/>
          <w:sz w:val="28"/>
          <w:szCs w:val="28"/>
          <w:lang w:val="uk-UA"/>
        </w:rPr>
        <w:t xml:space="preserve">                         (-2,089**)</w:t>
      </w:r>
      <w:r w:rsidRPr="007626F7">
        <w:rPr>
          <w:rFonts w:ascii="Times New Roman" w:hAnsi="Times New Roman" w:cs="Times New Roman"/>
          <w:sz w:val="28"/>
          <w:szCs w:val="28"/>
          <w:lang w:val="uk-UA"/>
        </w:rPr>
        <w:t xml:space="preserve">                               (2,575**)  </w:t>
      </w:r>
    </w:p>
    <w:p w14:paraId="2119B213" w14:textId="77777777" w:rsidR="00507D30" w:rsidRPr="007626F7" w:rsidRDefault="00507D30" w:rsidP="007626F7">
      <w:pPr>
        <w:spacing w:after="0" w:line="360" w:lineRule="auto"/>
        <w:jc w:val="both"/>
        <w:rPr>
          <w:rFonts w:ascii="Times New Roman" w:eastAsiaTheme="minorEastAsia" w:hAnsi="Times New Roman" w:cs="Times New Roman"/>
          <w:b/>
          <w:bCs/>
          <w:sz w:val="28"/>
          <w:szCs w:val="28"/>
          <w:lang w:val="uk-UA"/>
        </w:rPr>
      </w:pPr>
      <m:oMathPara>
        <m:oMath>
          <m:r>
            <m:rPr>
              <m:sty m:val="bi"/>
            </m:rPr>
            <w:rPr>
              <w:rFonts w:ascii="Cambria Math" w:eastAsiaTheme="minorEastAsia" w:hAnsi="Cambria Math" w:cs="Times New Roman"/>
              <w:sz w:val="28"/>
              <w:szCs w:val="28"/>
              <w:lang w:val="uk-UA"/>
            </w:rPr>
            <m:t>-0,080*CPI+0,797*M</m:t>
          </m:r>
          <m:r>
            <m:rPr>
              <m:sty m:val="bi"/>
            </m:rPr>
            <w:rPr>
              <w:rFonts w:ascii="Cambria Math" w:eastAsiaTheme="minorEastAsia" w:hAnsi="Cambria Math" w:cs="Times New Roman"/>
              <w:sz w:val="28"/>
              <w:szCs w:val="28"/>
              <w:lang w:val="uk-UA"/>
            </w:rPr>
            <m:t>1</m:t>
          </m:r>
        </m:oMath>
      </m:oMathPara>
    </w:p>
    <w:p w14:paraId="71D148CF" w14:textId="77777777" w:rsidR="00507D30" w:rsidRPr="007626F7" w:rsidRDefault="00507D30" w:rsidP="007626F7">
      <w:pPr>
        <w:spacing w:after="0" w:line="360" w:lineRule="auto"/>
        <w:ind w:firstLine="709"/>
        <w:jc w:val="center"/>
        <w:rPr>
          <w:rFonts w:ascii="Times New Roman" w:eastAsiaTheme="minorEastAsia" w:hAnsi="Times New Roman" w:cs="Times New Roman"/>
          <w:i/>
          <w:sz w:val="28"/>
          <w:szCs w:val="28"/>
          <w:lang w:val="en-US"/>
        </w:rPr>
      </w:pPr>
      <w:r w:rsidRPr="007626F7">
        <w:rPr>
          <w:rFonts w:ascii="Times New Roman" w:eastAsiaTheme="minorEastAsia" w:hAnsi="Times New Roman" w:cs="Times New Roman"/>
          <w:i/>
          <w:sz w:val="28"/>
          <w:szCs w:val="28"/>
          <w:lang w:val="en-US"/>
        </w:rPr>
        <w:t>(-2,045**)       (7,150***)</w:t>
      </w:r>
    </w:p>
    <w:p w14:paraId="04E3191A" w14:textId="77777777" w:rsidR="00507D30" w:rsidRPr="007626F7" w:rsidRDefault="00507D30" w:rsidP="007626F7">
      <w:pPr>
        <w:spacing w:after="0" w:line="360" w:lineRule="auto"/>
        <w:ind w:firstLine="709"/>
        <w:jc w:val="both"/>
        <w:rPr>
          <w:rFonts w:ascii="Times New Roman" w:hAnsi="Times New Roman" w:cs="Times New Roman"/>
          <w:bCs/>
          <w:sz w:val="28"/>
          <w:szCs w:val="28"/>
          <w:lang w:val="uk-UA"/>
        </w:rPr>
      </w:pPr>
      <w:r w:rsidRPr="007626F7">
        <w:rPr>
          <w:rFonts w:ascii="Times New Roman" w:hAnsi="Times New Roman" w:cs="Times New Roman"/>
          <w:bCs/>
          <w:sz w:val="28"/>
          <w:szCs w:val="28"/>
          <w:lang w:val="uk-UA"/>
        </w:rPr>
        <w:t>Адекватність моделі показана:</w:t>
      </w:r>
    </w:p>
    <w:p w14:paraId="17469D24" w14:textId="77777777" w:rsidR="00507D30" w:rsidRPr="007626F7" w:rsidRDefault="00507D30" w:rsidP="007626F7">
      <w:pPr>
        <w:pStyle w:val="a4"/>
        <w:numPr>
          <w:ilvl w:val="0"/>
          <w:numId w:val="3"/>
        </w:numPr>
        <w:spacing w:after="0" w:line="360" w:lineRule="auto"/>
        <w:jc w:val="both"/>
        <w:rPr>
          <w:rFonts w:ascii="Times New Roman" w:hAnsi="Times New Roman" w:cs="Times New Roman"/>
          <w:bCs/>
          <w:sz w:val="28"/>
          <w:szCs w:val="28"/>
          <w:lang w:val="uk-UA"/>
        </w:rPr>
      </w:pPr>
      <w:r w:rsidRPr="007626F7">
        <w:rPr>
          <w:rFonts w:ascii="Times New Roman" w:hAnsi="Times New Roman" w:cs="Times New Roman"/>
          <w:bCs/>
          <w:sz w:val="28"/>
          <w:szCs w:val="28"/>
          <w:lang w:val="uk-UA"/>
        </w:rPr>
        <w:t>Є 1 коефіцієнт зі значимістю 1% (***); 3 коефіцієнти зі значимістю 5% (**) і один який не має значимості.</w:t>
      </w:r>
    </w:p>
    <w:p w14:paraId="0B072561" w14:textId="77777777" w:rsidR="00507D30" w:rsidRPr="007626F7" w:rsidRDefault="00507D30" w:rsidP="007626F7">
      <w:pPr>
        <w:pStyle w:val="a4"/>
        <w:numPr>
          <w:ilvl w:val="0"/>
          <w:numId w:val="3"/>
        </w:numPr>
        <w:spacing w:after="0" w:line="360" w:lineRule="auto"/>
        <w:jc w:val="both"/>
        <w:rPr>
          <w:rFonts w:ascii="Times New Roman" w:hAnsi="Times New Roman" w:cs="Times New Roman"/>
          <w:bCs/>
          <w:sz w:val="28"/>
          <w:szCs w:val="28"/>
          <w:lang w:val="uk-UA"/>
        </w:rPr>
      </w:pPr>
      <w:r w:rsidRPr="007626F7">
        <w:rPr>
          <w:rFonts w:ascii="Times New Roman" w:hAnsi="Times New Roman" w:cs="Times New Roman"/>
          <w:bCs/>
          <w:sz w:val="28"/>
          <w:szCs w:val="28"/>
          <w:lang w:val="uk-UA"/>
        </w:rPr>
        <w:t>R-квадрат =0,928   (92,8%).</w:t>
      </w:r>
    </w:p>
    <w:p w14:paraId="2C31AFAA" w14:textId="77777777" w:rsidR="00507D30" w:rsidRPr="007626F7" w:rsidRDefault="00507D30" w:rsidP="007626F7">
      <w:pPr>
        <w:pStyle w:val="a4"/>
        <w:numPr>
          <w:ilvl w:val="0"/>
          <w:numId w:val="3"/>
        </w:numPr>
        <w:spacing w:after="0" w:line="360" w:lineRule="auto"/>
        <w:jc w:val="both"/>
        <w:rPr>
          <w:rFonts w:ascii="Times New Roman" w:hAnsi="Times New Roman" w:cs="Times New Roman"/>
          <w:bCs/>
          <w:sz w:val="28"/>
          <w:szCs w:val="28"/>
          <w:lang w:val="uk-UA"/>
        </w:rPr>
      </w:pPr>
      <w:r w:rsidRPr="007626F7">
        <w:rPr>
          <w:rFonts w:ascii="Times New Roman" w:hAnsi="Times New Roman" w:cs="Times New Roman"/>
          <w:bCs/>
          <w:sz w:val="28"/>
          <w:szCs w:val="28"/>
          <w:lang w:val="uk-UA"/>
        </w:rPr>
        <w:t>F = 172,609 що перевищує F-критерій.</w:t>
      </w:r>
    </w:p>
    <w:p w14:paraId="092CD3CB"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буде проведено  регресійний аналіз для підтвердження теоретичної залежності між ВВП (</w:t>
      </w:r>
      <w:r w:rsidRPr="007626F7">
        <w:rPr>
          <w:rFonts w:ascii="Times New Roman" w:hAnsi="Times New Roman" w:cs="Times New Roman"/>
          <w:sz w:val="28"/>
          <w:szCs w:val="28"/>
          <w:lang w:val="en-US"/>
        </w:rPr>
        <w:t>GDP</w:t>
      </w:r>
      <w:r w:rsidRPr="007626F7">
        <w:rPr>
          <w:rFonts w:ascii="Times New Roman" w:hAnsi="Times New Roman" w:cs="Times New Roman"/>
          <w:sz w:val="28"/>
          <w:szCs w:val="28"/>
          <w:lang w:val="uk-UA"/>
        </w:rPr>
        <w:t>) Швейцарії, що у розрахунку є залежною змінною  і такими незалежними змінними, як:</w:t>
      </w:r>
    </w:p>
    <w:p w14:paraId="17C5CDB8" w14:textId="77777777" w:rsidR="00507D30" w:rsidRPr="007626F7" w:rsidRDefault="00507D30" w:rsidP="007626F7">
      <w:pPr>
        <w:pStyle w:val="a4"/>
        <w:numPr>
          <w:ilvl w:val="0"/>
          <w:numId w:val="4"/>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Відсоткова ставка </w:t>
      </w:r>
      <w:r w:rsidRPr="007626F7">
        <w:rPr>
          <w:rFonts w:ascii="Times New Roman" w:hAnsi="Times New Roman" w:cs="Times New Roman"/>
          <w:sz w:val="28"/>
          <w:szCs w:val="28"/>
          <w:lang w:val="en-US"/>
        </w:rPr>
        <w:t>(I</w:t>
      </w:r>
      <w:r w:rsidRPr="007626F7">
        <w:rPr>
          <w:rFonts w:ascii="Times New Roman" w:hAnsi="Times New Roman" w:cs="Times New Roman"/>
          <w:sz w:val="28"/>
          <w:szCs w:val="28"/>
          <w:lang w:val="uk-UA"/>
        </w:rPr>
        <w:t>nterest rate</w:t>
      </w:r>
      <w:r w:rsidRPr="007626F7">
        <w:rPr>
          <w:rFonts w:ascii="Times New Roman" w:hAnsi="Times New Roman" w:cs="Times New Roman"/>
          <w:sz w:val="28"/>
          <w:szCs w:val="28"/>
          <w:lang w:val="en-US"/>
        </w:rPr>
        <w:t>);</w:t>
      </w:r>
    </w:p>
    <w:p w14:paraId="1A71BD73" w14:textId="77777777" w:rsidR="00507D30" w:rsidRPr="007626F7" w:rsidRDefault="00507D30" w:rsidP="007626F7">
      <w:pPr>
        <w:pStyle w:val="a4"/>
        <w:numPr>
          <w:ilvl w:val="0"/>
          <w:numId w:val="4"/>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Зовнішній борг</w:t>
      </w:r>
      <w:r w:rsidRPr="007626F7">
        <w:rPr>
          <w:rFonts w:ascii="Times New Roman" w:hAnsi="Times New Roman" w:cs="Times New Roman"/>
        </w:rPr>
        <w:t xml:space="preserve"> </w:t>
      </w:r>
      <w:r w:rsidRPr="007626F7">
        <w:rPr>
          <w:rFonts w:ascii="Times New Roman" w:hAnsi="Times New Roman" w:cs="Times New Roman"/>
          <w:lang w:val="uk-UA"/>
        </w:rPr>
        <w:t>(</w:t>
      </w:r>
      <w:r w:rsidRPr="007626F7">
        <w:rPr>
          <w:rFonts w:ascii="Times New Roman" w:hAnsi="Times New Roman" w:cs="Times New Roman"/>
          <w:sz w:val="28"/>
          <w:szCs w:val="28"/>
          <w:lang w:val="uk-UA"/>
        </w:rPr>
        <w:t>External debt);</w:t>
      </w:r>
    </w:p>
    <w:p w14:paraId="187DA1B2" w14:textId="77777777" w:rsidR="00507D30" w:rsidRPr="007626F7" w:rsidRDefault="00507D30" w:rsidP="007626F7">
      <w:pPr>
        <w:pStyle w:val="a4"/>
        <w:numPr>
          <w:ilvl w:val="0"/>
          <w:numId w:val="4"/>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Валютний курс (Exchange rate);</w:t>
      </w:r>
    </w:p>
    <w:p w14:paraId="26B0F6FE" w14:textId="77777777" w:rsidR="00507D30" w:rsidRPr="007626F7" w:rsidRDefault="00507D30" w:rsidP="007626F7">
      <w:pPr>
        <w:pStyle w:val="a4"/>
        <w:numPr>
          <w:ilvl w:val="0"/>
          <w:numId w:val="4"/>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Рівень цін (</w:t>
      </w:r>
      <w:r w:rsidRPr="007626F7">
        <w:rPr>
          <w:rFonts w:ascii="Times New Roman" w:hAnsi="Times New Roman" w:cs="Times New Roman"/>
          <w:sz w:val="28"/>
          <w:szCs w:val="28"/>
          <w:lang w:val="en-US"/>
        </w:rPr>
        <w:t>CPI);</w:t>
      </w:r>
    </w:p>
    <w:p w14:paraId="6E003321" w14:textId="77777777" w:rsidR="00507D30" w:rsidRPr="007626F7" w:rsidRDefault="00507D30" w:rsidP="007626F7">
      <w:pPr>
        <w:pStyle w:val="a4"/>
        <w:numPr>
          <w:ilvl w:val="0"/>
          <w:numId w:val="4"/>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Грошова маса </w:t>
      </w:r>
      <w:r w:rsidRPr="007626F7">
        <w:rPr>
          <w:rFonts w:ascii="Times New Roman" w:hAnsi="Times New Roman" w:cs="Times New Roman"/>
          <w:sz w:val="28"/>
          <w:szCs w:val="28"/>
          <w:lang w:val="en-US"/>
        </w:rPr>
        <w:t>(</w:t>
      </w:r>
      <w:r w:rsidRPr="007626F7">
        <w:rPr>
          <w:rFonts w:ascii="Times New Roman" w:hAnsi="Times New Roman" w:cs="Times New Roman"/>
          <w:sz w:val="28"/>
          <w:szCs w:val="28"/>
          <w:lang w:val="uk-UA"/>
        </w:rPr>
        <w:t>М1</w:t>
      </w:r>
      <w:r w:rsidRPr="007626F7">
        <w:rPr>
          <w:rFonts w:ascii="Times New Roman" w:hAnsi="Times New Roman" w:cs="Times New Roman"/>
          <w:sz w:val="28"/>
          <w:szCs w:val="28"/>
          <w:lang w:val="en-US"/>
        </w:rPr>
        <w:t>).</w:t>
      </w:r>
    </w:p>
    <w:p w14:paraId="18B6766C" w14:textId="77777777"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Модель матиме такий вигляд:</w:t>
      </w:r>
    </w:p>
    <w:p w14:paraId="2AE9C369" w14:textId="4810C523" w:rsidR="00507D30" w:rsidRPr="007626F7" w:rsidRDefault="00507D30" w:rsidP="007626F7">
      <w:pPr>
        <w:spacing w:after="0" w:line="360" w:lineRule="auto"/>
        <w:jc w:val="center"/>
        <w:rPr>
          <w:rFonts w:ascii="Times New Roman" w:hAnsi="Times New Roman" w:cs="Times New Roman"/>
          <w:b/>
          <w:i/>
          <w:sz w:val="28"/>
          <w:szCs w:val="28"/>
          <w:lang w:val="uk-UA"/>
        </w:rPr>
      </w:pPr>
      <m:oMathPara>
        <m:oMath>
          <m:r>
            <m:rPr>
              <m:sty m:val="bi"/>
            </m:rPr>
            <w:rPr>
              <w:rFonts w:ascii="Cambria Math" w:hAnsi="Cambria Math" w:cs="Times New Roman"/>
              <w:sz w:val="28"/>
              <w:szCs w:val="28"/>
              <w:lang w:val="uk-UA"/>
            </w:rPr>
            <m:t>GDP=</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1</m:t>
              </m:r>
            </m:sub>
          </m:sSub>
          <m:r>
            <m:rPr>
              <m:sty m:val="bi"/>
            </m:rPr>
            <w:rPr>
              <w:rFonts w:ascii="Cambria Math" w:hAnsi="Cambria Math" w:cs="Times New Roman"/>
              <w:sz w:val="28"/>
              <w:szCs w:val="28"/>
              <w:lang w:val="uk-UA"/>
            </w:rPr>
            <m:t>*Interest rate+</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2</m:t>
              </m:r>
            </m:sub>
          </m:sSub>
          <m:r>
            <m:rPr>
              <m:sty m:val="bi"/>
            </m:rPr>
            <w:rPr>
              <w:rFonts w:ascii="Cambria Math" w:hAnsi="Cambria Math" w:cs="Times New Roman"/>
              <w:sz w:val="28"/>
              <w:szCs w:val="28"/>
              <w:lang w:val="uk-UA"/>
            </w:rPr>
            <m:t>*External debt +</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3</m:t>
              </m:r>
            </m:sub>
          </m:sSub>
          <m:r>
            <m:rPr>
              <m:sty m:val="bi"/>
            </m:rPr>
            <w:rPr>
              <w:rFonts w:ascii="Cambria Math" w:hAnsi="Cambria Math" w:cs="Times New Roman"/>
              <w:sz w:val="28"/>
              <w:szCs w:val="28"/>
              <w:lang w:val="uk-UA"/>
            </w:rPr>
            <m:t>*Exchange rat+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en-US"/>
                </w:rPr>
                <m:t>a</m:t>
              </m:r>
            </m:e>
            <m:sub>
              <m:r>
                <m:rPr>
                  <m:sty m:val="bi"/>
                </m:rPr>
                <w:rPr>
                  <w:rFonts w:ascii="Cambria Math" w:hAnsi="Cambria Math" w:cs="Times New Roman"/>
                  <w:sz w:val="28"/>
                  <w:szCs w:val="28"/>
                  <w:lang w:val="uk-UA"/>
                </w:rPr>
                <m:t xml:space="preserve">4 </m:t>
              </m:r>
            </m:sub>
          </m:sSub>
          <m:r>
            <m:rPr>
              <m:sty m:val="bi"/>
            </m:rPr>
            <w:rPr>
              <w:rFonts w:ascii="Cambria Math" w:hAnsi="Cambria Math" w:cs="Times New Roman"/>
              <w:sz w:val="28"/>
              <w:szCs w:val="28"/>
              <w:lang w:val="uk-UA"/>
            </w:rPr>
            <m:t>*CPI+</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en-US"/>
                </w:rPr>
                <m:t>a</m:t>
              </m:r>
            </m:e>
            <m:sub>
              <m:r>
                <m:rPr>
                  <m:sty m:val="bi"/>
                </m:rPr>
                <w:rPr>
                  <w:rFonts w:ascii="Cambria Math" w:hAnsi="Cambria Math" w:cs="Times New Roman"/>
                  <w:sz w:val="28"/>
                  <w:szCs w:val="28"/>
                  <w:lang w:val="uk-UA"/>
                </w:rPr>
                <m:t xml:space="preserve">5 </m:t>
              </m:r>
            </m:sub>
          </m:sSub>
          <m:r>
            <m:rPr>
              <m:sty m:val="bi"/>
            </m:rPr>
            <w:rPr>
              <w:rFonts w:ascii="Cambria Math" w:hAnsi="Cambria Math" w:cs="Times New Roman"/>
              <w:sz w:val="28"/>
              <w:szCs w:val="28"/>
              <w:lang w:val="uk-UA"/>
            </w:rPr>
            <m:t>*M</m:t>
          </m:r>
          <m:r>
            <m:rPr>
              <m:sty m:val="bi"/>
            </m:rPr>
            <w:rPr>
              <w:rFonts w:ascii="Cambria Math" w:hAnsi="Cambria Math" w:cs="Times New Roman"/>
              <w:sz w:val="28"/>
              <w:szCs w:val="28"/>
              <w:lang w:val="uk-UA"/>
            </w:rPr>
            <m:t>1</m:t>
          </m:r>
        </m:oMath>
      </m:oMathPara>
    </w:p>
    <w:p w14:paraId="64FA5322" w14:textId="77777777"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Результати моделі передбачають:</w:t>
      </w:r>
    </w:p>
    <w:p w14:paraId="72541DD5" w14:textId="77777777" w:rsidR="00507D30" w:rsidRPr="007626F7" w:rsidRDefault="00507D30" w:rsidP="007626F7">
      <w:pPr>
        <w:pStyle w:val="a4"/>
        <w:numPr>
          <w:ilvl w:val="0"/>
          <w:numId w:val="5"/>
        </w:numPr>
        <w:spacing w:after="0" w:line="360" w:lineRule="auto"/>
        <w:rPr>
          <w:rFonts w:ascii="Times New Roman" w:hAnsi="Times New Roman" w:cs="Times New Roman"/>
          <w:sz w:val="28"/>
          <w:szCs w:val="28"/>
          <w:lang w:val="en-US"/>
        </w:rPr>
      </w:pPr>
      <w:r w:rsidRPr="007626F7">
        <w:rPr>
          <w:rFonts w:ascii="Times New Roman" w:hAnsi="Times New Roman" w:cs="Times New Roman"/>
          <w:sz w:val="28"/>
          <w:szCs w:val="28"/>
          <w:lang w:val="uk-UA"/>
        </w:rPr>
        <w:t xml:space="preserve">Interest rate ↑ − </w:t>
      </w:r>
      <w:r w:rsidRPr="007626F7">
        <w:rPr>
          <w:rFonts w:ascii="Times New Roman" w:hAnsi="Times New Roman" w:cs="Times New Roman"/>
          <w:sz w:val="28"/>
          <w:szCs w:val="28"/>
          <w:lang w:val="en-US"/>
        </w:rPr>
        <w:t>GDP ↓</w:t>
      </w:r>
    </w:p>
    <w:p w14:paraId="20097675" w14:textId="77777777" w:rsidR="00507D30" w:rsidRPr="007626F7" w:rsidRDefault="00507D30" w:rsidP="007626F7">
      <w:pPr>
        <w:pStyle w:val="a4"/>
        <w:numPr>
          <w:ilvl w:val="0"/>
          <w:numId w:val="5"/>
        </w:num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External debt ↑ − </w:t>
      </w:r>
      <w:r w:rsidRPr="007626F7">
        <w:rPr>
          <w:rFonts w:ascii="Times New Roman" w:hAnsi="Times New Roman" w:cs="Times New Roman"/>
          <w:sz w:val="28"/>
          <w:szCs w:val="28"/>
          <w:lang w:val="en-US"/>
        </w:rPr>
        <w:t>GDP</w:t>
      </w:r>
      <w:r w:rsidRPr="007626F7">
        <w:rPr>
          <w:rFonts w:ascii="Times New Roman" w:hAnsi="Times New Roman" w:cs="Times New Roman"/>
          <w:sz w:val="28"/>
          <w:szCs w:val="28"/>
          <w:lang w:val="uk-UA"/>
        </w:rPr>
        <w:t xml:space="preserve"> ↓</w:t>
      </w:r>
    </w:p>
    <w:p w14:paraId="26122692" w14:textId="77777777" w:rsidR="00507D30" w:rsidRPr="007626F7" w:rsidRDefault="00507D30" w:rsidP="007626F7">
      <w:pPr>
        <w:pStyle w:val="a4"/>
        <w:numPr>
          <w:ilvl w:val="0"/>
          <w:numId w:val="5"/>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Exchange rate ↑ − </w:t>
      </w:r>
      <w:r w:rsidRPr="007626F7">
        <w:rPr>
          <w:rFonts w:ascii="Times New Roman" w:hAnsi="Times New Roman" w:cs="Times New Roman"/>
          <w:sz w:val="28"/>
          <w:szCs w:val="28"/>
          <w:lang w:val="en-US"/>
        </w:rPr>
        <w:t>GDP</w:t>
      </w:r>
      <w:r w:rsidRPr="007626F7">
        <w:rPr>
          <w:rFonts w:ascii="Times New Roman" w:hAnsi="Times New Roman" w:cs="Times New Roman"/>
          <w:sz w:val="28"/>
          <w:szCs w:val="28"/>
          <w:lang w:val="uk-UA"/>
        </w:rPr>
        <w:t xml:space="preserve"> ↓</w:t>
      </w:r>
    </w:p>
    <w:p w14:paraId="215E6E22" w14:textId="77777777" w:rsidR="00507D30" w:rsidRPr="007626F7" w:rsidRDefault="00507D30" w:rsidP="007626F7">
      <w:pPr>
        <w:pStyle w:val="a4"/>
        <w:numPr>
          <w:ilvl w:val="0"/>
          <w:numId w:val="5"/>
        </w:num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CPI</w:t>
      </w:r>
      <w:r w:rsidRPr="007626F7">
        <w:rPr>
          <w:rFonts w:ascii="Times New Roman" w:hAnsi="Times New Roman" w:cs="Times New Roman"/>
          <w:sz w:val="28"/>
          <w:szCs w:val="28"/>
          <w:lang w:val="en-US"/>
        </w:rPr>
        <w:t xml:space="preserve"> </w:t>
      </w:r>
      <w:r w:rsidRPr="007626F7">
        <w:rPr>
          <w:rFonts w:ascii="Times New Roman" w:hAnsi="Times New Roman" w:cs="Times New Roman"/>
          <w:sz w:val="28"/>
          <w:szCs w:val="28"/>
          <w:lang w:val="uk-UA"/>
        </w:rPr>
        <w:t>↑ − GDP ↓</w:t>
      </w:r>
    </w:p>
    <w:p w14:paraId="3EB3BF94" w14:textId="77777777" w:rsidR="00507D30" w:rsidRPr="007626F7" w:rsidRDefault="00507D30" w:rsidP="007626F7">
      <w:pPr>
        <w:pStyle w:val="a4"/>
        <w:numPr>
          <w:ilvl w:val="0"/>
          <w:numId w:val="5"/>
        </w:num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М1↑ − GDP ↑</w:t>
      </w:r>
    </w:p>
    <w:p w14:paraId="1CE5869B" w14:textId="02EB8B56" w:rsidR="00507D30" w:rsidRPr="007626F7" w:rsidRDefault="00507D30" w:rsidP="007626F7">
      <w:pPr>
        <w:spacing w:after="0" w:line="360" w:lineRule="auto"/>
        <w:ind w:firstLine="709"/>
        <w:jc w:val="both"/>
        <w:rPr>
          <w:rFonts w:ascii="Times New Roman" w:hAnsi="Times New Roman" w:cs="Times New Roman"/>
          <w:sz w:val="28"/>
          <w:szCs w:val="28"/>
        </w:rPr>
      </w:pPr>
      <w:r w:rsidRPr="007626F7">
        <w:rPr>
          <w:rFonts w:ascii="Times New Roman" w:eastAsiaTheme="minorEastAsia" w:hAnsi="Times New Roman" w:cs="Times New Roman"/>
          <w:sz w:val="28"/>
          <w:szCs w:val="28"/>
        </w:rPr>
        <w:t xml:space="preserve">Розглянемо </w:t>
      </w:r>
      <w:r w:rsidRPr="007626F7">
        <w:rPr>
          <w:rFonts w:ascii="Times New Roman" w:eastAsiaTheme="minorEastAsia" w:hAnsi="Times New Roman" w:cs="Times New Roman"/>
          <w:sz w:val="28"/>
          <w:szCs w:val="28"/>
          <w:lang w:val="uk-UA"/>
        </w:rPr>
        <w:t>результати детальніше</w:t>
      </w:r>
      <w:r w:rsidR="001C3A0F" w:rsidRPr="007626F7">
        <w:rPr>
          <w:rFonts w:ascii="Times New Roman" w:eastAsiaTheme="minorEastAsia" w:hAnsi="Times New Roman" w:cs="Times New Roman"/>
          <w:sz w:val="28"/>
          <w:szCs w:val="28"/>
          <w:lang w:val="uk-UA"/>
        </w:rPr>
        <w:t xml:space="preserve"> у таблиці (Додаток </w:t>
      </w:r>
      <w:r w:rsidR="00FD00A9" w:rsidRPr="007626F7">
        <w:rPr>
          <w:rFonts w:ascii="Times New Roman" w:eastAsiaTheme="minorEastAsia" w:hAnsi="Times New Roman" w:cs="Times New Roman"/>
          <w:sz w:val="28"/>
          <w:szCs w:val="28"/>
          <w:lang w:val="uk-UA"/>
        </w:rPr>
        <w:t>К</w:t>
      </w:r>
      <w:r w:rsidR="00457C58" w:rsidRPr="007626F7">
        <w:rPr>
          <w:rFonts w:ascii="Times New Roman" w:eastAsiaTheme="minorEastAsia" w:hAnsi="Times New Roman" w:cs="Times New Roman"/>
          <w:sz w:val="28"/>
          <w:szCs w:val="28"/>
          <w:lang w:val="uk-UA"/>
        </w:rPr>
        <w:t>.1</w:t>
      </w:r>
      <w:r w:rsidR="001C3A0F" w:rsidRPr="007626F7">
        <w:rPr>
          <w:rFonts w:ascii="Times New Roman" w:eastAsiaTheme="minorEastAsia" w:hAnsi="Times New Roman" w:cs="Times New Roman"/>
          <w:sz w:val="28"/>
          <w:szCs w:val="28"/>
          <w:lang w:val="uk-UA"/>
        </w:rPr>
        <w:t>).</w:t>
      </w:r>
      <w:r w:rsidR="001C3A0F"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rPr>
        <w:t xml:space="preserve">У даній моделі R-квадрат = </w:t>
      </w:r>
      <w:r w:rsidRPr="007626F7">
        <w:rPr>
          <w:rFonts w:ascii="Times New Roman" w:hAnsi="Times New Roman" w:cs="Times New Roman"/>
          <w:sz w:val="28"/>
          <w:szCs w:val="28"/>
          <w:lang w:val="uk-UA"/>
        </w:rPr>
        <w:t>0</w:t>
      </w:r>
      <w:r w:rsidRPr="007626F7">
        <w:rPr>
          <w:rFonts w:ascii="Times New Roman" w:hAnsi="Times New Roman" w:cs="Times New Roman"/>
          <w:sz w:val="28"/>
          <w:szCs w:val="28"/>
        </w:rPr>
        <w:t>,9</w:t>
      </w:r>
      <w:r w:rsidRPr="007626F7">
        <w:rPr>
          <w:rFonts w:ascii="Times New Roman" w:hAnsi="Times New Roman" w:cs="Times New Roman"/>
          <w:sz w:val="28"/>
          <w:szCs w:val="28"/>
          <w:lang w:val="uk-UA"/>
        </w:rPr>
        <w:t xml:space="preserve">31 </w:t>
      </w:r>
      <w:r w:rsidRPr="007626F7">
        <w:rPr>
          <w:rFonts w:ascii="Times New Roman" w:hAnsi="Times New Roman" w:cs="Times New Roman"/>
          <w:sz w:val="28"/>
          <w:szCs w:val="28"/>
        </w:rPr>
        <w:t>і це озн</w:t>
      </w:r>
      <w:r w:rsidR="004F67FB" w:rsidRPr="007626F7">
        <w:rPr>
          <w:rFonts w:ascii="Times New Roman" w:hAnsi="Times New Roman" w:cs="Times New Roman"/>
          <w:sz w:val="28"/>
          <w:szCs w:val="28"/>
        </w:rPr>
        <w:t>ачає, що вибрані фактори пояснюють</w:t>
      </w:r>
      <w:r w:rsidRPr="007626F7">
        <w:rPr>
          <w:rFonts w:ascii="Times New Roman" w:hAnsi="Times New Roman" w:cs="Times New Roman"/>
          <w:sz w:val="28"/>
          <w:szCs w:val="28"/>
        </w:rPr>
        <w:t xml:space="preserve"> залежну змінну на 9</w:t>
      </w:r>
      <w:r w:rsidRPr="007626F7">
        <w:rPr>
          <w:rFonts w:ascii="Times New Roman" w:hAnsi="Times New Roman" w:cs="Times New Roman"/>
          <w:sz w:val="28"/>
          <w:szCs w:val="28"/>
          <w:lang w:val="uk-UA"/>
        </w:rPr>
        <w:t>3</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1</w:t>
      </w:r>
      <w:r w:rsidRPr="007626F7">
        <w:rPr>
          <w:rFonts w:ascii="Times New Roman" w:hAnsi="Times New Roman" w:cs="Times New Roman"/>
          <w:sz w:val="28"/>
          <w:szCs w:val="28"/>
        </w:rPr>
        <w:t xml:space="preserve">%, що є досить </w:t>
      </w:r>
      <w:r w:rsidRPr="007626F7">
        <w:rPr>
          <w:rFonts w:ascii="Times New Roman" w:hAnsi="Times New Roman" w:cs="Times New Roman"/>
          <w:sz w:val="28"/>
          <w:szCs w:val="28"/>
          <w:lang w:val="uk-UA"/>
        </w:rPr>
        <w:t xml:space="preserve">гарним </w:t>
      </w:r>
      <w:r w:rsidRPr="007626F7">
        <w:rPr>
          <w:rFonts w:ascii="Times New Roman" w:hAnsi="Times New Roman" w:cs="Times New Roman"/>
          <w:sz w:val="28"/>
          <w:szCs w:val="28"/>
        </w:rPr>
        <w:t>показником</w:t>
      </w:r>
      <w:r w:rsidRPr="007626F7">
        <w:rPr>
          <w:rFonts w:ascii="Times New Roman" w:hAnsi="Times New Roman" w:cs="Times New Roman"/>
          <w:sz w:val="28"/>
          <w:szCs w:val="28"/>
          <w:lang w:val="uk-UA"/>
        </w:rPr>
        <w:t xml:space="preserve"> для моделі</w:t>
      </w:r>
      <w:r w:rsidRPr="007626F7">
        <w:rPr>
          <w:rFonts w:ascii="Times New Roman" w:hAnsi="Times New Roman" w:cs="Times New Roman"/>
          <w:sz w:val="28"/>
          <w:szCs w:val="28"/>
        </w:rPr>
        <w:t>.</w:t>
      </w:r>
    </w:p>
    <w:p w14:paraId="2C69B0EA" w14:textId="538A59E9"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Проаналізувавши стандартизовані коефіцієнти</w:t>
      </w:r>
      <w:r w:rsidR="001C3A0F" w:rsidRPr="007626F7">
        <w:rPr>
          <w:rFonts w:ascii="Times New Roman" w:hAnsi="Times New Roman" w:cs="Times New Roman"/>
          <w:sz w:val="28"/>
          <w:szCs w:val="28"/>
          <w:lang w:val="uk-UA"/>
        </w:rPr>
        <w:t xml:space="preserve"> (Додаток </w:t>
      </w:r>
      <w:r w:rsidR="00FD00A9" w:rsidRPr="007626F7">
        <w:rPr>
          <w:rFonts w:ascii="Times New Roman" w:hAnsi="Times New Roman" w:cs="Times New Roman"/>
          <w:sz w:val="28"/>
          <w:szCs w:val="28"/>
          <w:lang w:val="uk-UA"/>
        </w:rPr>
        <w:t>К</w:t>
      </w:r>
      <w:r w:rsidR="00457C58" w:rsidRPr="007626F7">
        <w:rPr>
          <w:rFonts w:ascii="Times New Roman" w:hAnsi="Times New Roman" w:cs="Times New Roman"/>
          <w:sz w:val="28"/>
          <w:szCs w:val="28"/>
          <w:lang w:val="uk-UA"/>
        </w:rPr>
        <w:t>.2</w:t>
      </w:r>
      <w:r w:rsidR="001C3A0F" w:rsidRPr="007626F7">
        <w:rPr>
          <w:rFonts w:ascii="Times New Roman" w:hAnsi="Times New Roman" w:cs="Times New Roman"/>
          <w:sz w:val="28"/>
          <w:szCs w:val="28"/>
          <w:lang w:val="uk-UA"/>
        </w:rPr>
        <w:t>)</w:t>
      </w:r>
      <w:r w:rsidRPr="007626F7">
        <w:rPr>
          <w:rFonts w:ascii="Times New Roman" w:hAnsi="Times New Roman" w:cs="Times New Roman"/>
          <w:sz w:val="28"/>
          <w:szCs w:val="28"/>
          <w:lang w:val="uk-UA"/>
        </w:rPr>
        <w:t xml:space="preserve"> можна зробити висновок, що найбільший вплив на ВВП Швейцарії має зовнішній борг адже він складає (0,530) і це означає, що як і передбачалось при рості зовнішнього боргу у країни збільшується ВВП, це скоріше всього викликано тим, що коли країни збільшується зовнішній борг то до країни прибувають гроші, що тим самим стимулює економіку. Вторим за впливом є рівень цін, при рості рівня цін на 1 стандартну позначку ВВП збільшується на (0,354). Відсоткова ставка має зворотну залежність с ВПП при рості відсоткової ставки на 1 стандартну позначку ВВП зменшується на (-0,141). Валютний курс має теж зворотну залежність, при рості валютного курсу на 1 стандартну позначку ВВП зменшується на (-0,058).</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uk-UA"/>
        </w:rPr>
        <w:t>І останнім за рейтингом впливу є грошова маса, при її рості на 1 стандартну позначку ВВП зменшується на (-0,028).</w:t>
      </w:r>
    </w:p>
    <w:p w14:paraId="6DB4DB38"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Щодо коефіцієнта Стьюдента, то майже всі показники перевищують критерій в 2,2, тобто всі показники окрім грошової маси та валютного курсу мають значний вплив на ВВП.</w:t>
      </w:r>
    </w:p>
    <w:p w14:paraId="4E4AE7DB" w14:textId="04867EC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Наступним буде проаналізований  показник значимості, який в</w:t>
      </w:r>
      <w:r w:rsidR="004F67FB" w:rsidRPr="007626F7">
        <w:rPr>
          <w:rFonts w:ascii="Times New Roman" w:hAnsi="Times New Roman" w:cs="Times New Roman"/>
          <w:sz w:val="28"/>
          <w:szCs w:val="28"/>
          <w:lang w:val="uk-UA"/>
        </w:rPr>
        <w:t>казує</w:t>
      </w:r>
      <w:r w:rsidRPr="007626F7">
        <w:rPr>
          <w:rFonts w:ascii="Times New Roman" w:hAnsi="Times New Roman" w:cs="Times New Roman"/>
          <w:sz w:val="28"/>
          <w:szCs w:val="28"/>
          <w:lang w:val="uk-UA"/>
        </w:rPr>
        <w:t xml:space="preserve"> на рівень значимості α. Значимість відсоткової ставки, зовнішнього боргу та рівня цін складає  1%</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 xml:space="preserve">і це означає, що  існує лише 1% шанс, що коефіцієнт змінної дорівнює нулю і 99%, що він статистично відрізняється від 0. Значимість не мають валютний курс та грошова маса. </w:t>
      </w:r>
    </w:p>
    <w:p w14:paraId="2AADA7C8"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отримуємо таку кінчену модель:</w:t>
      </w:r>
    </w:p>
    <w:p w14:paraId="630A7AB9" w14:textId="77777777" w:rsidR="00507D30" w:rsidRPr="007626F7" w:rsidRDefault="00507D30" w:rsidP="007626F7">
      <w:pPr>
        <w:spacing w:after="0" w:line="360" w:lineRule="auto"/>
        <w:jc w:val="center"/>
        <w:rPr>
          <w:rFonts w:ascii="Times New Roman" w:hAnsi="Times New Roman" w:cs="Times New Roman"/>
          <w:b/>
          <w:i/>
          <w:sz w:val="28"/>
          <w:szCs w:val="28"/>
          <w:lang w:val="uk-UA"/>
        </w:rPr>
      </w:pPr>
      <m:oMathPara>
        <m:oMath>
          <m:r>
            <m:rPr>
              <m:sty m:val="bi"/>
            </m:rPr>
            <w:rPr>
              <w:rFonts w:ascii="Cambria Math" w:hAnsi="Cambria Math" w:cs="Times New Roman"/>
              <w:sz w:val="28"/>
              <w:szCs w:val="28"/>
              <w:lang w:val="en-US"/>
            </w:rPr>
            <m:t>G</m:t>
          </m:r>
          <m:r>
            <m:rPr>
              <m:sty m:val="bi"/>
            </m:rPr>
            <w:rPr>
              <w:rFonts w:ascii="Cambria Math" w:hAnsi="Cambria Math" w:cs="Times New Roman"/>
              <w:sz w:val="28"/>
              <w:szCs w:val="28"/>
              <w:lang w:val="uk-UA"/>
            </w:rPr>
            <m:t>DP=-0,141*Interest rate+0,530*External debt +0,354*CPI</m:t>
          </m:r>
        </m:oMath>
      </m:oMathPara>
    </w:p>
    <w:p w14:paraId="2412E798" w14:textId="77777777" w:rsidR="00507D30" w:rsidRPr="007626F7" w:rsidRDefault="00507D30" w:rsidP="007626F7">
      <w:pPr>
        <w:spacing w:after="0" w:line="360" w:lineRule="auto"/>
        <w:rPr>
          <w:rFonts w:ascii="Times New Roman" w:hAnsi="Times New Roman" w:cs="Times New Roman"/>
          <w:b/>
          <w:i/>
          <w:sz w:val="28"/>
          <w:szCs w:val="28"/>
          <w:lang w:val="uk-UA"/>
        </w:rPr>
      </w:pPr>
      <w:r w:rsidRPr="007626F7">
        <w:rPr>
          <w:rFonts w:ascii="Times New Roman" w:hAnsi="Times New Roman" w:cs="Times New Roman"/>
          <w:sz w:val="28"/>
          <w:szCs w:val="28"/>
          <w:lang w:val="en-US"/>
        </w:rPr>
        <w:t xml:space="preserve">                               (</w:t>
      </w:r>
      <w:r w:rsidRPr="007626F7">
        <w:rPr>
          <w:rFonts w:ascii="Times New Roman" w:hAnsi="Times New Roman" w:cs="Times New Roman"/>
          <w:sz w:val="28"/>
          <w:szCs w:val="28"/>
          <w:lang w:val="uk-UA"/>
        </w:rPr>
        <w:t>-2,754</w:t>
      </w:r>
      <w:r w:rsidRPr="007626F7">
        <w:rPr>
          <w:rFonts w:ascii="Times New Roman" w:hAnsi="Times New Roman" w:cs="Times New Roman"/>
          <w:sz w:val="28"/>
          <w:szCs w:val="28"/>
          <w:lang w:val="en-US"/>
        </w:rPr>
        <w:t>***)                            (10,044***)                  (3,781***)</w:t>
      </w:r>
    </w:p>
    <w:p w14:paraId="044B8AA3" w14:textId="77777777" w:rsidR="00507D30" w:rsidRPr="007626F7" w:rsidRDefault="00507D30" w:rsidP="007626F7">
      <w:pPr>
        <w:spacing w:after="0" w:line="360" w:lineRule="auto"/>
        <w:ind w:firstLine="709"/>
        <w:jc w:val="both"/>
        <w:rPr>
          <w:rFonts w:ascii="Times New Roman" w:hAnsi="Times New Roman" w:cs="Times New Roman"/>
          <w:bCs/>
          <w:sz w:val="28"/>
          <w:szCs w:val="28"/>
          <w:lang w:val="uk-UA"/>
        </w:rPr>
      </w:pPr>
      <w:r w:rsidRPr="007626F7">
        <w:rPr>
          <w:rFonts w:ascii="Times New Roman" w:hAnsi="Times New Roman" w:cs="Times New Roman"/>
          <w:bCs/>
          <w:sz w:val="28"/>
          <w:szCs w:val="28"/>
          <w:lang w:val="uk-UA"/>
        </w:rPr>
        <w:t>Адекватність моделі показана:</w:t>
      </w:r>
    </w:p>
    <w:p w14:paraId="61124F94" w14:textId="77777777" w:rsidR="00507D30" w:rsidRPr="007626F7" w:rsidRDefault="00507D30" w:rsidP="007626F7">
      <w:pPr>
        <w:pStyle w:val="a4"/>
        <w:numPr>
          <w:ilvl w:val="0"/>
          <w:numId w:val="3"/>
        </w:numPr>
        <w:spacing w:after="0" w:line="360" w:lineRule="auto"/>
        <w:jc w:val="both"/>
        <w:rPr>
          <w:rFonts w:ascii="Times New Roman" w:hAnsi="Times New Roman" w:cs="Times New Roman"/>
          <w:bCs/>
          <w:sz w:val="28"/>
          <w:szCs w:val="28"/>
          <w:lang w:val="uk-UA"/>
        </w:rPr>
      </w:pPr>
      <w:r w:rsidRPr="007626F7">
        <w:rPr>
          <w:rFonts w:ascii="Times New Roman" w:hAnsi="Times New Roman" w:cs="Times New Roman"/>
          <w:bCs/>
          <w:sz w:val="28"/>
          <w:szCs w:val="28"/>
          <w:lang w:val="uk-UA"/>
        </w:rPr>
        <w:t>Є 3 коефіцієнти зі значимістю 1% (***);2 коефіцієнти які не мають значимості.</w:t>
      </w:r>
    </w:p>
    <w:p w14:paraId="1683BBBB" w14:textId="77777777" w:rsidR="00507D30" w:rsidRPr="007626F7" w:rsidRDefault="00507D30" w:rsidP="007626F7">
      <w:pPr>
        <w:pStyle w:val="a4"/>
        <w:numPr>
          <w:ilvl w:val="0"/>
          <w:numId w:val="3"/>
        </w:numPr>
        <w:spacing w:after="0" w:line="360" w:lineRule="auto"/>
        <w:jc w:val="both"/>
        <w:rPr>
          <w:rFonts w:ascii="Times New Roman" w:hAnsi="Times New Roman" w:cs="Times New Roman"/>
          <w:bCs/>
          <w:sz w:val="28"/>
          <w:szCs w:val="28"/>
          <w:lang w:val="uk-UA"/>
        </w:rPr>
      </w:pPr>
      <w:r w:rsidRPr="007626F7">
        <w:rPr>
          <w:rFonts w:ascii="Times New Roman" w:hAnsi="Times New Roman" w:cs="Times New Roman"/>
          <w:bCs/>
          <w:sz w:val="28"/>
          <w:szCs w:val="28"/>
          <w:lang w:val="uk-UA"/>
        </w:rPr>
        <w:t>R-квадрат =  0,931  (93,1%).</w:t>
      </w:r>
    </w:p>
    <w:p w14:paraId="56C5BC0A" w14:textId="77777777" w:rsidR="00507D30" w:rsidRPr="007626F7" w:rsidRDefault="00507D30" w:rsidP="007626F7">
      <w:pPr>
        <w:pStyle w:val="a4"/>
        <w:numPr>
          <w:ilvl w:val="0"/>
          <w:numId w:val="3"/>
        </w:numPr>
        <w:spacing w:after="0" w:line="360" w:lineRule="auto"/>
        <w:jc w:val="both"/>
        <w:rPr>
          <w:rFonts w:ascii="Times New Roman" w:hAnsi="Times New Roman" w:cs="Times New Roman"/>
          <w:bCs/>
          <w:sz w:val="28"/>
          <w:szCs w:val="28"/>
          <w:lang w:val="uk-UA"/>
        </w:rPr>
      </w:pPr>
      <w:r w:rsidRPr="007626F7">
        <w:rPr>
          <w:rFonts w:ascii="Times New Roman" w:hAnsi="Times New Roman" w:cs="Times New Roman"/>
          <w:bCs/>
          <w:sz w:val="28"/>
          <w:szCs w:val="28"/>
          <w:lang w:val="uk-UA"/>
        </w:rPr>
        <w:t>F = 225,559 що перевищує F-критерій.</w:t>
      </w:r>
    </w:p>
    <w:p w14:paraId="29709025" w14:textId="5E56AF6F" w:rsidR="00C32FF4"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Отже провівши регресійний аналіз для розвиваючої країни та розвинутої країни, можна зробити висновок, що дуже відрізняються показники які мають </w:t>
      </w:r>
      <w:r w:rsidRPr="007626F7">
        <w:rPr>
          <w:rFonts w:ascii="Times New Roman" w:hAnsi="Times New Roman" w:cs="Times New Roman"/>
          <w:sz w:val="28"/>
          <w:szCs w:val="28"/>
          <w:lang w:val="uk-UA"/>
        </w:rPr>
        <w:lastRenderedPageBreak/>
        <w:t>вплив на ВВП країн.</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R-квадрат в Швейцарській моделі був трохи більшим, що говорить про більшу достовірність моделі. В Україні відсоткова ставка мала зворотну залежність, а у Швейцарії цей показник не має значимості, Зовнішній борг має значимість в обох країнах, але в Україні ці залежність пряма а у Швейцарії зворотна. Валютний курс в Україні має пряму залежність, а у Швейцарії він не є значимим. Рівень цін в Україні має пряму залежність а у Швейцарії зворотну, грошова маса не має значимості у Швейцарії, а в Україні вона має пряму залежність і це є найбільш значимим показником. Тобто вийшло так, що у Швейцарії менше показників мають залежність але вони всі є дуже значимими і мають значимість 1%, в Україні більше показників мають значимість, але вона менша ніж у Швейцарії.</w:t>
      </w:r>
      <w:bookmarkStart w:id="30" w:name="_Toc38889841"/>
      <w:r w:rsidR="00C32FF4" w:rsidRPr="007626F7">
        <w:rPr>
          <w:rFonts w:ascii="Times New Roman" w:hAnsi="Times New Roman" w:cs="Times New Roman"/>
          <w:sz w:val="28"/>
          <w:szCs w:val="28"/>
          <w:lang w:val="uk-UA"/>
        </w:rPr>
        <w:br w:type="page"/>
      </w:r>
    </w:p>
    <w:p w14:paraId="79910AC7" w14:textId="2070FB97" w:rsidR="00507D30" w:rsidRPr="007626F7" w:rsidRDefault="00507D30" w:rsidP="007626F7">
      <w:pPr>
        <w:spacing w:after="0" w:line="360" w:lineRule="auto"/>
        <w:ind w:firstLine="720"/>
        <w:jc w:val="center"/>
        <w:outlineLvl w:val="0"/>
        <w:rPr>
          <w:rFonts w:ascii="Times New Roman" w:hAnsi="Times New Roman" w:cs="Times New Roman"/>
          <w:b/>
          <w:bCs/>
          <w:sz w:val="28"/>
          <w:szCs w:val="28"/>
          <w:lang w:val="uk-UA"/>
        </w:rPr>
      </w:pPr>
      <w:bookmarkStart w:id="31" w:name="_Toc75333589"/>
      <w:r w:rsidRPr="007626F7">
        <w:rPr>
          <w:rFonts w:ascii="Times New Roman" w:hAnsi="Times New Roman" w:cs="Times New Roman"/>
          <w:b/>
          <w:bCs/>
          <w:sz w:val="28"/>
          <w:szCs w:val="28"/>
          <w:lang w:val="uk-UA"/>
        </w:rPr>
        <w:lastRenderedPageBreak/>
        <w:t>РОЗДІЛ 3</w:t>
      </w:r>
      <w:bookmarkEnd w:id="30"/>
      <w:bookmarkEnd w:id="31"/>
    </w:p>
    <w:p w14:paraId="4C576044" w14:textId="77777777" w:rsidR="00507D30" w:rsidRPr="007626F7" w:rsidRDefault="00507D30" w:rsidP="007626F7">
      <w:pPr>
        <w:spacing w:after="0" w:line="360" w:lineRule="auto"/>
        <w:ind w:firstLine="709"/>
        <w:jc w:val="center"/>
        <w:outlineLvl w:val="0"/>
        <w:rPr>
          <w:rFonts w:ascii="Times New Roman" w:hAnsi="Times New Roman" w:cs="Times New Roman"/>
          <w:b/>
          <w:bCs/>
          <w:sz w:val="28"/>
          <w:szCs w:val="28"/>
          <w:lang w:val="uk-UA"/>
        </w:rPr>
      </w:pPr>
      <w:bookmarkStart w:id="32" w:name="_Toc38889842"/>
      <w:bookmarkStart w:id="33" w:name="_Toc75333590"/>
      <w:r w:rsidRPr="007626F7">
        <w:rPr>
          <w:rFonts w:ascii="Times New Roman" w:hAnsi="Times New Roman" w:cs="Times New Roman"/>
          <w:b/>
          <w:bCs/>
          <w:sz w:val="28"/>
          <w:szCs w:val="28"/>
          <w:lang w:val="uk-UA"/>
        </w:rPr>
        <w:t>ОСОБЛИВОСТІ ЗОВНІШНЬОЕКОНОМІЧНИХ ОПЕРАЦІЙ ШВЕЙЦАРІЇ ТА ПОЛЬЩІ З УКРАЇНОЮ</w:t>
      </w:r>
      <w:bookmarkEnd w:id="32"/>
      <w:bookmarkEnd w:id="33"/>
    </w:p>
    <w:p w14:paraId="4F14E0CD" w14:textId="77777777" w:rsidR="00507D30" w:rsidRPr="007626F7" w:rsidRDefault="00507D30" w:rsidP="007626F7">
      <w:pPr>
        <w:spacing w:after="0" w:line="360" w:lineRule="auto"/>
        <w:ind w:firstLine="709"/>
        <w:jc w:val="center"/>
        <w:rPr>
          <w:rFonts w:ascii="Times New Roman" w:hAnsi="Times New Roman" w:cs="Times New Roman"/>
          <w:b/>
          <w:bCs/>
          <w:sz w:val="28"/>
          <w:szCs w:val="28"/>
          <w:lang w:val="uk-UA"/>
        </w:rPr>
      </w:pPr>
    </w:p>
    <w:p w14:paraId="6F00F8FA" w14:textId="77777777"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У даному розділі буде розглянуто співробітництво України, Швейцарії та Польщі, а саме структуру та розмір експорту та імпорту між країнами, а також прямі іноземні інвестиції з Польщі та Швейцарії в Україну.</w:t>
      </w:r>
    </w:p>
    <w:p w14:paraId="135C8D3A" w14:textId="77777777"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Спочатку розглянемо співробітництво України з Швейцарією. Швейцарія  входить в топ країн по імпорту до України, а ось на рахунок експорту Швейцарія не займає лідируючи позиції серед країн партерів України. </w:t>
      </w:r>
    </w:p>
    <w:p w14:paraId="1E2CD9B7" w14:textId="357ED4DE"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Розглянемо розміри експорту та імпорту з Швейцарії в Україну (див.</w:t>
      </w:r>
      <w:r w:rsidR="0059114F" w:rsidRPr="007626F7">
        <w:rPr>
          <w:rFonts w:ascii="Times New Roman" w:hAnsi="Times New Roman" w:cs="Times New Roman"/>
          <w:sz w:val="28"/>
          <w:szCs w:val="28"/>
          <w:lang w:val="uk-UA"/>
        </w:rPr>
        <w:t xml:space="preserve"> Додаток </w:t>
      </w:r>
      <w:r w:rsidR="00FD00A9" w:rsidRPr="007626F7">
        <w:rPr>
          <w:rFonts w:ascii="Times New Roman" w:hAnsi="Times New Roman" w:cs="Times New Roman"/>
          <w:sz w:val="28"/>
          <w:szCs w:val="28"/>
          <w:lang w:val="uk-UA"/>
        </w:rPr>
        <w:t>Л</w:t>
      </w:r>
      <w:r w:rsidR="0059114F" w:rsidRPr="007626F7">
        <w:rPr>
          <w:rFonts w:ascii="Times New Roman" w:hAnsi="Times New Roman" w:cs="Times New Roman"/>
          <w:sz w:val="28"/>
          <w:szCs w:val="28"/>
          <w:lang w:val="uk-UA"/>
        </w:rPr>
        <w:t>.1</w:t>
      </w:r>
      <w:r w:rsidRPr="007626F7">
        <w:rPr>
          <w:rFonts w:ascii="Times New Roman" w:hAnsi="Times New Roman" w:cs="Times New Roman"/>
          <w:sz w:val="28"/>
          <w:szCs w:val="28"/>
          <w:lang w:val="uk-UA"/>
        </w:rPr>
        <w:t>).</w:t>
      </w:r>
      <w:r w:rsidR="0059114F"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Згідно з таблицею розмір експорту з України в Швейцарію з кожним роком збільшується, якщо в 2019 році він складав близько 127 тисяч доларів США, то вже у 2020 році він складав 142 тисячі доларів США.  В основному Швейцарія експортує з України: перли природні або культивовані, дорогоцінне або напівдорогоцінне каміння,  алюміній i вироби з нього, каучук, гуму,</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1насiння і плоди олійних рослин, та зернові культури станом на початок 2021 року</w:t>
      </w:r>
      <w:r w:rsidR="006F0F70" w:rsidRPr="007626F7">
        <w:rPr>
          <w:rFonts w:ascii="Times New Roman" w:hAnsi="Times New Roman" w:cs="Times New Roman"/>
          <w:sz w:val="28"/>
          <w:szCs w:val="28"/>
          <w:lang w:val="uk-UA"/>
        </w:rPr>
        <w:t xml:space="preserve"> </w:t>
      </w:r>
      <w:r w:rsidR="00F419DC" w:rsidRPr="007626F7">
        <w:rPr>
          <w:rFonts w:ascii="Times New Roman" w:hAnsi="Times New Roman" w:cs="Times New Roman"/>
          <w:sz w:val="28"/>
          <w:szCs w:val="28"/>
          <w:lang w:val="uk-UA"/>
        </w:rPr>
        <w:t>[72]</w:t>
      </w:r>
      <w:r w:rsidRPr="007626F7">
        <w:rPr>
          <w:rFonts w:ascii="Times New Roman" w:hAnsi="Times New Roman" w:cs="Times New Roman"/>
          <w:sz w:val="28"/>
          <w:szCs w:val="28"/>
          <w:lang w:val="uk-UA"/>
        </w:rPr>
        <w:t xml:space="preserve">. </w:t>
      </w:r>
    </w:p>
    <w:p w14:paraId="39A8F70E" w14:textId="20EA6FBD"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Щодо імпорту з Швейцарії в Україну, то Швейцаріє є однією з провідних Українських імпортерів. Імпорт зі Швейцарії в Україну з кожним роком теж збільшується як і імпорт, що говорить про зростаючі обороти торгових відносин між країнами. Імпорт склав близько одного мільйону та п’ятисота тисяч доларів США. У 2020 році цей показник склав один мільйон сто шістдесят тисяч доларів США. В Імпорті зі Швейцарії в Україну переважають такі продукти:  реактори ядерні, котли, машини, пластмаси, полімерні матеріали,</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фармацевтична продукція, прилади та апарати оптичні, фотографічні,</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різнi харчовi продукти</w:t>
      </w:r>
      <w:r w:rsidR="00F419DC" w:rsidRPr="007626F7">
        <w:rPr>
          <w:rFonts w:ascii="Times New Roman" w:hAnsi="Times New Roman" w:cs="Times New Roman"/>
          <w:sz w:val="28"/>
          <w:szCs w:val="28"/>
          <w:lang w:val="uk-UA"/>
        </w:rPr>
        <w:t xml:space="preserve"> [72]</w:t>
      </w:r>
      <w:r w:rsidRPr="007626F7">
        <w:rPr>
          <w:rFonts w:ascii="Times New Roman" w:hAnsi="Times New Roman" w:cs="Times New Roman"/>
          <w:sz w:val="28"/>
          <w:szCs w:val="28"/>
          <w:lang w:val="uk-UA"/>
        </w:rPr>
        <w:t xml:space="preserve">. </w:t>
      </w:r>
    </w:p>
    <w:p w14:paraId="221AA90F" w14:textId="3314025B"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Також слід зазначити основні послуги які були експортовані та імпортовані між країнами. За даними Посольства України в Швейцарській </w:t>
      </w:r>
      <w:r w:rsidRPr="007626F7">
        <w:rPr>
          <w:rFonts w:ascii="Times New Roman" w:hAnsi="Times New Roman" w:cs="Times New Roman"/>
          <w:sz w:val="28"/>
          <w:szCs w:val="28"/>
          <w:lang w:val="uk-UA"/>
        </w:rPr>
        <w:lastRenderedPageBreak/>
        <w:t>Конфедерації в 2020 році основний експорт послуг України до Швейцарії в 2020 році складали: послуги з переробки матеріальних ресурсів (31,5%), транспортні послуги (36,2%), телекомунікації, комп’ютерні та інформаційні послуги (8,6%), ділові послуги (19,5%), страхові послуги (2,1%). Основним імпортом України зі Швейцарії послуг у 2020 році були: ділові послуги (28,8%), послуги в галузі телекомунікацій, комп’ютера (16,8%), роялті та інші послуги з інтелектуальної власності (21,1%), державні та урядові служби (15,4%), транспортні послуги (11,3%), страхові послуги (3,9%), туристичні послуги (0,9%) [</w:t>
      </w:r>
      <w:r w:rsidR="004E5301" w:rsidRPr="007626F7">
        <w:rPr>
          <w:rFonts w:ascii="Times New Roman" w:hAnsi="Times New Roman" w:cs="Times New Roman"/>
          <w:sz w:val="28"/>
          <w:szCs w:val="28"/>
          <w:lang w:val="uk-UA"/>
        </w:rPr>
        <w:t>7</w:t>
      </w:r>
      <w:r w:rsidR="006F0F70" w:rsidRPr="007626F7">
        <w:rPr>
          <w:rFonts w:ascii="Times New Roman" w:hAnsi="Times New Roman" w:cs="Times New Roman"/>
          <w:sz w:val="28"/>
          <w:szCs w:val="28"/>
          <w:lang w:val="uk-UA"/>
        </w:rPr>
        <w:t>3</w:t>
      </w:r>
      <w:r w:rsidRPr="007626F7">
        <w:rPr>
          <w:rFonts w:ascii="Times New Roman" w:hAnsi="Times New Roman" w:cs="Times New Roman"/>
          <w:sz w:val="28"/>
          <w:szCs w:val="28"/>
          <w:lang w:val="uk-UA"/>
        </w:rPr>
        <w:t>].</w:t>
      </w:r>
    </w:p>
    <w:p w14:paraId="73D4572C" w14:textId="77777777" w:rsidR="00507D30" w:rsidRPr="007626F7" w:rsidRDefault="00507D30" w:rsidP="007626F7">
      <w:pPr>
        <w:spacing w:after="0" w:line="360" w:lineRule="auto"/>
        <w:ind w:firstLine="709"/>
        <w:jc w:val="both"/>
        <w:rPr>
          <w:rFonts w:ascii="Times New Roman" w:hAnsi="Times New Roman" w:cs="Times New Roman"/>
          <w:sz w:val="20"/>
          <w:szCs w:val="20"/>
          <w:lang w:val="uk-UA"/>
        </w:rPr>
      </w:pPr>
      <w:r w:rsidRPr="007626F7">
        <w:rPr>
          <w:rFonts w:ascii="Times New Roman" w:hAnsi="Times New Roman" w:cs="Times New Roman"/>
          <w:sz w:val="28"/>
          <w:szCs w:val="28"/>
          <w:lang w:val="uk-UA"/>
        </w:rPr>
        <w:t>Також слід звернути увагу на сальдо торгівлі Швейцарії та України, можна побачити, що воно завжди зі знаком мінус, що говорить про постійне переважання імпорту зі Швейцарії в Україну над експортом з України у Швейцарію.</w:t>
      </w:r>
      <w:r w:rsidRPr="007626F7">
        <w:rPr>
          <w:rFonts w:ascii="Times New Roman" w:hAnsi="Times New Roman" w:cs="Times New Roman"/>
          <w:sz w:val="28"/>
          <w:szCs w:val="28"/>
        </w:rPr>
        <w:t xml:space="preserve"> </w:t>
      </w:r>
    </w:p>
    <w:p w14:paraId="1AE16080" w14:textId="1E6215A4"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Далі розглянемо обсяги інвестицій в Україну зі Швейцарії (див.</w:t>
      </w:r>
      <w:r w:rsidR="00F67624" w:rsidRPr="007626F7">
        <w:rPr>
          <w:rFonts w:ascii="Times New Roman" w:hAnsi="Times New Roman" w:cs="Times New Roman"/>
          <w:sz w:val="28"/>
          <w:szCs w:val="28"/>
          <w:lang w:val="uk-UA"/>
        </w:rPr>
        <w:t xml:space="preserve"> Додаток </w:t>
      </w:r>
      <w:r w:rsidR="00FD00A9" w:rsidRPr="007626F7">
        <w:rPr>
          <w:rFonts w:ascii="Times New Roman" w:hAnsi="Times New Roman" w:cs="Times New Roman"/>
          <w:sz w:val="28"/>
          <w:szCs w:val="28"/>
          <w:lang w:val="uk-UA"/>
        </w:rPr>
        <w:t>Л</w:t>
      </w:r>
      <w:r w:rsidR="00F67624" w:rsidRPr="007626F7">
        <w:rPr>
          <w:rFonts w:ascii="Times New Roman" w:hAnsi="Times New Roman" w:cs="Times New Roman"/>
          <w:sz w:val="28"/>
          <w:szCs w:val="28"/>
          <w:lang w:val="uk-UA"/>
        </w:rPr>
        <w:t>.2</w:t>
      </w:r>
      <w:r w:rsidRPr="007626F7">
        <w:rPr>
          <w:rFonts w:ascii="Times New Roman" w:hAnsi="Times New Roman" w:cs="Times New Roman"/>
          <w:sz w:val="28"/>
          <w:szCs w:val="28"/>
          <w:lang w:val="uk-UA"/>
        </w:rPr>
        <w:t>).</w:t>
      </w:r>
      <w:r w:rsidR="00F67624"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Згідно графіку, прямі інвестиції зі Швейцарії в Україну у 2018 році склали 2,052 мільярдів доларів США, у 2019 році кількість інвестицій зросла і набула позначки в 3,190 мільярдів доларів США. У 2020 році кількість інвестицій трохи зменшилась і склала вже 2,758 мільярдів доларів США</w:t>
      </w:r>
      <w:r w:rsidR="00F419DC" w:rsidRPr="007626F7">
        <w:rPr>
          <w:rFonts w:ascii="Times New Roman" w:hAnsi="Times New Roman" w:cs="Times New Roman"/>
          <w:sz w:val="28"/>
          <w:szCs w:val="28"/>
          <w:lang w:val="uk-UA"/>
        </w:rPr>
        <w:t xml:space="preserve"> [72]</w:t>
      </w:r>
      <w:r w:rsidRPr="007626F7">
        <w:rPr>
          <w:rFonts w:ascii="Times New Roman" w:hAnsi="Times New Roman" w:cs="Times New Roman"/>
          <w:sz w:val="28"/>
          <w:szCs w:val="28"/>
          <w:lang w:val="uk-UA"/>
        </w:rPr>
        <w:t>.</w:t>
      </w:r>
    </w:p>
    <w:p w14:paraId="533FCFE9" w14:textId="3F2115D7"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Взагалі як зазначає Посольства України в Швейцарській Конфедерації Швейцарія є однією з провідних країн інвесторів України, вона входить до п’ятірки найбільших інвесторів України.</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 xml:space="preserve">В Україні працюють такі Швейцарські підприємства: Nestle SA, Philip Morris International, Geberit International AG, Sika AG, Risoil SA, Syngenta AG , Glas Trösch AG, Acino AG та ін. Також на сайті посольства вказана інформація щодо того які проекти Швейцарські компанії реалізували або мають на меті реалізувати в Україні. Це такі проекти як: </w:t>
      </w:r>
      <w:r w:rsidRPr="007626F7">
        <w:rPr>
          <w:rFonts w:ascii="Times New Roman" w:hAnsi="Times New Roman" w:cs="Times New Roman"/>
          <w:sz w:val="28"/>
          <w:szCs w:val="28"/>
          <w:lang w:val="en-US"/>
        </w:rPr>
        <w:t>Geberit</w:t>
      </w:r>
      <w:r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en-US"/>
        </w:rPr>
        <w:t>International</w:t>
      </w:r>
      <w:r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en-US"/>
        </w:rPr>
        <w:t>AG</w:t>
      </w:r>
      <w:r w:rsidRPr="007626F7">
        <w:rPr>
          <w:rFonts w:ascii="Times New Roman" w:hAnsi="Times New Roman" w:cs="Times New Roman"/>
          <w:sz w:val="28"/>
          <w:szCs w:val="28"/>
          <w:lang w:val="uk-UA"/>
        </w:rPr>
        <w:t xml:space="preserve"> ця Швейцарська  яка займається виробництвом компанія у 2019 році інвестувала в Україну 10 мільйонів доларів США для відкриття свого логістичного комплексу у місті Славута, наступна компанія – це </w:t>
      </w:r>
      <w:r w:rsidRPr="007626F7">
        <w:rPr>
          <w:rFonts w:ascii="Times New Roman" w:hAnsi="Times New Roman" w:cs="Times New Roman"/>
          <w:sz w:val="28"/>
          <w:szCs w:val="28"/>
          <w:lang w:val="en-US"/>
        </w:rPr>
        <w:t>Risoil</w:t>
      </w:r>
      <w:r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en-US"/>
        </w:rPr>
        <w:t>SA</w:t>
      </w:r>
      <w:r w:rsidRPr="007626F7">
        <w:rPr>
          <w:rFonts w:ascii="Times New Roman" w:hAnsi="Times New Roman" w:cs="Times New Roman"/>
          <w:sz w:val="28"/>
          <w:szCs w:val="28"/>
          <w:lang w:val="uk-UA"/>
        </w:rPr>
        <w:t xml:space="preserve">, компанія яка займається інфраструктурою, компанія підписала угоду про  створення концесії морського порту у Херсоні, </w:t>
      </w:r>
      <w:r w:rsidRPr="007626F7">
        <w:rPr>
          <w:rFonts w:ascii="Times New Roman" w:hAnsi="Times New Roman" w:cs="Times New Roman"/>
          <w:sz w:val="28"/>
          <w:szCs w:val="28"/>
          <w:lang w:val="uk-UA"/>
        </w:rPr>
        <w:lastRenderedPageBreak/>
        <w:t>очікується що компанія інвестує близько 12 мільйонів доларів США у розвиток порту та розвиток інфраструктури міста</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w:t>
      </w:r>
      <w:r w:rsidR="00B22C32" w:rsidRPr="007626F7">
        <w:rPr>
          <w:rFonts w:ascii="Times New Roman" w:hAnsi="Times New Roman" w:cs="Times New Roman"/>
          <w:sz w:val="28"/>
          <w:szCs w:val="28"/>
          <w:lang w:val="uk-UA"/>
        </w:rPr>
        <w:t>7</w:t>
      </w:r>
      <w:r w:rsidR="006F0F70" w:rsidRPr="007626F7">
        <w:rPr>
          <w:rFonts w:ascii="Times New Roman" w:hAnsi="Times New Roman" w:cs="Times New Roman"/>
          <w:sz w:val="28"/>
          <w:szCs w:val="28"/>
          <w:lang w:val="uk-UA"/>
        </w:rPr>
        <w:t>4</w:t>
      </w:r>
      <w:r w:rsidRPr="007626F7">
        <w:rPr>
          <w:rFonts w:ascii="Times New Roman" w:hAnsi="Times New Roman" w:cs="Times New Roman"/>
          <w:sz w:val="28"/>
          <w:szCs w:val="28"/>
          <w:lang w:val="uk-UA"/>
        </w:rPr>
        <w:t>].</w:t>
      </w:r>
    </w:p>
    <w:p w14:paraId="63644990" w14:textId="7372C70B"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Найбільшими секторами швейцарських інвестицій є: промисловість, фінансова та страхова діяльність, щоб побачити розміри інвестицій в кожну промисловість розглянемо таблицю нижче (</w:t>
      </w:r>
      <w:r w:rsidR="0059114F" w:rsidRPr="007626F7">
        <w:rPr>
          <w:rFonts w:ascii="Times New Roman" w:hAnsi="Times New Roman" w:cs="Times New Roman"/>
          <w:sz w:val="28"/>
          <w:szCs w:val="28"/>
          <w:lang w:val="uk-UA"/>
        </w:rPr>
        <w:t xml:space="preserve">див. Додаток </w:t>
      </w:r>
      <w:r w:rsidR="00FD00A9" w:rsidRPr="007626F7">
        <w:rPr>
          <w:rFonts w:ascii="Times New Roman" w:hAnsi="Times New Roman" w:cs="Times New Roman"/>
          <w:sz w:val="28"/>
          <w:szCs w:val="28"/>
          <w:lang w:val="uk-UA"/>
        </w:rPr>
        <w:t>Л</w:t>
      </w:r>
      <w:r w:rsidR="0059114F" w:rsidRPr="007626F7">
        <w:rPr>
          <w:rFonts w:ascii="Times New Roman" w:hAnsi="Times New Roman" w:cs="Times New Roman"/>
          <w:sz w:val="28"/>
          <w:szCs w:val="28"/>
          <w:lang w:val="uk-UA"/>
        </w:rPr>
        <w:t>.3</w:t>
      </w:r>
      <w:r w:rsidRPr="007626F7">
        <w:rPr>
          <w:rFonts w:ascii="Times New Roman" w:hAnsi="Times New Roman" w:cs="Times New Roman"/>
          <w:sz w:val="28"/>
          <w:szCs w:val="28"/>
          <w:lang w:val="uk-UA"/>
        </w:rPr>
        <w:t>).</w:t>
      </w:r>
      <w:r w:rsidR="00054991"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За даними 2019 року Швейцарія більше всього інвестувала в Українську промисловість, близько 114 мільйонів доларів США, на другому місці інвестиції в фінансову та страхову діяльність, близько 32 мільйонів, а також Швейцарія інвестувала у інші сектори Української економіки близько 15 мільйонів. Також відомо, що Швейцарія допомагала Україні в період пандемії. Україна та Швейцарія підписали ряд двосторонніх документів</w:t>
      </w:r>
      <w:r w:rsidR="00F419DC" w:rsidRPr="007626F7">
        <w:rPr>
          <w:rFonts w:ascii="Times New Roman" w:hAnsi="Times New Roman" w:cs="Times New Roman"/>
          <w:sz w:val="28"/>
          <w:szCs w:val="28"/>
        </w:rPr>
        <w:t xml:space="preserve"> [72]</w:t>
      </w:r>
      <w:r w:rsidRPr="007626F7">
        <w:rPr>
          <w:rFonts w:ascii="Times New Roman" w:hAnsi="Times New Roman" w:cs="Times New Roman"/>
          <w:sz w:val="28"/>
          <w:szCs w:val="28"/>
          <w:lang w:val="uk-UA"/>
        </w:rPr>
        <w:t xml:space="preserve">.  </w:t>
      </w:r>
    </w:p>
    <w:p w14:paraId="2EECD572" w14:textId="753C987B"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Згідно з малюнком </w:t>
      </w:r>
      <w:r w:rsidR="00F67624" w:rsidRPr="007626F7">
        <w:rPr>
          <w:rFonts w:ascii="Times New Roman" w:hAnsi="Times New Roman" w:cs="Times New Roman"/>
          <w:sz w:val="28"/>
          <w:szCs w:val="28"/>
          <w:lang w:val="uk-UA"/>
        </w:rPr>
        <w:t xml:space="preserve">(див. Додаток </w:t>
      </w:r>
      <w:r w:rsidR="00FD00A9" w:rsidRPr="007626F7">
        <w:rPr>
          <w:rFonts w:ascii="Times New Roman" w:hAnsi="Times New Roman" w:cs="Times New Roman"/>
          <w:sz w:val="28"/>
          <w:szCs w:val="28"/>
          <w:lang w:val="uk-UA"/>
        </w:rPr>
        <w:t>Л</w:t>
      </w:r>
      <w:r w:rsidR="00F67624" w:rsidRPr="007626F7">
        <w:rPr>
          <w:rFonts w:ascii="Times New Roman" w:hAnsi="Times New Roman" w:cs="Times New Roman"/>
          <w:sz w:val="28"/>
          <w:szCs w:val="28"/>
          <w:lang w:val="uk-UA"/>
        </w:rPr>
        <w:t>.</w:t>
      </w:r>
      <w:r w:rsidR="00F3621D" w:rsidRPr="007626F7">
        <w:rPr>
          <w:rFonts w:ascii="Times New Roman" w:hAnsi="Times New Roman" w:cs="Times New Roman"/>
          <w:sz w:val="28"/>
          <w:szCs w:val="28"/>
          <w:lang w:val="uk-UA"/>
        </w:rPr>
        <w:t>4</w:t>
      </w:r>
      <w:r w:rsidR="00F67624"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кількість прямих інвестицій з України в Швейцарію складала 13,5 мільйонів доларів США, що на 2, мільярдів менше ніж інвестиції з Швейцарії в Україну. У 2019 році розмір інвестицій з України в Швейцарію склали 13,4 мільйони доларів США. У 2020 об’єм інвестицій у Швейцарію значно зменшився на 43%, тобто 7,7 мільярдів доларів США. В основному структура інвестицій з України в Швейцарію складають і</w:t>
      </w:r>
      <w:r w:rsidRPr="007626F7">
        <w:rPr>
          <w:rFonts w:ascii="Times New Roman" w:hAnsi="Times New Roman" w:cs="Times New Roman"/>
          <w:sz w:val="28"/>
          <w:szCs w:val="28"/>
        </w:rPr>
        <w:t xml:space="preserve">нструменти участі </w:t>
      </w:r>
      <w:r w:rsidR="003C3DA8" w:rsidRPr="007626F7">
        <w:rPr>
          <w:rFonts w:ascii="Times New Roman" w:hAnsi="Times New Roman" w:cs="Times New Roman"/>
          <w:sz w:val="28"/>
          <w:szCs w:val="28"/>
          <w:lang w:val="uk-UA"/>
        </w:rPr>
        <w:t>у</w:t>
      </w:r>
      <w:r w:rsidRPr="007626F7">
        <w:rPr>
          <w:rFonts w:ascii="Times New Roman" w:hAnsi="Times New Roman" w:cs="Times New Roman"/>
          <w:sz w:val="28"/>
          <w:szCs w:val="28"/>
        </w:rPr>
        <w:t xml:space="preserve"> капіталі</w:t>
      </w:r>
      <w:r w:rsidR="00F419DC" w:rsidRPr="007626F7">
        <w:rPr>
          <w:rFonts w:ascii="Times New Roman" w:hAnsi="Times New Roman" w:cs="Times New Roman"/>
          <w:sz w:val="28"/>
          <w:szCs w:val="28"/>
        </w:rPr>
        <w:t xml:space="preserve"> </w:t>
      </w:r>
      <w:r w:rsidRPr="007626F7">
        <w:rPr>
          <w:rFonts w:ascii="Times New Roman" w:hAnsi="Times New Roman" w:cs="Times New Roman"/>
          <w:sz w:val="28"/>
          <w:szCs w:val="28"/>
          <w:lang w:val="uk-UA"/>
        </w:rPr>
        <w:t>.</w:t>
      </w:r>
    </w:p>
    <w:p w14:paraId="4EC54EAE" w14:textId="7275B91A"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За даними з сайту президента України «Президент України Володимир Зеленський і Президент Швейцарії підписали Меморандум про партнерство між Україною та Швейцарською Конфедерацією щодо виконання Швейцарської програми співпраці на 2020-2023 роки в Україні». Даний меморандум передбачає співпрацю країн протягом трьох років, а саме за ці три роки країни бажають реалізувати проекти технічної допомоги та надання гуманітарної допомоги. Також президентами країн було підтверджена ініціатива проводження консультацій кожного року для оцінки виконання реалізованих планів. Також відомо що Швейцарія виділить близько 108  108 мільйонів Швейцарських франків для </w:t>
      </w:r>
      <w:r w:rsidR="003C3DA8" w:rsidRPr="007626F7">
        <w:rPr>
          <w:rFonts w:ascii="Times New Roman" w:hAnsi="Times New Roman" w:cs="Times New Roman"/>
          <w:sz w:val="28"/>
          <w:szCs w:val="28"/>
          <w:lang w:val="uk-UA"/>
        </w:rPr>
        <w:t>реалізації</w:t>
      </w:r>
      <w:r w:rsidRPr="007626F7">
        <w:rPr>
          <w:rFonts w:ascii="Times New Roman" w:hAnsi="Times New Roman" w:cs="Times New Roman"/>
          <w:sz w:val="28"/>
          <w:szCs w:val="28"/>
          <w:lang w:val="uk-UA"/>
        </w:rPr>
        <w:t xml:space="preserve"> цієї </w:t>
      </w:r>
      <w:r w:rsidR="003C3DA8" w:rsidRPr="007626F7">
        <w:rPr>
          <w:rFonts w:ascii="Times New Roman" w:hAnsi="Times New Roman" w:cs="Times New Roman"/>
          <w:sz w:val="28"/>
          <w:szCs w:val="28"/>
          <w:lang w:val="uk-UA"/>
        </w:rPr>
        <w:t>програми</w:t>
      </w:r>
      <w:r w:rsidRPr="007626F7">
        <w:rPr>
          <w:rFonts w:ascii="Times New Roman" w:hAnsi="Times New Roman" w:cs="Times New Roman"/>
          <w:sz w:val="28"/>
          <w:szCs w:val="28"/>
          <w:lang w:val="uk-UA"/>
        </w:rPr>
        <w:t>. [</w:t>
      </w:r>
      <w:r w:rsidR="00A110FB" w:rsidRPr="007626F7">
        <w:rPr>
          <w:rFonts w:ascii="Times New Roman" w:hAnsi="Times New Roman" w:cs="Times New Roman"/>
          <w:sz w:val="28"/>
          <w:szCs w:val="28"/>
          <w:lang w:val="uk-UA"/>
        </w:rPr>
        <w:t>7</w:t>
      </w:r>
      <w:r w:rsidR="006F0F70" w:rsidRPr="007626F7">
        <w:rPr>
          <w:rFonts w:ascii="Times New Roman" w:hAnsi="Times New Roman" w:cs="Times New Roman"/>
          <w:sz w:val="28"/>
          <w:szCs w:val="28"/>
        </w:rPr>
        <w:t>5</w:t>
      </w:r>
      <w:r w:rsidRPr="007626F7">
        <w:rPr>
          <w:rFonts w:ascii="Times New Roman" w:hAnsi="Times New Roman" w:cs="Times New Roman"/>
          <w:sz w:val="28"/>
          <w:szCs w:val="28"/>
          <w:lang w:val="uk-UA"/>
        </w:rPr>
        <w:t>].</w:t>
      </w:r>
    </w:p>
    <w:p w14:paraId="088C262F" w14:textId="4F7FD262" w:rsidR="00507D30" w:rsidRPr="007626F7" w:rsidRDefault="00507D30" w:rsidP="007626F7">
      <w:pPr>
        <w:spacing w:after="0" w:line="360" w:lineRule="auto"/>
        <w:ind w:firstLine="709"/>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Далі буде розглянуто співробітництво України та Польщі. Україна та Польща це країни знаходяться близько територіально, тому у країн міцні </w:t>
      </w:r>
      <w:r w:rsidRPr="007626F7">
        <w:rPr>
          <w:rFonts w:ascii="Times New Roman" w:hAnsi="Times New Roman" w:cs="Times New Roman"/>
          <w:sz w:val="28"/>
          <w:szCs w:val="28"/>
          <w:lang w:val="uk-UA"/>
        </w:rPr>
        <w:lastRenderedPageBreak/>
        <w:t xml:space="preserve">двосторонні стосунки. </w:t>
      </w:r>
      <w:r w:rsidRPr="007626F7">
        <w:rPr>
          <w:rFonts w:ascii="Times New Roman" w:hAnsi="Times New Roman" w:cs="Times New Roman"/>
          <w:sz w:val="28"/>
          <w:szCs w:val="28"/>
          <w:lang w:val="uk-UA"/>
        </w:rPr>
        <w:tab/>
        <w:t>Спочатку розглянемо обсяги експорту (</w:t>
      </w:r>
      <w:r w:rsidR="00F3621D" w:rsidRPr="007626F7">
        <w:rPr>
          <w:rFonts w:ascii="Times New Roman" w:hAnsi="Times New Roman" w:cs="Times New Roman"/>
          <w:sz w:val="28"/>
          <w:szCs w:val="28"/>
          <w:lang w:val="uk-UA"/>
        </w:rPr>
        <w:t xml:space="preserve">див. Додаток </w:t>
      </w:r>
      <w:r w:rsidR="00FD00A9" w:rsidRPr="007626F7">
        <w:rPr>
          <w:rFonts w:ascii="Times New Roman" w:hAnsi="Times New Roman" w:cs="Times New Roman"/>
          <w:sz w:val="28"/>
          <w:szCs w:val="28"/>
          <w:lang w:val="uk-UA"/>
        </w:rPr>
        <w:t>М</w:t>
      </w:r>
      <w:r w:rsidR="00F3621D" w:rsidRPr="007626F7">
        <w:rPr>
          <w:rFonts w:ascii="Times New Roman" w:hAnsi="Times New Roman" w:cs="Times New Roman"/>
          <w:sz w:val="28"/>
          <w:szCs w:val="28"/>
          <w:lang w:val="uk-UA"/>
        </w:rPr>
        <w:t>.1</w:t>
      </w:r>
      <w:r w:rsidRPr="007626F7">
        <w:rPr>
          <w:rFonts w:ascii="Times New Roman" w:hAnsi="Times New Roman" w:cs="Times New Roman"/>
          <w:sz w:val="28"/>
          <w:szCs w:val="28"/>
          <w:lang w:val="uk-UA"/>
        </w:rPr>
        <w:t>)</w:t>
      </w:r>
      <w:r w:rsidR="00F3621D"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Експорт з України в Польщу складав у 2018 році  3,257 мільйонів доларів США. У 2019 році експорт складав 3,295 мільйонів доларів США. А ось у 2020 році експорт склав 3,273 мільйони доларів США. Тобто можна побачити, що експорт у середньому за три роки складає близько трьох мільйонів, що говорить про тісну співпрацю країн. Експорт з України в Польщу в основному складають такі товари:</w:t>
      </w:r>
      <w:r w:rsidRPr="007626F7">
        <w:rPr>
          <w:rFonts w:ascii="Times New Roman" w:hAnsi="Times New Roman" w:cs="Times New Roman"/>
        </w:rPr>
        <w:t xml:space="preserve"> </w:t>
      </w:r>
      <w:r w:rsidRPr="007626F7">
        <w:rPr>
          <w:rFonts w:ascii="Times New Roman" w:hAnsi="Times New Roman" w:cs="Times New Roman"/>
          <w:sz w:val="28"/>
          <w:szCs w:val="28"/>
          <w:lang w:val="uk-UA"/>
        </w:rPr>
        <w:t>руди, шлаки і зола, електричні машини,</w:t>
      </w:r>
      <w:r w:rsidRPr="007626F7">
        <w:rPr>
          <w:rFonts w:ascii="Times New Roman" w:hAnsi="Times New Roman" w:cs="Times New Roman"/>
        </w:rPr>
        <w:t xml:space="preserve"> </w:t>
      </w:r>
      <w:r w:rsidRPr="007626F7">
        <w:rPr>
          <w:rFonts w:ascii="Times New Roman" w:hAnsi="Times New Roman" w:cs="Times New Roman"/>
          <w:sz w:val="28"/>
          <w:szCs w:val="28"/>
          <w:lang w:val="uk-UA"/>
        </w:rPr>
        <w:t>жири та олії тваринного або рослинного походження та меблі</w:t>
      </w:r>
      <w:r w:rsidR="005641A0" w:rsidRPr="007626F7">
        <w:rPr>
          <w:rFonts w:ascii="Times New Roman" w:hAnsi="Times New Roman" w:cs="Times New Roman"/>
          <w:sz w:val="28"/>
          <w:szCs w:val="28"/>
        </w:rPr>
        <w:t xml:space="preserve"> [72]</w:t>
      </w:r>
      <w:r w:rsidRPr="007626F7">
        <w:rPr>
          <w:rFonts w:ascii="Times New Roman" w:hAnsi="Times New Roman" w:cs="Times New Roman"/>
          <w:sz w:val="28"/>
          <w:szCs w:val="28"/>
          <w:lang w:val="uk-UA"/>
        </w:rPr>
        <w:t xml:space="preserve">. </w:t>
      </w:r>
    </w:p>
    <w:p w14:paraId="03A19ACA" w14:textId="6016607A"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Щодо імпорту з Польщі в Україну, то він у 2018 році складав 3,641 мільйонів доларів США. У 2019 році імпорт досяг позначки у 4,109 мільйонів доларів США, що є рекордним значенням за розглядані роки. У 2020 році показник експорту був близько 4,088 мільйонів доларів США. Основними товарами імпорту з Польщі в Україну є: м'ясо та їстівні субпродукти,</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 xml:space="preserve"> готові продукти із зерна, залишки і відходи харчової промисловості,</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 xml:space="preserve"> пластмаси, полімерні матеріали, реактори ядерні, котли, машини, засоби наземного транспорту крім залізничного,</w:t>
      </w:r>
      <w:r w:rsidRPr="007626F7">
        <w:rPr>
          <w:rFonts w:ascii="Times New Roman" w:hAnsi="Times New Roman" w:cs="Times New Roman"/>
          <w:lang w:val="uk-UA"/>
        </w:rPr>
        <w:t xml:space="preserve"> </w:t>
      </w:r>
      <w:r w:rsidRPr="007626F7">
        <w:rPr>
          <w:rFonts w:ascii="Times New Roman" w:hAnsi="Times New Roman" w:cs="Times New Roman"/>
          <w:sz w:val="28"/>
          <w:szCs w:val="28"/>
          <w:lang w:val="uk-UA"/>
        </w:rPr>
        <w:t xml:space="preserve"> какао та продукти з нього</w:t>
      </w:r>
      <w:r w:rsidR="00884CC9" w:rsidRPr="007626F7">
        <w:rPr>
          <w:rFonts w:ascii="Times New Roman" w:hAnsi="Times New Roman" w:cs="Times New Roman"/>
          <w:sz w:val="28"/>
          <w:szCs w:val="28"/>
          <w:lang w:val="uk-UA"/>
        </w:rPr>
        <w:t xml:space="preserve"> [72]</w:t>
      </w:r>
      <w:r w:rsidRPr="007626F7">
        <w:rPr>
          <w:rFonts w:ascii="Times New Roman" w:hAnsi="Times New Roman" w:cs="Times New Roman"/>
          <w:sz w:val="28"/>
          <w:szCs w:val="28"/>
          <w:lang w:val="uk-UA"/>
        </w:rPr>
        <w:t>.</w:t>
      </w:r>
    </w:p>
    <w:p w14:paraId="69BBF652" w14:textId="586979BF"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За даними  Посольства України в Республіці Польща обсяг торгівлі послугами у  2020 року склав 608,2 млн. дол. США, що означає, що він впав на 8,4% . Але обсяг експорту послуг з України у Польщу склав 417,9 мільйонів доларів США, а імпорт послуг з Польщі в Україну склав 190,3 мільйонів доларів США </w:t>
      </w:r>
      <w:r w:rsidRPr="007626F7">
        <w:rPr>
          <w:rFonts w:ascii="Times New Roman" w:hAnsi="Times New Roman" w:cs="Times New Roman"/>
          <w:sz w:val="28"/>
          <w:szCs w:val="28"/>
        </w:rPr>
        <w:t>[</w:t>
      </w:r>
      <w:r w:rsidR="00EC3808" w:rsidRPr="007626F7">
        <w:rPr>
          <w:rFonts w:ascii="Times New Roman" w:hAnsi="Times New Roman" w:cs="Times New Roman"/>
          <w:sz w:val="28"/>
          <w:szCs w:val="28"/>
        </w:rPr>
        <w:t>7</w:t>
      </w:r>
      <w:r w:rsidR="0092312E" w:rsidRPr="007626F7">
        <w:rPr>
          <w:rFonts w:ascii="Times New Roman" w:hAnsi="Times New Roman" w:cs="Times New Roman"/>
          <w:sz w:val="28"/>
          <w:szCs w:val="28"/>
        </w:rPr>
        <w:t>6</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w:t>
      </w:r>
    </w:p>
    <w:p w14:paraId="6AE597CE" w14:textId="77777777"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Щодо сальдо торгових операцій між країнами, то можна побачити, що імпорт більший ніж експорт з України в Польщу, але різниця не така як між експортом та імпортом між Україною та Швейцарією. І навіть у січні 2021 року сальдо позитивне, що говорить про більший експорт з України в Польщу ніж імпорт з Польщі в Україну у січні 2021 році. Але у всі інші роки сальдо від’ємне. Також, що цікаво зазначити, Польща у 2020 році зайняла 3 місці у списку країн торгівельних партнерів України.</w:t>
      </w:r>
    </w:p>
    <w:p w14:paraId="184B2FD8" w14:textId="023383B8" w:rsidR="00507D30" w:rsidRPr="007626F7" w:rsidRDefault="00507D30" w:rsidP="007626F7">
      <w:pPr>
        <w:spacing w:after="0" w:line="360" w:lineRule="auto"/>
        <w:ind w:firstLine="720"/>
        <w:jc w:val="both"/>
        <w:rPr>
          <w:rFonts w:ascii="Times New Roman" w:hAnsi="Times New Roman" w:cs="Times New Roman"/>
          <w:sz w:val="28"/>
          <w:szCs w:val="28"/>
          <w:lang w:val="uk-UA"/>
        </w:rPr>
      </w:pPr>
      <w:r w:rsidRPr="007626F7">
        <w:rPr>
          <w:rFonts w:ascii="Times New Roman" w:eastAsia="Times New Roman" w:hAnsi="Times New Roman" w:cs="Times New Roman"/>
          <w:sz w:val="28"/>
          <w:szCs w:val="28"/>
          <w:lang w:val="uk-UA"/>
        </w:rPr>
        <w:t xml:space="preserve">Далі розглянемо обсяги прямих  інвестицій з Польщі в Україну </w:t>
      </w:r>
      <w:r w:rsidR="00F3621D" w:rsidRPr="007626F7">
        <w:rPr>
          <w:rFonts w:ascii="Times New Roman" w:eastAsia="Times New Roman" w:hAnsi="Times New Roman" w:cs="Times New Roman"/>
          <w:sz w:val="28"/>
          <w:szCs w:val="28"/>
          <w:lang w:val="uk-UA"/>
        </w:rPr>
        <w:t>(</w:t>
      </w:r>
      <w:r w:rsidR="00F3621D" w:rsidRPr="007626F7">
        <w:rPr>
          <w:rFonts w:ascii="Times New Roman" w:hAnsi="Times New Roman" w:cs="Times New Roman"/>
          <w:sz w:val="28"/>
          <w:szCs w:val="28"/>
          <w:lang w:val="uk-UA"/>
        </w:rPr>
        <w:t xml:space="preserve">див. Додаток </w:t>
      </w:r>
      <w:r w:rsidR="00FD00A9" w:rsidRPr="007626F7">
        <w:rPr>
          <w:rFonts w:ascii="Times New Roman" w:hAnsi="Times New Roman" w:cs="Times New Roman"/>
          <w:sz w:val="28"/>
          <w:szCs w:val="28"/>
          <w:lang w:val="uk-UA"/>
        </w:rPr>
        <w:t>М</w:t>
      </w:r>
      <w:r w:rsidR="00F3621D" w:rsidRPr="007626F7">
        <w:rPr>
          <w:rFonts w:ascii="Times New Roman" w:hAnsi="Times New Roman" w:cs="Times New Roman"/>
          <w:sz w:val="28"/>
          <w:szCs w:val="28"/>
          <w:lang w:val="uk-UA"/>
        </w:rPr>
        <w:t xml:space="preserve">.2). </w:t>
      </w:r>
      <w:r w:rsidRPr="007626F7">
        <w:rPr>
          <w:rFonts w:ascii="Times New Roman" w:eastAsia="Times New Roman" w:hAnsi="Times New Roman" w:cs="Times New Roman"/>
          <w:sz w:val="28"/>
          <w:szCs w:val="28"/>
          <w:lang w:val="uk-UA"/>
        </w:rPr>
        <w:t xml:space="preserve">Згідно з малюнком об’єм прямих інвестицій з Польщі в Україну </w:t>
      </w:r>
      <w:r w:rsidRPr="007626F7">
        <w:rPr>
          <w:rFonts w:ascii="Times New Roman" w:eastAsia="Times New Roman" w:hAnsi="Times New Roman" w:cs="Times New Roman"/>
          <w:sz w:val="28"/>
          <w:szCs w:val="28"/>
          <w:lang w:val="uk-UA"/>
        </w:rPr>
        <w:lastRenderedPageBreak/>
        <w:t>у 2018 році склав близько 847 мільйонів доларів США. У 2019 році можна побачити. Що був пік інвестування Польщі в Україну протягом 2018-2020 років, показник досяг позначки в 895 мільйонів доларів США. У 2020 році об'єм прямих інвестицій трохи скоротився і вже склав 880 мільйонів доларів США</w:t>
      </w:r>
      <w:r w:rsidR="00884CC9" w:rsidRPr="007626F7">
        <w:rPr>
          <w:rFonts w:ascii="Times New Roman" w:eastAsia="Times New Roman" w:hAnsi="Times New Roman" w:cs="Times New Roman"/>
          <w:sz w:val="28"/>
          <w:szCs w:val="28"/>
        </w:rPr>
        <w:t xml:space="preserve"> [72]</w:t>
      </w:r>
      <w:r w:rsidRPr="007626F7">
        <w:rPr>
          <w:rFonts w:ascii="Times New Roman" w:eastAsia="Times New Roman" w:hAnsi="Times New Roman" w:cs="Times New Roman"/>
          <w:sz w:val="28"/>
          <w:szCs w:val="28"/>
          <w:lang w:val="uk-UA"/>
        </w:rPr>
        <w:t>.</w:t>
      </w:r>
    </w:p>
    <w:p w14:paraId="69E84131" w14:textId="70533AF7" w:rsidR="00507D30" w:rsidRPr="007626F7" w:rsidRDefault="00507D30" w:rsidP="007626F7">
      <w:pPr>
        <w:shd w:val="clear" w:color="auto" w:fill="FFFFFF"/>
        <w:spacing w:after="0" w:line="360" w:lineRule="auto"/>
        <w:ind w:firstLine="720"/>
        <w:jc w:val="both"/>
        <w:textAlignment w:val="baseline"/>
        <w:rPr>
          <w:rFonts w:ascii="Times New Roman" w:eastAsia="Times New Roman" w:hAnsi="Times New Roman" w:cs="Times New Roman"/>
          <w:sz w:val="28"/>
          <w:szCs w:val="28"/>
          <w:lang w:val="uk-UA"/>
        </w:rPr>
      </w:pPr>
      <w:r w:rsidRPr="007626F7">
        <w:rPr>
          <w:rFonts w:ascii="Times New Roman" w:eastAsia="Times New Roman" w:hAnsi="Times New Roman" w:cs="Times New Roman"/>
          <w:sz w:val="28"/>
          <w:szCs w:val="28"/>
          <w:lang w:val="uk-UA"/>
        </w:rPr>
        <w:t>Також розглянемо об'єм інвестицій з України в Польщу (</w:t>
      </w:r>
      <w:r w:rsidR="00F67624" w:rsidRPr="007626F7">
        <w:rPr>
          <w:rFonts w:ascii="Times New Roman" w:hAnsi="Times New Roman" w:cs="Times New Roman"/>
          <w:sz w:val="28"/>
          <w:szCs w:val="28"/>
          <w:lang w:val="uk-UA"/>
        </w:rPr>
        <w:t xml:space="preserve">див. Додаток </w:t>
      </w:r>
      <w:r w:rsidR="00FD00A9" w:rsidRPr="007626F7">
        <w:rPr>
          <w:rFonts w:ascii="Times New Roman" w:hAnsi="Times New Roman" w:cs="Times New Roman"/>
          <w:sz w:val="28"/>
          <w:szCs w:val="28"/>
          <w:lang w:val="uk-UA"/>
        </w:rPr>
        <w:t>М</w:t>
      </w:r>
      <w:r w:rsidR="00F3621D" w:rsidRPr="007626F7">
        <w:rPr>
          <w:rFonts w:ascii="Times New Roman" w:hAnsi="Times New Roman" w:cs="Times New Roman"/>
          <w:sz w:val="28"/>
          <w:szCs w:val="28"/>
          <w:lang w:val="uk-UA"/>
        </w:rPr>
        <w:t>.3</w:t>
      </w:r>
      <w:r w:rsidRPr="007626F7">
        <w:rPr>
          <w:rFonts w:ascii="Times New Roman" w:eastAsia="Times New Roman" w:hAnsi="Times New Roman" w:cs="Times New Roman"/>
          <w:sz w:val="28"/>
          <w:szCs w:val="28"/>
          <w:lang w:val="uk-UA"/>
        </w:rPr>
        <w:t>).</w:t>
      </w:r>
      <w:r w:rsidR="00F67624" w:rsidRPr="007626F7">
        <w:rPr>
          <w:rFonts w:ascii="Times New Roman" w:eastAsia="Times New Roman" w:hAnsi="Times New Roman" w:cs="Times New Roman"/>
          <w:sz w:val="28"/>
          <w:szCs w:val="28"/>
          <w:lang w:val="uk-UA"/>
        </w:rPr>
        <w:t xml:space="preserve"> </w:t>
      </w:r>
      <w:r w:rsidRPr="007626F7">
        <w:rPr>
          <w:rFonts w:ascii="Times New Roman" w:hAnsi="Times New Roman" w:cs="Times New Roman"/>
          <w:sz w:val="28"/>
          <w:szCs w:val="28"/>
          <w:lang w:val="uk-UA"/>
        </w:rPr>
        <w:t>Прямі інвестиції з України у Польщу як не дивно менші ніж інвестиції з України у Швейцарію. У 2018 році інвестиції з України в Польщу збільшились на 20% і склали 6,7 мільярдів доларів США. У 2019 році показник прямих інвестицій склав 8,1 мільярдів доларів США. А у 2020 році показник був 7,5 мільярдів доларів США, що на 8% менше ніж у 2019 році.</w:t>
      </w:r>
    </w:p>
    <w:p w14:paraId="0E19E8A5" w14:textId="2E220DDE" w:rsidR="00507D30" w:rsidRPr="007626F7" w:rsidRDefault="00507D30" w:rsidP="007626F7">
      <w:pPr>
        <w:shd w:val="clear" w:color="auto" w:fill="FFFFFF"/>
        <w:spacing w:after="0" w:line="360" w:lineRule="auto"/>
        <w:ind w:firstLine="720"/>
        <w:jc w:val="both"/>
        <w:textAlignment w:val="baseline"/>
        <w:rPr>
          <w:rFonts w:ascii="Times New Roman" w:eastAsia="Times New Roman" w:hAnsi="Times New Roman" w:cs="Times New Roman"/>
          <w:sz w:val="28"/>
          <w:szCs w:val="28"/>
          <w:lang w:val="uk-UA"/>
        </w:rPr>
      </w:pPr>
      <w:r w:rsidRPr="007626F7">
        <w:rPr>
          <w:rFonts w:ascii="Times New Roman" w:eastAsia="Times New Roman" w:hAnsi="Times New Roman" w:cs="Times New Roman"/>
          <w:sz w:val="28"/>
          <w:szCs w:val="28"/>
          <w:lang w:val="uk-UA"/>
        </w:rPr>
        <w:t>Також, що цікаво Польща одна з країн, які надали найбільшу допомогу Україні у період пандемії. Польщею була відділена гуманітарна допомога Україні.</w:t>
      </w:r>
      <w:r w:rsidRPr="007626F7">
        <w:rPr>
          <w:rFonts w:ascii="Times New Roman" w:hAnsi="Times New Roman" w:cs="Times New Roman"/>
          <w:sz w:val="28"/>
          <w:szCs w:val="28"/>
          <w:lang w:val="uk-UA"/>
        </w:rPr>
        <w:t xml:space="preserve">  За даними з сайту міністерства охорони здоров’я України, 13 вантажівок доставили дезінфікуючі засоби, медичні маски, рукавички, захисні костюми та лицьові щитки. Також, Заступник Міністра охорони здоров’я з питань євроінтеграції Ігор Іващенко зазначив:  </w:t>
      </w:r>
      <w:r w:rsidRPr="007626F7">
        <w:rPr>
          <w:rFonts w:ascii="Times New Roman" w:eastAsia="Times New Roman" w:hAnsi="Times New Roman" w:cs="Times New Roman"/>
          <w:sz w:val="28"/>
          <w:szCs w:val="28"/>
          <w:lang w:val="uk-UA"/>
        </w:rPr>
        <w:t>«Польський гуманітарний конвой – це найбільша гуманітарна допомога, яку отримала Україна під час пандемії корона вірусної хвороби» [</w:t>
      </w:r>
      <w:r w:rsidR="00EC3808" w:rsidRPr="007626F7">
        <w:rPr>
          <w:rFonts w:ascii="Times New Roman" w:eastAsia="Times New Roman" w:hAnsi="Times New Roman" w:cs="Times New Roman"/>
          <w:sz w:val="28"/>
          <w:szCs w:val="28"/>
          <w:lang w:val="uk-UA"/>
        </w:rPr>
        <w:t>7</w:t>
      </w:r>
      <w:r w:rsidR="0092312E" w:rsidRPr="007626F7">
        <w:rPr>
          <w:rFonts w:ascii="Times New Roman" w:eastAsia="Times New Roman" w:hAnsi="Times New Roman" w:cs="Times New Roman"/>
          <w:sz w:val="28"/>
          <w:szCs w:val="28"/>
          <w:lang w:val="uk-UA"/>
        </w:rPr>
        <w:t>7</w:t>
      </w:r>
      <w:r w:rsidRPr="007626F7">
        <w:rPr>
          <w:rFonts w:ascii="Times New Roman" w:eastAsia="Times New Roman" w:hAnsi="Times New Roman" w:cs="Times New Roman"/>
          <w:sz w:val="28"/>
          <w:szCs w:val="28"/>
          <w:lang w:val="uk-UA"/>
        </w:rPr>
        <w:t>].</w:t>
      </w:r>
    </w:p>
    <w:p w14:paraId="0F1686A8" w14:textId="77777777" w:rsidR="00CB2FE9" w:rsidRPr="007626F7" w:rsidRDefault="00507D30" w:rsidP="007626F7">
      <w:pPr>
        <w:spacing w:after="0" w:line="360" w:lineRule="auto"/>
        <w:ind w:firstLine="720"/>
        <w:jc w:val="both"/>
        <w:textAlignment w:val="baseline"/>
        <w:rPr>
          <w:rFonts w:ascii="Times New Roman" w:eastAsia="Times New Roman" w:hAnsi="Times New Roman" w:cs="Times New Roman"/>
          <w:sz w:val="28"/>
          <w:szCs w:val="28"/>
          <w:lang w:val="uk-UA"/>
        </w:rPr>
      </w:pPr>
      <w:r w:rsidRPr="007626F7">
        <w:rPr>
          <w:rFonts w:ascii="Times New Roman" w:eastAsia="Times New Roman" w:hAnsi="Times New Roman" w:cs="Times New Roman"/>
          <w:sz w:val="28"/>
          <w:szCs w:val="28"/>
          <w:lang w:val="uk-UA"/>
        </w:rPr>
        <w:t xml:space="preserve">Отже, слід зробити висновок, що обидві країни намагаються збільшити та покращити об'єм торгових на інвестиційних відносин з Україною. Швейцарія входить в топ країн інвесторів в Україну і між країнами була підписана угода про співробітництво на майбутніх три роки. Також Швейцарія одна з найбільших країн імпортерів України. Україна більше отримує інвестицій з Швейцарії ніж з Польщі і Україна більше інвестує в Швейцарію ніж в Польщу. Щодо Польщі, то між країнами теж тісна співпраця, але в сфері товарного обміну та обміну послугами. Польща одна з найбільших країн експортерів України. Україна експорту країні зерно а імпортує з Польщі вже перероблене зерно. Також, що цікаво зазначити, Польща є однією з лідируючих країн у яку відбувається міграція робочої сили з України. </w:t>
      </w:r>
    </w:p>
    <w:p w14:paraId="0BEAD574" w14:textId="77777777" w:rsidR="00CB2FE9" w:rsidRPr="007626F7" w:rsidRDefault="00CB2FE9" w:rsidP="007626F7">
      <w:pPr>
        <w:spacing w:after="0" w:line="360" w:lineRule="auto"/>
        <w:rPr>
          <w:rFonts w:ascii="Times New Roman" w:eastAsia="Times New Roman" w:hAnsi="Times New Roman" w:cs="Times New Roman"/>
          <w:sz w:val="28"/>
          <w:szCs w:val="28"/>
          <w:lang w:val="uk-UA"/>
        </w:rPr>
      </w:pPr>
      <w:r w:rsidRPr="007626F7">
        <w:rPr>
          <w:rFonts w:ascii="Times New Roman" w:eastAsia="Times New Roman" w:hAnsi="Times New Roman" w:cs="Times New Roman"/>
          <w:sz w:val="28"/>
          <w:szCs w:val="28"/>
          <w:lang w:val="uk-UA"/>
        </w:rPr>
        <w:lastRenderedPageBreak/>
        <w:br w:type="page"/>
      </w:r>
    </w:p>
    <w:p w14:paraId="4C80F3AC" w14:textId="21AAAFCF" w:rsidR="00B26598" w:rsidRPr="007626F7" w:rsidRDefault="00B26598" w:rsidP="007626F7">
      <w:pPr>
        <w:spacing w:after="0" w:line="360" w:lineRule="auto"/>
        <w:ind w:firstLine="720"/>
        <w:jc w:val="center"/>
        <w:textAlignment w:val="baseline"/>
        <w:outlineLvl w:val="0"/>
        <w:rPr>
          <w:rFonts w:ascii="Times New Roman" w:eastAsia="Times New Roman" w:hAnsi="Times New Roman" w:cs="Times New Roman"/>
          <w:b/>
          <w:bCs/>
          <w:sz w:val="28"/>
          <w:szCs w:val="28"/>
          <w:lang w:val="uk-UA"/>
        </w:rPr>
      </w:pPr>
      <w:bookmarkStart w:id="34" w:name="_Toc75333591"/>
      <w:r w:rsidRPr="007626F7">
        <w:rPr>
          <w:rFonts w:ascii="Times New Roman" w:eastAsia="Times New Roman" w:hAnsi="Times New Roman" w:cs="Times New Roman"/>
          <w:b/>
          <w:bCs/>
          <w:sz w:val="28"/>
          <w:szCs w:val="28"/>
          <w:lang w:val="uk-UA"/>
        </w:rPr>
        <w:lastRenderedPageBreak/>
        <w:t>ВИСНОВ</w:t>
      </w:r>
      <w:r w:rsidR="002F2B54" w:rsidRPr="007626F7">
        <w:rPr>
          <w:rFonts w:ascii="Times New Roman" w:eastAsia="Times New Roman" w:hAnsi="Times New Roman" w:cs="Times New Roman"/>
          <w:b/>
          <w:bCs/>
          <w:sz w:val="28"/>
          <w:szCs w:val="28"/>
          <w:lang w:val="uk-UA"/>
        </w:rPr>
        <w:t>КИ</w:t>
      </w:r>
      <w:bookmarkEnd w:id="34"/>
    </w:p>
    <w:p w14:paraId="2C275A70" w14:textId="77777777" w:rsidR="004F67FB" w:rsidRPr="007626F7" w:rsidRDefault="004F67FB" w:rsidP="007626F7">
      <w:pPr>
        <w:spacing w:after="0" w:line="360" w:lineRule="auto"/>
        <w:ind w:firstLine="720"/>
        <w:textAlignment w:val="baseline"/>
        <w:outlineLvl w:val="0"/>
        <w:rPr>
          <w:rFonts w:ascii="Times New Roman" w:eastAsia="Times New Roman" w:hAnsi="Times New Roman" w:cs="Times New Roman"/>
          <w:b/>
          <w:bCs/>
          <w:sz w:val="28"/>
          <w:szCs w:val="28"/>
          <w:lang w:val="uk-UA"/>
        </w:rPr>
      </w:pPr>
    </w:p>
    <w:p w14:paraId="67D263A7" w14:textId="4D642872" w:rsidR="000930B3" w:rsidRPr="007626F7" w:rsidRDefault="00670020" w:rsidP="007626F7">
      <w:pPr>
        <w:spacing w:after="0" w:line="360" w:lineRule="auto"/>
        <w:ind w:firstLine="720"/>
        <w:jc w:val="both"/>
        <w:textAlignment w:val="baseline"/>
        <w:rPr>
          <w:rFonts w:ascii="Times New Roman" w:eastAsia="Calibri" w:hAnsi="Times New Roman" w:cs="Times New Roman"/>
          <w:sz w:val="28"/>
          <w:lang w:val="uk-UA"/>
        </w:rPr>
      </w:pPr>
      <w:r w:rsidRPr="007626F7">
        <w:rPr>
          <w:rFonts w:ascii="Times New Roman" w:eastAsia="Times New Roman" w:hAnsi="Times New Roman" w:cs="Times New Roman"/>
          <w:sz w:val="28"/>
          <w:szCs w:val="28"/>
          <w:lang w:val="uk-UA"/>
        </w:rPr>
        <w:t xml:space="preserve">Отже після проведення дослідження можна зробити висновок, що згідно </w:t>
      </w:r>
      <w:r w:rsidR="00861ADD" w:rsidRPr="007626F7">
        <w:rPr>
          <w:rFonts w:ascii="Times New Roman" w:eastAsia="Times New Roman" w:hAnsi="Times New Roman" w:cs="Times New Roman"/>
          <w:sz w:val="28"/>
          <w:szCs w:val="28"/>
          <w:lang w:val="uk-UA"/>
        </w:rPr>
        <w:t xml:space="preserve">з </w:t>
      </w:r>
      <w:r w:rsidR="006B28CE" w:rsidRPr="007626F7">
        <w:rPr>
          <w:rFonts w:ascii="Times New Roman" w:eastAsia="Times New Roman" w:hAnsi="Times New Roman" w:cs="Times New Roman"/>
          <w:sz w:val="28"/>
          <w:szCs w:val="28"/>
          <w:lang w:val="uk-UA"/>
        </w:rPr>
        <w:t xml:space="preserve">теоретичними дослідженнями щодо стану економік країн Швейцарії, Польщі та України у період пандемії можна прийти до таких основних висновків, що Швейцарія хоча і є розвинутою країною і має високий рівень стабільності економіки, але </w:t>
      </w:r>
      <w:r w:rsidR="000930B3" w:rsidRPr="007626F7">
        <w:rPr>
          <w:rFonts w:ascii="Times New Roman" w:eastAsia="Times New Roman" w:hAnsi="Times New Roman" w:cs="Times New Roman"/>
          <w:sz w:val="28"/>
          <w:szCs w:val="28"/>
          <w:lang w:val="uk-UA"/>
        </w:rPr>
        <w:t xml:space="preserve">пандемія не пройшла повз країну без наслідків. Країна </w:t>
      </w:r>
      <w:r w:rsidR="000930B3" w:rsidRPr="007626F7">
        <w:rPr>
          <w:rFonts w:ascii="Times New Roman" w:eastAsia="Calibri" w:hAnsi="Times New Roman" w:cs="Times New Roman"/>
          <w:sz w:val="28"/>
          <w:lang w:val="uk-UA"/>
        </w:rPr>
        <w:t>досить успішно відреагувала на першу хвилю COVID-19, застосувавши як засоби охорони здоров'я, так і економічні заходи. Також згідно зі статтями власники малого бізнесу в Швейцарії почали брати більше кредитів ніж до пандемії для забезпечення достатнього рівня фінансування. Щодо Польщі, то  автори зазначали, що пандемія досить негативно вплинула на дохід домогосподарств, а туристичний напрямок  у країні зменшився майже на половину. Щодо ситуації в Україні, то</w:t>
      </w:r>
      <w:r w:rsidR="008558C4" w:rsidRPr="007626F7">
        <w:rPr>
          <w:rFonts w:ascii="Times New Roman" w:eastAsia="Calibri" w:hAnsi="Times New Roman" w:cs="Times New Roman"/>
          <w:sz w:val="28"/>
          <w:lang w:val="uk-UA"/>
        </w:rPr>
        <w:t xml:space="preserve"> автори зазначали, що для початку країні треба повернутися до рівня до пандемії  а також, що країні слід уникат</w:t>
      </w:r>
      <w:r w:rsidR="00F74382" w:rsidRPr="007626F7">
        <w:rPr>
          <w:rFonts w:ascii="Times New Roman" w:eastAsia="Calibri" w:hAnsi="Times New Roman" w:cs="Times New Roman"/>
          <w:sz w:val="28"/>
          <w:lang w:val="uk-UA"/>
        </w:rPr>
        <w:t xml:space="preserve">и впровадження жорстких карантинних обмежень, також </w:t>
      </w:r>
      <w:r w:rsidR="008558C4" w:rsidRPr="007626F7">
        <w:rPr>
          <w:rFonts w:ascii="Times New Roman" w:eastAsia="Calibri" w:hAnsi="Times New Roman" w:cs="Times New Roman"/>
          <w:sz w:val="28"/>
          <w:lang w:val="uk-UA"/>
        </w:rPr>
        <w:t xml:space="preserve">в Україні відбулося значне падіння економічних показників реального секторі економіки. </w:t>
      </w:r>
    </w:p>
    <w:p w14:paraId="055B1CC6" w14:textId="7C79F717" w:rsidR="00B26598" w:rsidRPr="007626F7" w:rsidRDefault="00B26598" w:rsidP="007626F7">
      <w:pPr>
        <w:spacing w:after="0" w:line="360" w:lineRule="auto"/>
        <w:ind w:firstLine="720"/>
        <w:jc w:val="both"/>
        <w:textAlignment w:val="baseline"/>
        <w:rPr>
          <w:rFonts w:ascii="Times New Roman" w:hAnsi="Times New Roman" w:cs="Times New Roman"/>
          <w:sz w:val="28"/>
          <w:szCs w:val="28"/>
        </w:rPr>
      </w:pPr>
      <w:r w:rsidRPr="007626F7">
        <w:rPr>
          <w:rFonts w:ascii="Times New Roman" w:hAnsi="Times New Roman" w:cs="Times New Roman"/>
          <w:sz w:val="28"/>
          <w:szCs w:val="28"/>
          <w:lang w:val="uk-UA"/>
        </w:rPr>
        <w:t>ВВП України виросло, ВВП Швейцарії падало до третього кварталу 2020 року а потів відбулось невеликий ріст, ВВП Польщі зменшилось на 9% за 2020 рік. Дефіцит бюджету в Україні збільш</w:t>
      </w:r>
      <w:r w:rsidR="00DA6466" w:rsidRPr="007626F7">
        <w:rPr>
          <w:rFonts w:ascii="Times New Roman" w:hAnsi="Times New Roman" w:cs="Times New Roman"/>
          <w:sz w:val="28"/>
          <w:szCs w:val="28"/>
          <w:lang w:val="uk-UA"/>
        </w:rPr>
        <w:t>и</w:t>
      </w:r>
      <w:r w:rsidRPr="007626F7">
        <w:rPr>
          <w:rFonts w:ascii="Times New Roman" w:hAnsi="Times New Roman" w:cs="Times New Roman"/>
          <w:sz w:val="28"/>
          <w:szCs w:val="28"/>
          <w:lang w:val="uk-UA"/>
        </w:rPr>
        <w:t xml:space="preserve">вся особливо у кінці 2020 року, у Швейцарії теж </w:t>
      </w:r>
      <w:r w:rsidR="00DA6466" w:rsidRPr="007626F7">
        <w:rPr>
          <w:rFonts w:ascii="Times New Roman" w:hAnsi="Times New Roman" w:cs="Times New Roman"/>
          <w:sz w:val="28"/>
          <w:szCs w:val="28"/>
          <w:lang w:val="uk-UA"/>
        </w:rPr>
        <w:t>виріс</w:t>
      </w:r>
      <w:r w:rsidRPr="007626F7">
        <w:rPr>
          <w:rFonts w:ascii="Times New Roman" w:hAnsi="Times New Roman" w:cs="Times New Roman"/>
          <w:sz w:val="28"/>
          <w:szCs w:val="28"/>
          <w:lang w:val="uk-UA"/>
        </w:rPr>
        <w:t xml:space="preserve"> і у Польщі дефіцит виріс</w:t>
      </w:r>
      <w:r w:rsidR="00DA6466"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uk-UA"/>
        </w:rPr>
        <w:t xml:space="preserve">близько у шість разів. </w:t>
      </w:r>
      <w:r w:rsidRPr="007626F7">
        <w:rPr>
          <w:rFonts w:ascii="Times New Roman" w:hAnsi="Times New Roman" w:cs="Times New Roman"/>
          <w:sz w:val="28"/>
          <w:szCs w:val="28"/>
        </w:rPr>
        <w:t xml:space="preserve">Зовнішній борг в Україні виріс через кредит ЕС, у Швейцарії борг ріст </w:t>
      </w:r>
      <w:r w:rsidR="0035341D" w:rsidRPr="007626F7">
        <w:rPr>
          <w:rFonts w:ascii="Times New Roman" w:hAnsi="Times New Roman" w:cs="Times New Roman"/>
          <w:sz w:val="28"/>
          <w:szCs w:val="28"/>
        </w:rPr>
        <w:t>до другого квартала</w:t>
      </w:r>
      <w:r w:rsidRPr="007626F7">
        <w:rPr>
          <w:rFonts w:ascii="Times New Roman" w:hAnsi="Times New Roman" w:cs="Times New Roman"/>
          <w:sz w:val="28"/>
          <w:szCs w:val="28"/>
        </w:rPr>
        <w:t xml:space="preserve"> 2020 </w:t>
      </w:r>
      <w:r w:rsidR="0035341D" w:rsidRPr="007626F7">
        <w:rPr>
          <w:rFonts w:ascii="Times New Roman" w:hAnsi="Times New Roman" w:cs="Times New Roman"/>
          <w:sz w:val="28"/>
          <w:szCs w:val="28"/>
        </w:rPr>
        <w:t>року,</w:t>
      </w:r>
      <w:r w:rsidRPr="007626F7">
        <w:rPr>
          <w:rFonts w:ascii="Times New Roman" w:hAnsi="Times New Roman" w:cs="Times New Roman"/>
          <w:sz w:val="28"/>
          <w:szCs w:val="28"/>
        </w:rPr>
        <w:t xml:space="preserve"> а потім почав зменшуватись, у Польщі зовнішній борг збільшився на 11% за 2020 рік. Кількість безробітних в Україні збільшилось на 31% за 2020 рік через карантин, у Швейцарії кількість безробітних дуже виросло навіть більше ніж в </w:t>
      </w:r>
      <w:r w:rsidR="004F67FB" w:rsidRPr="007626F7">
        <w:rPr>
          <w:rFonts w:ascii="Times New Roman" w:hAnsi="Times New Roman" w:cs="Times New Roman"/>
          <w:sz w:val="28"/>
          <w:szCs w:val="28"/>
        </w:rPr>
        <w:t>Україні, а с</w:t>
      </w:r>
      <w:r w:rsidRPr="007626F7">
        <w:rPr>
          <w:rFonts w:ascii="Times New Roman" w:hAnsi="Times New Roman" w:cs="Times New Roman"/>
          <w:sz w:val="28"/>
          <w:szCs w:val="28"/>
        </w:rPr>
        <w:t>аме на 40%, у Польщі кількість безробітних зросла на 15% за 2020 рік. Щодо золото валютних резерві</w:t>
      </w:r>
      <w:r w:rsidR="00F501EC" w:rsidRPr="007626F7">
        <w:rPr>
          <w:rFonts w:ascii="Times New Roman" w:hAnsi="Times New Roman" w:cs="Times New Roman"/>
          <w:sz w:val="28"/>
          <w:szCs w:val="28"/>
        </w:rPr>
        <w:t>в, то в усіх країнах кількість резер</w:t>
      </w:r>
      <w:r w:rsidRPr="007626F7">
        <w:rPr>
          <w:rFonts w:ascii="Times New Roman" w:hAnsi="Times New Roman" w:cs="Times New Roman"/>
          <w:sz w:val="28"/>
          <w:szCs w:val="28"/>
        </w:rPr>
        <w:t>вів збіл</w:t>
      </w:r>
      <w:r w:rsidR="00F501EC" w:rsidRPr="007626F7">
        <w:rPr>
          <w:rFonts w:ascii="Times New Roman" w:hAnsi="Times New Roman" w:cs="Times New Roman"/>
          <w:sz w:val="28"/>
          <w:szCs w:val="28"/>
        </w:rPr>
        <w:t>ьшилось, в Україні через фінансу</w:t>
      </w:r>
      <w:r w:rsidRPr="007626F7">
        <w:rPr>
          <w:rFonts w:ascii="Times New Roman" w:hAnsi="Times New Roman" w:cs="Times New Roman"/>
          <w:sz w:val="28"/>
          <w:szCs w:val="28"/>
        </w:rPr>
        <w:t>вання МВФ, у Швейцарії не сильний ріст відбувся, а у Польщі вирісла кількість саме золотих резервів.</w:t>
      </w:r>
    </w:p>
    <w:p w14:paraId="0378D62A" w14:textId="3EBBA2BD" w:rsidR="00B26598" w:rsidRPr="007626F7" w:rsidRDefault="00B26598" w:rsidP="007626F7">
      <w:pPr>
        <w:spacing w:after="0" w:line="360" w:lineRule="auto"/>
        <w:ind w:firstLine="720"/>
        <w:jc w:val="both"/>
        <w:textAlignment w:val="baseline"/>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В Україні валютний курс виріс у період пандемії, гривня є переоціненою валютою, відсоткова ставка у країні має протилежну залежність, вона зменшилась у період пандемії, задля виплати державою боргів по більш низькій відсотковій ставці, кількість грошової маси різко виросла у кінці 2020 року але до цього була більш менш стабільною. У Швейцарії валютний курс навпаки укріпився по відношенню до долару США, але це скоріше всього через знецінення долару, абсолютний ППС майже співпадає з валютним курсом, відсоткова ставка у країні стабільна протягом вже 5 років на рівні -0,75%, грошова маса у країні теж збільшилась. У Польщі валютний курс був не стабільним, з ростом як раз у період пандемії, абсолютний  ППС майже завжди більший ніж валютний курс, виходить що Польський злотий є недооціненою валютою, відсоткова ставка біла знижена центральним банком до рівня 1,5% задля полегшення існування бізнесу у пандемію, грошова маса у країні збільшувалась також як і у інших країнах.</w:t>
      </w:r>
    </w:p>
    <w:p w14:paraId="622C7D38" w14:textId="7BC829EC" w:rsidR="00B26598" w:rsidRPr="007626F7" w:rsidRDefault="000C1952" w:rsidP="007626F7">
      <w:pPr>
        <w:spacing w:after="0" w:line="360" w:lineRule="auto"/>
        <w:ind w:firstLine="720"/>
        <w:jc w:val="both"/>
        <w:textAlignment w:val="baseline"/>
        <w:rPr>
          <w:rFonts w:ascii="Times New Roman" w:hAnsi="Times New Roman" w:cs="Times New Roman"/>
          <w:sz w:val="28"/>
          <w:szCs w:val="28"/>
          <w:lang w:val="uk-UA"/>
        </w:rPr>
      </w:pPr>
      <w:r w:rsidRPr="007626F7">
        <w:rPr>
          <w:rFonts w:ascii="Times New Roman" w:hAnsi="Times New Roman" w:cs="Times New Roman"/>
          <w:sz w:val="28"/>
          <w:szCs w:val="28"/>
          <w:lang w:val="uk-UA"/>
        </w:rPr>
        <w:t>В</w:t>
      </w:r>
      <w:r w:rsidR="00B26598" w:rsidRPr="007626F7">
        <w:rPr>
          <w:rFonts w:ascii="Times New Roman" w:hAnsi="Times New Roman" w:cs="Times New Roman"/>
          <w:sz w:val="28"/>
          <w:szCs w:val="28"/>
          <w:lang w:val="uk-UA"/>
        </w:rPr>
        <w:t xml:space="preserve"> Україні не дивлячись на пандемію ситуація ніби не погіршилась, а навпаки покращилась, рахунок з поточних операцій став додатнім, баланс первинних доходів зменшився в об’ємах, баланс вторинних доходів у 2020 році залишився майже незмінним але з невеликим ростом, фінансовий рахунок країни почав бути додатнім. У Швейцарії рахунок з поточних операцій трохи зменшився, але значно не змінився, сальдо первинних доходів як було від’ємним, так і залишилось, але мало тенденцію до ще більшого зменшення. Баланс вторинних доходів  коливався протягом карантину але у цілому залишався від’ємним. Фінансовий рахунок Швейцарії зріз на початку 2020 року а потім зменшився. У Польщі стан рахунку з поточних операцій збільшився по таким же причинам як і в Україні, баланс первинних доходів залишився від’ємним, фінансовий рахунок збільшився через збільшення інвестицій у країну.</w:t>
      </w:r>
    </w:p>
    <w:p w14:paraId="13003EE5" w14:textId="0CFFD26C" w:rsidR="00B26598" w:rsidRPr="007626F7" w:rsidRDefault="000C1952" w:rsidP="007626F7">
      <w:pPr>
        <w:spacing w:after="0" w:line="360" w:lineRule="auto"/>
        <w:ind w:firstLine="720"/>
        <w:jc w:val="both"/>
        <w:textAlignment w:val="baseline"/>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Щодо стану фондового ринку країн, то слід зазначити, що </w:t>
      </w:r>
      <w:r w:rsidRPr="007626F7">
        <w:rPr>
          <w:rFonts w:ascii="Times New Roman" w:eastAsia="Calibri" w:hAnsi="Times New Roman" w:cs="Times New Roman"/>
          <w:sz w:val="28"/>
          <w:lang w:val="uk-UA"/>
        </w:rPr>
        <w:t xml:space="preserve"> </w:t>
      </w:r>
      <w:r w:rsidR="00B26598" w:rsidRPr="007626F7">
        <w:rPr>
          <w:rFonts w:ascii="Times New Roman" w:hAnsi="Times New Roman" w:cs="Times New Roman"/>
          <w:sz w:val="28"/>
          <w:szCs w:val="28"/>
          <w:lang w:val="uk-UA"/>
        </w:rPr>
        <w:t>акції багатьох великих компаній зменшились у ціні, що у свою чергу вплинула на падіння індексів бірж та зменшення оборотів проведених операцій на біржах.</w:t>
      </w:r>
    </w:p>
    <w:p w14:paraId="6D1E6C24" w14:textId="2F02664F" w:rsidR="00FA366E" w:rsidRPr="007626F7" w:rsidRDefault="0084289D" w:rsidP="007626F7">
      <w:pPr>
        <w:spacing w:after="0" w:line="360" w:lineRule="auto"/>
        <w:ind w:firstLine="720"/>
        <w:jc w:val="both"/>
        <w:textAlignment w:val="baseline"/>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Регресійний аналіз показав, що у</w:t>
      </w:r>
      <w:r w:rsidR="000C1952" w:rsidRPr="007626F7">
        <w:rPr>
          <w:rFonts w:ascii="Times New Roman" w:hAnsi="Times New Roman" w:cs="Times New Roman"/>
          <w:sz w:val="28"/>
          <w:szCs w:val="28"/>
          <w:lang w:val="uk-UA"/>
        </w:rPr>
        <w:t xml:space="preserve"> країнах</w:t>
      </w:r>
      <w:r w:rsidR="00B26598" w:rsidRPr="007626F7">
        <w:rPr>
          <w:rFonts w:ascii="Times New Roman" w:hAnsi="Times New Roman" w:cs="Times New Roman"/>
          <w:sz w:val="28"/>
          <w:szCs w:val="28"/>
          <w:lang w:val="uk-UA"/>
        </w:rPr>
        <w:t xml:space="preserve"> дуже відрізняються показники які мають вплив на </w:t>
      </w:r>
      <w:r w:rsidR="000C1952" w:rsidRPr="007626F7">
        <w:rPr>
          <w:rFonts w:ascii="Times New Roman" w:hAnsi="Times New Roman" w:cs="Times New Roman"/>
          <w:sz w:val="28"/>
          <w:szCs w:val="28"/>
          <w:lang w:val="uk-UA"/>
        </w:rPr>
        <w:t>незалежний показник</w:t>
      </w:r>
      <w:r w:rsidR="00B26598" w:rsidRPr="007626F7">
        <w:rPr>
          <w:rFonts w:ascii="Times New Roman" w:hAnsi="Times New Roman" w:cs="Times New Roman"/>
          <w:sz w:val="28"/>
          <w:szCs w:val="28"/>
          <w:lang w:val="uk-UA"/>
        </w:rPr>
        <w:t>.</w:t>
      </w:r>
      <w:r w:rsidR="00B26598" w:rsidRPr="007626F7">
        <w:rPr>
          <w:rFonts w:ascii="Times New Roman" w:hAnsi="Times New Roman" w:cs="Times New Roman"/>
        </w:rPr>
        <w:t xml:space="preserve"> </w:t>
      </w:r>
      <w:r w:rsidR="00B26598" w:rsidRPr="007626F7">
        <w:rPr>
          <w:rFonts w:ascii="Times New Roman" w:hAnsi="Times New Roman" w:cs="Times New Roman"/>
          <w:sz w:val="28"/>
          <w:szCs w:val="28"/>
          <w:lang w:val="uk-UA"/>
        </w:rPr>
        <w:t>R-квадрат в Швейцарській моделі був трохи більшим, що говорить про більшу достовірність моделі. Тобто вийшло так, що у Швейцарії менше показників мають залежність але вони всі є дуже значимими і мають значимість 1%, в Україні більше показників мають значимість, але вона менша ніж у Швейцарії.</w:t>
      </w:r>
    </w:p>
    <w:p w14:paraId="023F5AB2" w14:textId="77777777" w:rsidR="00FA366E" w:rsidRPr="007626F7" w:rsidRDefault="000C1952" w:rsidP="007626F7">
      <w:pPr>
        <w:spacing w:after="0" w:line="360" w:lineRule="auto"/>
        <w:ind w:firstLine="720"/>
        <w:jc w:val="both"/>
        <w:textAlignment w:val="baseline"/>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Також в останньому розділі були розглянуті розміри та сфери співробітництва країн з Україною. </w:t>
      </w:r>
      <w:r w:rsidR="00B26598" w:rsidRPr="007626F7">
        <w:rPr>
          <w:rFonts w:ascii="Times New Roman" w:eastAsia="Times New Roman" w:hAnsi="Times New Roman" w:cs="Times New Roman"/>
          <w:sz w:val="28"/>
          <w:szCs w:val="28"/>
          <w:lang w:val="uk-UA"/>
        </w:rPr>
        <w:t xml:space="preserve">Швейцарія входить в топ країн інвесторів в Україну і між країнами була підписана угода про співробітництво на майбутніх три роки. Україна більше отримує інвестицій з Швейцарії ніж з Польщі і Україна більше інвестує в Швейцарію ніж в Польщу. Щодо Польщі, то між країнами теж тісна співпраця, але в сфері товарного обміну та обміну послугами. Польща є однією з лідируючих країн у яку відбувається міграція робочої сили з України. </w:t>
      </w:r>
    </w:p>
    <w:p w14:paraId="7F936377" w14:textId="77777777" w:rsidR="00FA366E" w:rsidRPr="007626F7" w:rsidRDefault="00FA366E"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br w:type="page"/>
      </w:r>
    </w:p>
    <w:p w14:paraId="03A8D579" w14:textId="4EC25293" w:rsidR="000D18A5" w:rsidRPr="007626F7" w:rsidRDefault="000D18A5" w:rsidP="007626F7">
      <w:pPr>
        <w:spacing w:after="0" w:line="360" w:lineRule="auto"/>
        <w:ind w:firstLine="720"/>
        <w:jc w:val="center"/>
        <w:textAlignment w:val="baseline"/>
        <w:outlineLvl w:val="0"/>
        <w:rPr>
          <w:rFonts w:ascii="Times New Roman" w:hAnsi="Times New Roman" w:cs="Times New Roman"/>
          <w:b/>
          <w:bCs/>
          <w:sz w:val="28"/>
          <w:szCs w:val="28"/>
          <w:lang w:val="uk-UA"/>
        </w:rPr>
      </w:pPr>
      <w:bookmarkStart w:id="35" w:name="_Toc75333592"/>
      <w:r w:rsidRPr="007626F7">
        <w:rPr>
          <w:rFonts w:ascii="Times New Roman" w:hAnsi="Times New Roman" w:cs="Times New Roman"/>
          <w:b/>
          <w:bCs/>
          <w:sz w:val="28"/>
          <w:szCs w:val="28"/>
          <w:lang w:val="uk-UA"/>
        </w:rPr>
        <w:lastRenderedPageBreak/>
        <w:t>СПИСОК ВИКОРИСТАННИХ ДЖЕРЕЛ</w:t>
      </w:r>
      <w:bookmarkEnd w:id="35"/>
    </w:p>
    <w:p w14:paraId="0FE6C04D" w14:textId="77777777" w:rsidR="00F501EC" w:rsidRPr="007626F7" w:rsidRDefault="00F501EC" w:rsidP="007626F7">
      <w:pPr>
        <w:spacing w:after="0" w:line="360" w:lineRule="auto"/>
        <w:ind w:firstLine="720"/>
        <w:jc w:val="center"/>
        <w:textAlignment w:val="baseline"/>
        <w:outlineLvl w:val="0"/>
        <w:rPr>
          <w:rFonts w:ascii="Times New Roman" w:hAnsi="Times New Roman" w:cs="Times New Roman"/>
          <w:b/>
          <w:bCs/>
          <w:sz w:val="28"/>
          <w:szCs w:val="28"/>
        </w:rPr>
      </w:pPr>
    </w:p>
    <w:p w14:paraId="7F123CCC" w14:textId="019F9C1D" w:rsidR="000D18A5" w:rsidRPr="007626F7" w:rsidRDefault="000D18A5" w:rsidP="00760EFA">
      <w:pPr>
        <w:pStyle w:val="a4"/>
        <w:numPr>
          <w:ilvl w:val="0"/>
          <w:numId w:val="10"/>
        </w:numPr>
        <w:spacing w:after="0" w:line="360" w:lineRule="auto"/>
        <w:ind w:left="720"/>
        <w:jc w:val="both"/>
        <w:rPr>
          <w:rStyle w:val="a3"/>
          <w:rFonts w:ascii="Times New Roman" w:hAnsi="Times New Roman" w:cs="Times New Roman"/>
          <w:color w:val="auto"/>
          <w:sz w:val="28"/>
          <w:szCs w:val="28"/>
          <w:u w:val="none"/>
          <w:lang w:val="en-US"/>
        </w:rPr>
      </w:pPr>
      <w:r w:rsidRPr="007626F7">
        <w:rPr>
          <w:rFonts w:ascii="Times New Roman" w:hAnsi="Times New Roman" w:cs="Times New Roman"/>
          <w:sz w:val="28"/>
          <w:szCs w:val="28"/>
          <w:lang w:val="en-US"/>
        </w:rPr>
        <w:t>Brülhart, M., Lalive, R., Lehmann, T. et al. COVID-19 financial support to small businesses in Switzerland: evaluation and outlook. Swiss J Economics Statistics 156, 15 (2020). SpringerOpen</w:t>
      </w:r>
      <w:r w:rsidR="00CF67BE" w:rsidRPr="007626F7">
        <w:rPr>
          <w:rFonts w:ascii="Times New Roman" w:hAnsi="Times New Roman" w:cs="Times New Roman"/>
          <w:sz w:val="28"/>
          <w:szCs w:val="28"/>
          <w:lang w:val="en-US"/>
        </w:rPr>
        <w:t>.</w:t>
      </w:r>
      <w:r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hyperlink r:id="rId30" w:history="1">
        <w:r w:rsidRPr="007626F7">
          <w:rPr>
            <w:rStyle w:val="a3"/>
            <w:rFonts w:ascii="Times New Roman" w:hAnsi="Times New Roman" w:cs="Times New Roman"/>
            <w:color w:val="auto"/>
            <w:sz w:val="28"/>
            <w:szCs w:val="28"/>
            <w:u w:val="none"/>
            <w:lang w:val="en-US"/>
          </w:rPr>
          <w:t>https://doi.org/10.1186/s41937-020-00060-y</w:t>
        </w:r>
      </w:hyperlink>
      <w:r w:rsidRPr="007626F7">
        <w:rPr>
          <w:rStyle w:val="a3"/>
          <w:rFonts w:ascii="Times New Roman" w:hAnsi="Times New Roman" w:cs="Times New Roman"/>
          <w:color w:val="auto"/>
          <w:sz w:val="28"/>
          <w:szCs w:val="28"/>
          <w:u w:val="none"/>
          <w:lang w:val="en-US"/>
        </w:rPr>
        <w:t>.</w:t>
      </w:r>
    </w:p>
    <w:p w14:paraId="79B36700" w14:textId="6334B310"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bdr w:val="none" w:sz="0" w:space="0" w:color="auto" w:frame="1"/>
          <w:lang w:val="en-US"/>
        </w:rPr>
        <w:t>Gero N</w:t>
      </w:r>
      <w:r w:rsidRPr="007626F7">
        <w:rPr>
          <w:rFonts w:ascii="Times New Roman" w:hAnsi="Times New Roman" w:cs="Times New Roman"/>
          <w:sz w:val="28"/>
          <w:szCs w:val="28"/>
          <w:bdr w:val="none" w:sz="0" w:space="0" w:color="auto" w:frame="1"/>
          <w:shd w:val="clear" w:color="auto" w:fill="FFFFFF"/>
          <w:lang w:val="uk-UA"/>
        </w:rPr>
        <w:t>.</w:t>
      </w:r>
      <w:r w:rsidRPr="007626F7">
        <w:rPr>
          <w:rFonts w:ascii="Times New Roman" w:hAnsi="Times New Roman" w:cs="Times New Roman"/>
          <w:sz w:val="28"/>
          <w:szCs w:val="28"/>
          <w:bdr w:val="none" w:sz="0" w:space="0" w:color="auto" w:frame="1"/>
          <w:shd w:val="clear" w:color="auto" w:fill="FFFFFF"/>
          <w:lang w:val="en-US"/>
        </w:rPr>
        <w:t>, </w:t>
      </w:r>
      <w:r w:rsidRPr="007626F7">
        <w:rPr>
          <w:rFonts w:ascii="Times New Roman" w:hAnsi="Times New Roman" w:cs="Times New Roman"/>
          <w:sz w:val="28"/>
          <w:szCs w:val="28"/>
          <w:bdr w:val="none" w:sz="0" w:space="0" w:color="auto" w:frame="1"/>
          <w:lang w:val="en-US"/>
        </w:rPr>
        <w:t>Dominik B</w:t>
      </w:r>
      <w:r w:rsidRPr="007626F7">
        <w:rPr>
          <w:rFonts w:ascii="Times New Roman" w:hAnsi="Times New Roman" w:cs="Times New Roman"/>
          <w:sz w:val="28"/>
          <w:szCs w:val="28"/>
          <w:bdr w:val="none" w:sz="0" w:space="0" w:color="auto" w:frame="1"/>
          <w:lang w:val="uk-UA"/>
        </w:rPr>
        <w:t>.</w:t>
      </w:r>
      <w:r w:rsidRPr="007626F7">
        <w:rPr>
          <w:rFonts w:ascii="Times New Roman" w:hAnsi="Times New Roman" w:cs="Times New Roman"/>
          <w:sz w:val="28"/>
          <w:szCs w:val="28"/>
          <w:bdr w:val="none" w:sz="0" w:space="0" w:color="auto" w:frame="1"/>
          <w:shd w:val="clear" w:color="auto" w:fill="FFFFFF"/>
          <w:lang w:val="en-US"/>
        </w:rPr>
        <w:t>, </w:t>
      </w:r>
      <w:r w:rsidRPr="007626F7">
        <w:rPr>
          <w:rFonts w:ascii="Times New Roman" w:hAnsi="Times New Roman" w:cs="Times New Roman"/>
          <w:sz w:val="28"/>
          <w:szCs w:val="28"/>
          <w:bdr w:val="none" w:sz="0" w:space="0" w:color="auto" w:frame="1"/>
          <w:lang w:val="en-US"/>
        </w:rPr>
        <w:t>Marco P</w:t>
      </w:r>
      <w:r w:rsidRPr="007626F7">
        <w:rPr>
          <w:rFonts w:ascii="Times New Roman" w:hAnsi="Times New Roman" w:cs="Times New Roman"/>
          <w:sz w:val="28"/>
          <w:szCs w:val="28"/>
          <w:bdr w:val="none" w:sz="0" w:space="0" w:color="auto" w:frame="1"/>
          <w:lang w:val="uk-UA"/>
        </w:rPr>
        <w:t>.</w:t>
      </w:r>
      <w:r w:rsidRPr="007626F7">
        <w:rPr>
          <w:rFonts w:ascii="Times New Roman" w:hAnsi="Times New Roman" w:cs="Times New Roman"/>
          <w:sz w:val="28"/>
          <w:szCs w:val="28"/>
          <w:lang w:val="en-US"/>
        </w:rPr>
        <w:t>Responding to the COVID</w:t>
      </w:r>
      <w:r w:rsidRPr="007626F7">
        <w:rPr>
          <w:rFonts w:ascii="Cambria Math" w:hAnsi="Cambria Math" w:cs="Cambria Math"/>
          <w:sz w:val="28"/>
          <w:szCs w:val="28"/>
          <w:lang w:val="en-US"/>
        </w:rPr>
        <w:t>‐</w:t>
      </w:r>
      <w:r w:rsidRPr="007626F7">
        <w:rPr>
          <w:rFonts w:ascii="Times New Roman" w:hAnsi="Times New Roman" w:cs="Times New Roman"/>
          <w:sz w:val="28"/>
          <w:szCs w:val="28"/>
          <w:lang w:val="en-US"/>
        </w:rPr>
        <w:t>19 Crisis: Transformative Governance in Switzerland</w:t>
      </w:r>
      <w:r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en-US"/>
        </w:rPr>
        <w:t>Wiley</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en-US"/>
        </w:rPr>
        <w:t>Online</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en-US"/>
        </w:rPr>
        <w:t>Library</w:t>
      </w:r>
      <w:r w:rsidRPr="007626F7">
        <w:rPr>
          <w:rFonts w:ascii="Times New Roman" w:hAnsi="Times New Roman" w:cs="Times New Roman"/>
          <w:sz w:val="28"/>
          <w:szCs w:val="28"/>
        </w:rPr>
        <w:t xml:space="preserve"> (2020).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31" w:history="1">
        <w:r w:rsidRPr="007626F7">
          <w:rPr>
            <w:rStyle w:val="a3"/>
            <w:rFonts w:ascii="Times New Roman" w:hAnsi="Times New Roman" w:cs="Times New Roman"/>
            <w:color w:val="auto"/>
            <w:sz w:val="28"/>
            <w:szCs w:val="28"/>
            <w:u w:val="none"/>
            <w:lang w:val="en-US"/>
          </w:rPr>
          <w:t>https</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doi</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org</w:t>
        </w:r>
        <w:r w:rsidRPr="007626F7">
          <w:rPr>
            <w:rStyle w:val="a3"/>
            <w:rFonts w:ascii="Times New Roman" w:hAnsi="Times New Roman" w:cs="Times New Roman"/>
            <w:color w:val="auto"/>
            <w:sz w:val="28"/>
            <w:szCs w:val="28"/>
            <w:u w:val="none"/>
          </w:rPr>
          <w:t>/10.1111/</w:t>
        </w:r>
        <w:r w:rsidRPr="007626F7">
          <w:rPr>
            <w:rStyle w:val="a3"/>
            <w:rFonts w:ascii="Times New Roman" w:hAnsi="Times New Roman" w:cs="Times New Roman"/>
            <w:color w:val="auto"/>
            <w:sz w:val="28"/>
            <w:szCs w:val="28"/>
            <w:u w:val="none"/>
            <w:lang w:val="en-US"/>
          </w:rPr>
          <w:t>tesg</w:t>
        </w:r>
        <w:r w:rsidRPr="007626F7">
          <w:rPr>
            <w:rStyle w:val="a3"/>
            <w:rFonts w:ascii="Times New Roman" w:hAnsi="Times New Roman" w:cs="Times New Roman"/>
            <w:color w:val="auto"/>
            <w:sz w:val="28"/>
            <w:szCs w:val="28"/>
            <w:u w:val="none"/>
          </w:rPr>
          <w:t>.12439</w:t>
        </w:r>
      </w:hyperlink>
      <w:r w:rsidRPr="007626F7">
        <w:rPr>
          <w:rFonts w:ascii="Times New Roman" w:hAnsi="Times New Roman" w:cs="Times New Roman"/>
          <w:sz w:val="28"/>
          <w:szCs w:val="28"/>
        </w:rPr>
        <w:t>.</w:t>
      </w:r>
    </w:p>
    <w:p w14:paraId="728365CE" w14:textId="1128FCEA"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Sven Daniel Wolfe (2020) The great pause: a minor theory exploration of COVID-19 response in Switzerland, Eurasian Geography and Economics. Taylor</w:t>
      </w:r>
      <w:r w:rsidRPr="007626F7">
        <w:rPr>
          <w:rFonts w:ascii="Times New Roman" w:hAnsi="Times New Roman" w:cs="Times New Roman"/>
          <w:sz w:val="28"/>
          <w:szCs w:val="28"/>
        </w:rPr>
        <w:t xml:space="preserve"> &amp; </w:t>
      </w:r>
      <w:r w:rsidRPr="007626F7">
        <w:rPr>
          <w:rFonts w:ascii="Times New Roman" w:hAnsi="Times New Roman" w:cs="Times New Roman"/>
          <w:sz w:val="28"/>
          <w:szCs w:val="28"/>
          <w:lang w:val="en-US"/>
        </w:rPr>
        <w:t>Francis</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en-US"/>
        </w:rPr>
        <w:t>Online</w:t>
      </w:r>
      <w:r w:rsidRPr="007626F7">
        <w:rPr>
          <w:rFonts w:ascii="Times New Roman" w:hAnsi="Times New Roman" w:cs="Times New Roman"/>
          <w:sz w:val="28"/>
          <w:szCs w:val="28"/>
        </w:rPr>
        <w:t>.</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rPr>
        <w:t xml:space="preserve"> </w:t>
      </w:r>
      <w:hyperlink r:id="rId32" w:history="1">
        <w:r w:rsidRPr="007626F7">
          <w:rPr>
            <w:rStyle w:val="a3"/>
            <w:rFonts w:ascii="Times New Roman" w:hAnsi="Times New Roman" w:cs="Times New Roman"/>
            <w:color w:val="auto"/>
            <w:sz w:val="28"/>
            <w:szCs w:val="28"/>
            <w:u w:val="none"/>
            <w:lang w:val="en-US"/>
          </w:rPr>
          <w:t>https</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doi</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org</w:t>
        </w:r>
        <w:r w:rsidRPr="007626F7">
          <w:rPr>
            <w:rStyle w:val="a3"/>
            <w:rFonts w:ascii="Times New Roman" w:hAnsi="Times New Roman" w:cs="Times New Roman"/>
            <w:color w:val="auto"/>
            <w:sz w:val="28"/>
            <w:szCs w:val="28"/>
            <w:u w:val="none"/>
          </w:rPr>
          <w:t>/10.1080/15387216.2020.1779104</w:t>
        </w:r>
      </w:hyperlink>
      <w:r w:rsidRPr="007626F7">
        <w:rPr>
          <w:rFonts w:ascii="Times New Roman" w:hAnsi="Times New Roman" w:cs="Times New Roman"/>
          <w:sz w:val="28"/>
          <w:szCs w:val="28"/>
        </w:rPr>
        <w:t>.</w:t>
      </w:r>
    </w:p>
    <w:p w14:paraId="35E584F3" w14:textId="062C6E33"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uk-UA"/>
        </w:rPr>
        <w:t xml:space="preserve"> Fritz S.,Céline M.</w:t>
      </w:r>
      <w:r w:rsidRPr="007626F7">
        <w:rPr>
          <w:rFonts w:ascii="Times New Roman" w:hAnsi="Times New Roman" w:cs="Times New Roman"/>
          <w:sz w:val="28"/>
          <w:szCs w:val="28"/>
          <w:lang w:val="en-US"/>
        </w:rPr>
        <w:t>Switzerland's COVID</w:t>
      </w:r>
      <w:r w:rsidRPr="007626F7">
        <w:rPr>
          <w:rFonts w:ascii="Cambria Math" w:hAnsi="Cambria Math" w:cs="Cambria Math"/>
          <w:sz w:val="28"/>
          <w:szCs w:val="28"/>
          <w:lang w:val="en-US"/>
        </w:rPr>
        <w:t>‐</w:t>
      </w:r>
      <w:r w:rsidRPr="007626F7">
        <w:rPr>
          <w:rFonts w:ascii="Times New Roman" w:hAnsi="Times New Roman" w:cs="Times New Roman"/>
          <w:sz w:val="28"/>
          <w:szCs w:val="28"/>
          <w:lang w:val="en-US"/>
        </w:rPr>
        <w:t>19 policy response: Consociational crisis management and neo</w:t>
      </w:r>
      <w:r w:rsidRPr="007626F7">
        <w:rPr>
          <w:rFonts w:ascii="Cambria Math" w:hAnsi="Cambria Math" w:cs="Cambria Math"/>
          <w:sz w:val="28"/>
          <w:szCs w:val="28"/>
          <w:lang w:val="en-US"/>
        </w:rPr>
        <w:t>‐</w:t>
      </w:r>
      <w:r w:rsidRPr="007626F7">
        <w:rPr>
          <w:rFonts w:ascii="Times New Roman" w:hAnsi="Times New Roman" w:cs="Times New Roman"/>
          <w:sz w:val="28"/>
          <w:szCs w:val="28"/>
          <w:lang w:val="en-US"/>
        </w:rPr>
        <w:t>corporatist reopening (2020).Wiley Online Library</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lang w:val="uk-UA"/>
        </w:rPr>
        <w:t xml:space="preserve"> </w:t>
      </w:r>
      <w:hyperlink r:id="rId33" w:history="1">
        <w:r w:rsidRPr="007626F7">
          <w:rPr>
            <w:rStyle w:val="a3"/>
            <w:rFonts w:ascii="Times New Roman" w:hAnsi="Times New Roman" w:cs="Times New Roman"/>
            <w:color w:val="auto"/>
            <w:sz w:val="28"/>
            <w:szCs w:val="28"/>
            <w:u w:val="none"/>
            <w:lang w:val="uk-UA"/>
          </w:rPr>
          <w:t>https://doi.org/10.1002/epa2.1094</w:t>
        </w:r>
      </w:hyperlink>
    </w:p>
    <w:p w14:paraId="412A3485" w14:textId="2C7446BD"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en-US"/>
        </w:rPr>
        <w:t>Sheldon, G. Unemployment in Switzerland in the wake of the Covid-19 pandemic: an intertemporal perspective. Swiss J Economics Statistics 156, 8 (2020). SpringerOpen.</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 xml:space="preserve"> </w:t>
      </w:r>
      <w:hyperlink r:id="rId34" w:history="1">
        <w:r w:rsidRPr="007626F7">
          <w:rPr>
            <w:rStyle w:val="a3"/>
            <w:rFonts w:ascii="Times New Roman" w:hAnsi="Times New Roman" w:cs="Times New Roman"/>
            <w:color w:val="auto"/>
            <w:sz w:val="28"/>
            <w:szCs w:val="28"/>
            <w:u w:val="none"/>
            <w:lang w:val="en-US"/>
          </w:rPr>
          <w:t>https://doi.org/10.1186/s41937-020-00058-6</w:t>
        </w:r>
      </w:hyperlink>
    </w:p>
    <w:p w14:paraId="0B2DAEC8" w14:textId="1C281EEE"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en-US"/>
        </w:rPr>
        <w:t>Zbigniew K, Paweł N. Resistance of commercial banks to the crisis caused by the COVID-19 pandemic: the case of Poland (2020). Central and Eastern European Online Library</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 xml:space="preserve"> </w:t>
      </w:r>
      <w:hyperlink r:id="rId35" w:history="1">
        <w:r w:rsidRPr="007626F7">
          <w:rPr>
            <w:rStyle w:val="a3"/>
            <w:rFonts w:ascii="Times New Roman" w:hAnsi="Times New Roman" w:cs="Times New Roman"/>
            <w:color w:val="auto"/>
            <w:sz w:val="28"/>
            <w:szCs w:val="28"/>
            <w:u w:val="none"/>
            <w:lang w:val="en-US"/>
          </w:rPr>
          <w:t>https://www.ceeol.com/search/article-detail?id=898620</w:t>
        </w:r>
      </w:hyperlink>
    </w:p>
    <w:p w14:paraId="7296E7AD" w14:textId="36F6DF69"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en-US"/>
        </w:rPr>
        <w:t>B. Gajdzik. Steel production in Poland with pessimistic forecasts in COVID-19 crisis (2020).</w:t>
      </w:r>
      <w:r w:rsidR="00234586"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lang w:val="en-US"/>
        </w:rPr>
        <w:t xml:space="preserve">Portal of Croatian scientific and professional journals. </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hyperlink r:id="rId36" w:history="1">
        <w:r w:rsidRPr="007626F7">
          <w:rPr>
            <w:rStyle w:val="a3"/>
            <w:rFonts w:ascii="Times New Roman" w:hAnsi="Times New Roman" w:cs="Times New Roman"/>
            <w:color w:val="auto"/>
            <w:sz w:val="28"/>
            <w:szCs w:val="28"/>
            <w:u w:val="none"/>
            <w:lang w:val="en-US"/>
          </w:rPr>
          <w:t>https://hrcak.srce.hr/246119</w:t>
        </w:r>
      </w:hyperlink>
    </w:p>
    <w:p w14:paraId="2242BA75" w14:textId="67B92114"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lastRenderedPageBreak/>
        <w:t>Nagaj, R.; Korpysa, J. Impact of COVID-19 on the Level of Energy Poverty in Poland. Energies</w:t>
      </w:r>
      <w:r w:rsidRPr="007626F7">
        <w:rPr>
          <w:rFonts w:ascii="Times New Roman" w:hAnsi="Times New Roman" w:cs="Times New Roman"/>
          <w:sz w:val="28"/>
          <w:szCs w:val="28"/>
        </w:rPr>
        <w:t xml:space="preserve"> 2020, 13, 4977. </w:t>
      </w:r>
      <w:r w:rsidRPr="007626F7">
        <w:rPr>
          <w:rFonts w:ascii="Times New Roman" w:hAnsi="Times New Roman" w:cs="Times New Roman"/>
          <w:sz w:val="28"/>
          <w:szCs w:val="28"/>
          <w:lang w:val="en-US"/>
        </w:rPr>
        <w:t>MDPI</w:t>
      </w:r>
      <w:r w:rsidRPr="007626F7">
        <w:rPr>
          <w:rFonts w:ascii="Times New Roman" w:hAnsi="Times New Roman" w:cs="Times New Roman"/>
          <w:sz w:val="28"/>
          <w:szCs w:val="28"/>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37" w:history="1">
        <w:r w:rsidRPr="007626F7">
          <w:rPr>
            <w:rStyle w:val="a3"/>
            <w:rFonts w:ascii="Times New Roman" w:hAnsi="Times New Roman" w:cs="Times New Roman"/>
            <w:color w:val="auto"/>
            <w:sz w:val="28"/>
            <w:szCs w:val="28"/>
            <w:u w:val="none"/>
            <w:lang w:val="en-US"/>
          </w:rPr>
          <w:t>https</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doi</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org</w:t>
        </w:r>
        <w:r w:rsidRPr="007626F7">
          <w:rPr>
            <w:rStyle w:val="a3"/>
            <w:rFonts w:ascii="Times New Roman" w:hAnsi="Times New Roman" w:cs="Times New Roman"/>
            <w:color w:val="auto"/>
            <w:sz w:val="28"/>
            <w:szCs w:val="28"/>
            <w:u w:val="none"/>
          </w:rPr>
          <w:t>/10.3390/</w:t>
        </w:r>
        <w:r w:rsidRPr="007626F7">
          <w:rPr>
            <w:rStyle w:val="a3"/>
            <w:rFonts w:ascii="Times New Roman" w:hAnsi="Times New Roman" w:cs="Times New Roman"/>
            <w:color w:val="auto"/>
            <w:sz w:val="28"/>
            <w:szCs w:val="28"/>
            <w:u w:val="none"/>
            <w:lang w:val="en-US"/>
          </w:rPr>
          <w:t>en</w:t>
        </w:r>
        <w:r w:rsidRPr="007626F7">
          <w:rPr>
            <w:rStyle w:val="a3"/>
            <w:rFonts w:ascii="Times New Roman" w:hAnsi="Times New Roman" w:cs="Times New Roman"/>
            <w:color w:val="auto"/>
            <w:sz w:val="28"/>
            <w:szCs w:val="28"/>
            <w:u w:val="none"/>
          </w:rPr>
          <w:t>13184977</w:t>
        </w:r>
      </w:hyperlink>
    </w:p>
    <w:p w14:paraId="74F7CF7A" w14:textId="4436F7D3"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Korinth, Bartosz R., Ruwan COVID-19 PANDEMIC’S IMPACT ON TOURISM IN POLAND IN MARCH 2020 (2020). CEONREPOZTTORIUM</w:t>
      </w:r>
      <w:r w:rsidRPr="007626F7">
        <w:rPr>
          <w:rFonts w:ascii="Times New Roman" w:hAnsi="Times New Roman" w:cs="Times New Roman"/>
          <w:sz w:val="28"/>
          <w:szCs w:val="28"/>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38" w:history="1">
        <w:r w:rsidRPr="007626F7">
          <w:rPr>
            <w:rStyle w:val="a3"/>
            <w:rFonts w:ascii="Times New Roman" w:hAnsi="Times New Roman" w:cs="Times New Roman"/>
            <w:color w:val="auto"/>
            <w:sz w:val="28"/>
            <w:szCs w:val="28"/>
            <w:u w:val="none"/>
            <w:lang w:val="en-US"/>
          </w:rPr>
          <w:t>https</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depot</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ceon</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pl</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handle</w:t>
        </w:r>
        <w:r w:rsidRPr="007626F7">
          <w:rPr>
            <w:rStyle w:val="a3"/>
            <w:rFonts w:ascii="Times New Roman" w:hAnsi="Times New Roman" w:cs="Times New Roman"/>
            <w:color w:val="auto"/>
            <w:sz w:val="28"/>
            <w:szCs w:val="28"/>
            <w:u w:val="none"/>
          </w:rPr>
          <w:t>/123456789/18694</w:t>
        </w:r>
      </w:hyperlink>
    </w:p>
    <w:p w14:paraId="61DF6544" w14:textId="7DDFB9DE"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en-US"/>
        </w:rPr>
        <w:t>Oksana P. and Ryszard K. (2020). Anti-crisis development strategies of insurance companies in Ukraine and Poland in the context of COVID-19. Insurance Markets and Companies, 11(1), 21-29.</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 xml:space="preserve"> </w:t>
      </w:r>
      <w:hyperlink r:id="rId39" w:history="1">
        <w:r w:rsidRPr="007626F7">
          <w:rPr>
            <w:rStyle w:val="a3"/>
            <w:rFonts w:ascii="Times New Roman" w:hAnsi="Times New Roman" w:cs="Times New Roman"/>
            <w:color w:val="auto"/>
            <w:sz w:val="28"/>
            <w:szCs w:val="28"/>
            <w:u w:val="none"/>
            <w:lang w:val="en-US"/>
          </w:rPr>
          <w:t>https://businessperspectives.org/images/pdf/applications/publishing/templates/article/assets/14484/IMC_2020_01_Polinkevych.pdf</w:t>
        </w:r>
      </w:hyperlink>
    </w:p>
    <w:p w14:paraId="523CDBE9" w14:textId="60D88BF0"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proofErr w:type="gramStart"/>
      <w:r w:rsidRPr="007626F7">
        <w:rPr>
          <w:rFonts w:ascii="Times New Roman" w:hAnsi="Times New Roman" w:cs="Times New Roman"/>
          <w:sz w:val="28"/>
          <w:szCs w:val="28"/>
          <w:lang w:val="en-US"/>
        </w:rPr>
        <w:t>Lynenko ,</w:t>
      </w:r>
      <w:proofErr w:type="gramEnd"/>
      <w:r w:rsidRPr="007626F7">
        <w:rPr>
          <w:rFonts w:ascii="Times New Roman" w:hAnsi="Times New Roman" w:cs="Times New Roman"/>
          <w:sz w:val="28"/>
          <w:szCs w:val="28"/>
          <w:lang w:val="en-US"/>
        </w:rPr>
        <w:t xml:space="preserve"> A. V. (2020). THE INFLUENCE OF THE CORONAVIRUS CRISIS ON THE ASSOCIATION OF ENTERPRISES IN UKRAINE. Bulletin of Zaporizhzhia National University. Economic Sciences, (4 (48), 77-81.</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hyperlink r:id="rId40" w:history="1">
        <w:r w:rsidRPr="007626F7">
          <w:rPr>
            <w:rStyle w:val="a3"/>
            <w:rFonts w:ascii="Times New Roman" w:hAnsi="Times New Roman" w:cs="Times New Roman"/>
            <w:color w:val="auto"/>
            <w:sz w:val="28"/>
            <w:szCs w:val="28"/>
            <w:u w:val="none"/>
            <w:lang w:val="en-US"/>
          </w:rPr>
          <w:t>http://www.journalsofznu.zp.ua/index.php/economics/article/view/1776</w:t>
        </w:r>
      </w:hyperlink>
    </w:p>
    <w:p w14:paraId="03CD5D4E" w14:textId="6E7D5BA3"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proofErr w:type="gramStart"/>
      <w:r w:rsidRPr="007626F7">
        <w:rPr>
          <w:rFonts w:ascii="Times New Roman" w:hAnsi="Times New Roman" w:cs="Times New Roman"/>
          <w:sz w:val="28"/>
          <w:szCs w:val="28"/>
          <w:lang w:val="en-US"/>
        </w:rPr>
        <w:t>Korinnyi ,</w:t>
      </w:r>
      <w:proofErr w:type="gramEnd"/>
      <w:r w:rsidRPr="007626F7">
        <w:rPr>
          <w:rFonts w:ascii="Times New Roman" w:hAnsi="Times New Roman" w:cs="Times New Roman"/>
          <w:sz w:val="28"/>
          <w:szCs w:val="28"/>
          <w:lang w:val="en-US"/>
        </w:rPr>
        <w:t xml:space="preserve"> S., &amp; Karmazina , V. (2020). IMPACT OF THE COVID-19 PANDEMIC ON UKRAINIAN ECONOMY. Bulletin of Zaporizhzhia National University. Economic Sciences, (4 (48), 82-87. </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hyperlink r:id="rId41" w:history="1">
        <w:r w:rsidRPr="007626F7">
          <w:rPr>
            <w:rStyle w:val="a3"/>
            <w:rFonts w:ascii="Times New Roman" w:hAnsi="Times New Roman" w:cs="Times New Roman"/>
            <w:color w:val="auto"/>
            <w:sz w:val="28"/>
            <w:szCs w:val="28"/>
            <w:u w:val="none"/>
            <w:lang w:val="en-US"/>
          </w:rPr>
          <w:t>http://journalsofznu.zp.ua/index.php/economics/article/view/1777</w:t>
        </w:r>
      </w:hyperlink>
    </w:p>
    <w:p w14:paraId="78811CC6" w14:textId="5A317A2B"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en-US"/>
        </w:rPr>
        <w:t xml:space="preserve">Bohdan Danylyshyn and Ivan Bohdan (2020). Developing a system of anti-crisis measures for Ukraine’s economy in the spread of the coronavirus pandemic. Banks and Bank Systems, 15(2), 1-15. </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hyperlink r:id="rId42" w:history="1">
        <w:r w:rsidRPr="007626F7">
          <w:rPr>
            <w:rStyle w:val="a3"/>
            <w:rFonts w:ascii="Times New Roman" w:hAnsi="Times New Roman" w:cs="Times New Roman"/>
            <w:color w:val="auto"/>
            <w:sz w:val="28"/>
            <w:szCs w:val="28"/>
            <w:u w:val="none"/>
            <w:lang w:val="en-US"/>
          </w:rPr>
          <w:t>https://businessperspectives.org/images/pdf/applications/publishing/templates/article/assets/13409/BBS_2020_02_Danylyshyn.pdf</w:t>
        </w:r>
      </w:hyperlink>
    </w:p>
    <w:p w14:paraId="0C39D4EA" w14:textId="6148361C"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en-US"/>
        </w:rPr>
        <w:lastRenderedPageBreak/>
        <w:t>A. B. Kaminskyi, M. V. Nehrey and L. M. Zomchak. COVID-19: crisis or new opportunities time for the agricultural sector of Ukraine. IOP Conference Series: Earth and Environmental Science</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hyperlink r:id="rId43" w:history="1">
        <w:r w:rsidR="00CF67BE" w:rsidRPr="007626F7">
          <w:rPr>
            <w:rStyle w:val="a3"/>
            <w:rFonts w:ascii="Times New Roman" w:hAnsi="Times New Roman" w:cs="Times New Roman"/>
            <w:color w:val="auto"/>
            <w:sz w:val="28"/>
            <w:szCs w:val="28"/>
            <w:lang w:val="en-US"/>
          </w:rPr>
          <w:t>https://iopscience.iop.org/article/10.1088/1755-1315/628/1/012031/meta</w:t>
        </w:r>
      </w:hyperlink>
      <w:r w:rsidR="00CF67BE" w:rsidRPr="007626F7">
        <w:rPr>
          <w:rStyle w:val="a3"/>
          <w:rFonts w:ascii="Times New Roman" w:hAnsi="Times New Roman" w:cs="Times New Roman"/>
          <w:color w:val="auto"/>
          <w:sz w:val="28"/>
          <w:szCs w:val="28"/>
          <w:u w:val="none"/>
          <w:lang w:val="en-US"/>
        </w:rPr>
        <w:t>.</w:t>
      </w:r>
    </w:p>
    <w:p w14:paraId="21A9C796" w14:textId="42275C90"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en-US"/>
        </w:rPr>
        <w:t>Bohdan D. The peculiarities of economic crisis due to COVID-19 pandemic in a developing country: case of Ukraine. Problems and Perspectives in Management, Volume 18, Issue 2, 2020</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hyperlink r:id="rId44" w:history="1">
        <w:r w:rsidR="00CF67BE" w:rsidRPr="007626F7">
          <w:rPr>
            <w:rStyle w:val="a3"/>
            <w:rFonts w:ascii="Times New Roman" w:hAnsi="Times New Roman" w:cs="Times New Roman"/>
            <w:color w:val="auto"/>
            <w:sz w:val="28"/>
            <w:szCs w:val="28"/>
            <w:lang w:val="en-US"/>
          </w:rPr>
          <w:t>https://pdfs.semanticscholar.org/5686/2163e6778755ab79fe071e939cb1da712c3f.pdf</w:t>
        </w:r>
      </w:hyperlink>
      <w:r w:rsidR="00CF67BE" w:rsidRPr="007626F7">
        <w:rPr>
          <w:rStyle w:val="a3"/>
          <w:rFonts w:ascii="Times New Roman" w:hAnsi="Times New Roman" w:cs="Times New Roman"/>
          <w:color w:val="auto"/>
          <w:sz w:val="28"/>
          <w:szCs w:val="28"/>
          <w:u w:val="none"/>
          <w:lang w:val="en-US"/>
        </w:rPr>
        <w:t>.</w:t>
      </w:r>
    </w:p>
    <w:p w14:paraId="095A9046" w14:textId="7B16E384"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 xml:space="preserve">Solomnikov I., Ostroverkh H. Small and medium business of Ukraine in the economic crisis covid-19: ways of survival. </w:t>
      </w:r>
      <w:r w:rsidRPr="007626F7">
        <w:rPr>
          <w:rFonts w:ascii="Times New Roman" w:hAnsi="Times New Roman" w:cs="Times New Roman"/>
          <w:sz w:val="28"/>
          <w:szCs w:val="28"/>
        </w:rPr>
        <w:t xml:space="preserve">Elibrary.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45" w:history="1">
        <w:r w:rsidRPr="007626F7">
          <w:rPr>
            <w:rStyle w:val="a3"/>
            <w:rFonts w:ascii="Times New Roman" w:hAnsi="Times New Roman" w:cs="Times New Roman"/>
            <w:color w:val="auto"/>
            <w:sz w:val="28"/>
            <w:szCs w:val="28"/>
            <w:u w:val="none"/>
            <w:lang w:val="en-US"/>
          </w:rPr>
          <w:t>https</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www</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elibrary</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ru</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item</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asp</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id</w:t>
        </w:r>
        <w:r w:rsidRPr="007626F7">
          <w:rPr>
            <w:rStyle w:val="a3"/>
            <w:rFonts w:ascii="Times New Roman" w:hAnsi="Times New Roman" w:cs="Times New Roman"/>
            <w:color w:val="auto"/>
            <w:sz w:val="28"/>
            <w:szCs w:val="28"/>
            <w:u w:val="none"/>
          </w:rPr>
          <w:t>=42728296</w:t>
        </w:r>
      </w:hyperlink>
    </w:p>
    <w:p w14:paraId="725D8B8B" w14:textId="38232BAD"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en-US"/>
        </w:rPr>
        <w:t xml:space="preserve">Zalizko, V.; Nowak, D.; Kukhta, P. Economic security of Ukraine: innovative concept of strengthening in the context of covid-19. Scientific Bulletin of National Mining University. 2020, Issue 4, p152-157. 6p. </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hyperlink r:id="rId46" w:history="1">
        <w:r w:rsidRPr="007626F7">
          <w:rPr>
            <w:rStyle w:val="a3"/>
            <w:rFonts w:ascii="Times New Roman" w:hAnsi="Times New Roman" w:cs="Times New Roman"/>
            <w:color w:val="auto"/>
            <w:sz w:val="28"/>
            <w:szCs w:val="28"/>
            <w:u w:val="none"/>
            <w:lang w:val="en-US"/>
          </w:rPr>
          <w:t>https://web.b.ebscohost.com/abstract?direct=true&amp;profile=ehost&amp;scope=site&amp;authtype=crawler&amp;jrnl=20712227&amp;AN=145375493&amp;h=yq03iNiQ1emZAW7ClESD3%2bMinFSWCuW9zFawYsEn0Fds1gndQF%2bn4rIk%2fWpJ%2f8PmsIGlEpQOoB68vtMQFDmijQ%3d%3d&amp;crl=c&amp;resultNs=AdminWebAuth&amp;resultLocal=ErrCrlNotAuth&amp;crlhashurl=login.aspx%3fdirect%3dtrue%26profile%3dehost%26scope%3dsite%26authtype%3dcrawler%26jrnl%3d20712227%26AN%3d145375493</w:t>
        </w:r>
      </w:hyperlink>
    </w:p>
    <w:p w14:paraId="09BF4398" w14:textId="5678FF94"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uk-UA"/>
        </w:rPr>
        <w:t>Victoria Strilets, Olha Prokopenko and Volodymyr Orlov (2020). Impact of Covid19 on the budget security of the national economy: a forecast for Ukraine. Public</w:t>
      </w:r>
      <w:r w:rsidRPr="007626F7">
        <w:rPr>
          <w:rFonts w:ascii="Times New Roman" w:hAnsi="Times New Roman" w:cs="Times New Roman"/>
          <w:sz w:val="28"/>
          <w:szCs w:val="28"/>
          <w:lang w:val="en-US"/>
        </w:rPr>
        <w:t xml:space="preserve"> </w:t>
      </w:r>
      <w:r w:rsidRPr="007626F7">
        <w:rPr>
          <w:rFonts w:ascii="Times New Roman" w:hAnsi="Times New Roman" w:cs="Times New Roman"/>
          <w:sz w:val="28"/>
          <w:szCs w:val="28"/>
          <w:lang w:val="uk-UA"/>
        </w:rPr>
        <w:t>and Municipal Finance, 9(1), 25-33</w:t>
      </w:r>
      <w:r w:rsidRPr="007626F7">
        <w:rPr>
          <w:rFonts w:ascii="Times New Roman" w:hAnsi="Times New Roman" w:cs="Times New Roman"/>
          <w:sz w:val="28"/>
          <w:szCs w:val="28"/>
          <w:lang w:val="en-US"/>
        </w:rPr>
        <w:t>.</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lastRenderedPageBreak/>
        <w:t>https://businessperspectives.org/images/pdf/applications/publishing/templates/article/assets/14211/PMF_2020_01_Strilets.pdf</w:t>
      </w:r>
    </w:p>
    <w:p w14:paraId="0990C782" w14:textId="24758A9F"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proofErr w:type="gramStart"/>
      <w:r w:rsidRPr="007626F7">
        <w:rPr>
          <w:rFonts w:ascii="Times New Roman" w:hAnsi="Times New Roman" w:cs="Times New Roman"/>
          <w:sz w:val="28"/>
          <w:szCs w:val="28"/>
          <w:lang w:val="en-US"/>
        </w:rPr>
        <w:t>Kushnir ,</w:t>
      </w:r>
      <w:proofErr w:type="gramEnd"/>
      <w:r w:rsidRPr="007626F7">
        <w:rPr>
          <w:rFonts w:ascii="Times New Roman" w:hAnsi="Times New Roman" w:cs="Times New Roman"/>
          <w:sz w:val="28"/>
          <w:szCs w:val="28"/>
          <w:lang w:val="en-US"/>
        </w:rPr>
        <w:t xml:space="preserve"> S. O., &amp; Hevorhyan , H. A. (2020). APPLICATION OF ANTI-CRISIS MEASURES BY THE BANKS OF UKRAINE ABOUT THE PROVISION OF BANKING SERVICES IN THE CONTEXT OF A PANDEMIC OF CORONAVIRUS: bank, banking, bank services, development, crisis, crisis management. Bulletin of Zaporizhzhia National University. Economic Sciences, (3 (47), 106-110.</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 xml:space="preserve"> </w:t>
      </w:r>
      <w:hyperlink r:id="rId47" w:history="1">
        <w:r w:rsidRPr="007626F7">
          <w:rPr>
            <w:rStyle w:val="a3"/>
            <w:rFonts w:ascii="Times New Roman" w:hAnsi="Times New Roman" w:cs="Times New Roman"/>
            <w:color w:val="auto"/>
            <w:sz w:val="28"/>
            <w:szCs w:val="28"/>
            <w:u w:val="none"/>
            <w:lang w:val="en-US"/>
          </w:rPr>
          <w:t>http://www.journalsofznu.zp.ua/index.php/economics/article/view/1422</w:t>
        </w:r>
      </w:hyperlink>
    </w:p>
    <w:p w14:paraId="12427CED" w14:textId="41AFCDE6"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Валовий внутрішній продукт (у фактичних цінах). Державна служба ститистики України.</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rPr>
        <w:t xml:space="preserve"> </w:t>
      </w:r>
      <w:hyperlink r:id="rId48" w:history="1">
        <w:r w:rsidRPr="007626F7">
          <w:rPr>
            <w:rStyle w:val="a3"/>
            <w:rFonts w:ascii="Times New Roman" w:hAnsi="Times New Roman" w:cs="Times New Roman"/>
            <w:color w:val="auto"/>
            <w:sz w:val="28"/>
            <w:szCs w:val="28"/>
            <w:u w:val="none"/>
            <w:lang w:val="en-US"/>
          </w:rPr>
          <w:t>http</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www</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ukrstat</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gov</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ua</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operativ</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operativ</w:t>
        </w:r>
        <w:r w:rsidRPr="007626F7">
          <w:rPr>
            <w:rStyle w:val="a3"/>
            <w:rFonts w:ascii="Times New Roman" w:hAnsi="Times New Roman" w:cs="Times New Roman"/>
            <w:color w:val="auto"/>
            <w:sz w:val="28"/>
            <w:szCs w:val="28"/>
            <w:u w:val="none"/>
          </w:rPr>
          <w:t>2003/</w:t>
        </w:r>
        <w:r w:rsidRPr="007626F7">
          <w:rPr>
            <w:rStyle w:val="a3"/>
            <w:rFonts w:ascii="Times New Roman" w:hAnsi="Times New Roman" w:cs="Times New Roman"/>
            <w:color w:val="auto"/>
            <w:sz w:val="28"/>
            <w:szCs w:val="28"/>
            <w:u w:val="none"/>
            <w:lang w:val="en-US"/>
          </w:rPr>
          <w:t>vvp</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vvp</w:t>
        </w:r>
        <w:r w:rsidRPr="007626F7">
          <w:rPr>
            <w:rStyle w:val="a3"/>
            <w:rFonts w:ascii="Times New Roman" w:hAnsi="Times New Roman" w:cs="Times New Roman"/>
            <w:color w:val="auto"/>
            <w:sz w:val="28"/>
            <w:szCs w:val="28"/>
            <w:u w:val="none"/>
          </w:rPr>
          <w:t>_</w:t>
        </w:r>
        <w:r w:rsidRPr="007626F7">
          <w:rPr>
            <w:rStyle w:val="a3"/>
            <w:rFonts w:ascii="Times New Roman" w:hAnsi="Times New Roman" w:cs="Times New Roman"/>
            <w:color w:val="auto"/>
            <w:sz w:val="28"/>
            <w:szCs w:val="28"/>
            <w:u w:val="none"/>
            <w:lang w:val="en-US"/>
          </w:rPr>
          <w:t>kv</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vvp</w:t>
        </w:r>
        <w:r w:rsidRPr="007626F7">
          <w:rPr>
            <w:rStyle w:val="a3"/>
            <w:rFonts w:ascii="Times New Roman" w:hAnsi="Times New Roman" w:cs="Times New Roman"/>
            <w:color w:val="auto"/>
            <w:sz w:val="28"/>
            <w:szCs w:val="28"/>
            <w:u w:val="none"/>
          </w:rPr>
          <w:t>_</w:t>
        </w:r>
        <w:r w:rsidRPr="007626F7">
          <w:rPr>
            <w:rStyle w:val="a3"/>
            <w:rFonts w:ascii="Times New Roman" w:hAnsi="Times New Roman" w:cs="Times New Roman"/>
            <w:color w:val="auto"/>
            <w:sz w:val="28"/>
            <w:szCs w:val="28"/>
            <w:u w:val="none"/>
            <w:lang w:val="en-US"/>
          </w:rPr>
          <w:t>kv</w:t>
        </w:r>
        <w:r w:rsidRPr="007626F7">
          <w:rPr>
            <w:rStyle w:val="a3"/>
            <w:rFonts w:ascii="Times New Roman" w:hAnsi="Times New Roman" w:cs="Times New Roman"/>
            <w:color w:val="auto"/>
            <w:sz w:val="28"/>
            <w:szCs w:val="28"/>
            <w:u w:val="none"/>
          </w:rPr>
          <w:t>_</w:t>
        </w:r>
        <w:r w:rsidRPr="007626F7">
          <w:rPr>
            <w:rStyle w:val="a3"/>
            <w:rFonts w:ascii="Times New Roman" w:hAnsi="Times New Roman" w:cs="Times New Roman"/>
            <w:color w:val="auto"/>
            <w:sz w:val="28"/>
            <w:szCs w:val="28"/>
            <w:u w:val="none"/>
            <w:lang w:val="en-US"/>
          </w:rPr>
          <w:t>u</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arh</w:t>
        </w:r>
        <w:r w:rsidRPr="007626F7">
          <w:rPr>
            <w:rStyle w:val="a3"/>
            <w:rFonts w:ascii="Times New Roman" w:hAnsi="Times New Roman" w:cs="Times New Roman"/>
            <w:color w:val="auto"/>
            <w:sz w:val="28"/>
            <w:szCs w:val="28"/>
            <w:u w:val="none"/>
          </w:rPr>
          <w:t>_</w:t>
        </w:r>
        <w:r w:rsidRPr="007626F7">
          <w:rPr>
            <w:rStyle w:val="a3"/>
            <w:rFonts w:ascii="Times New Roman" w:hAnsi="Times New Roman" w:cs="Times New Roman"/>
            <w:color w:val="auto"/>
            <w:sz w:val="28"/>
            <w:szCs w:val="28"/>
            <w:u w:val="none"/>
            <w:lang w:val="en-US"/>
          </w:rPr>
          <w:t>vvp</w:t>
        </w:r>
        <w:r w:rsidRPr="007626F7">
          <w:rPr>
            <w:rStyle w:val="a3"/>
            <w:rFonts w:ascii="Times New Roman" w:hAnsi="Times New Roman" w:cs="Times New Roman"/>
            <w:color w:val="auto"/>
            <w:sz w:val="28"/>
            <w:szCs w:val="28"/>
            <w:u w:val="none"/>
          </w:rPr>
          <w:t>_</w:t>
        </w:r>
        <w:r w:rsidRPr="007626F7">
          <w:rPr>
            <w:rStyle w:val="a3"/>
            <w:rFonts w:ascii="Times New Roman" w:hAnsi="Times New Roman" w:cs="Times New Roman"/>
            <w:color w:val="auto"/>
            <w:sz w:val="28"/>
            <w:szCs w:val="28"/>
            <w:u w:val="none"/>
            <w:lang w:val="en-US"/>
          </w:rPr>
          <w:t>kv</w:t>
        </w:r>
        <w:r w:rsidRPr="007626F7">
          <w:rPr>
            <w:rStyle w:val="a3"/>
            <w:rFonts w:ascii="Times New Roman" w:hAnsi="Times New Roman" w:cs="Times New Roman"/>
            <w:color w:val="auto"/>
            <w:sz w:val="28"/>
            <w:szCs w:val="28"/>
            <w:u w:val="none"/>
          </w:rPr>
          <w:t>.</w:t>
        </w:r>
        <w:r w:rsidRPr="007626F7">
          <w:rPr>
            <w:rStyle w:val="a3"/>
            <w:rFonts w:ascii="Times New Roman" w:hAnsi="Times New Roman" w:cs="Times New Roman"/>
            <w:color w:val="auto"/>
            <w:sz w:val="28"/>
            <w:szCs w:val="28"/>
            <w:u w:val="none"/>
            <w:lang w:val="en-US"/>
          </w:rPr>
          <w:t>html</w:t>
        </w:r>
      </w:hyperlink>
    </w:p>
    <w:p w14:paraId="1BBF5A81" w14:textId="531D8611"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eastAsia="Times New Roman" w:hAnsi="Times New Roman" w:cs="Times New Roman"/>
          <w:sz w:val="28"/>
          <w:szCs w:val="28"/>
        </w:rPr>
        <w:t>Статистика зовнішнього сектору України за методологією 6-го видання "Керівництва з платіжного балансу та міжнародної інвестиційної позиції" (МВФ, 2009). Національний банк України.</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rPr>
        <w:t xml:space="preserve"> </w:t>
      </w:r>
      <w:hyperlink r:id="rId49" w:history="1">
        <w:r w:rsidRPr="007626F7">
          <w:rPr>
            <w:rStyle w:val="a3"/>
            <w:rFonts w:ascii="Times New Roman" w:eastAsia="Times New Roman" w:hAnsi="Times New Roman" w:cs="Times New Roman"/>
            <w:color w:val="auto"/>
            <w:sz w:val="28"/>
            <w:szCs w:val="28"/>
            <w:u w:val="none"/>
          </w:rPr>
          <w:t>https://bank.gov.ua/ua/statistic/sector-external/data-sector-external</w:t>
        </w:r>
      </w:hyperlink>
    </w:p>
    <w:p w14:paraId="16FFC881" w14:textId="4380911F"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Місячний звіт про виконання Державного бюджету України за січень 2020 року. Державна казначейська служба України.</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rPr>
        <w:t xml:space="preserve"> </w:t>
      </w:r>
      <w:hyperlink r:id="rId50" w:history="1">
        <w:r w:rsidRPr="007626F7">
          <w:rPr>
            <w:rStyle w:val="a3"/>
            <w:rFonts w:ascii="Times New Roman" w:hAnsi="Times New Roman" w:cs="Times New Roman"/>
            <w:color w:val="auto"/>
            <w:sz w:val="28"/>
            <w:szCs w:val="28"/>
            <w:u w:val="none"/>
          </w:rPr>
          <w:t>https://www.treasury.gov.ua/ua/file-storage/misyachnij-zvit-pro-vikonannya-derzhavnogo-byudzhetu-ukrayini-za-sichen-2020-roku</w:t>
        </w:r>
      </w:hyperlink>
    </w:p>
    <w:p w14:paraId="6DBBB4D5" w14:textId="23A66EB9"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Доходы госбюджета Украины. Минфин.</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rPr>
        <w:t xml:space="preserve"> </w:t>
      </w:r>
      <w:hyperlink r:id="rId51" w:history="1">
        <w:r w:rsidRPr="007626F7">
          <w:rPr>
            <w:rStyle w:val="a3"/>
            <w:rFonts w:ascii="Times New Roman" w:hAnsi="Times New Roman" w:cs="Times New Roman"/>
            <w:color w:val="auto"/>
            <w:sz w:val="28"/>
            <w:szCs w:val="28"/>
            <w:u w:val="none"/>
          </w:rPr>
          <w:t>https://index.minfin.com.ua/finance/budget/gov/income/</w:t>
        </w:r>
      </w:hyperlink>
    </w:p>
    <w:p w14:paraId="55154384" w14:textId="4786D5AF" w:rsidR="000D18A5" w:rsidRPr="007626F7" w:rsidRDefault="006D50E3" w:rsidP="00760EFA">
      <w:pPr>
        <w:pStyle w:val="a4"/>
        <w:numPr>
          <w:ilvl w:val="0"/>
          <w:numId w:val="10"/>
        </w:numPr>
        <w:spacing w:after="0" w:line="360" w:lineRule="auto"/>
        <w:jc w:val="both"/>
        <w:rPr>
          <w:rFonts w:ascii="Times New Roman" w:hAnsi="Times New Roman" w:cs="Times New Roman"/>
          <w:sz w:val="28"/>
          <w:szCs w:val="28"/>
        </w:rPr>
      </w:pPr>
      <w:r w:rsidRPr="007626F7">
        <w:rPr>
          <w:rStyle w:val="a3"/>
          <w:rFonts w:ascii="Times New Roman" w:hAnsi="Times New Roman" w:cs="Times New Roman"/>
          <w:color w:val="auto"/>
          <w:sz w:val="28"/>
          <w:szCs w:val="28"/>
          <w:u w:val="none"/>
          <w:lang w:val="uk-UA"/>
        </w:rPr>
        <w:t>Государственный долг Украины.</w:t>
      </w:r>
      <w:r w:rsidRPr="007626F7">
        <w:rPr>
          <w:rFonts w:ascii="Times New Roman" w:hAnsi="Times New Roman" w:cs="Times New Roman"/>
        </w:rPr>
        <w:t xml:space="preserve"> </w:t>
      </w:r>
      <w:r w:rsidRPr="007626F7">
        <w:rPr>
          <w:rStyle w:val="a3"/>
          <w:rFonts w:ascii="Times New Roman" w:hAnsi="Times New Roman" w:cs="Times New Roman"/>
          <w:color w:val="auto"/>
          <w:sz w:val="28"/>
          <w:szCs w:val="28"/>
          <w:u w:val="none"/>
          <w:lang w:val="uk-UA"/>
        </w:rPr>
        <w:t>Минфин. [Електронний ресурс]. -Режим доступу:  https://index.minfin.com.ua/finance/debtgov/2021/.</w:t>
      </w:r>
    </w:p>
    <w:p w14:paraId="2BCC0DC6" w14:textId="22931565"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lastRenderedPageBreak/>
        <w:t>Официальные международные резервы Украины в 2019 г. Минфин.</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rPr>
        <w:t xml:space="preserve"> </w:t>
      </w:r>
      <w:hyperlink r:id="rId52" w:history="1">
        <w:r w:rsidRPr="007626F7">
          <w:rPr>
            <w:rStyle w:val="a3"/>
            <w:rFonts w:ascii="Times New Roman" w:hAnsi="Times New Roman" w:cs="Times New Roman"/>
            <w:color w:val="auto"/>
            <w:sz w:val="28"/>
            <w:szCs w:val="28"/>
            <w:u w:val="none"/>
          </w:rPr>
          <w:t>https://index.minfin.com.ua/finance/assets/2019</w:t>
        </w:r>
      </w:hyperlink>
    </w:p>
    <w:p w14:paraId="4E393135" w14:textId="7DE4D34C"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Официальные международные резервы Украины в 2020 г. Минфин.</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rPr>
        <w:t xml:space="preserve"> </w:t>
      </w:r>
      <w:hyperlink r:id="rId53" w:history="1">
        <w:r w:rsidRPr="007626F7">
          <w:rPr>
            <w:rStyle w:val="a3"/>
            <w:rFonts w:ascii="Times New Roman" w:hAnsi="Times New Roman" w:cs="Times New Roman"/>
            <w:color w:val="auto"/>
            <w:sz w:val="28"/>
            <w:szCs w:val="28"/>
            <w:u w:val="none"/>
          </w:rPr>
          <w:t>https://index.minfin.com.ua/finance/assets/2020/</w:t>
        </w:r>
      </w:hyperlink>
      <w:r w:rsidRPr="007626F7">
        <w:rPr>
          <w:rFonts w:ascii="Times New Roman" w:hAnsi="Times New Roman" w:cs="Times New Roman"/>
          <w:sz w:val="28"/>
          <w:szCs w:val="28"/>
        </w:rPr>
        <w:t>.</w:t>
      </w:r>
    </w:p>
    <w:p w14:paraId="032194A6" w14:textId="465BA89F"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uk-UA"/>
        </w:rPr>
        <w:t>Официальные международные резервы Украины в 2021 г.</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uk-UA"/>
        </w:rPr>
        <w:t>Минфин.</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rPr>
        <w:t xml:space="preserve"> </w:t>
      </w:r>
      <w:hyperlink r:id="rId54" w:history="1">
        <w:r w:rsidRPr="007626F7">
          <w:rPr>
            <w:rStyle w:val="a3"/>
            <w:rFonts w:ascii="Times New Roman" w:hAnsi="Times New Roman" w:cs="Times New Roman"/>
            <w:color w:val="auto"/>
            <w:sz w:val="28"/>
            <w:szCs w:val="28"/>
            <w:lang w:val="uk-UA"/>
          </w:rPr>
          <w:t>https://index.minfin.com.ua/finance/assets/2021/</w:t>
        </w:r>
      </w:hyperlink>
      <w:r w:rsidRPr="007626F7">
        <w:rPr>
          <w:rFonts w:ascii="Times New Roman" w:hAnsi="Times New Roman" w:cs="Times New Roman"/>
          <w:sz w:val="28"/>
          <w:szCs w:val="28"/>
          <w:lang w:val="uk-UA"/>
        </w:rPr>
        <w:t>.</w:t>
      </w:r>
    </w:p>
    <w:p w14:paraId="3A506857" w14:textId="2996CCF5"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На рівні $30 мільярдів: голова НБУ про зростання міжнародних резервів України. УКРІНФОРМ.</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55" w:history="1">
        <w:r w:rsidRPr="007626F7">
          <w:rPr>
            <w:rStyle w:val="a3"/>
            <w:rFonts w:ascii="Times New Roman" w:hAnsi="Times New Roman" w:cs="Times New Roman"/>
            <w:color w:val="auto"/>
            <w:sz w:val="28"/>
            <w:szCs w:val="28"/>
          </w:rPr>
          <w:t>https://www.ukrinform.ua/rubric-economy/3175346-na-rivni-30-milardiv-golova-nbu-pro-zrostanna-miznarodnih-rezerviv-ukraini.html</w:t>
        </w:r>
      </w:hyperlink>
    </w:p>
    <w:p w14:paraId="39BFA8C0" w14:textId="0343BDAD"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Gross domestic product quarterly data. State Secretariat for Economic Affairs SECO.</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rPr>
        <w:t xml:space="preserve"> </w:t>
      </w:r>
      <w:hyperlink r:id="rId56" w:history="1">
        <w:r w:rsidRPr="007626F7">
          <w:rPr>
            <w:rStyle w:val="a3"/>
            <w:rFonts w:ascii="Times New Roman" w:hAnsi="Times New Roman" w:cs="Times New Roman"/>
            <w:color w:val="auto"/>
            <w:sz w:val="28"/>
            <w:szCs w:val="28"/>
          </w:rPr>
          <w:t>https://www.seco.admin.ch/seco/de/home/wirtschaftslage---wirtschaftspolitik/Wirtschaftslage/bip-quartalsschaetzungen-/daten.html</w:t>
        </w:r>
      </w:hyperlink>
    </w:p>
    <w:p w14:paraId="08B9A1C0" w14:textId="58D04E58"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Key figures.</w:t>
      </w:r>
      <w:r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State Secretariat for Economic Affairs SECO.</w:t>
      </w:r>
      <w:r w:rsidRPr="007626F7">
        <w:rPr>
          <w:rFonts w:ascii="Times New Roman" w:hAnsi="Times New Roman" w:cs="Times New Roman"/>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57" w:anchor="!/generalBudget/keyFigures?spa_from=2018&amp;spa_to=2021&amp;spa_type=line&amp;spa_format=levels&amp;spa_series=JE_S_VJETD002_Q913_0005" w:history="1">
        <w:r w:rsidRPr="007626F7">
          <w:rPr>
            <w:rStyle w:val="a3"/>
            <w:rFonts w:ascii="Times New Roman" w:hAnsi="Times New Roman" w:cs="Times New Roman"/>
            <w:color w:val="auto"/>
            <w:sz w:val="28"/>
            <w:szCs w:val="28"/>
          </w:rPr>
          <w:t>https://www.efv.admin.ch/efv/en/home/finanzberichterstattung/daten/datencenter.spa.EIS.app/eisui/index.html#!/generalBudget/keyFigures?spa_from=2018&amp;spa_to=2021&amp;spa_type=line&amp;spa_format=levels&amp;spa_series=JE_S_VJETD002_Q913_0005</w:t>
        </w:r>
      </w:hyperlink>
    </w:p>
    <w:p w14:paraId="547EE79D" w14:textId="4A5A5E29"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Receipts.</w:t>
      </w:r>
      <w:r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State Secretariat for Economic Affairs SECO.</w:t>
      </w:r>
      <w:r w:rsidRPr="007626F7">
        <w:rPr>
          <w:rFonts w:ascii="Times New Roman" w:hAnsi="Times New Roman" w:cs="Times New Roman"/>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58" w:anchor="!/revenueExpenses/revenue?spa_series=JE_S_VJETD002_Q919_0002" w:history="1">
        <w:r w:rsidRPr="007626F7">
          <w:rPr>
            <w:rStyle w:val="a3"/>
            <w:rFonts w:ascii="Times New Roman" w:hAnsi="Times New Roman" w:cs="Times New Roman"/>
            <w:color w:val="auto"/>
            <w:sz w:val="28"/>
            <w:szCs w:val="28"/>
          </w:rPr>
          <w:t>https://www.efv.admin.ch/efv/en/home/finanzberichterstattung/daten/datencenter.spa.EIS.app/eisui/index.html#!/revenueExpenses/revenue?spa_series=JE_S_VJETD002_Q919_0002</w:t>
        </w:r>
      </w:hyperlink>
    </w:p>
    <w:p w14:paraId="238859F6" w14:textId="5CBA7BE6"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Switzerland’s external debt – Quarter. Swiss National Bank.</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59" w:anchor="!/cube/auverdeptq?fromDate=2019-Q1&amp;toDate=2020-Q4&amp;dimSel=D0(T0,OH,N,B,US)" w:history="1">
        <w:r w:rsidRPr="007626F7">
          <w:rPr>
            <w:rStyle w:val="a3"/>
            <w:rFonts w:ascii="Times New Roman" w:hAnsi="Times New Roman" w:cs="Times New Roman"/>
            <w:color w:val="auto"/>
            <w:sz w:val="28"/>
            <w:szCs w:val="28"/>
          </w:rPr>
          <w:t>https://data.snb.ch/en/topics/aube#!/cube/auverdeptq?fromDate=2019-Q1&amp;toDate=2020-Q4&amp;dimSel=D0(T0,OH,N,B,US)</w:t>
        </w:r>
      </w:hyperlink>
    </w:p>
    <w:p w14:paraId="40F009BC" w14:textId="4429B63B"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Arbeitslosenquote nach Kantonen. Arbeit.swiss.</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60" w:history="1">
        <w:r w:rsidRPr="007626F7">
          <w:rPr>
            <w:rStyle w:val="a3"/>
            <w:rFonts w:ascii="Times New Roman" w:hAnsi="Times New Roman" w:cs="Times New Roman"/>
            <w:color w:val="auto"/>
            <w:sz w:val="28"/>
            <w:szCs w:val="28"/>
          </w:rPr>
          <w:t>https://www.amstat.ch/v2/index.html</w:t>
        </w:r>
      </w:hyperlink>
    </w:p>
    <w:p w14:paraId="53B24331" w14:textId="61F72AF0"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IMF SDDS Plus ‒ Official reserve assets.</w:t>
      </w:r>
      <w:r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Swiss</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en-US"/>
        </w:rPr>
        <w:t>National</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en-US"/>
        </w:rPr>
        <w:t>Bank</w:t>
      </w:r>
      <w:r w:rsidRPr="007626F7">
        <w:rPr>
          <w:rFonts w:ascii="Times New Roman" w:hAnsi="Times New Roman" w:cs="Times New Roman"/>
          <w:sz w:val="28"/>
          <w:szCs w:val="28"/>
        </w:rPr>
        <w:t>.</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61" w:anchor="!/cube/sddsilv7m?fromDate=2019-01&amp;toDate=2021-03&amp;dimSel=D0(RAXG,RAFAFX,RAFAIMF,RAFASDR,RAFAGOLD,RAFAO)" w:history="1">
        <w:r w:rsidR="00760EFA" w:rsidRPr="006A4DFA">
          <w:rPr>
            <w:rStyle w:val="a3"/>
            <w:rFonts w:ascii="Times New Roman" w:hAnsi="Times New Roman" w:cs="Times New Roman"/>
            <w:sz w:val="28"/>
            <w:szCs w:val="28"/>
            <w:lang w:val="en-US"/>
          </w:rPr>
          <w:t>https</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data</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snb</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ch</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en</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topics</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cross</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cube</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sddsilv</w:t>
        </w:r>
        <w:r w:rsidR="00760EFA" w:rsidRPr="006A4DFA">
          <w:rPr>
            <w:rStyle w:val="a3"/>
            <w:rFonts w:ascii="Times New Roman" w:hAnsi="Times New Roman" w:cs="Times New Roman"/>
            <w:sz w:val="28"/>
            <w:szCs w:val="28"/>
          </w:rPr>
          <w:t>7</w:t>
        </w:r>
        <w:r w:rsidR="00760EFA" w:rsidRPr="006A4DFA">
          <w:rPr>
            <w:rStyle w:val="a3"/>
            <w:rFonts w:ascii="Times New Roman" w:hAnsi="Times New Roman" w:cs="Times New Roman"/>
            <w:sz w:val="28"/>
            <w:szCs w:val="28"/>
            <w:lang w:val="en-US"/>
          </w:rPr>
          <w:t>m</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fromDate</w:t>
        </w:r>
        <w:r w:rsidR="00760EFA" w:rsidRPr="006A4DFA">
          <w:rPr>
            <w:rStyle w:val="a3"/>
            <w:rFonts w:ascii="Times New Roman" w:hAnsi="Times New Roman" w:cs="Times New Roman"/>
            <w:sz w:val="28"/>
            <w:szCs w:val="28"/>
          </w:rPr>
          <w:t>=2019-01&amp;</w:t>
        </w:r>
        <w:r w:rsidR="00760EFA" w:rsidRPr="006A4DFA">
          <w:rPr>
            <w:rStyle w:val="a3"/>
            <w:rFonts w:ascii="Times New Roman" w:hAnsi="Times New Roman" w:cs="Times New Roman"/>
            <w:sz w:val="28"/>
            <w:szCs w:val="28"/>
            <w:lang w:val="en-US"/>
          </w:rPr>
          <w:t>toDate</w:t>
        </w:r>
        <w:r w:rsidR="00760EFA" w:rsidRPr="006A4DFA">
          <w:rPr>
            <w:rStyle w:val="a3"/>
            <w:rFonts w:ascii="Times New Roman" w:hAnsi="Times New Roman" w:cs="Times New Roman"/>
            <w:sz w:val="28"/>
            <w:szCs w:val="28"/>
          </w:rPr>
          <w:t>=2021-03&amp;</w:t>
        </w:r>
        <w:r w:rsidR="00760EFA" w:rsidRPr="006A4DFA">
          <w:rPr>
            <w:rStyle w:val="a3"/>
            <w:rFonts w:ascii="Times New Roman" w:hAnsi="Times New Roman" w:cs="Times New Roman"/>
            <w:sz w:val="28"/>
            <w:szCs w:val="28"/>
            <w:lang w:val="en-US"/>
          </w:rPr>
          <w:t>dimSel</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D</w:t>
        </w:r>
        <w:r w:rsidR="00760EFA" w:rsidRPr="006A4DFA">
          <w:rPr>
            <w:rStyle w:val="a3"/>
            <w:rFonts w:ascii="Times New Roman" w:hAnsi="Times New Roman" w:cs="Times New Roman"/>
            <w:sz w:val="28"/>
            <w:szCs w:val="28"/>
          </w:rPr>
          <w:t>0(</w:t>
        </w:r>
        <w:r w:rsidR="00760EFA" w:rsidRPr="006A4DFA">
          <w:rPr>
            <w:rStyle w:val="a3"/>
            <w:rFonts w:ascii="Times New Roman" w:hAnsi="Times New Roman" w:cs="Times New Roman"/>
            <w:sz w:val="28"/>
            <w:szCs w:val="28"/>
            <w:lang w:val="en-US"/>
          </w:rPr>
          <w:t>RAXG</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RAFAFX</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RAFAIMF</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RAFASDR</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RAFAGOLD</w:t>
        </w:r>
        <w:r w:rsidR="00760EFA" w:rsidRPr="006A4DFA">
          <w:rPr>
            <w:rStyle w:val="a3"/>
            <w:rFonts w:ascii="Times New Roman" w:hAnsi="Times New Roman" w:cs="Times New Roman"/>
            <w:sz w:val="28"/>
            <w:szCs w:val="28"/>
          </w:rPr>
          <w:t>,</w:t>
        </w:r>
        <w:r w:rsidR="00760EFA" w:rsidRPr="006A4DFA">
          <w:rPr>
            <w:rStyle w:val="a3"/>
            <w:rFonts w:ascii="Times New Roman" w:hAnsi="Times New Roman" w:cs="Times New Roman"/>
            <w:sz w:val="28"/>
            <w:szCs w:val="28"/>
            <w:lang w:val="en-US"/>
          </w:rPr>
          <w:t>RAFAO</w:t>
        </w:r>
        <w:r w:rsidR="00760EFA" w:rsidRPr="006A4DFA">
          <w:rPr>
            <w:rStyle w:val="a3"/>
            <w:rFonts w:ascii="Times New Roman" w:hAnsi="Times New Roman" w:cs="Times New Roman"/>
            <w:sz w:val="28"/>
            <w:szCs w:val="28"/>
          </w:rPr>
          <w:t>)</w:t>
        </w:r>
      </w:hyperlink>
    </w:p>
    <w:p w14:paraId="78C89D18" w14:textId="031924A0"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en-US"/>
        </w:rPr>
        <w:t>Gross Domestic Product in the third quarter of 2020. Preliminary estimate. Statistics Poland.</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 xml:space="preserve"> </w:t>
      </w:r>
      <w:hyperlink r:id="rId62" w:history="1">
        <w:r w:rsidR="00760EFA" w:rsidRPr="006A4DFA">
          <w:rPr>
            <w:rStyle w:val="a3"/>
            <w:rFonts w:ascii="Times New Roman" w:hAnsi="Times New Roman" w:cs="Times New Roman"/>
            <w:sz w:val="28"/>
            <w:szCs w:val="28"/>
            <w:lang w:val="en-US"/>
          </w:rPr>
          <w:t>https://stat.gov.pl/en/topics/national-accounts/quarterly-national accounts/gross-domestic-product-in-the-third-quarter-of-2020-preliminary-estimate,2,47.html</w:t>
        </w:r>
      </w:hyperlink>
    </w:p>
    <w:p w14:paraId="433F89F2" w14:textId="142A06AF"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Poland - macroeconomic indicators.</w:t>
      </w:r>
      <w:r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Statistics Poland.</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63" w:history="1">
        <w:r w:rsidRPr="007626F7">
          <w:rPr>
            <w:rStyle w:val="a3"/>
            <w:rFonts w:ascii="Times New Roman" w:hAnsi="Times New Roman" w:cs="Times New Roman"/>
            <w:color w:val="auto"/>
            <w:sz w:val="28"/>
            <w:szCs w:val="28"/>
            <w:lang w:val="en-US"/>
          </w:rPr>
          <w:t>https</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stat</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gov</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pl</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wskazniki</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makroekonomiczne</w:t>
        </w:r>
        <w:r w:rsidRPr="007626F7">
          <w:rPr>
            <w:rStyle w:val="a3"/>
            <w:rFonts w:ascii="Times New Roman" w:hAnsi="Times New Roman" w:cs="Times New Roman"/>
            <w:color w:val="auto"/>
            <w:sz w:val="28"/>
            <w:szCs w:val="28"/>
          </w:rPr>
          <w:t>/</w:t>
        </w:r>
      </w:hyperlink>
    </w:p>
    <w:p w14:paraId="779BD5DD" w14:textId="15FE45B0"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External debt. Narodowy Bank Polski.</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64" w:history="1">
        <w:r w:rsidRPr="007626F7">
          <w:rPr>
            <w:rStyle w:val="a3"/>
            <w:rFonts w:ascii="Times New Roman" w:hAnsi="Times New Roman" w:cs="Times New Roman"/>
            <w:color w:val="auto"/>
            <w:sz w:val="28"/>
            <w:szCs w:val="28"/>
          </w:rPr>
          <w:t>https://www.nbp.pl/homen.aspx?f=/en/statystyka/zadluz.html</w:t>
        </w:r>
      </w:hyperlink>
    </w:p>
    <w:p w14:paraId="30686E08" w14:textId="412B2059"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Labor market. Macroeconomic data bank.</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rPr>
        <w:t xml:space="preserve"> </w:t>
      </w:r>
      <w:hyperlink r:id="rId65" w:history="1">
        <w:r w:rsidRPr="007626F7">
          <w:rPr>
            <w:rStyle w:val="a3"/>
            <w:rFonts w:ascii="Times New Roman" w:hAnsi="Times New Roman" w:cs="Times New Roman"/>
            <w:color w:val="auto"/>
            <w:sz w:val="28"/>
            <w:szCs w:val="28"/>
            <w:lang w:val="en-US"/>
          </w:rPr>
          <w:t>https</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bdm</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stat</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gov</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pl</w:t>
        </w:r>
        <w:r w:rsidRPr="007626F7">
          <w:rPr>
            <w:rStyle w:val="a3"/>
            <w:rFonts w:ascii="Times New Roman" w:hAnsi="Times New Roman" w:cs="Times New Roman"/>
            <w:color w:val="auto"/>
            <w:sz w:val="28"/>
            <w:szCs w:val="28"/>
          </w:rPr>
          <w:t>/</w:t>
        </w:r>
      </w:hyperlink>
    </w:p>
    <w:p w14:paraId="3151EE5E" w14:textId="16BF4C62"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Balance of payments statistics.</w:t>
      </w:r>
      <w:r w:rsidR="00234586" w:rsidRPr="007626F7">
        <w:rPr>
          <w:rFonts w:ascii="Times New Roman" w:hAnsi="Times New Roman" w:cs="Times New Roman"/>
          <w:sz w:val="28"/>
          <w:szCs w:val="28"/>
          <w:lang w:val="en-US"/>
        </w:rPr>
        <w:t xml:space="preserve"> </w:t>
      </w:r>
      <w:r w:rsidRPr="007626F7">
        <w:rPr>
          <w:rFonts w:ascii="Times New Roman" w:hAnsi="Times New Roman" w:cs="Times New Roman"/>
          <w:sz w:val="28"/>
          <w:szCs w:val="28"/>
          <w:lang w:val="en-US"/>
        </w:rPr>
        <w:t>Official reserve assets</w:t>
      </w:r>
      <w:r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Narodowy</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en-US"/>
        </w:rPr>
        <w:t>Bank</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en-US"/>
        </w:rPr>
        <w:t>Polski</w:t>
      </w:r>
      <w:r w:rsidRPr="007626F7">
        <w:rPr>
          <w:rFonts w:ascii="Times New Roman" w:hAnsi="Times New Roman" w:cs="Times New Roman"/>
          <w:sz w:val="28"/>
          <w:szCs w:val="28"/>
        </w:rPr>
        <w:t>.</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66" w:history="1">
        <w:r w:rsidRPr="007626F7">
          <w:rPr>
            <w:rStyle w:val="a3"/>
            <w:rFonts w:ascii="Times New Roman" w:hAnsi="Times New Roman" w:cs="Times New Roman"/>
            <w:color w:val="auto"/>
            <w:sz w:val="28"/>
            <w:szCs w:val="28"/>
            <w:lang w:val="en-US"/>
          </w:rPr>
          <w:t>https</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www</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nbp</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pl</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home</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aspx</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f</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statystyka</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aktywa</w:t>
        </w:r>
        <w:r w:rsidRPr="007626F7">
          <w:rPr>
            <w:rStyle w:val="a3"/>
            <w:rFonts w:ascii="Times New Roman" w:hAnsi="Times New Roman" w:cs="Times New Roman"/>
            <w:color w:val="auto"/>
            <w:sz w:val="28"/>
            <w:szCs w:val="28"/>
          </w:rPr>
          <w:t>_</w:t>
        </w:r>
        <w:r w:rsidRPr="007626F7">
          <w:rPr>
            <w:rStyle w:val="a3"/>
            <w:rFonts w:ascii="Times New Roman" w:hAnsi="Times New Roman" w:cs="Times New Roman"/>
            <w:color w:val="auto"/>
            <w:sz w:val="28"/>
            <w:szCs w:val="28"/>
            <w:lang w:val="en-US"/>
          </w:rPr>
          <w:t>rezerwowe</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html</w:t>
        </w:r>
      </w:hyperlink>
    </w:p>
    <w:p w14:paraId="2F324E3D" w14:textId="00C40253"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Индикаторы валютного рынка.</w:t>
      </w:r>
      <w:r w:rsidRPr="007626F7">
        <w:rPr>
          <w:rFonts w:ascii="Times New Roman" w:hAnsi="Times New Roman" w:cs="Times New Roman"/>
        </w:rPr>
        <w:t xml:space="preserve"> </w:t>
      </w:r>
      <w:r w:rsidRPr="007626F7">
        <w:rPr>
          <w:rFonts w:ascii="Times New Roman" w:hAnsi="Times New Roman" w:cs="Times New Roman"/>
          <w:sz w:val="28"/>
          <w:szCs w:val="28"/>
        </w:rPr>
        <w:t>Незалежна Асоціація банків України.</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67" w:history="1">
        <w:r w:rsidRPr="007626F7">
          <w:rPr>
            <w:rStyle w:val="a3"/>
            <w:rFonts w:ascii="Times New Roman" w:hAnsi="Times New Roman" w:cs="Times New Roman"/>
            <w:color w:val="auto"/>
            <w:sz w:val="28"/>
            <w:szCs w:val="28"/>
            <w:lang w:val="en-US"/>
          </w:rPr>
          <w:t>https</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nabu</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ua</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ru</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indikatori</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valyutnogo</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rinku</w:t>
        </w:r>
        <w:r w:rsidRPr="007626F7">
          <w:rPr>
            <w:rStyle w:val="a3"/>
            <w:rFonts w:ascii="Times New Roman" w:hAnsi="Times New Roman" w:cs="Times New Roman"/>
            <w:color w:val="auto"/>
            <w:sz w:val="28"/>
            <w:szCs w:val="28"/>
          </w:rPr>
          <w:t>-2.</w:t>
        </w:r>
        <w:r w:rsidRPr="007626F7">
          <w:rPr>
            <w:rStyle w:val="a3"/>
            <w:rFonts w:ascii="Times New Roman" w:hAnsi="Times New Roman" w:cs="Times New Roman"/>
            <w:color w:val="auto"/>
            <w:sz w:val="28"/>
            <w:szCs w:val="28"/>
            <w:lang w:val="en-US"/>
          </w:rPr>
          <w:t>html</w:t>
        </w:r>
      </w:hyperlink>
    </w:p>
    <w:p w14:paraId="37F03594" w14:textId="7D1FEC6A"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Индекс инфляции 2021 в Украине.</w:t>
      </w:r>
      <w:r w:rsidRPr="007626F7">
        <w:rPr>
          <w:rFonts w:ascii="Times New Roman" w:hAnsi="Times New Roman" w:cs="Times New Roman"/>
          <w:sz w:val="28"/>
          <w:szCs w:val="28"/>
          <w:lang w:val="uk-UA"/>
        </w:rPr>
        <w:t>Минфин.</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68" w:history="1">
        <w:r w:rsidRPr="007626F7">
          <w:rPr>
            <w:rStyle w:val="a3"/>
            <w:rFonts w:ascii="Times New Roman" w:hAnsi="Times New Roman" w:cs="Times New Roman"/>
            <w:color w:val="auto"/>
            <w:sz w:val="28"/>
            <w:szCs w:val="28"/>
            <w:lang w:val="uk-UA"/>
          </w:rPr>
          <w:t>https://index.minfin.com.ua/economy/index/inflation/</w:t>
        </w:r>
      </w:hyperlink>
    </w:p>
    <w:p w14:paraId="15444A2E" w14:textId="21BDBB05"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lastRenderedPageBreak/>
        <w:t>Consumer Price Index Historical Tables for U.S. City Average</w:t>
      </w:r>
      <w:r w:rsidRPr="007626F7">
        <w:rPr>
          <w:rFonts w:ascii="Times New Roman" w:hAnsi="Times New Roman" w:cs="Times New Roman"/>
          <w:sz w:val="28"/>
          <w:szCs w:val="28"/>
          <w:lang w:val="uk-UA"/>
        </w:rPr>
        <w:t>.</w:t>
      </w:r>
      <w:r w:rsidRPr="007626F7">
        <w:rPr>
          <w:rFonts w:ascii="Times New Roman" w:hAnsi="Times New Roman" w:cs="Times New Roman"/>
          <w:sz w:val="28"/>
          <w:szCs w:val="28"/>
          <w:lang w:val="en-US"/>
        </w:rPr>
        <w:t>U.S. Bureau of labor statistics.</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69" w:history="1">
        <w:r w:rsidRPr="007626F7">
          <w:rPr>
            <w:rStyle w:val="a3"/>
            <w:rFonts w:ascii="Times New Roman" w:hAnsi="Times New Roman" w:cs="Times New Roman"/>
            <w:color w:val="auto"/>
            <w:sz w:val="28"/>
            <w:szCs w:val="28"/>
          </w:rPr>
          <w:t>https://www.bls.gov/regions/mid-atlantic/data/consumerpriceindexhistorical_us_table.htm</w:t>
        </w:r>
      </w:hyperlink>
    </w:p>
    <w:p w14:paraId="77DE9143" w14:textId="06BC813E"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 xml:space="preserve">Облікова ставка Національного банку. </w:t>
      </w:r>
      <w:r w:rsidRPr="007626F7">
        <w:rPr>
          <w:rFonts w:ascii="Times New Roman" w:hAnsi="Times New Roman" w:cs="Times New Roman"/>
          <w:sz w:val="28"/>
          <w:szCs w:val="28"/>
          <w:lang w:val="uk-UA"/>
        </w:rPr>
        <w:t>Національний банк України.</w:t>
      </w:r>
      <w:r w:rsidRPr="007626F7">
        <w:rPr>
          <w:rFonts w:ascii="Times New Roman" w:hAnsi="Times New Roman" w:cs="Times New Roman"/>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70" w:history="1">
        <w:r w:rsidRPr="007626F7">
          <w:rPr>
            <w:rStyle w:val="a3"/>
            <w:rFonts w:ascii="Times New Roman" w:hAnsi="Times New Roman" w:cs="Times New Roman"/>
            <w:color w:val="auto"/>
            <w:sz w:val="28"/>
            <w:szCs w:val="28"/>
            <w:lang w:val="uk-UA"/>
          </w:rPr>
          <w:t>https://bank.gov.ua/ua/monetary/stages/archive-rish</w:t>
        </w:r>
      </w:hyperlink>
    </w:p>
    <w:p w14:paraId="3077AD47" w14:textId="68DCED9A"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Національний банк України знизив облікову ставку до 8%.</w:t>
      </w:r>
      <w:r w:rsidRPr="007626F7">
        <w:rPr>
          <w:rFonts w:ascii="Times New Roman" w:hAnsi="Times New Roman" w:cs="Times New Roman"/>
        </w:rPr>
        <w:t xml:space="preserve"> </w:t>
      </w:r>
      <w:r w:rsidRPr="007626F7">
        <w:rPr>
          <w:rFonts w:ascii="Times New Roman" w:hAnsi="Times New Roman" w:cs="Times New Roman"/>
          <w:sz w:val="28"/>
          <w:szCs w:val="28"/>
        </w:rPr>
        <w:t>Національний банк України.</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71" w:history="1">
        <w:r w:rsidRPr="007626F7">
          <w:rPr>
            <w:rStyle w:val="a3"/>
            <w:rFonts w:ascii="Times New Roman" w:hAnsi="Times New Roman" w:cs="Times New Roman"/>
            <w:color w:val="auto"/>
            <w:sz w:val="28"/>
            <w:szCs w:val="28"/>
          </w:rPr>
          <w:t>https://bank.gov.ua/ua/news/all/rishennya-oblikova-stavka-2020-04-23</w:t>
        </w:r>
      </w:hyperlink>
    </w:p>
    <w:p w14:paraId="7A3F5308" w14:textId="14082E54"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Національний банк України знизив облікову ставку до 6%.</w:t>
      </w:r>
      <w:r w:rsidRPr="007626F7">
        <w:rPr>
          <w:rFonts w:ascii="Times New Roman" w:hAnsi="Times New Roman" w:cs="Times New Roman"/>
        </w:rPr>
        <w:t xml:space="preserve"> </w:t>
      </w:r>
      <w:r w:rsidRPr="007626F7">
        <w:rPr>
          <w:rFonts w:ascii="Times New Roman" w:hAnsi="Times New Roman" w:cs="Times New Roman"/>
          <w:sz w:val="28"/>
          <w:szCs w:val="28"/>
        </w:rPr>
        <w:t>Національний банк України.</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72" w:history="1">
        <w:r w:rsidRPr="007626F7">
          <w:rPr>
            <w:rStyle w:val="a3"/>
            <w:rFonts w:ascii="Times New Roman" w:hAnsi="Times New Roman" w:cs="Times New Roman"/>
            <w:color w:val="auto"/>
            <w:sz w:val="28"/>
            <w:szCs w:val="28"/>
          </w:rPr>
          <w:t>https://bank.gov.ua/ua/news/all/natsionalniy-bank-ukrayini-zniziv-oblikovu-stavku-do-6</w:t>
        </w:r>
      </w:hyperlink>
    </w:p>
    <w:p w14:paraId="6A615CBB" w14:textId="18E5F8CD"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rPr>
        <w:t>Огляд депозитних корпорацій, за станом на кінець періоду.</w:t>
      </w:r>
      <w:r w:rsidRPr="007626F7">
        <w:rPr>
          <w:rFonts w:ascii="Times New Roman" w:hAnsi="Times New Roman" w:cs="Times New Roman"/>
        </w:rPr>
        <w:t xml:space="preserve"> </w:t>
      </w:r>
      <w:r w:rsidRPr="007626F7">
        <w:rPr>
          <w:rFonts w:ascii="Times New Roman" w:hAnsi="Times New Roman" w:cs="Times New Roman"/>
          <w:sz w:val="28"/>
          <w:szCs w:val="28"/>
        </w:rPr>
        <w:t>Державна служба ститистики України.</w:t>
      </w:r>
      <w:r w:rsidRPr="007626F7">
        <w:rPr>
          <w:rFonts w:ascii="Times New Roman" w:hAnsi="Times New Roman" w:cs="Times New Roman"/>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73" w:history="1">
        <w:r w:rsidRPr="007626F7">
          <w:rPr>
            <w:rStyle w:val="a3"/>
            <w:rFonts w:ascii="Times New Roman" w:hAnsi="Times New Roman" w:cs="Times New Roman"/>
            <w:color w:val="auto"/>
            <w:sz w:val="28"/>
            <w:szCs w:val="28"/>
          </w:rPr>
          <w:t>http://www.ukrstat.gov.ua/imf/Pokaz.html</w:t>
        </w:r>
      </w:hyperlink>
    </w:p>
    <w:p w14:paraId="342F5178" w14:textId="4986915C"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Foreign exchange rates – Month.</w:t>
      </w:r>
      <w:r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Swiss National Bank.</w:t>
      </w:r>
      <w:r w:rsidRPr="007626F7">
        <w:rPr>
          <w:rFonts w:ascii="Times New Roman" w:hAnsi="Times New Roman" w:cs="Times New Roman"/>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74" w:anchor="!/cube/devkum?fromDate=2019-01&amp;toDate=2021-03&amp;dimSel=D0(M0),D1(EUR1,GBP1,DKK100,NOK100,CZK100,HUF100,PLN100,RUB1,SEK100,TRY100,USD1,CAD1,ARS1,BRL100,MXN100,ZAR1,JPY100,AUD1,CNY100,HKD100,KRW100,MYR100,NZD1,SGD1,THB100,XDR1,USD3M,USD6M)" w:history="1">
        <w:r w:rsidRPr="007626F7">
          <w:rPr>
            <w:rStyle w:val="a3"/>
            <w:rFonts w:ascii="Times New Roman" w:hAnsi="Times New Roman" w:cs="Times New Roman"/>
            <w:color w:val="auto"/>
            <w:sz w:val="28"/>
            <w:szCs w:val="28"/>
          </w:rPr>
          <w:t>https://data.snb.ch/en/topics/ziredev#!/cube/devkum?fromDate=2019-01&amp;toDate=2021-03&amp;dimSel=D0(M0),D1(EUR1,GBP1,DKK100,NOK100,CZK100,HUF100,PLN100,RUB1,SEK100,TRY100,USD1,CAD1,ARS1,BRL100,MXN100,ZAR1,JPY100,AUD1,CNY100,HKD100,KRW100,MYR100,NZD1,SGD1,THB100,XDR1,USD3M,USD6M)</w:t>
        </w:r>
      </w:hyperlink>
    </w:p>
    <w:p w14:paraId="165532C7" w14:textId="4A835BCD"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en-US"/>
        </w:rPr>
      </w:pPr>
      <w:r w:rsidRPr="007626F7">
        <w:rPr>
          <w:rFonts w:ascii="Times New Roman" w:hAnsi="Times New Roman" w:cs="Times New Roman"/>
          <w:sz w:val="28"/>
          <w:szCs w:val="28"/>
          <w:lang w:val="en-US"/>
        </w:rPr>
        <w:t>CPI (december 2020=100), detailed results since 1982, structure of basket 2020, including additional classifications</w:t>
      </w:r>
      <w:r w:rsidRPr="007626F7">
        <w:rPr>
          <w:rFonts w:ascii="Times New Roman" w:hAnsi="Times New Roman" w:cs="Times New Roman"/>
          <w:sz w:val="28"/>
          <w:szCs w:val="28"/>
          <w:lang w:val="uk-UA"/>
        </w:rPr>
        <w:t>.</w:t>
      </w:r>
      <w:r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State Secretariat for Economic Affairs SECO.</w:t>
      </w:r>
      <w:r w:rsidRPr="007626F7">
        <w:rPr>
          <w:rFonts w:ascii="Times New Roman" w:hAnsi="Times New Roman" w:cs="Times New Roman"/>
          <w:lang w:val="en-US"/>
        </w:rPr>
        <w:t xml:space="preserve"> </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sz w:val="28"/>
          <w:szCs w:val="28"/>
        </w:rPr>
        <w:t>Електронний</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ресурс</w:t>
      </w:r>
      <w:r w:rsidR="00CF67BE" w:rsidRPr="007626F7">
        <w:rPr>
          <w:rFonts w:ascii="Times New Roman" w:hAnsi="Times New Roman" w:cs="Times New Roman"/>
          <w:sz w:val="28"/>
          <w:szCs w:val="28"/>
          <w:lang w:val="en-US"/>
        </w:rPr>
        <w:t>]. -</w:t>
      </w:r>
      <w:r w:rsidR="00CF67BE" w:rsidRPr="007626F7">
        <w:rPr>
          <w:rFonts w:ascii="Times New Roman" w:hAnsi="Times New Roman" w:cs="Times New Roman"/>
          <w:sz w:val="28"/>
          <w:szCs w:val="28"/>
        </w:rPr>
        <w:t>Режим</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доступу</w:t>
      </w:r>
      <w:r w:rsidR="00CF67BE" w:rsidRPr="007626F7">
        <w:rPr>
          <w:rFonts w:ascii="Times New Roman" w:hAnsi="Times New Roman" w:cs="Times New Roman"/>
          <w:sz w:val="28"/>
          <w:szCs w:val="28"/>
          <w:lang w:val="en-US"/>
        </w:rPr>
        <w:t>:</w:t>
      </w:r>
      <w:r w:rsidR="00CF67BE" w:rsidRPr="007626F7">
        <w:rPr>
          <w:rFonts w:ascii="Times New Roman" w:hAnsi="Times New Roman" w:cs="Times New Roman"/>
          <w:lang w:val="en-US"/>
        </w:rPr>
        <w:t xml:space="preserve"> </w:t>
      </w:r>
      <w:hyperlink r:id="rId75" w:history="1">
        <w:r w:rsidRPr="007626F7">
          <w:rPr>
            <w:rStyle w:val="a3"/>
            <w:rFonts w:ascii="Times New Roman" w:hAnsi="Times New Roman" w:cs="Times New Roman"/>
            <w:color w:val="auto"/>
            <w:sz w:val="28"/>
            <w:szCs w:val="28"/>
            <w:lang w:val="en-US"/>
          </w:rPr>
          <w:t>https://www.bfs.admin.ch/bfs/en/home/statistics/prices/consumer-price-index.assetdetail.16664792.html</w:t>
        </w:r>
      </w:hyperlink>
    </w:p>
    <w:p w14:paraId="5D89A906" w14:textId="4286036D"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lastRenderedPageBreak/>
        <w:t>Official interest rates</w:t>
      </w:r>
      <w:r w:rsidRPr="007626F7">
        <w:rPr>
          <w:rFonts w:ascii="Times New Roman" w:hAnsi="Times New Roman" w:cs="Times New Roman"/>
          <w:sz w:val="28"/>
          <w:szCs w:val="28"/>
          <w:lang w:val="uk-UA"/>
        </w:rPr>
        <w:t>.</w:t>
      </w:r>
      <w:r w:rsidRPr="007626F7">
        <w:rPr>
          <w:rFonts w:ascii="Times New Roman" w:hAnsi="Times New Roman" w:cs="Times New Roman"/>
          <w:lang w:val="en-US"/>
        </w:rPr>
        <w:t xml:space="preserve"> </w:t>
      </w:r>
      <w:r w:rsidRPr="007626F7">
        <w:rPr>
          <w:rFonts w:ascii="Times New Roman" w:hAnsi="Times New Roman" w:cs="Times New Roman"/>
          <w:sz w:val="28"/>
          <w:szCs w:val="28"/>
          <w:lang w:val="uk-UA"/>
        </w:rPr>
        <w:t>State Secretariat for Economic Affairs SECO.</w:t>
      </w:r>
      <w:r w:rsidRPr="007626F7">
        <w:rPr>
          <w:rFonts w:ascii="Times New Roman" w:hAnsi="Times New Roman" w:cs="Times New Roman"/>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76" w:anchor="!/cube/snboffzisa" w:history="1">
        <w:r w:rsidRPr="007626F7">
          <w:rPr>
            <w:rStyle w:val="a3"/>
            <w:rFonts w:ascii="Times New Roman" w:hAnsi="Times New Roman" w:cs="Times New Roman"/>
            <w:color w:val="auto"/>
            <w:sz w:val="28"/>
            <w:szCs w:val="28"/>
            <w:lang w:val="uk-UA"/>
          </w:rPr>
          <w:t>https://data.snb.ch/en/topics/snb#!/cube/snboffzisa</w:t>
        </w:r>
      </w:hyperlink>
    </w:p>
    <w:p w14:paraId="052635E2" w14:textId="2A3E4E9B"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rPr>
      </w:pPr>
      <w:r w:rsidRPr="007626F7">
        <w:rPr>
          <w:rFonts w:ascii="Times New Roman" w:hAnsi="Times New Roman" w:cs="Times New Roman"/>
          <w:sz w:val="28"/>
          <w:szCs w:val="28"/>
          <w:lang w:val="en-US"/>
        </w:rPr>
        <w:t>Monetary aggregates M1, M2 and M3</w:t>
      </w:r>
      <w:r w:rsidRPr="007626F7">
        <w:rPr>
          <w:rFonts w:ascii="Times New Roman" w:hAnsi="Times New Roman" w:cs="Times New Roman"/>
          <w:sz w:val="28"/>
          <w:szCs w:val="28"/>
          <w:lang w:val="uk-UA"/>
        </w:rPr>
        <w:t>.</w:t>
      </w:r>
      <w:r w:rsidRPr="007626F7">
        <w:rPr>
          <w:rFonts w:ascii="Times New Roman" w:hAnsi="Times New Roman" w:cs="Times New Roman"/>
          <w:lang w:val="en-US"/>
        </w:rPr>
        <w:t xml:space="preserve"> </w:t>
      </w:r>
      <w:r w:rsidRPr="007626F7">
        <w:rPr>
          <w:rFonts w:ascii="Times New Roman" w:hAnsi="Times New Roman" w:cs="Times New Roman"/>
          <w:sz w:val="28"/>
          <w:szCs w:val="28"/>
          <w:lang w:val="uk-UA"/>
        </w:rPr>
        <w:t>State Secretariat for Economic Affairs SECO.</w:t>
      </w:r>
      <w:r w:rsidRPr="007626F7">
        <w:rPr>
          <w:rFonts w:ascii="Times New Roman" w:hAnsi="Times New Roman" w:cs="Times New Roman"/>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77" w:anchor="!/cube/snbmonagg" w:history="1">
        <w:r w:rsidRPr="007626F7">
          <w:rPr>
            <w:rStyle w:val="a3"/>
            <w:rFonts w:ascii="Times New Roman" w:hAnsi="Times New Roman" w:cs="Times New Roman"/>
            <w:color w:val="auto"/>
            <w:sz w:val="28"/>
            <w:szCs w:val="28"/>
            <w:lang w:val="uk-UA"/>
          </w:rPr>
          <w:t>https://data.snb.ch/en/topics/snb#!/cube/snbmonagg</w:t>
        </w:r>
      </w:hyperlink>
    </w:p>
    <w:p w14:paraId="25EDC564" w14:textId="335A68A6"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en-US"/>
        </w:rPr>
        <w:t>Курси валют</w:t>
      </w:r>
      <w:r w:rsidRPr="007626F7">
        <w:rPr>
          <w:rFonts w:ascii="Times New Roman" w:hAnsi="Times New Roman" w:cs="Times New Roman"/>
          <w:sz w:val="28"/>
          <w:szCs w:val="28"/>
          <w:lang w:val="uk-UA"/>
        </w:rPr>
        <w:t>.</w:t>
      </w:r>
      <w:r w:rsidRPr="007626F7">
        <w:rPr>
          <w:rFonts w:ascii="Times New Roman" w:hAnsi="Times New Roman" w:cs="Times New Roman"/>
          <w:lang w:val="en-US"/>
        </w:rPr>
        <w:t xml:space="preserve"> </w:t>
      </w:r>
      <w:r w:rsidRPr="007626F7">
        <w:rPr>
          <w:rFonts w:ascii="Times New Roman" w:hAnsi="Times New Roman" w:cs="Times New Roman"/>
          <w:sz w:val="28"/>
          <w:szCs w:val="28"/>
          <w:lang w:val="uk-UA"/>
        </w:rPr>
        <w:t>Narodowy Bank Polski.</w:t>
      </w:r>
      <w:r w:rsidRPr="007626F7">
        <w:rPr>
          <w:rFonts w:ascii="Times New Roman" w:hAnsi="Times New Roman" w:cs="Times New Roman"/>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78" w:history="1">
        <w:r w:rsidRPr="007626F7">
          <w:rPr>
            <w:rStyle w:val="a3"/>
            <w:rFonts w:ascii="Times New Roman" w:hAnsi="Times New Roman" w:cs="Times New Roman"/>
            <w:color w:val="auto"/>
            <w:sz w:val="28"/>
            <w:szCs w:val="28"/>
            <w:lang w:val="uk-UA"/>
          </w:rPr>
          <w:t>https://www.nbp.pl/home.aspx?f=/kursy/arch_a.html</w:t>
        </w:r>
      </w:hyperlink>
    </w:p>
    <w:p w14:paraId="2DBA6033" w14:textId="3B09ACE6"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Core Inflation.</w:t>
      </w:r>
      <w:r w:rsidRPr="007626F7">
        <w:rPr>
          <w:rFonts w:ascii="Times New Roman" w:hAnsi="Times New Roman" w:cs="Times New Roman"/>
          <w:lang w:val="en-US"/>
        </w:rPr>
        <w:t xml:space="preserve"> </w:t>
      </w:r>
      <w:r w:rsidRPr="007626F7">
        <w:rPr>
          <w:rFonts w:ascii="Times New Roman" w:hAnsi="Times New Roman" w:cs="Times New Roman"/>
          <w:sz w:val="28"/>
          <w:szCs w:val="28"/>
          <w:lang w:val="uk-UA"/>
        </w:rPr>
        <w:t>Narodowy Bank Polski.</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lang w:val="uk-UA"/>
        </w:rPr>
        <w:t xml:space="preserve">  </w:t>
      </w:r>
      <w:hyperlink r:id="rId79" w:history="1">
        <w:r w:rsidRPr="007626F7">
          <w:rPr>
            <w:rStyle w:val="a3"/>
            <w:rFonts w:ascii="Times New Roman" w:hAnsi="Times New Roman" w:cs="Times New Roman"/>
            <w:color w:val="auto"/>
            <w:sz w:val="28"/>
            <w:szCs w:val="28"/>
            <w:lang w:val="uk-UA"/>
          </w:rPr>
          <w:t>https://www.nbp.pl/homen.aspx?f=/en/statystyka/core.html</w:t>
        </w:r>
      </w:hyperlink>
    </w:p>
    <w:p w14:paraId="62095A52" w14:textId="4D743D48"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Central Bank Instruments. Narodowy Bank Polski.</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lang w:val="uk-UA"/>
        </w:rPr>
        <w:t xml:space="preserve"> </w:t>
      </w:r>
      <w:hyperlink r:id="rId80" w:history="1">
        <w:r w:rsidR="00CF67BE" w:rsidRPr="007626F7">
          <w:rPr>
            <w:rStyle w:val="a3"/>
            <w:rFonts w:ascii="Times New Roman" w:hAnsi="Times New Roman" w:cs="Times New Roman"/>
            <w:color w:val="auto"/>
            <w:sz w:val="28"/>
            <w:szCs w:val="28"/>
            <w:lang w:val="uk-UA"/>
          </w:rPr>
          <w:t>https://www.nbp.pl/homen.aspx?f=/en/statystyka/instrumenty/instrumenty.html</w:t>
        </w:r>
      </w:hyperlink>
    </w:p>
    <w:p w14:paraId="1BDAD4CE" w14:textId="0D7B0757"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Monetary and financial statistics.M3 and its counterparts - balance sheet format.</w:t>
      </w:r>
      <w:r w:rsidRPr="007626F7">
        <w:rPr>
          <w:rFonts w:ascii="Times New Roman" w:hAnsi="Times New Roman" w:cs="Times New Roman"/>
          <w:lang w:val="en-US"/>
        </w:rPr>
        <w:t xml:space="preserve"> </w:t>
      </w:r>
      <w:r w:rsidRPr="007626F7">
        <w:rPr>
          <w:rFonts w:ascii="Times New Roman" w:hAnsi="Times New Roman" w:cs="Times New Roman"/>
          <w:sz w:val="28"/>
          <w:szCs w:val="28"/>
          <w:lang w:val="uk-UA"/>
        </w:rPr>
        <w:t>Narodowy Bank Polski.</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lang w:val="uk-UA"/>
        </w:rPr>
        <w:t xml:space="preserve"> </w:t>
      </w:r>
      <w:hyperlink r:id="rId81" w:history="1">
        <w:r w:rsidR="00CF67BE" w:rsidRPr="007626F7">
          <w:rPr>
            <w:rStyle w:val="a3"/>
            <w:rFonts w:ascii="Times New Roman" w:hAnsi="Times New Roman" w:cs="Times New Roman"/>
            <w:color w:val="auto"/>
            <w:sz w:val="28"/>
            <w:szCs w:val="28"/>
            <w:lang w:val="uk-UA"/>
          </w:rPr>
          <w:t>https://www.nbp.pl/home.aspx?f=/statystyka/pieniezna_i_bankowa/m3.html</w:t>
        </w:r>
      </w:hyperlink>
    </w:p>
    <w:p w14:paraId="12213E54" w14:textId="229BD8DB" w:rsidR="00EB5E7F"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Swiss balance of payments – Overview – Quarter.</w:t>
      </w:r>
      <w:r w:rsidRPr="007626F7">
        <w:rPr>
          <w:rFonts w:ascii="Times New Roman" w:hAnsi="Times New Roman" w:cs="Times New Roman"/>
          <w:lang w:val="en-US"/>
        </w:rPr>
        <w:t xml:space="preserve"> </w:t>
      </w:r>
      <w:r w:rsidRPr="007626F7">
        <w:rPr>
          <w:rFonts w:ascii="Times New Roman" w:hAnsi="Times New Roman" w:cs="Times New Roman"/>
          <w:sz w:val="28"/>
          <w:szCs w:val="28"/>
          <w:lang w:val="uk-UA"/>
        </w:rPr>
        <w:t>Swiss National Bank.</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82" w:anchor="!/cube/bopoverq?fromDate=2019-Q1&amp;toDate=2020-Q4&amp;dimSel=D0(S0,E0,A0,S8,E8,A8,S9,NA0,NP0,S14,SD)" w:history="1">
        <w:r w:rsidRPr="007626F7">
          <w:rPr>
            <w:rStyle w:val="a3"/>
            <w:rFonts w:ascii="Times New Roman" w:hAnsi="Times New Roman" w:cs="Times New Roman"/>
            <w:color w:val="auto"/>
            <w:sz w:val="28"/>
            <w:szCs w:val="28"/>
            <w:lang w:val="uk-UA"/>
          </w:rPr>
          <w:t>https://data.snb.ch/en/topics/aube#!/cube/bopoverq?fromDate=2019-Q1&amp;toDate=2020-Q4&amp;dimSel=D0(S0,E0,A0,S8,E8,A8,S9,NA0,NP0,S14,SD)</w:t>
        </w:r>
      </w:hyperlink>
    </w:p>
    <w:p w14:paraId="64793AA9" w14:textId="2060E4D3" w:rsidR="00EB5E7F" w:rsidRPr="007626F7" w:rsidRDefault="00EB5E7F" w:rsidP="00760EFA">
      <w:pPr>
        <w:pStyle w:val="a4"/>
        <w:numPr>
          <w:ilvl w:val="0"/>
          <w:numId w:val="10"/>
        </w:num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Ніколаєва Д. С. Стан платіжного балансу Швейцарії у період пандемії / Д. С. Ніколаєва // Матеріали науково-практичної конференції «Економіка, менеджмент та аудит: сучасні напрями розвитку» - Громадська організація «Львівська економічна фундація». – 30 квітня 2021 року. – С. 16-19.</w:t>
      </w:r>
    </w:p>
    <w:p w14:paraId="0F76987D" w14:textId="21F8B39D"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Balance of payments - monthly data – estimations.</w:t>
      </w:r>
      <w:r w:rsidRPr="007626F7">
        <w:rPr>
          <w:rFonts w:ascii="Times New Roman" w:hAnsi="Times New Roman" w:cs="Times New Roman"/>
          <w:lang w:val="en-US"/>
        </w:rPr>
        <w:t xml:space="preserve"> </w:t>
      </w:r>
      <w:r w:rsidRPr="007626F7">
        <w:rPr>
          <w:rFonts w:ascii="Times New Roman" w:hAnsi="Times New Roman" w:cs="Times New Roman"/>
          <w:sz w:val="28"/>
          <w:szCs w:val="28"/>
          <w:lang w:val="uk-UA"/>
        </w:rPr>
        <w:t>Narodowy Bank Polski.</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lang w:val="uk-UA"/>
        </w:rPr>
        <w:t xml:space="preserve">  </w:t>
      </w:r>
      <w:hyperlink r:id="rId83" w:history="1">
        <w:r w:rsidRPr="007626F7">
          <w:rPr>
            <w:rStyle w:val="a3"/>
            <w:rFonts w:ascii="Times New Roman" w:hAnsi="Times New Roman" w:cs="Times New Roman"/>
            <w:color w:val="auto"/>
            <w:sz w:val="28"/>
            <w:szCs w:val="28"/>
            <w:lang w:val="uk-UA"/>
          </w:rPr>
          <w:t>https://www.nbp.pl/homen.aspx?f=en/statystyka/bilans_platniczy/bilansplatniczy_m.html</w:t>
        </w:r>
      </w:hyperlink>
    </w:p>
    <w:p w14:paraId="53C4BD83" w14:textId="2E148778"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Члени Біржі. ПФТС фондова біржа.</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84" w:history="1">
        <w:r w:rsidRPr="007626F7">
          <w:rPr>
            <w:rStyle w:val="a3"/>
            <w:rFonts w:ascii="Times New Roman" w:hAnsi="Times New Roman" w:cs="Times New Roman"/>
            <w:color w:val="auto"/>
            <w:sz w:val="28"/>
            <w:szCs w:val="28"/>
            <w:lang w:val="uk-UA"/>
          </w:rPr>
          <w:t>https://pfts.ua/stock-exchange-pfts/pfts-participants</w:t>
        </w:r>
      </w:hyperlink>
    </w:p>
    <w:p w14:paraId="3DA73D15" w14:textId="15E628F3"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Члени біржі. Українська біржа.</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85" w:history="1">
        <w:r w:rsidRPr="007626F7">
          <w:rPr>
            <w:rStyle w:val="a3"/>
            <w:rFonts w:ascii="Times New Roman" w:hAnsi="Times New Roman" w:cs="Times New Roman"/>
            <w:color w:val="auto"/>
            <w:sz w:val="28"/>
            <w:szCs w:val="28"/>
            <w:lang w:val="uk-UA"/>
          </w:rPr>
          <w:t>http://www.ux.ua/ua/members.aspx</w:t>
        </w:r>
      </w:hyperlink>
    </w:p>
    <w:p w14:paraId="53DF1715" w14:textId="3DCB94EC"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Індекси акцій.</w:t>
      </w:r>
      <w:r w:rsidRPr="007626F7">
        <w:rPr>
          <w:rFonts w:ascii="Times New Roman" w:hAnsi="Times New Roman" w:cs="Times New Roman"/>
        </w:rPr>
        <w:t xml:space="preserve"> </w:t>
      </w:r>
      <w:r w:rsidRPr="007626F7">
        <w:rPr>
          <w:rFonts w:ascii="Times New Roman" w:hAnsi="Times New Roman" w:cs="Times New Roman"/>
          <w:sz w:val="28"/>
          <w:szCs w:val="28"/>
          <w:lang w:val="uk-UA"/>
        </w:rPr>
        <w:t>ПФТС фондова біржа.</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86" w:history="1">
        <w:r w:rsidRPr="007626F7">
          <w:rPr>
            <w:rStyle w:val="a3"/>
            <w:rFonts w:ascii="Times New Roman" w:hAnsi="Times New Roman" w:cs="Times New Roman"/>
            <w:color w:val="auto"/>
            <w:sz w:val="28"/>
            <w:szCs w:val="28"/>
            <w:lang w:val="uk-UA"/>
          </w:rPr>
          <w:t>https://pfts.ua/trade-info/indexes/shares-indexes</w:t>
        </w:r>
      </w:hyperlink>
    </w:p>
    <w:p w14:paraId="30857345" w14:textId="461CE88B"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Історія значень Індексу українських акцій по днях.</w:t>
      </w:r>
      <w:r w:rsidRPr="007626F7">
        <w:rPr>
          <w:rFonts w:ascii="Times New Roman" w:hAnsi="Times New Roman" w:cs="Times New Roman"/>
        </w:rPr>
        <w:t xml:space="preserve"> </w:t>
      </w:r>
      <w:r w:rsidRPr="007626F7">
        <w:rPr>
          <w:rFonts w:ascii="Times New Roman" w:hAnsi="Times New Roman" w:cs="Times New Roman"/>
          <w:sz w:val="28"/>
          <w:szCs w:val="28"/>
          <w:lang w:val="uk-UA"/>
        </w:rPr>
        <w:t>Українська біржа.</w:t>
      </w:r>
      <w:r w:rsidRPr="007626F7">
        <w:rPr>
          <w:rFonts w:ascii="Times New Roman" w:hAnsi="Times New Roman" w:cs="Times New Roman"/>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87" w:history="1">
        <w:r w:rsidRPr="007626F7">
          <w:rPr>
            <w:rStyle w:val="a3"/>
            <w:rFonts w:ascii="Times New Roman" w:hAnsi="Times New Roman" w:cs="Times New Roman"/>
            <w:color w:val="auto"/>
            <w:sz w:val="28"/>
            <w:szCs w:val="28"/>
            <w:lang w:val="uk-UA"/>
          </w:rPr>
          <w:t>http://www.ux.ua/ua/index/stat/dailyhistory.aspx?code=UX</w:t>
        </w:r>
      </w:hyperlink>
    </w:p>
    <w:p w14:paraId="0AA3F476" w14:textId="6D83FB24"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До торгів ПФТС допущено новий випуск казначейських облігацій уряду США.</w:t>
      </w:r>
      <w:r w:rsidRPr="007626F7">
        <w:rPr>
          <w:rFonts w:ascii="Times New Roman" w:hAnsi="Times New Roman" w:cs="Times New Roman"/>
        </w:rPr>
        <w:t xml:space="preserve"> </w:t>
      </w:r>
      <w:r w:rsidRPr="007626F7">
        <w:rPr>
          <w:rFonts w:ascii="Times New Roman" w:hAnsi="Times New Roman" w:cs="Times New Roman"/>
          <w:sz w:val="28"/>
          <w:szCs w:val="28"/>
          <w:lang w:val="uk-UA"/>
        </w:rPr>
        <w:t>ПФТС фондова біржа.</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88" w:history="1">
        <w:r w:rsidRPr="007626F7">
          <w:rPr>
            <w:rStyle w:val="a3"/>
            <w:rFonts w:ascii="Times New Roman" w:hAnsi="Times New Roman" w:cs="Times New Roman"/>
            <w:color w:val="auto"/>
            <w:sz w:val="28"/>
            <w:szCs w:val="28"/>
            <w:lang w:val="uk-UA"/>
          </w:rPr>
          <w:t>https://pfts.ua/news/5402-do-torgiv-pfts-dopushcheno-novij-vipusk-kaznachejskikh-obligatsij-uryadu-ssha</w:t>
        </w:r>
      </w:hyperlink>
    </w:p>
    <w:p w14:paraId="4EE616E7" w14:textId="5B85B8FE"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Index Details.</w:t>
      </w:r>
      <w:r w:rsidRPr="007626F7">
        <w:rPr>
          <w:rFonts w:ascii="Times New Roman" w:hAnsi="Times New Roman" w:cs="Times New Roman"/>
          <w:sz w:val="28"/>
          <w:szCs w:val="28"/>
          <w:lang w:val="en-US"/>
        </w:rPr>
        <w:t>Swiss stock exchange.</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89" w:anchor="/components" w:history="1">
        <w:r w:rsidRPr="007626F7">
          <w:rPr>
            <w:rStyle w:val="a3"/>
            <w:rFonts w:ascii="Times New Roman" w:hAnsi="Times New Roman" w:cs="Times New Roman"/>
            <w:color w:val="auto"/>
            <w:sz w:val="28"/>
            <w:szCs w:val="28"/>
          </w:rPr>
          <w:t>https://www.six-group.com/en/products-services/the-swiss-stock-exchange/market-data/indices/index-explorer/index-details.html?valorId=CH0009980894CHF9#/components</w:t>
        </w:r>
      </w:hyperlink>
    </w:p>
    <w:p w14:paraId="6C09730F" w14:textId="0FF68F63"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SMI® – the Blue-Chip Index</w:t>
      </w:r>
      <w:r w:rsidRPr="007626F7">
        <w:rPr>
          <w:rFonts w:ascii="Times New Roman" w:hAnsi="Times New Roman" w:cs="Times New Roman"/>
          <w:sz w:val="28"/>
          <w:szCs w:val="28"/>
          <w:lang w:val="en-US"/>
        </w:rPr>
        <w:t>.</w:t>
      </w:r>
      <w:r w:rsidRPr="007626F7">
        <w:rPr>
          <w:rFonts w:ascii="Times New Roman" w:hAnsi="Times New Roman" w:cs="Times New Roman"/>
          <w:lang w:val="en-US"/>
        </w:rPr>
        <w:t xml:space="preserve"> </w:t>
      </w:r>
      <w:r w:rsidRPr="007626F7">
        <w:rPr>
          <w:rFonts w:ascii="Times New Roman" w:hAnsi="Times New Roman" w:cs="Times New Roman"/>
          <w:sz w:val="28"/>
          <w:szCs w:val="28"/>
          <w:lang w:val="en-US"/>
        </w:rPr>
        <w:t>Swiss</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en-US"/>
        </w:rPr>
        <w:t>stock</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en-US"/>
        </w:rPr>
        <w:t>exchange</w:t>
      </w:r>
      <w:r w:rsidRPr="007626F7">
        <w:rPr>
          <w:rFonts w:ascii="Times New Roman" w:hAnsi="Times New Roman" w:cs="Times New Roman"/>
          <w:sz w:val="28"/>
          <w:szCs w:val="28"/>
        </w:rPr>
        <w:t>.</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90" w:history="1">
        <w:r w:rsidRPr="007626F7">
          <w:rPr>
            <w:rStyle w:val="a3"/>
            <w:rFonts w:ascii="Times New Roman" w:hAnsi="Times New Roman" w:cs="Times New Roman"/>
            <w:color w:val="auto"/>
            <w:sz w:val="28"/>
            <w:szCs w:val="28"/>
            <w:lang w:val="en-US"/>
          </w:rPr>
          <w:t>https</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www</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six</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group</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com</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exchanges</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indices</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data</w:t>
        </w:r>
        <w:r w:rsidRPr="007626F7">
          <w:rPr>
            <w:rStyle w:val="a3"/>
            <w:rFonts w:ascii="Times New Roman" w:hAnsi="Times New Roman" w:cs="Times New Roman"/>
            <w:color w:val="auto"/>
            <w:sz w:val="28"/>
            <w:szCs w:val="28"/>
          </w:rPr>
          <w:t>_</w:t>
        </w:r>
        <w:r w:rsidRPr="007626F7">
          <w:rPr>
            <w:rStyle w:val="a3"/>
            <w:rFonts w:ascii="Times New Roman" w:hAnsi="Times New Roman" w:cs="Times New Roman"/>
            <w:color w:val="auto"/>
            <w:sz w:val="28"/>
            <w:szCs w:val="28"/>
            <w:lang w:val="en-US"/>
          </w:rPr>
          <w:t>centre</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shares</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smi</w:t>
        </w:r>
        <w:r w:rsidRPr="007626F7">
          <w:rPr>
            <w:rStyle w:val="a3"/>
            <w:rFonts w:ascii="Times New Roman" w:hAnsi="Times New Roman" w:cs="Times New Roman"/>
            <w:color w:val="auto"/>
            <w:sz w:val="28"/>
            <w:szCs w:val="28"/>
          </w:rPr>
          <w:t>_</w:t>
        </w:r>
        <w:r w:rsidRPr="007626F7">
          <w:rPr>
            <w:rStyle w:val="a3"/>
            <w:rFonts w:ascii="Times New Roman" w:hAnsi="Times New Roman" w:cs="Times New Roman"/>
            <w:color w:val="auto"/>
            <w:sz w:val="28"/>
            <w:szCs w:val="28"/>
            <w:lang w:val="en-US"/>
          </w:rPr>
          <w:t>en</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html</w:t>
        </w:r>
      </w:hyperlink>
    </w:p>
    <w:p w14:paraId="418FE9CE" w14:textId="4C169E4B"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en-US"/>
        </w:rPr>
        <w:t>Shares</w:t>
      </w:r>
      <w:r w:rsidRPr="007626F7">
        <w:rPr>
          <w:rFonts w:ascii="Times New Roman" w:hAnsi="Times New Roman" w:cs="Times New Roman"/>
          <w:sz w:val="28"/>
          <w:szCs w:val="28"/>
        </w:rPr>
        <w:t>.</w:t>
      </w:r>
      <w:r w:rsidRPr="007626F7">
        <w:rPr>
          <w:rFonts w:ascii="Times New Roman" w:hAnsi="Times New Roman" w:cs="Times New Roman"/>
          <w:sz w:val="28"/>
          <w:szCs w:val="28"/>
          <w:lang w:val="en-US"/>
        </w:rPr>
        <w:t>GPW</w:t>
      </w:r>
      <w:r w:rsidRPr="007626F7">
        <w:rPr>
          <w:rFonts w:ascii="Times New Roman" w:hAnsi="Times New Roman" w:cs="Times New Roman"/>
          <w:sz w:val="28"/>
          <w:szCs w:val="28"/>
        </w:rPr>
        <w:t>.</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91" w:history="1">
        <w:r w:rsidRPr="007626F7">
          <w:rPr>
            <w:rStyle w:val="a3"/>
            <w:rFonts w:ascii="Times New Roman" w:hAnsi="Times New Roman" w:cs="Times New Roman"/>
            <w:color w:val="auto"/>
            <w:sz w:val="28"/>
            <w:szCs w:val="28"/>
            <w:lang w:val="en-US"/>
          </w:rPr>
          <w:t>https</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www</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gpw</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pl</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en</w:t>
        </w:r>
        <w:r w:rsidRPr="007626F7">
          <w:rPr>
            <w:rStyle w:val="a3"/>
            <w:rFonts w:ascii="Times New Roman" w:hAnsi="Times New Roman" w:cs="Times New Roman"/>
            <w:color w:val="auto"/>
            <w:sz w:val="28"/>
            <w:szCs w:val="28"/>
          </w:rPr>
          <w:t>-</w:t>
        </w:r>
        <w:r w:rsidRPr="007626F7">
          <w:rPr>
            <w:rStyle w:val="a3"/>
            <w:rFonts w:ascii="Times New Roman" w:hAnsi="Times New Roman" w:cs="Times New Roman"/>
            <w:color w:val="auto"/>
            <w:sz w:val="28"/>
            <w:szCs w:val="28"/>
            <w:lang w:val="en-US"/>
          </w:rPr>
          <w:t>home</w:t>
        </w:r>
      </w:hyperlink>
    </w:p>
    <w:p w14:paraId="49095848" w14:textId="5A042238"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WIG (WIG).</w:t>
      </w:r>
      <w:r w:rsidRPr="007626F7">
        <w:rPr>
          <w:rFonts w:ascii="Times New Roman" w:hAnsi="Times New Roman" w:cs="Times New Roman"/>
          <w:sz w:val="28"/>
          <w:szCs w:val="28"/>
          <w:lang w:val="en-US"/>
        </w:rPr>
        <w:t>Investing</w:t>
      </w:r>
      <w:r w:rsidRPr="007626F7">
        <w:rPr>
          <w:rFonts w:ascii="Times New Roman" w:hAnsi="Times New Roman" w:cs="Times New Roman"/>
          <w:sz w:val="28"/>
          <w:szCs w:val="28"/>
        </w:rPr>
        <w:t>.</w:t>
      </w:r>
      <w:r w:rsidRPr="007626F7">
        <w:rPr>
          <w:rFonts w:ascii="Times New Roman" w:hAnsi="Times New Roman" w:cs="Times New Roman"/>
          <w:sz w:val="28"/>
          <w:szCs w:val="28"/>
          <w:lang w:val="en-US"/>
        </w:rPr>
        <w:t>com</w:t>
      </w:r>
      <w:r w:rsidRPr="007626F7">
        <w:rPr>
          <w:rFonts w:ascii="Times New Roman" w:hAnsi="Times New Roman" w:cs="Times New Roman"/>
          <w:sz w:val="28"/>
          <w:szCs w:val="28"/>
        </w:rPr>
        <w:t>.</w:t>
      </w:r>
      <w:r w:rsidR="00CF67BE" w:rsidRPr="007626F7">
        <w:rPr>
          <w:rFonts w:ascii="Times New Roman" w:hAnsi="Times New Roman" w:cs="Times New Roman"/>
          <w:sz w:val="28"/>
          <w:szCs w:val="28"/>
        </w:rPr>
        <w:t xml:space="preserve"> [Електронний ресурс]. </w:t>
      </w:r>
      <w:proofErr w:type="gramStart"/>
      <w:r w:rsidR="00CF67BE" w:rsidRPr="007626F7">
        <w:rPr>
          <w:rFonts w:ascii="Times New Roman" w:hAnsi="Times New Roman" w:cs="Times New Roman"/>
          <w:sz w:val="28"/>
          <w:szCs w:val="28"/>
        </w:rPr>
        <w:t>-Р</w:t>
      </w:r>
      <w:proofErr w:type="gramEnd"/>
      <w:r w:rsidR="00CF67BE" w:rsidRPr="007626F7">
        <w:rPr>
          <w:rFonts w:ascii="Times New Roman" w:hAnsi="Times New Roman" w:cs="Times New Roman"/>
          <w:sz w:val="28"/>
          <w:szCs w:val="28"/>
        </w:rPr>
        <w:t>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r w:rsidRPr="007626F7">
        <w:rPr>
          <w:rFonts w:ascii="Times New Roman" w:hAnsi="Times New Roman" w:cs="Times New Roman"/>
          <w:sz w:val="28"/>
          <w:szCs w:val="28"/>
          <w:lang w:val="en-US"/>
        </w:rPr>
        <w:t>https</w:t>
      </w:r>
      <w:r w:rsidRPr="007626F7">
        <w:rPr>
          <w:rFonts w:ascii="Times New Roman" w:hAnsi="Times New Roman" w:cs="Times New Roman"/>
          <w:sz w:val="28"/>
          <w:szCs w:val="28"/>
        </w:rPr>
        <w:t>://</w:t>
      </w:r>
      <w:r w:rsidRPr="007626F7">
        <w:rPr>
          <w:rFonts w:ascii="Times New Roman" w:hAnsi="Times New Roman" w:cs="Times New Roman"/>
          <w:sz w:val="28"/>
          <w:szCs w:val="28"/>
          <w:lang w:val="en-US"/>
        </w:rPr>
        <w:t>ru</w:t>
      </w:r>
      <w:r w:rsidRPr="007626F7">
        <w:rPr>
          <w:rFonts w:ascii="Times New Roman" w:hAnsi="Times New Roman" w:cs="Times New Roman"/>
          <w:sz w:val="28"/>
          <w:szCs w:val="28"/>
        </w:rPr>
        <w:t>.</w:t>
      </w:r>
      <w:r w:rsidRPr="007626F7">
        <w:rPr>
          <w:rFonts w:ascii="Times New Roman" w:hAnsi="Times New Roman" w:cs="Times New Roman"/>
          <w:sz w:val="28"/>
          <w:szCs w:val="28"/>
          <w:lang w:val="en-US"/>
        </w:rPr>
        <w:t>investing</w:t>
      </w:r>
      <w:r w:rsidRPr="007626F7">
        <w:rPr>
          <w:rFonts w:ascii="Times New Roman" w:hAnsi="Times New Roman" w:cs="Times New Roman"/>
          <w:sz w:val="28"/>
          <w:szCs w:val="28"/>
        </w:rPr>
        <w:t>.</w:t>
      </w:r>
      <w:r w:rsidRPr="007626F7">
        <w:rPr>
          <w:rFonts w:ascii="Times New Roman" w:hAnsi="Times New Roman" w:cs="Times New Roman"/>
          <w:sz w:val="28"/>
          <w:szCs w:val="28"/>
          <w:lang w:val="en-US"/>
        </w:rPr>
        <w:t>com</w:t>
      </w:r>
      <w:r w:rsidRPr="007626F7">
        <w:rPr>
          <w:rFonts w:ascii="Times New Roman" w:hAnsi="Times New Roman" w:cs="Times New Roman"/>
          <w:sz w:val="28"/>
          <w:szCs w:val="28"/>
        </w:rPr>
        <w:t>/</w:t>
      </w:r>
      <w:r w:rsidRPr="007626F7">
        <w:rPr>
          <w:rFonts w:ascii="Times New Roman" w:hAnsi="Times New Roman" w:cs="Times New Roman"/>
          <w:sz w:val="28"/>
          <w:szCs w:val="28"/>
          <w:lang w:val="en-US"/>
        </w:rPr>
        <w:t>indices</w:t>
      </w:r>
      <w:r w:rsidRPr="007626F7">
        <w:rPr>
          <w:rFonts w:ascii="Times New Roman" w:hAnsi="Times New Roman" w:cs="Times New Roman"/>
          <w:sz w:val="28"/>
          <w:szCs w:val="28"/>
        </w:rPr>
        <w:t>/</w:t>
      </w:r>
      <w:r w:rsidRPr="007626F7">
        <w:rPr>
          <w:rFonts w:ascii="Times New Roman" w:hAnsi="Times New Roman" w:cs="Times New Roman"/>
          <w:sz w:val="28"/>
          <w:szCs w:val="28"/>
          <w:lang w:val="en-US"/>
        </w:rPr>
        <w:t>wig</w:t>
      </w:r>
      <w:r w:rsidRPr="007626F7">
        <w:rPr>
          <w:rFonts w:ascii="Times New Roman" w:hAnsi="Times New Roman" w:cs="Times New Roman"/>
          <w:sz w:val="28"/>
          <w:szCs w:val="28"/>
        </w:rPr>
        <w:t>-</w:t>
      </w:r>
      <w:r w:rsidRPr="007626F7">
        <w:rPr>
          <w:rFonts w:ascii="Times New Roman" w:hAnsi="Times New Roman" w:cs="Times New Roman"/>
          <w:sz w:val="28"/>
          <w:szCs w:val="28"/>
          <w:lang w:val="en-US"/>
        </w:rPr>
        <w:t>historical</w:t>
      </w:r>
      <w:r w:rsidRPr="007626F7">
        <w:rPr>
          <w:rFonts w:ascii="Times New Roman" w:hAnsi="Times New Roman" w:cs="Times New Roman"/>
          <w:sz w:val="28"/>
          <w:szCs w:val="28"/>
        </w:rPr>
        <w:t>-</w:t>
      </w:r>
      <w:r w:rsidRPr="007626F7">
        <w:rPr>
          <w:rFonts w:ascii="Times New Roman" w:hAnsi="Times New Roman" w:cs="Times New Roman"/>
          <w:sz w:val="28"/>
          <w:szCs w:val="28"/>
          <w:lang w:val="en-US"/>
        </w:rPr>
        <w:t>data</w:t>
      </w:r>
    </w:p>
    <w:p w14:paraId="068C90D6" w14:textId="6BA1ADE9"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Географічна структура зовнішньої торгівлі України товарами</w:t>
      </w:r>
      <w:r w:rsidRPr="007626F7">
        <w:rPr>
          <w:rFonts w:ascii="Times New Roman" w:hAnsi="Times New Roman" w:cs="Times New Roman"/>
          <w:sz w:val="28"/>
          <w:szCs w:val="28"/>
        </w:rPr>
        <w:t xml:space="preserve"> </w:t>
      </w:r>
      <w:r w:rsidRPr="007626F7">
        <w:rPr>
          <w:rFonts w:ascii="Times New Roman" w:hAnsi="Times New Roman" w:cs="Times New Roman"/>
          <w:sz w:val="28"/>
          <w:szCs w:val="28"/>
          <w:lang w:val="uk-UA"/>
        </w:rPr>
        <w:t>архів за 2021</w:t>
      </w:r>
      <w:r w:rsidRPr="007626F7">
        <w:rPr>
          <w:rFonts w:ascii="Times New Roman" w:hAnsi="Times New Roman" w:cs="Times New Roman"/>
          <w:lang w:val="uk-UA"/>
        </w:rPr>
        <w:t>.</w:t>
      </w:r>
      <w:r w:rsidRPr="007626F7">
        <w:rPr>
          <w:rFonts w:ascii="Times New Roman" w:hAnsi="Times New Roman" w:cs="Times New Roman"/>
          <w:sz w:val="28"/>
          <w:szCs w:val="28"/>
          <w:lang w:val="uk-UA"/>
        </w:rPr>
        <w:t xml:space="preserve">Державна служба статистики України рік.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hyperlink r:id="rId92" w:history="1">
        <w:r w:rsidRPr="007626F7">
          <w:rPr>
            <w:rStyle w:val="a3"/>
            <w:rFonts w:ascii="Times New Roman" w:hAnsi="Times New Roman" w:cs="Times New Roman"/>
            <w:color w:val="auto"/>
            <w:sz w:val="28"/>
            <w:szCs w:val="28"/>
            <w:lang w:val="uk-UA"/>
          </w:rPr>
          <w:t>http://www.ukrstat.gov.ua/operativ/operativ2021/zd/ztt/ztt_u/arh_ztt2021.htm</w:t>
        </w:r>
      </w:hyperlink>
    </w:p>
    <w:p w14:paraId="599D0A94" w14:textId="06E4B113"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Географічна структура зовнішньої торгівлі України товарами архів за 2020.Державна служба статистики України рік.</w:t>
      </w:r>
      <w:r w:rsidR="00CF67BE" w:rsidRPr="007626F7">
        <w:rPr>
          <w:rFonts w:ascii="Times New Roman" w:hAnsi="Times New Roman" w:cs="Times New Roman"/>
          <w:sz w:val="28"/>
          <w:szCs w:val="28"/>
        </w:rPr>
        <w:t xml:space="preserve"> [Електронний ресурс]. </w:t>
      </w:r>
      <w:proofErr w:type="gramStart"/>
      <w:r w:rsidR="00CF67BE" w:rsidRPr="007626F7">
        <w:rPr>
          <w:rFonts w:ascii="Times New Roman" w:hAnsi="Times New Roman" w:cs="Times New Roman"/>
          <w:sz w:val="28"/>
          <w:szCs w:val="28"/>
        </w:rPr>
        <w:t>-Р</w:t>
      </w:r>
      <w:proofErr w:type="gramEnd"/>
      <w:r w:rsidR="00CF67BE" w:rsidRPr="007626F7">
        <w:rPr>
          <w:rFonts w:ascii="Times New Roman" w:hAnsi="Times New Roman" w:cs="Times New Roman"/>
          <w:sz w:val="28"/>
          <w:szCs w:val="28"/>
        </w:rPr>
        <w:t>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r w:rsidRPr="007626F7">
        <w:rPr>
          <w:rFonts w:ascii="Times New Roman" w:hAnsi="Times New Roman" w:cs="Times New Roman"/>
          <w:sz w:val="28"/>
          <w:szCs w:val="28"/>
          <w:lang w:val="uk-UA"/>
        </w:rPr>
        <w:t>http://www.ukrstat.gov.ua/operativ/operativ2020/zd/ztt/ztt_u/arh_ztt2020.html</w:t>
      </w:r>
    </w:p>
    <w:p w14:paraId="78ABA960" w14:textId="0E69C753"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Географічна структура зовнішньої торгівлі України товарами архів за 2019.Державна служба статистики України рік.</w:t>
      </w:r>
      <w:r w:rsidRPr="007626F7">
        <w:rPr>
          <w:rFonts w:ascii="Times New Roman" w:hAnsi="Times New Roman" w:cs="Times New Roman"/>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lang w:val="uk-UA"/>
        </w:rPr>
        <w:t>http://www.ukrstat.gov.ua/operativ/operativ2019/zd/ztt/ztt_u/ztt1219_u.htm</w:t>
      </w:r>
    </w:p>
    <w:p w14:paraId="6C8DD15E" w14:textId="10822763"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Географічна структура зовнішньої торгівлі України товарами архів за 2018.</w:t>
      </w:r>
      <w:r w:rsidR="00CF67BE" w:rsidRPr="007626F7">
        <w:rPr>
          <w:rFonts w:ascii="Times New Roman" w:hAnsi="Times New Roman" w:cs="Times New Roman"/>
          <w:sz w:val="28"/>
          <w:szCs w:val="28"/>
        </w:rPr>
        <w:t xml:space="preserve"> </w:t>
      </w:r>
      <w:r w:rsidRPr="007626F7">
        <w:rPr>
          <w:rFonts w:ascii="Times New Roman" w:hAnsi="Times New Roman" w:cs="Times New Roman"/>
          <w:sz w:val="28"/>
          <w:szCs w:val="28"/>
          <w:lang w:val="uk-UA"/>
        </w:rPr>
        <w:t>Державна служба статистики України рік.</w:t>
      </w:r>
      <w:r w:rsidRPr="007626F7">
        <w:rPr>
          <w:rFonts w:ascii="Times New Roman" w:hAnsi="Times New Roman" w:cs="Times New Roman"/>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lang w:val="uk-UA"/>
        </w:rPr>
        <w:t>http://www.ukrstat.gov.ua/operativ/operativ2018/zd/ztt/ztt_u/ztt1218_u.htm</w:t>
      </w:r>
    </w:p>
    <w:p w14:paraId="17A5E8FB" w14:textId="326A0DF6"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ab/>
        <w:t>Географічна структура зовнішньої торгівлі України товарами архів за 2017. Державна служба статистики України рік.</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sz w:val="28"/>
          <w:szCs w:val="28"/>
          <w:lang w:val="uk-UA"/>
        </w:rPr>
        <w:t xml:space="preserve"> </w:t>
      </w:r>
      <w:hyperlink r:id="rId93" w:history="1">
        <w:r w:rsidRPr="007626F7">
          <w:rPr>
            <w:rStyle w:val="a3"/>
            <w:rFonts w:ascii="Times New Roman" w:hAnsi="Times New Roman" w:cs="Times New Roman"/>
            <w:color w:val="auto"/>
            <w:sz w:val="28"/>
            <w:szCs w:val="28"/>
            <w:lang w:val="uk-UA"/>
          </w:rPr>
          <w:t>http://www.ukrstat.gov.ua/operativ/operativ2017/zd/ztt/ztt_u/ztt1217_u.htm</w:t>
        </w:r>
      </w:hyperlink>
    </w:p>
    <w:p w14:paraId="7C894820" w14:textId="064D0A24" w:rsidR="00576C6A" w:rsidRPr="007626F7" w:rsidRDefault="00576C6A"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Ніколаєва Д. С. Особливості зовнішньоекономічних операцій Швейцарії та Польщі з Україною / Д. С. Ніколаєва //Матеріали міжнародної науково-практичної конференції «Економіка сьогодення: актуальні питання і трансформаційні процеси» - Наукова економічна організація «Перспектива».- 30 квітня 2021 року.- С.10-14.</w:t>
      </w:r>
    </w:p>
    <w:p w14:paraId="52E792F7" w14:textId="71A9ED3C"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Trade and economic cooperation.</w:t>
      </w:r>
      <w:r w:rsidRPr="007626F7">
        <w:rPr>
          <w:rFonts w:ascii="Times New Roman" w:hAnsi="Times New Roman" w:cs="Times New Roman"/>
          <w:lang w:val="en-US"/>
        </w:rPr>
        <w:t xml:space="preserve"> </w:t>
      </w:r>
      <w:r w:rsidRPr="007626F7">
        <w:rPr>
          <w:rFonts w:ascii="Times New Roman" w:hAnsi="Times New Roman" w:cs="Times New Roman"/>
          <w:sz w:val="28"/>
          <w:szCs w:val="28"/>
          <w:lang w:val="uk-UA"/>
        </w:rPr>
        <w:t>Embassy of Ukraine in the Swiss Confederation.</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94" w:history="1">
        <w:r w:rsidRPr="007626F7">
          <w:rPr>
            <w:rStyle w:val="a3"/>
            <w:rFonts w:ascii="Times New Roman" w:hAnsi="Times New Roman" w:cs="Times New Roman"/>
            <w:color w:val="auto"/>
            <w:sz w:val="28"/>
            <w:szCs w:val="28"/>
            <w:lang w:val="uk-UA"/>
          </w:rPr>
          <w:t>https://switzerland.mfa.gov.ua/en/partnership/trade-and-economic-cooperation-between-ukraine-and-switzerland/trade-and-economic-cooperation</w:t>
        </w:r>
      </w:hyperlink>
    </w:p>
    <w:p w14:paraId="18FDE6E6" w14:textId="36E39DA2"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Investment Cooperation between Ukraine and Switzerland.</w:t>
      </w:r>
      <w:r w:rsidRPr="007626F7">
        <w:rPr>
          <w:rFonts w:ascii="Times New Roman" w:hAnsi="Times New Roman" w:cs="Times New Roman"/>
          <w:lang w:val="en-US"/>
        </w:rPr>
        <w:t xml:space="preserve"> </w:t>
      </w:r>
      <w:r w:rsidRPr="007626F7">
        <w:rPr>
          <w:rFonts w:ascii="Times New Roman" w:hAnsi="Times New Roman" w:cs="Times New Roman"/>
          <w:sz w:val="28"/>
          <w:szCs w:val="28"/>
          <w:lang w:val="uk-UA"/>
        </w:rPr>
        <w:t>Embassy of Ukraine in the Swiss Confederation.</w:t>
      </w:r>
      <w:r w:rsidR="00CF67BE" w:rsidRPr="007626F7">
        <w:rPr>
          <w:rFonts w:ascii="Times New Roman" w:hAnsi="Times New Roman" w:cs="Times New Roman"/>
          <w:sz w:val="28"/>
          <w:szCs w:val="28"/>
          <w:lang w:val="en-US"/>
        </w:rPr>
        <w:t xml:space="preserve"> </w:t>
      </w:r>
      <w:r w:rsidR="00CF67BE" w:rsidRPr="007626F7">
        <w:rPr>
          <w:rFonts w:ascii="Times New Roman" w:hAnsi="Times New Roman" w:cs="Times New Roman"/>
          <w:sz w:val="28"/>
          <w:szCs w:val="28"/>
        </w:rPr>
        <w:t>[Електронний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95" w:history="1">
        <w:r w:rsidRPr="007626F7">
          <w:rPr>
            <w:rStyle w:val="a3"/>
            <w:rFonts w:ascii="Times New Roman" w:hAnsi="Times New Roman" w:cs="Times New Roman"/>
            <w:color w:val="auto"/>
            <w:sz w:val="28"/>
            <w:szCs w:val="28"/>
            <w:lang w:val="uk-UA"/>
          </w:rPr>
          <w:t>https://switzerland.mfa.gov.ua/en/partnership/trade-and-economic-</w:t>
        </w:r>
        <w:r w:rsidRPr="007626F7">
          <w:rPr>
            <w:rStyle w:val="a3"/>
            <w:rFonts w:ascii="Times New Roman" w:hAnsi="Times New Roman" w:cs="Times New Roman"/>
            <w:color w:val="auto"/>
            <w:sz w:val="28"/>
            <w:szCs w:val="28"/>
            <w:lang w:val="uk-UA"/>
          </w:rPr>
          <w:lastRenderedPageBreak/>
          <w:t>cooperation-between-ukraine-and-switzerland/investment-cooperation-between-ukraine-and-switzerland</w:t>
        </w:r>
      </w:hyperlink>
    </w:p>
    <w:p w14:paraId="5F8FBEE0" w14:textId="3FB8ABD8" w:rsidR="000D18A5"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Украина и Швейцария подписали ряд двусторонних документов. Президент України.</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96" w:history="1">
        <w:r w:rsidRPr="007626F7">
          <w:rPr>
            <w:rStyle w:val="a3"/>
            <w:rFonts w:ascii="Times New Roman" w:hAnsi="Times New Roman" w:cs="Times New Roman"/>
            <w:color w:val="auto"/>
            <w:sz w:val="28"/>
            <w:szCs w:val="28"/>
            <w:lang w:val="uk-UA"/>
          </w:rPr>
          <w:t>https://www.president.gov.ua/ru/news/ukrayina-ta-shvejcariya-pidpisali-nizku-dvostoronnih-dokumen-62337</w:t>
        </w:r>
      </w:hyperlink>
    </w:p>
    <w:p w14:paraId="04A8549E" w14:textId="260A4CBE" w:rsidR="00FA366E" w:rsidRPr="007626F7" w:rsidRDefault="000D18A5" w:rsidP="00760EFA">
      <w:pPr>
        <w:pStyle w:val="a4"/>
        <w:numPr>
          <w:ilvl w:val="0"/>
          <w:numId w:val="10"/>
        </w:numPr>
        <w:spacing w:after="0" w:line="360" w:lineRule="auto"/>
        <w:ind w:left="720"/>
        <w:jc w:val="both"/>
        <w:rPr>
          <w:rStyle w:val="a3"/>
          <w:rFonts w:ascii="Times New Roman" w:hAnsi="Times New Roman" w:cs="Times New Roman"/>
          <w:color w:val="auto"/>
          <w:sz w:val="28"/>
          <w:szCs w:val="28"/>
          <w:u w:val="none"/>
          <w:lang w:val="uk-UA"/>
        </w:rPr>
      </w:pPr>
      <w:r w:rsidRPr="007626F7">
        <w:rPr>
          <w:rFonts w:ascii="Times New Roman" w:hAnsi="Times New Roman" w:cs="Times New Roman"/>
          <w:sz w:val="28"/>
          <w:szCs w:val="28"/>
          <w:lang w:val="uk-UA"/>
        </w:rPr>
        <w:t>Торговельно-економічне співробітництво між Україною та Польщею</w:t>
      </w:r>
      <w:r w:rsidRPr="007626F7">
        <w:rPr>
          <w:rFonts w:ascii="Times New Roman" w:hAnsi="Times New Roman" w:cs="Times New Roman"/>
          <w:sz w:val="28"/>
          <w:szCs w:val="28"/>
        </w:rPr>
        <w:t>.</w:t>
      </w:r>
      <w:r w:rsidRPr="007626F7">
        <w:rPr>
          <w:rFonts w:ascii="Times New Roman" w:hAnsi="Times New Roman" w:cs="Times New Roman"/>
        </w:rPr>
        <w:t xml:space="preserve"> </w:t>
      </w:r>
      <w:r w:rsidRPr="007626F7">
        <w:rPr>
          <w:rFonts w:ascii="Times New Roman" w:hAnsi="Times New Roman" w:cs="Times New Roman"/>
          <w:sz w:val="28"/>
          <w:szCs w:val="28"/>
        </w:rPr>
        <w:t>Посольство України в Республіці Польща.</w:t>
      </w:r>
      <w:r w:rsidR="00CF67BE" w:rsidRPr="007626F7">
        <w:rPr>
          <w:rFonts w:ascii="Times New Roman" w:hAnsi="Times New Roman" w:cs="Times New Roman"/>
          <w:sz w:val="28"/>
          <w:szCs w:val="28"/>
        </w:rPr>
        <w:t xml:space="preserve"> [Електронний ресурс]. -Режим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hyperlink r:id="rId97" w:history="1">
        <w:r w:rsidRPr="007626F7">
          <w:rPr>
            <w:rStyle w:val="a3"/>
            <w:rFonts w:ascii="Times New Roman" w:hAnsi="Times New Roman" w:cs="Times New Roman"/>
            <w:color w:val="auto"/>
            <w:sz w:val="28"/>
            <w:szCs w:val="28"/>
          </w:rPr>
          <w:t>https://poland.mfa.gov.ua/spivrobitnictvo/229-torgovelyno-jekonomichne-spivrobitnictvo-mizh-ukrajinoju-ta-polyshheju</w:t>
        </w:r>
      </w:hyperlink>
    </w:p>
    <w:p w14:paraId="55D1D362" w14:textId="42E57BA1" w:rsidR="00FA366E" w:rsidRPr="007626F7" w:rsidRDefault="000D18A5" w:rsidP="00760EFA">
      <w:pPr>
        <w:pStyle w:val="a4"/>
        <w:numPr>
          <w:ilvl w:val="0"/>
          <w:numId w:val="10"/>
        </w:numPr>
        <w:spacing w:after="0" w:line="360" w:lineRule="auto"/>
        <w:ind w:left="720"/>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Ігор Іващенко: Україна отримала від Китаю та Польщі найбільшу гуманітарну допомогу за весь час пандемії COVID-19</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Міністерство охорони здоров’я України.</w:t>
      </w:r>
      <w:r w:rsidR="00CF67BE" w:rsidRPr="007626F7">
        <w:rPr>
          <w:rFonts w:ascii="Times New Roman" w:hAnsi="Times New Roman" w:cs="Times New Roman"/>
          <w:sz w:val="28"/>
          <w:szCs w:val="28"/>
        </w:rPr>
        <w:t xml:space="preserve"> [Електронний ресурс]. </w:t>
      </w:r>
      <w:proofErr w:type="gramStart"/>
      <w:r w:rsidR="00CF67BE" w:rsidRPr="007626F7">
        <w:rPr>
          <w:rFonts w:ascii="Times New Roman" w:hAnsi="Times New Roman" w:cs="Times New Roman"/>
          <w:sz w:val="28"/>
          <w:szCs w:val="28"/>
        </w:rPr>
        <w:t>-Р</w:t>
      </w:r>
      <w:proofErr w:type="gramEnd"/>
      <w:r w:rsidR="00CF67BE" w:rsidRPr="007626F7">
        <w:rPr>
          <w:rFonts w:ascii="Times New Roman" w:hAnsi="Times New Roman" w:cs="Times New Roman"/>
          <w:sz w:val="28"/>
          <w:szCs w:val="28"/>
        </w:rPr>
        <w:t>ежим доступу:</w:t>
      </w:r>
      <w:r w:rsidR="00CF67BE" w:rsidRPr="007626F7">
        <w:rPr>
          <w:rFonts w:ascii="Times New Roman" w:hAnsi="Times New Roman" w:cs="Times New Roman"/>
        </w:rPr>
        <w:t xml:space="preserve"> </w:t>
      </w:r>
      <w:r w:rsidRPr="007626F7">
        <w:rPr>
          <w:rFonts w:ascii="Times New Roman" w:hAnsi="Times New Roman" w:cs="Times New Roman"/>
        </w:rPr>
        <w:t xml:space="preserve"> </w:t>
      </w:r>
      <w:r w:rsidRPr="007626F7">
        <w:rPr>
          <w:rFonts w:ascii="Times New Roman" w:hAnsi="Times New Roman" w:cs="Times New Roman"/>
          <w:sz w:val="28"/>
          <w:szCs w:val="28"/>
          <w:lang w:val="uk-UA"/>
        </w:rPr>
        <w:t>https://moz.gov.ua/article/news/igor-ivaschenko-ukraina-otrimala-vid-kitaju-ta-polschi-najbilshu-gumanitarnu-dopomogu-za-ves-chas-pandemii-covid-19</w:t>
      </w:r>
      <w:r w:rsidR="00FA366E" w:rsidRPr="007626F7">
        <w:rPr>
          <w:rFonts w:ascii="Times New Roman" w:hAnsi="Times New Roman" w:cs="Times New Roman"/>
          <w:sz w:val="28"/>
          <w:szCs w:val="28"/>
          <w:lang w:val="uk-UA"/>
        </w:rPr>
        <w:t>.</w:t>
      </w:r>
    </w:p>
    <w:p w14:paraId="41C3932E" w14:textId="77777777" w:rsidR="00FA366E" w:rsidRPr="007626F7" w:rsidRDefault="00FA366E" w:rsidP="00760EFA">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br w:type="page"/>
      </w:r>
    </w:p>
    <w:p w14:paraId="28AF19FF" w14:textId="77777777" w:rsidR="00AA74C8" w:rsidRPr="007626F7" w:rsidRDefault="00AA74C8" w:rsidP="007626F7">
      <w:pPr>
        <w:spacing w:after="0" w:line="360" w:lineRule="auto"/>
        <w:jc w:val="center"/>
        <w:rPr>
          <w:rFonts w:ascii="Times New Roman" w:hAnsi="Times New Roman" w:cs="Times New Roman"/>
          <w:lang w:val="uk-UA"/>
        </w:rPr>
      </w:pPr>
    </w:p>
    <w:p w14:paraId="608525EC" w14:textId="77777777" w:rsidR="00AA74C8" w:rsidRPr="007626F7" w:rsidRDefault="00AA74C8" w:rsidP="007626F7">
      <w:pPr>
        <w:spacing w:after="0" w:line="360" w:lineRule="auto"/>
        <w:jc w:val="center"/>
        <w:rPr>
          <w:rFonts w:ascii="Times New Roman" w:hAnsi="Times New Roman" w:cs="Times New Roman"/>
          <w:lang w:val="uk-UA"/>
        </w:rPr>
      </w:pPr>
    </w:p>
    <w:p w14:paraId="6F0CCA37" w14:textId="77777777" w:rsidR="00AA74C8" w:rsidRPr="007626F7" w:rsidRDefault="00AA74C8" w:rsidP="007626F7">
      <w:pPr>
        <w:spacing w:after="0" w:line="360" w:lineRule="auto"/>
        <w:jc w:val="center"/>
        <w:rPr>
          <w:rFonts w:ascii="Times New Roman" w:hAnsi="Times New Roman" w:cs="Times New Roman"/>
          <w:lang w:val="uk-UA"/>
        </w:rPr>
      </w:pPr>
    </w:p>
    <w:p w14:paraId="58B68701" w14:textId="77777777" w:rsidR="00AA74C8" w:rsidRPr="007626F7" w:rsidRDefault="00AA74C8" w:rsidP="007626F7">
      <w:pPr>
        <w:spacing w:after="0" w:line="360" w:lineRule="auto"/>
        <w:jc w:val="center"/>
        <w:rPr>
          <w:rFonts w:ascii="Times New Roman" w:hAnsi="Times New Roman" w:cs="Times New Roman"/>
          <w:lang w:val="uk-UA"/>
        </w:rPr>
      </w:pPr>
    </w:p>
    <w:p w14:paraId="6D662846" w14:textId="77777777" w:rsidR="00AA74C8" w:rsidRPr="007626F7" w:rsidRDefault="00AA74C8" w:rsidP="007626F7">
      <w:pPr>
        <w:spacing w:after="0" w:line="360" w:lineRule="auto"/>
        <w:jc w:val="center"/>
        <w:rPr>
          <w:rFonts w:ascii="Times New Roman" w:hAnsi="Times New Roman" w:cs="Times New Roman"/>
          <w:lang w:val="uk-UA"/>
        </w:rPr>
      </w:pPr>
    </w:p>
    <w:p w14:paraId="0323E963" w14:textId="77777777" w:rsidR="00AA74C8" w:rsidRPr="007626F7" w:rsidRDefault="00AA74C8" w:rsidP="007626F7">
      <w:pPr>
        <w:spacing w:after="0" w:line="360" w:lineRule="auto"/>
        <w:jc w:val="center"/>
        <w:rPr>
          <w:rFonts w:ascii="Times New Roman" w:hAnsi="Times New Roman" w:cs="Times New Roman"/>
          <w:lang w:val="uk-UA"/>
        </w:rPr>
      </w:pPr>
    </w:p>
    <w:p w14:paraId="13BD3A6F" w14:textId="77777777" w:rsidR="00AA74C8" w:rsidRPr="007626F7" w:rsidRDefault="00AA74C8" w:rsidP="007626F7">
      <w:pPr>
        <w:spacing w:after="0" w:line="360" w:lineRule="auto"/>
        <w:jc w:val="center"/>
        <w:rPr>
          <w:rFonts w:ascii="Times New Roman" w:hAnsi="Times New Roman" w:cs="Times New Roman"/>
          <w:lang w:val="uk-UA"/>
        </w:rPr>
      </w:pPr>
    </w:p>
    <w:p w14:paraId="5D776208" w14:textId="77777777" w:rsidR="00AA74C8" w:rsidRPr="007626F7" w:rsidRDefault="00AA74C8" w:rsidP="007626F7">
      <w:pPr>
        <w:spacing w:after="0" w:line="360" w:lineRule="auto"/>
        <w:jc w:val="center"/>
        <w:rPr>
          <w:rFonts w:ascii="Times New Roman" w:hAnsi="Times New Roman" w:cs="Times New Roman"/>
          <w:lang w:val="uk-UA"/>
        </w:rPr>
      </w:pPr>
    </w:p>
    <w:p w14:paraId="47F8B61B" w14:textId="77777777" w:rsidR="00AA74C8" w:rsidRPr="007626F7" w:rsidRDefault="00AA74C8" w:rsidP="007626F7">
      <w:pPr>
        <w:spacing w:after="0" w:line="360" w:lineRule="auto"/>
        <w:jc w:val="center"/>
        <w:rPr>
          <w:rFonts w:ascii="Times New Roman" w:hAnsi="Times New Roman" w:cs="Times New Roman"/>
          <w:lang w:val="uk-UA"/>
        </w:rPr>
      </w:pPr>
    </w:p>
    <w:p w14:paraId="2B6F048C" w14:textId="77777777" w:rsidR="00AA74C8" w:rsidRPr="007626F7" w:rsidRDefault="00AA74C8" w:rsidP="007626F7">
      <w:pPr>
        <w:spacing w:after="0" w:line="360" w:lineRule="auto"/>
        <w:jc w:val="center"/>
        <w:rPr>
          <w:rFonts w:ascii="Times New Roman" w:hAnsi="Times New Roman" w:cs="Times New Roman"/>
          <w:lang w:val="uk-UA"/>
        </w:rPr>
      </w:pPr>
    </w:p>
    <w:p w14:paraId="5D0E476C" w14:textId="77777777" w:rsidR="00AA74C8" w:rsidRPr="007626F7" w:rsidRDefault="00AA74C8" w:rsidP="007626F7">
      <w:pPr>
        <w:spacing w:after="0" w:line="360" w:lineRule="auto"/>
        <w:jc w:val="center"/>
        <w:rPr>
          <w:rFonts w:ascii="Times New Roman" w:hAnsi="Times New Roman" w:cs="Times New Roman"/>
          <w:lang w:val="uk-UA"/>
        </w:rPr>
      </w:pPr>
    </w:p>
    <w:p w14:paraId="07D6EEE7" w14:textId="77777777" w:rsidR="00AA74C8" w:rsidRPr="007626F7" w:rsidRDefault="00AA74C8" w:rsidP="007626F7">
      <w:pPr>
        <w:spacing w:after="0" w:line="360" w:lineRule="auto"/>
        <w:jc w:val="center"/>
        <w:rPr>
          <w:rFonts w:ascii="Times New Roman" w:hAnsi="Times New Roman" w:cs="Times New Roman"/>
          <w:lang w:val="uk-UA"/>
        </w:rPr>
      </w:pPr>
    </w:p>
    <w:p w14:paraId="5B97C046" w14:textId="77777777" w:rsidR="00AA74C8" w:rsidRPr="007626F7" w:rsidRDefault="00AA74C8" w:rsidP="007626F7">
      <w:pPr>
        <w:spacing w:after="0" w:line="360" w:lineRule="auto"/>
        <w:jc w:val="center"/>
        <w:rPr>
          <w:rFonts w:ascii="Times New Roman" w:hAnsi="Times New Roman" w:cs="Times New Roman"/>
          <w:lang w:val="uk-UA"/>
        </w:rPr>
      </w:pPr>
    </w:p>
    <w:p w14:paraId="67B82BA6" w14:textId="77777777" w:rsidR="00AA74C8" w:rsidRPr="007626F7" w:rsidRDefault="00AA74C8" w:rsidP="007626F7">
      <w:pPr>
        <w:spacing w:after="0" w:line="360" w:lineRule="auto"/>
        <w:jc w:val="center"/>
        <w:rPr>
          <w:rFonts w:ascii="Times New Roman" w:hAnsi="Times New Roman" w:cs="Times New Roman"/>
          <w:lang w:val="uk-UA"/>
        </w:rPr>
      </w:pPr>
    </w:p>
    <w:p w14:paraId="1F6F6090" w14:textId="77777777" w:rsidR="00AA74C8" w:rsidRPr="007626F7" w:rsidRDefault="00AA74C8" w:rsidP="007626F7">
      <w:pPr>
        <w:spacing w:after="0" w:line="360" w:lineRule="auto"/>
        <w:jc w:val="center"/>
        <w:outlineLvl w:val="0"/>
        <w:rPr>
          <w:rFonts w:ascii="Times New Roman" w:hAnsi="Times New Roman" w:cs="Times New Roman"/>
          <w:b/>
          <w:sz w:val="28"/>
          <w:lang w:val="uk-UA"/>
        </w:rPr>
      </w:pPr>
      <w:bookmarkStart w:id="36" w:name="_Toc75333593"/>
      <w:r w:rsidRPr="007626F7">
        <w:rPr>
          <w:rFonts w:ascii="Times New Roman" w:hAnsi="Times New Roman" w:cs="Times New Roman"/>
          <w:b/>
          <w:sz w:val="28"/>
          <w:lang w:val="uk-UA"/>
        </w:rPr>
        <w:t>ДОДАТКИ</w:t>
      </w:r>
      <w:bookmarkEnd w:id="36"/>
    </w:p>
    <w:p w14:paraId="52E67E38" w14:textId="49DDC7CC" w:rsidR="00F501EC" w:rsidRPr="007626F7" w:rsidRDefault="00AA74C8" w:rsidP="007626F7">
      <w:pPr>
        <w:spacing w:after="0" w:line="360" w:lineRule="auto"/>
        <w:rPr>
          <w:rFonts w:ascii="Times New Roman" w:hAnsi="Times New Roman" w:cs="Times New Roman"/>
          <w:b/>
          <w:lang w:val="uk-UA"/>
        </w:rPr>
      </w:pPr>
      <w:r w:rsidRPr="007626F7">
        <w:rPr>
          <w:rFonts w:ascii="Times New Roman" w:hAnsi="Times New Roman" w:cs="Times New Roman"/>
          <w:b/>
          <w:lang w:val="uk-UA"/>
        </w:rPr>
        <w:br w:type="page"/>
      </w:r>
    </w:p>
    <w:p w14:paraId="1C656128" w14:textId="6CDEF8EE" w:rsidR="004C67DD" w:rsidRPr="007626F7" w:rsidRDefault="004C67DD" w:rsidP="007626F7">
      <w:pPr>
        <w:spacing w:after="0" w:line="360" w:lineRule="auto"/>
        <w:jc w:val="center"/>
        <w:textAlignment w:val="baseline"/>
        <w:rPr>
          <w:rFonts w:ascii="Times New Roman" w:eastAsia="Times New Roman" w:hAnsi="Times New Roman" w:cs="Times New Roman"/>
          <w:b/>
          <w:bCs/>
          <w:color w:val="1D1D1B"/>
          <w:sz w:val="28"/>
          <w:szCs w:val="28"/>
          <w:lang w:val="uk-UA"/>
        </w:rPr>
      </w:pPr>
      <w:r w:rsidRPr="007626F7">
        <w:rPr>
          <w:rFonts w:ascii="Times New Roman" w:eastAsia="Times New Roman" w:hAnsi="Times New Roman" w:cs="Times New Roman"/>
          <w:b/>
          <w:bCs/>
          <w:color w:val="1D1D1B"/>
          <w:sz w:val="28"/>
          <w:szCs w:val="28"/>
          <w:lang w:val="uk-UA"/>
        </w:rPr>
        <w:lastRenderedPageBreak/>
        <w:t>ДОДА</w:t>
      </w:r>
      <w:r w:rsidR="00F644B7" w:rsidRPr="007626F7">
        <w:rPr>
          <w:rFonts w:ascii="Times New Roman" w:eastAsia="Times New Roman" w:hAnsi="Times New Roman" w:cs="Times New Roman"/>
          <w:b/>
          <w:bCs/>
          <w:color w:val="1D1D1B"/>
          <w:sz w:val="28"/>
          <w:szCs w:val="28"/>
          <w:lang w:val="uk-UA"/>
        </w:rPr>
        <w:t>ТОК А</w:t>
      </w:r>
    </w:p>
    <w:p w14:paraId="1136AEAC" w14:textId="4BE13BC9" w:rsidR="00D65764" w:rsidRPr="007626F7" w:rsidRDefault="00D65764" w:rsidP="007626F7">
      <w:pPr>
        <w:spacing w:after="0" w:line="360" w:lineRule="auto"/>
        <w:jc w:val="center"/>
        <w:textAlignment w:val="baseline"/>
        <w:rPr>
          <w:rFonts w:ascii="Times New Roman" w:eastAsia="Times New Roman" w:hAnsi="Times New Roman" w:cs="Times New Roman"/>
          <w:b/>
          <w:bCs/>
          <w:color w:val="1D1D1B"/>
          <w:sz w:val="28"/>
          <w:szCs w:val="28"/>
          <w:lang w:val="uk-UA"/>
        </w:rPr>
      </w:pPr>
      <w:r w:rsidRPr="007626F7">
        <w:rPr>
          <w:rFonts w:ascii="Times New Roman" w:eastAsia="Times New Roman" w:hAnsi="Times New Roman" w:cs="Times New Roman"/>
          <w:b/>
          <w:bCs/>
          <w:color w:val="1D1D1B"/>
          <w:sz w:val="28"/>
          <w:szCs w:val="28"/>
          <w:lang w:val="uk-UA"/>
        </w:rPr>
        <w:t>Кількість зареєстрованих безробітних, всього (на кінець звітного періоду, тис. осіб)</w:t>
      </w:r>
      <w:r w:rsidRPr="007626F7">
        <w:rPr>
          <w:rFonts w:ascii="Times New Roman" w:eastAsia="Times New Roman" w:hAnsi="Times New Roman" w:cs="Times New Roman"/>
          <w:b/>
          <w:bCs/>
          <w:color w:val="1D1D1B"/>
          <w:sz w:val="28"/>
          <w:szCs w:val="28"/>
          <w:lang w:val="uk-UA"/>
        </w:rPr>
        <w:tab/>
      </w:r>
    </w:p>
    <w:p w14:paraId="1ABF6277" w14:textId="77777777" w:rsidR="005705EA" w:rsidRPr="007626F7" w:rsidRDefault="005705EA" w:rsidP="007626F7">
      <w:pPr>
        <w:spacing w:after="0" w:line="360" w:lineRule="auto"/>
        <w:jc w:val="center"/>
        <w:textAlignment w:val="baseline"/>
        <w:rPr>
          <w:rFonts w:ascii="Times New Roman" w:eastAsia="Times New Roman" w:hAnsi="Times New Roman" w:cs="Times New Roman"/>
          <w:b/>
          <w:bCs/>
          <w:color w:val="1D1D1B"/>
          <w:sz w:val="28"/>
          <w:szCs w:val="28"/>
          <w:lang w:val="uk-UA"/>
        </w:rPr>
      </w:pPr>
    </w:p>
    <w:p w14:paraId="37AED20C" w14:textId="77777777" w:rsidR="003245B6" w:rsidRPr="007626F7" w:rsidRDefault="003245B6"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28DA0879" wp14:editId="4F83DE7A">
            <wp:extent cx="5961184" cy="2294255"/>
            <wp:effectExtent l="0" t="0" r="1905" b="10795"/>
            <wp:docPr id="43" name="Диаграмма 43">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1D9292F-C09D-4A8A-BBB7-CA65B98E8E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0E8A7E03" w14:textId="721104D7" w:rsidR="004F78EF" w:rsidRPr="007626F7" w:rsidRDefault="003245B6"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[21].</w:t>
      </w:r>
    </w:p>
    <w:p w14:paraId="7B18DC74" w14:textId="77777777" w:rsidR="00D65764" w:rsidRPr="007626F7" w:rsidRDefault="00D65764" w:rsidP="007626F7">
      <w:pPr>
        <w:spacing w:after="0" w:line="360" w:lineRule="auto"/>
        <w:rPr>
          <w:rFonts w:ascii="Times New Roman" w:hAnsi="Times New Roman" w:cs="Times New Roman"/>
          <w:sz w:val="28"/>
          <w:szCs w:val="28"/>
          <w:lang w:val="uk-UA"/>
        </w:rPr>
      </w:pPr>
    </w:p>
    <w:p w14:paraId="6C25CC8E" w14:textId="79C57431" w:rsidR="00A90F6E" w:rsidRPr="007626F7" w:rsidRDefault="00A90F6E" w:rsidP="007626F7">
      <w:pPr>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t>ДОДАТОК Б</w:t>
      </w:r>
    </w:p>
    <w:p w14:paraId="32F7A24A" w14:textId="1E0F7BB2" w:rsidR="00A90F6E" w:rsidRPr="007626F7" w:rsidRDefault="00D65764" w:rsidP="007626F7">
      <w:pPr>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t>Кількість зареєстрованих безробітних у Швейцарії (тис.</w:t>
      </w:r>
      <w:r w:rsidR="005705EA" w:rsidRPr="007626F7">
        <w:rPr>
          <w:rFonts w:ascii="Times New Roman" w:hAnsi="Times New Roman" w:cs="Times New Roman"/>
          <w:b/>
          <w:bCs/>
          <w:sz w:val="28"/>
          <w:szCs w:val="28"/>
          <w:lang w:val="uk-UA"/>
        </w:rPr>
        <w:t xml:space="preserve"> </w:t>
      </w:r>
      <w:r w:rsidRPr="007626F7">
        <w:rPr>
          <w:rFonts w:ascii="Times New Roman" w:hAnsi="Times New Roman" w:cs="Times New Roman"/>
          <w:b/>
          <w:bCs/>
          <w:sz w:val="28"/>
          <w:szCs w:val="28"/>
          <w:lang w:val="uk-UA"/>
        </w:rPr>
        <w:t>людей)</w:t>
      </w:r>
    </w:p>
    <w:p w14:paraId="1DED1009" w14:textId="77777777" w:rsidR="005705EA" w:rsidRPr="007626F7" w:rsidRDefault="005705EA" w:rsidP="007626F7">
      <w:pPr>
        <w:spacing w:after="0" w:line="360" w:lineRule="auto"/>
        <w:jc w:val="center"/>
        <w:rPr>
          <w:rFonts w:ascii="Times New Roman" w:hAnsi="Times New Roman" w:cs="Times New Roman"/>
          <w:b/>
          <w:bCs/>
          <w:sz w:val="28"/>
          <w:szCs w:val="28"/>
          <w:lang w:val="uk-UA"/>
        </w:rPr>
      </w:pPr>
    </w:p>
    <w:p w14:paraId="1B936985" w14:textId="77777777" w:rsidR="00A90F6E" w:rsidRPr="007626F7" w:rsidRDefault="00A90F6E" w:rsidP="007626F7">
      <w:pPr>
        <w:spacing w:after="0" w:line="360" w:lineRule="auto"/>
        <w:jc w:val="both"/>
        <w:rPr>
          <w:rFonts w:ascii="Times New Roman" w:hAnsi="Times New Roman" w:cs="Times New Roman"/>
          <w:b/>
          <w:bCs/>
          <w:color w:val="FF0000"/>
          <w:sz w:val="28"/>
          <w:szCs w:val="28"/>
          <w:lang w:val="uk-UA"/>
        </w:rPr>
      </w:pPr>
      <w:r w:rsidRPr="007626F7">
        <w:rPr>
          <w:rFonts w:ascii="Times New Roman" w:hAnsi="Times New Roman" w:cs="Times New Roman"/>
          <w:noProof/>
          <w:color w:val="FF0000"/>
          <w:lang w:val="uk-UA" w:eastAsia="uk-UA"/>
        </w:rPr>
        <w:drawing>
          <wp:inline distT="0" distB="0" distL="0" distR="0" wp14:anchorId="41BEC5E8" wp14:editId="385DFF38">
            <wp:extent cx="6096000" cy="3048000"/>
            <wp:effectExtent l="0" t="0" r="0" b="0"/>
            <wp:docPr id="44" name="Диаграмма 4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52F2126-C431-41CF-84CF-73D0A42F43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2B760B2D" w14:textId="6A9782A7" w:rsidR="004519D8" w:rsidRPr="007626F7" w:rsidRDefault="00A90F6E" w:rsidP="007626F7">
      <w:pPr>
        <w:spacing w:after="0" w:line="360" w:lineRule="auto"/>
        <w:ind w:firstLine="720"/>
        <w:jc w:val="both"/>
        <w:rPr>
          <w:rFonts w:ascii="Times New Roman" w:hAnsi="Times New Roman" w:cs="Times New Roman"/>
          <w:sz w:val="28"/>
          <w:szCs w:val="28"/>
        </w:rPr>
      </w:pPr>
      <w:r w:rsidRPr="007626F7">
        <w:rPr>
          <w:rFonts w:ascii="Times New Roman" w:hAnsi="Times New Roman" w:cs="Times New Roman"/>
          <w:sz w:val="28"/>
          <w:szCs w:val="28"/>
          <w:lang w:val="uk-UA"/>
        </w:rPr>
        <w:t>Джерело:</w:t>
      </w:r>
      <w:r w:rsidRPr="007626F7">
        <w:rPr>
          <w:rFonts w:ascii="Times New Roman" w:hAnsi="Times New Roman" w:cs="Times New Roman"/>
        </w:rPr>
        <w:t xml:space="preserve"> </w:t>
      </w:r>
      <w:r w:rsidRPr="007626F7">
        <w:rPr>
          <w:rFonts w:ascii="Times New Roman" w:hAnsi="Times New Roman" w:cs="Times New Roman"/>
          <w:sz w:val="28"/>
          <w:szCs w:val="28"/>
          <w:lang w:val="uk-UA"/>
        </w:rPr>
        <w:t xml:space="preserve">складено автором на основі </w:t>
      </w:r>
      <w:r w:rsidRPr="007626F7">
        <w:rPr>
          <w:rFonts w:ascii="Times New Roman" w:hAnsi="Times New Roman" w:cs="Times New Roman"/>
          <w:sz w:val="28"/>
          <w:szCs w:val="28"/>
        </w:rPr>
        <w:t>[33].</w:t>
      </w:r>
      <w:r w:rsidR="004519D8" w:rsidRPr="007626F7">
        <w:rPr>
          <w:rFonts w:ascii="Times New Roman" w:hAnsi="Times New Roman" w:cs="Times New Roman"/>
          <w:sz w:val="28"/>
          <w:szCs w:val="28"/>
        </w:rPr>
        <w:br w:type="page"/>
      </w:r>
    </w:p>
    <w:p w14:paraId="31CA71FA" w14:textId="2776FCA1" w:rsidR="00214A03" w:rsidRPr="007626F7" w:rsidRDefault="00214A03" w:rsidP="007626F7">
      <w:pPr>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lastRenderedPageBreak/>
        <w:t>ДОДАТОК В</w:t>
      </w:r>
    </w:p>
    <w:p w14:paraId="1AC671A6" w14:textId="3E32D54B" w:rsidR="00D65764" w:rsidRPr="007626F7" w:rsidRDefault="00D65764" w:rsidP="007626F7">
      <w:pPr>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t>Кількість зареєстрованих безробітних у Польщі (тисяч людей)</w:t>
      </w:r>
    </w:p>
    <w:p w14:paraId="3F2D8101" w14:textId="77777777" w:rsidR="005705EA" w:rsidRPr="007626F7" w:rsidRDefault="005705EA" w:rsidP="007626F7">
      <w:pPr>
        <w:spacing w:after="0" w:line="360" w:lineRule="auto"/>
        <w:jc w:val="center"/>
        <w:rPr>
          <w:rFonts w:ascii="Times New Roman" w:hAnsi="Times New Roman" w:cs="Times New Roman"/>
          <w:b/>
          <w:bCs/>
          <w:sz w:val="28"/>
          <w:szCs w:val="28"/>
          <w:lang w:val="uk-UA"/>
        </w:rPr>
      </w:pPr>
    </w:p>
    <w:p w14:paraId="6735E22C" w14:textId="77777777" w:rsidR="00214A03" w:rsidRPr="007626F7" w:rsidRDefault="00214A03" w:rsidP="007626F7">
      <w:pPr>
        <w:spacing w:after="0" w:line="360" w:lineRule="auto"/>
        <w:jc w:val="both"/>
        <w:rPr>
          <w:rFonts w:ascii="Times New Roman" w:hAnsi="Times New Roman" w:cs="Times New Roman"/>
          <w:b/>
          <w:bCs/>
          <w:color w:val="FF0000"/>
          <w:sz w:val="28"/>
          <w:szCs w:val="28"/>
          <w:lang w:val="uk-UA"/>
        </w:rPr>
      </w:pPr>
      <w:r w:rsidRPr="007626F7">
        <w:rPr>
          <w:rFonts w:ascii="Times New Roman" w:hAnsi="Times New Roman" w:cs="Times New Roman"/>
          <w:noProof/>
          <w:color w:val="FF0000"/>
          <w:lang w:val="uk-UA" w:eastAsia="uk-UA"/>
        </w:rPr>
        <w:drawing>
          <wp:inline distT="0" distB="0" distL="0" distR="0" wp14:anchorId="17C34E82" wp14:editId="09A69882">
            <wp:extent cx="6172200" cy="3143250"/>
            <wp:effectExtent l="0" t="0" r="0" b="0"/>
            <wp:docPr id="45" name="Диаграмма 45">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18D061C-6AE4-4431-9BD4-585CAA26778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4675296E" w14:textId="479636F3" w:rsidR="00214A03" w:rsidRPr="007626F7" w:rsidRDefault="00214A03"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rPr>
        <w:t>Джерело: скрадено автором на основі [38].</w:t>
      </w:r>
    </w:p>
    <w:p w14:paraId="68C6EA0E" w14:textId="77777777" w:rsidR="000937A8" w:rsidRPr="007626F7" w:rsidRDefault="000937A8" w:rsidP="007626F7">
      <w:pPr>
        <w:spacing w:after="0" w:line="360" w:lineRule="auto"/>
        <w:jc w:val="both"/>
        <w:rPr>
          <w:rFonts w:ascii="Times New Roman" w:hAnsi="Times New Roman" w:cs="Times New Roman"/>
          <w:sz w:val="28"/>
          <w:szCs w:val="28"/>
        </w:rPr>
      </w:pPr>
    </w:p>
    <w:p w14:paraId="6907B19E" w14:textId="6BF0B767" w:rsidR="00214A03" w:rsidRPr="007626F7" w:rsidRDefault="00214A03"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ДОДАТОК Г</w:t>
      </w:r>
      <w:r w:rsidR="00261056" w:rsidRPr="007626F7">
        <w:rPr>
          <w:rFonts w:ascii="Times New Roman" w:hAnsi="Times New Roman" w:cs="Times New Roman"/>
          <w:b/>
          <w:bCs/>
          <w:sz w:val="28"/>
          <w:szCs w:val="28"/>
        </w:rPr>
        <w:t>.1</w:t>
      </w:r>
    </w:p>
    <w:p w14:paraId="0CB8D232" w14:textId="5EDEB7A3" w:rsidR="00261056" w:rsidRPr="007626F7" w:rsidRDefault="00261056"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Рахунок з поточних операцій України (млн дол. США)</w:t>
      </w:r>
    </w:p>
    <w:p w14:paraId="2137DE01" w14:textId="77777777" w:rsidR="005705EA" w:rsidRPr="007626F7" w:rsidRDefault="005705EA" w:rsidP="007626F7">
      <w:pPr>
        <w:tabs>
          <w:tab w:val="left" w:pos="7371"/>
        </w:tabs>
        <w:spacing w:after="0" w:line="360" w:lineRule="auto"/>
        <w:jc w:val="center"/>
        <w:rPr>
          <w:rFonts w:ascii="Times New Roman" w:hAnsi="Times New Roman" w:cs="Times New Roman"/>
          <w:b/>
          <w:bCs/>
          <w:sz w:val="28"/>
          <w:szCs w:val="28"/>
        </w:rPr>
      </w:pPr>
    </w:p>
    <w:p w14:paraId="09CEC49D" w14:textId="77777777" w:rsidR="00261056" w:rsidRPr="007626F7" w:rsidRDefault="00261056" w:rsidP="007626F7">
      <w:pPr>
        <w:spacing w:after="0" w:line="360" w:lineRule="auto"/>
        <w:rPr>
          <w:rFonts w:ascii="Times New Roman" w:hAnsi="Times New Roman" w:cs="Times New Roman"/>
          <w:b/>
          <w:bCs/>
          <w:color w:val="FF0000"/>
          <w:sz w:val="28"/>
          <w:szCs w:val="28"/>
        </w:rPr>
      </w:pPr>
      <w:r w:rsidRPr="007626F7">
        <w:rPr>
          <w:rFonts w:ascii="Times New Roman" w:hAnsi="Times New Roman" w:cs="Times New Roman"/>
          <w:noProof/>
          <w:color w:val="FF0000"/>
          <w:lang w:val="uk-UA" w:eastAsia="uk-UA"/>
        </w:rPr>
        <w:drawing>
          <wp:inline distT="0" distB="0" distL="0" distR="0" wp14:anchorId="43634E7D" wp14:editId="5347FAC9">
            <wp:extent cx="6172200" cy="3133725"/>
            <wp:effectExtent l="0" t="0" r="0" b="9525"/>
            <wp:docPr id="46" name="Диаграмма 4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473BA59-133C-420B-8A00-61EC5CB87F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6C0504C3" w14:textId="5B5D63BB" w:rsidR="005D531E" w:rsidRDefault="00261056" w:rsidP="005D531E">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[21].</w:t>
      </w:r>
      <w:r w:rsidR="005D531E">
        <w:rPr>
          <w:rFonts w:ascii="Times New Roman" w:hAnsi="Times New Roman" w:cs="Times New Roman"/>
          <w:sz w:val="28"/>
          <w:szCs w:val="28"/>
          <w:lang w:val="uk-UA"/>
        </w:rPr>
        <w:br w:type="page"/>
      </w:r>
    </w:p>
    <w:p w14:paraId="259C7C5F" w14:textId="52745537" w:rsidR="00261056" w:rsidRPr="007626F7" w:rsidRDefault="00261056" w:rsidP="007626F7">
      <w:pPr>
        <w:spacing w:after="0" w:line="360" w:lineRule="auto"/>
        <w:jc w:val="center"/>
        <w:rPr>
          <w:rFonts w:ascii="Times New Roman" w:hAnsi="Times New Roman" w:cs="Times New Roman"/>
          <w:sz w:val="28"/>
          <w:szCs w:val="28"/>
          <w:lang w:val="uk-UA"/>
        </w:rPr>
      </w:pPr>
      <w:r w:rsidRPr="007626F7">
        <w:rPr>
          <w:rFonts w:ascii="Times New Roman" w:hAnsi="Times New Roman" w:cs="Times New Roman"/>
          <w:b/>
          <w:bCs/>
          <w:sz w:val="28"/>
          <w:szCs w:val="28"/>
        </w:rPr>
        <w:lastRenderedPageBreak/>
        <w:t>ДОДАТОК Г.2</w:t>
      </w:r>
    </w:p>
    <w:p w14:paraId="40F0D22B" w14:textId="4659BAFA" w:rsidR="00261056" w:rsidRPr="007626F7" w:rsidRDefault="00261056"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Первинний дохід України (млн дол. США)</w:t>
      </w:r>
    </w:p>
    <w:p w14:paraId="6EED6DDC" w14:textId="77777777" w:rsidR="00261056" w:rsidRPr="007626F7" w:rsidRDefault="00261056" w:rsidP="007626F7">
      <w:pPr>
        <w:spacing w:after="0" w:line="360" w:lineRule="auto"/>
        <w:jc w:val="both"/>
        <w:rPr>
          <w:rFonts w:ascii="Times New Roman" w:hAnsi="Times New Roman" w:cs="Times New Roman"/>
          <w:sz w:val="28"/>
          <w:szCs w:val="28"/>
          <w:lang w:val="uk-UA"/>
        </w:rPr>
      </w:pPr>
    </w:p>
    <w:p w14:paraId="022E0CAE" w14:textId="583EA49D" w:rsidR="00261056" w:rsidRPr="007626F7" w:rsidRDefault="00261056"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617C78EE" wp14:editId="2543E48A">
            <wp:extent cx="6296025" cy="2800350"/>
            <wp:effectExtent l="0" t="0" r="9525" b="0"/>
            <wp:docPr id="47" name="Диаграмма 47">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B3C4339F-6FF9-4895-8A87-47AC53AFDE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3BA91AF8" w14:textId="7892D64B" w:rsidR="00261056" w:rsidRPr="007626F7" w:rsidRDefault="00261056"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[21].</w:t>
      </w:r>
    </w:p>
    <w:p w14:paraId="3433E2F3" w14:textId="77777777" w:rsidR="000937A8" w:rsidRPr="007626F7" w:rsidRDefault="000937A8" w:rsidP="007626F7">
      <w:pPr>
        <w:spacing w:after="0" w:line="360" w:lineRule="auto"/>
        <w:jc w:val="both"/>
        <w:rPr>
          <w:rFonts w:ascii="Times New Roman" w:hAnsi="Times New Roman" w:cs="Times New Roman"/>
          <w:sz w:val="28"/>
          <w:szCs w:val="28"/>
          <w:lang w:val="uk-UA"/>
        </w:rPr>
      </w:pPr>
    </w:p>
    <w:p w14:paraId="3DECCC0D" w14:textId="6F742AFF" w:rsidR="000C3377" w:rsidRPr="007626F7" w:rsidRDefault="000C3377"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ДОДАТОК Г.3</w:t>
      </w:r>
    </w:p>
    <w:p w14:paraId="00E97129" w14:textId="0B5B74DC" w:rsidR="000C3377" w:rsidRPr="007626F7" w:rsidRDefault="000C3377" w:rsidP="007626F7">
      <w:pPr>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t>Вторинний дохід України та рахунок операцій з капіталом (млн дол. США)</w:t>
      </w:r>
    </w:p>
    <w:p w14:paraId="4E9EC73B" w14:textId="77777777" w:rsidR="005705EA" w:rsidRPr="007626F7" w:rsidRDefault="005705EA" w:rsidP="007626F7">
      <w:pPr>
        <w:spacing w:after="0" w:line="360" w:lineRule="auto"/>
        <w:jc w:val="center"/>
        <w:rPr>
          <w:rFonts w:ascii="Times New Roman" w:hAnsi="Times New Roman" w:cs="Times New Roman"/>
          <w:b/>
          <w:bCs/>
          <w:sz w:val="28"/>
          <w:szCs w:val="28"/>
          <w:lang w:val="uk-UA"/>
        </w:rPr>
      </w:pPr>
    </w:p>
    <w:p w14:paraId="25A206DC" w14:textId="77777777" w:rsidR="00261056" w:rsidRPr="007626F7" w:rsidRDefault="00261056"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56D592EE" wp14:editId="191A82F0">
            <wp:extent cx="6267450" cy="3295650"/>
            <wp:effectExtent l="0" t="0" r="0" b="0"/>
            <wp:docPr id="48" name="Диаграмма 48">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40C8D782-5687-48EB-BAC3-201493016E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5D61612F" w14:textId="145CCBA0" w:rsidR="004519D8" w:rsidRPr="007626F7" w:rsidRDefault="00261056"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lastRenderedPageBreak/>
        <w:t>Джерело: складено автором на основі [21].</w:t>
      </w:r>
    </w:p>
    <w:p w14:paraId="7B590E05" w14:textId="03286A41" w:rsidR="000C3377" w:rsidRPr="007626F7" w:rsidRDefault="004519D8" w:rsidP="007626F7">
      <w:pPr>
        <w:spacing w:after="0" w:line="360" w:lineRule="auto"/>
        <w:jc w:val="center"/>
        <w:rPr>
          <w:rFonts w:ascii="Times New Roman" w:hAnsi="Times New Roman" w:cs="Times New Roman"/>
          <w:sz w:val="28"/>
          <w:szCs w:val="28"/>
          <w:lang w:val="uk-UA"/>
        </w:rPr>
      </w:pPr>
      <w:r w:rsidRPr="007626F7">
        <w:rPr>
          <w:rFonts w:ascii="Times New Roman" w:hAnsi="Times New Roman" w:cs="Times New Roman"/>
          <w:sz w:val="28"/>
          <w:szCs w:val="28"/>
          <w:lang w:val="uk-UA"/>
        </w:rPr>
        <w:br w:type="page"/>
      </w:r>
      <w:r w:rsidR="000C3377" w:rsidRPr="007626F7">
        <w:rPr>
          <w:rFonts w:ascii="Times New Roman" w:hAnsi="Times New Roman" w:cs="Times New Roman"/>
          <w:b/>
          <w:bCs/>
          <w:sz w:val="28"/>
          <w:szCs w:val="28"/>
        </w:rPr>
        <w:lastRenderedPageBreak/>
        <w:t>ДОДАТОК Г.4</w:t>
      </w:r>
    </w:p>
    <w:p w14:paraId="08673B42" w14:textId="5CAD0547" w:rsidR="000C3377" w:rsidRPr="007626F7" w:rsidRDefault="000C3377" w:rsidP="007626F7">
      <w:pPr>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t>Фінансовий рахунок України (млн дол. США)</w:t>
      </w:r>
    </w:p>
    <w:p w14:paraId="74B06BA0" w14:textId="77777777" w:rsidR="005705EA" w:rsidRPr="007626F7" w:rsidRDefault="005705EA" w:rsidP="007626F7">
      <w:pPr>
        <w:spacing w:after="0" w:line="360" w:lineRule="auto"/>
        <w:jc w:val="center"/>
        <w:rPr>
          <w:rFonts w:ascii="Times New Roman" w:hAnsi="Times New Roman" w:cs="Times New Roman"/>
          <w:b/>
          <w:bCs/>
          <w:sz w:val="28"/>
          <w:szCs w:val="28"/>
          <w:lang w:val="uk-UA"/>
        </w:rPr>
      </w:pPr>
    </w:p>
    <w:p w14:paraId="5046C9CE" w14:textId="54EA393F" w:rsidR="00261056" w:rsidRPr="007626F7" w:rsidRDefault="00261056" w:rsidP="007626F7">
      <w:pPr>
        <w:spacing w:after="0" w:line="360" w:lineRule="auto"/>
        <w:ind w:firstLine="709"/>
        <w:jc w:val="both"/>
        <w:rPr>
          <w:rFonts w:ascii="Times New Roman" w:hAnsi="Times New Roman" w:cs="Times New Roman"/>
          <w:color w:val="FF0000"/>
          <w:sz w:val="28"/>
          <w:szCs w:val="28"/>
          <w:lang w:val="uk-UA"/>
        </w:rPr>
      </w:pPr>
      <w:r w:rsidRPr="007626F7">
        <w:rPr>
          <w:rFonts w:ascii="Times New Roman" w:hAnsi="Times New Roman" w:cs="Times New Roman"/>
          <w:noProof/>
          <w:color w:val="FF0000"/>
          <w:lang w:val="uk-UA" w:eastAsia="uk-UA"/>
        </w:rPr>
        <w:drawing>
          <wp:inline distT="0" distB="0" distL="0" distR="0" wp14:anchorId="3A56D03E" wp14:editId="6C882AD0">
            <wp:extent cx="5715000" cy="3390900"/>
            <wp:effectExtent l="0" t="0" r="0" b="0"/>
            <wp:docPr id="49" name="Диаграмма 49">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99425EE-513D-4229-AC36-4CCB03A019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14:paraId="46B8CB29" w14:textId="77777777" w:rsidR="00261056" w:rsidRPr="007626F7" w:rsidRDefault="00261056"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[21].</w:t>
      </w:r>
    </w:p>
    <w:p w14:paraId="0F896987" w14:textId="6F8D65DA" w:rsidR="00261056" w:rsidRPr="007626F7" w:rsidRDefault="00261056" w:rsidP="007626F7">
      <w:pPr>
        <w:spacing w:after="0" w:line="360" w:lineRule="auto"/>
        <w:jc w:val="both"/>
        <w:rPr>
          <w:rFonts w:ascii="Times New Roman" w:hAnsi="Times New Roman" w:cs="Times New Roman"/>
          <w:sz w:val="28"/>
          <w:szCs w:val="28"/>
          <w:lang w:val="uk-UA"/>
        </w:rPr>
      </w:pPr>
    </w:p>
    <w:p w14:paraId="1385AB04" w14:textId="45098922" w:rsidR="00261056" w:rsidRPr="007626F7" w:rsidRDefault="00261056"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 xml:space="preserve">ДОДАТОК </w:t>
      </w:r>
      <w:r w:rsidR="003B403A" w:rsidRPr="007626F7">
        <w:rPr>
          <w:rFonts w:ascii="Times New Roman" w:hAnsi="Times New Roman" w:cs="Times New Roman"/>
          <w:b/>
          <w:bCs/>
          <w:sz w:val="28"/>
          <w:szCs w:val="28"/>
        </w:rPr>
        <w:t>Д</w:t>
      </w:r>
      <w:r w:rsidR="000C3377" w:rsidRPr="007626F7">
        <w:rPr>
          <w:rFonts w:ascii="Times New Roman" w:hAnsi="Times New Roman" w:cs="Times New Roman"/>
          <w:b/>
          <w:bCs/>
          <w:sz w:val="28"/>
          <w:szCs w:val="28"/>
        </w:rPr>
        <w:t>.1</w:t>
      </w:r>
      <w:r w:rsidRPr="007626F7">
        <w:rPr>
          <w:rFonts w:ascii="Times New Roman" w:hAnsi="Times New Roman" w:cs="Times New Roman"/>
          <w:b/>
          <w:bCs/>
          <w:sz w:val="28"/>
          <w:szCs w:val="28"/>
        </w:rPr>
        <w:t xml:space="preserve"> </w:t>
      </w:r>
    </w:p>
    <w:p w14:paraId="1E89476C" w14:textId="1DEA1001" w:rsidR="00261056" w:rsidRPr="007626F7" w:rsidRDefault="000C3377" w:rsidP="007626F7">
      <w:pPr>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t>Рахунок з поточних операцій</w:t>
      </w:r>
      <w:r w:rsidRPr="007626F7">
        <w:rPr>
          <w:rFonts w:ascii="Times New Roman" w:hAnsi="Times New Roman" w:cs="Times New Roman"/>
          <w:b/>
          <w:bCs/>
          <w:sz w:val="28"/>
          <w:szCs w:val="28"/>
        </w:rPr>
        <w:t xml:space="preserve"> </w:t>
      </w:r>
      <w:r w:rsidRPr="007626F7">
        <w:rPr>
          <w:rFonts w:ascii="Times New Roman" w:hAnsi="Times New Roman" w:cs="Times New Roman"/>
          <w:b/>
          <w:bCs/>
          <w:sz w:val="28"/>
          <w:szCs w:val="28"/>
          <w:lang w:val="uk-UA"/>
        </w:rPr>
        <w:t>Швейцарії (млн швейцарський франків)</w:t>
      </w:r>
    </w:p>
    <w:p w14:paraId="3774B6F4" w14:textId="77777777" w:rsidR="005705EA" w:rsidRPr="007626F7" w:rsidRDefault="005705EA" w:rsidP="007626F7">
      <w:pPr>
        <w:spacing w:after="0" w:line="360" w:lineRule="auto"/>
        <w:jc w:val="center"/>
        <w:rPr>
          <w:rFonts w:ascii="Times New Roman" w:hAnsi="Times New Roman" w:cs="Times New Roman"/>
          <w:b/>
          <w:bCs/>
          <w:sz w:val="28"/>
          <w:szCs w:val="28"/>
          <w:lang w:val="uk-UA"/>
        </w:rPr>
      </w:pPr>
    </w:p>
    <w:p w14:paraId="6CC1DB5A" w14:textId="434EE517" w:rsidR="00261056" w:rsidRPr="007626F7" w:rsidRDefault="00261056"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4748C8B0" wp14:editId="344FC2C5">
            <wp:extent cx="6153150" cy="2943225"/>
            <wp:effectExtent l="0" t="0" r="0" b="9525"/>
            <wp:docPr id="50" name="Диаграмма 50">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863B77A-EBCB-4D9B-B6A8-E7299BD1E5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14:paraId="4F9FB52F" w14:textId="40C72369" w:rsidR="005D531E" w:rsidRDefault="00261056" w:rsidP="005D531E">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[55].</w:t>
      </w:r>
      <w:r w:rsidR="005D531E">
        <w:rPr>
          <w:rFonts w:ascii="Times New Roman" w:hAnsi="Times New Roman" w:cs="Times New Roman"/>
          <w:sz w:val="28"/>
          <w:szCs w:val="28"/>
          <w:lang w:val="uk-UA"/>
        </w:rPr>
        <w:br w:type="page"/>
      </w:r>
    </w:p>
    <w:p w14:paraId="5DEE20CF" w14:textId="0DE7BE57" w:rsidR="000C3377" w:rsidRPr="007626F7" w:rsidRDefault="000C3377"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lastRenderedPageBreak/>
        <w:t xml:space="preserve">ДОДАТОК </w:t>
      </w:r>
      <w:r w:rsidR="003B403A" w:rsidRPr="007626F7">
        <w:rPr>
          <w:rFonts w:ascii="Times New Roman" w:hAnsi="Times New Roman" w:cs="Times New Roman"/>
          <w:b/>
          <w:bCs/>
          <w:sz w:val="28"/>
          <w:szCs w:val="28"/>
        </w:rPr>
        <w:t>Д</w:t>
      </w:r>
      <w:r w:rsidRPr="007626F7">
        <w:rPr>
          <w:rFonts w:ascii="Times New Roman" w:hAnsi="Times New Roman" w:cs="Times New Roman"/>
          <w:b/>
          <w:bCs/>
          <w:sz w:val="28"/>
          <w:szCs w:val="28"/>
        </w:rPr>
        <w:t>.2</w:t>
      </w:r>
    </w:p>
    <w:p w14:paraId="6BD584AD" w14:textId="2D0AD0FE" w:rsidR="000C3377" w:rsidRPr="007626F7" w:rsidRDefault="000C3377"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lang w:val="uk-UA"/>
        </w:rPr>
        <w:t>Первинний</w:t>
      </w:r>
      <w:r w:rsidRPr="007626F7">
        <w:rPr>
          <w:rFonts w:ascii="Times New Roman" w:hAnsi="Times New Roman" w:cs="Times New Roman"/>
          <w:b/>
          <w:bCs/>
          <w:sz w:val="28"/>
          <w:szCs w:val="28"/>
        </w:rPr>
        <w:t xml:space="preserve"> </w:t>
      </w:r>
      <w:r w:rsidRPr="007626F7">
        <w:rPr>
          <w:rFonts w:ascii="Times New Roman" w:hAnsi="Times New Roman" w:cs="Times New Roman"/>
          <w:b/>
          <w:bCs/>
          <w:sz w:val="28"/>
          <w:szCs w:val="28"/>
          <w:lang w:val="uk-UA"/>
        </w:rPr>
        <w:t>дохід Швейцарії (млн. швейцарських франків</w:t>
      </w:r>
      <w:r w:rsidR="00FD5A79" w:rsidRPr="007626F7">
        <w:rPr>
          <w:rFonts w:ascii="Times New Roman" w:hAnsi="Times New Roman" w:cs="Times New Roman"/>
          <w:b/>
          <w:bCs/>
          <w:sz w:val="28"/>
          <w:szCs w:val="28"/>
          <w:lang w:val="uk-UA"/>
        </w:rPr>
        <w:t>)</w:t>
      </w:r>
    </w:p>
    <w:p w14:paraId="0E39E40B" w14:textId="77777777" w:rsidR="000C3377" w:rsidRPr="007626F7" w:rsidRDefault="000C3377" w:rsidP="007626F7">
      <w:pPr>
        <w:spacing w:after="0" w:line="360" w:lineRule="auto"/>
        <w:jc w:val="both"/>
        <w:rPr>
          <w:rFonts w:ascii="Times New Roman" w:hAnsi="Times New Roman" w:cs="Times New Roman"/>
          <w:sz w:val="28"/>
          <w:szCs w:val="28"/>
          <w:lang w:val="uk-UA"/>
        </w:rPr>
      </w:pPr>
    </w:p>
    <w:p w14:paraId="62F0B98C" w14:textId="36C4A29E" w:rsidR="00261056" w:rsidRPr="007626F7" w:rsidRDefault="00261056"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6B8E1D8A" wp14:editId="426A188C">
            <wp:extent cx="6105525" cy="2600325"/>
            <wp:effectExtent l="0" t="0" r="9525" b="9525"/>
            <wp:docPr id="51" name="Диаграмма 5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A766938-0E90-4507-B0F4-396A82CC03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480B10BE" w14:textId="6D1EC87E" w:rsidR="00261056" w:rsidRPr="007626F7" w:rsidRDefault="00261056"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[55].</w:t>
      </w:r>
    </w:p>
    <w:p w14:paraId="50FE6F27" w14:textId="77777777" w:rsidR="000937A8" w:rsidRPr="007626F7" w:rsidRDefault="000937A8" w:rsidP="007626F7">
      <w:pPr>
        <w:spacing w:after="0" w:line="360" w:lineRule="auto"/>
        <w:jc w:val="both"/>
        <w:rPr>
          <w:rFonts w:ascii="Times New Roman" w:hAnsi="Times New Roman" w:cs="Times New Roman"/>
          <w:sz w:val="28"/>
          <w:szCs w:val="28"/>
          <w:lang w:val="uk-UA"/>
        </w:rPr>
      </w:pPr>
    </w:p>
    <w:p w14:paraId="167858DA" w14:textId="0C696F02" w:rsidR="000C3377" w:rsidRPr="007626F7" w:rsidRDefault="000C3377"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 xml:space="preserve">ДОДАТОК </w:t>
      </w:r>
      <w:r w:rsidR="003B403A" w:rsidRPr="007626F7">
        <w:rPr>
          <w:rFonts w:ascii="Times New Roman" w:hAnsi="Times New Roman" w:cs="Times New Roman"/>
          <w:b/>
          <w:bCs/>
          <w:sz w:val="28"/>
          <w:szCs w:val="28"/>
        </w:rPr>
        <w:t>Д</w:t>
      </w:r>
      <w:r w:rsidRPr="007626F7">
        <w:rPr>
          <w:rFonts w:ascii="Times New Roman" w:hAnsi="Times New Roman" w:cs="Times New Roman"/>
          <w:b/>
          <w:bCs/>
          <w:sz w:val="28"/>
          <w:szCs w:val="28"/>
        </w:rPr>
        <w:t xml:space="preserve">.3 </w:t>
      </w:r>
    </w:p>
    <w:p w14:paraId="11FF9EB6" w14:textId="7F9B388F" w:rsidR="000C3377" w:rsidRPr="007626F7" w:rsidRDefault="00FD5A79" w:rsidP="007626F7">
      <w:pPr>
        <w:tabs>
          <w:tab w:val="left" w:pos="7371"/>
        </w:tabs>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t>Баланс вторинних доходів та рахунок операцій з капіталом Швейцарії (млн. швейцарських франків)</w:t>
      </w:r>
    </w:p>
    <w:p w14:paraId="00D5C40F" w14:textId="77777777" w:rsidR="005705EA" w:rsidRPr="007626F7" w:rsidRDefault="005705EA" w:rsidP="007626F7">
      <w:pPr>
        <w:tabs>
          <w:tab w:val="left" w:pos="7371"/>
        </w:tabs>
        <w:spacing w:after="0" w:line="360" w:lineRule="auto"/>
        <w:jc w:val="center"/>
        <w:rPr>
          <w:rFonts w:ascii="Times New Roman" w:hAnsi="Times New Roman" w:cs="Times New Roman"/>
          <w:b/>
          <w:bCs/>
          <w:sz w:val="28"/>
          <w:szCs w:val="28"/>
        </w:rPr>
      </w:pPr>
    </w:p>
    <w:p w14:paraId="75448A7D" w14:textId="17FEA499" w:rsidR="00261056" w:rsidRPr="007626F7" w:rsidRDefault="00261056"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4CD7F086" wp14:editId="15927CCA">
            <wp:extent cx="6315075" cy="2838450"/>
            <wp:effectExtent l="0" t="0" r="9525" b="0"/>
            <wp:docPr id="52" name="Диаграмма 5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DF221A7B-0F18-434D-AA44-8A4A6F9D6C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14:paraId="78F27DA0" w14:textId="2E5E75DB" w:rsidR="004519D8" w:rsidRPr="007626F7" w:rsidRDefault="00261056"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 xml:space="preserve">Джерело: складено автором на основі [55]. </w:t>
      </w:r>
    </w:p>
    <w:p w14:paraId="78DC1D42" w14:textId="77777777" w:rsidR="004519D8" w:rsidRPr="007626F7" w:rsidRDefault="004519D8"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br w:type="page"/>
      </w:r>
    </w:p>
    <w:p w14:paraId="57E68CE4" w14:textId="437D4414" w:rsidR="000C3377" w:rsidRPr="007626F7" w:rsidRDefault="000C3377"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lastRenderedPageBreak/>
        <w:t xml:space="preserve">ДОДАТОК </w:t>
      </w:r>
      <w:r w:rsidR="003B403A" w:rsidRPr="007626F7">
        <w:rPr>
          <w:rFonts w:ascii="Times New Roman" w:hAnsi="Times New Roman" w:cs="Times New Roman"/>
          <w:b/>
          <w:bCs/>
          <w:sz w:val="28"/>
          <w:szCs w:val="28"/>
        </w:rPr>
        <w:t>Д</w:t>
      </w:r>
      <w:r w:rsidRPr="007626F7">
        <w:rPr>
          <w:rFonts w:ascii="Times New Roman" w:hAnsi="Times New Roman" w:cs="Times New Roman"/>
          <w:b/>
          <w:bCs/>
          <w:sz w:val="28"/>
          <w:szCs w:val="28"/>
        </w:rPr>
        <w:t xml:space="preserve">.4 </w:t>
      </w:r>
    </w:p>
    <w:p w14:paraId="42CC80F2" w14:textId="35DDEA13" w:rsidR="00FD5A79" w:rsidRPr="007626F7" w:rsidRDefault="00FD5A79"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lang w:val="uk-UA"/>
        </w:rPr>
        <w:t>Фінансовий рахунок Швейцарії (млн. швейцарських франків)</w:t>
      </w:r>
    </w:p>
    <w:p w14:paraId="7A8EEB51" w14:textId="77777777" w:rsidR="000C3377" w:rsidRPr="007626F7" w:rsidRDefault="000C3377" w:rsidP="007626F7">
      <w:pPr>
        <w:spacing w:after="0" w:line="360" w:lineRule="auto"/>
        <w:jc w:val="both"/>
        <w:rPr>
          <w:rFonts w:ascii="Times New Roman" w:hAnsi="Times New Roman" w:cs="Times New Roman"/>
          <w:sz w:val="28"/>
          <w:szCs w:val="28"/>
          <w:lang w:val="uk-UA"/>
        </w:rPr>
      </w:pPr>
    </w:p>
    <w:p w14:paraId="183C4C57" w14:textId="303EBA2B" w:rsidR="00261056" w:rsidRPr="007626F7" w:rsidRDefault="00261056"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05C2E29B" wp14:editId="7953F761">
            <wp:extent cx="6257925" cy="2819400"/>
            <wp:effectExtent l="0" t="0" r="9525" b="0"/>
            <wp:docPr id="53" name="Диаграмма 53">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9B300B86-F001-4F8B-B318-CEE3C5CEE7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14:paraId="7CB33094" w14:textId="5D6F9461" w:rsidR="00261056" w:rsidRPr="007626F7" w:rsidRDefault="00261056"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[55].</w:t>
      </w:r>
    </w:p>
    <w:p w14:paraId="1C9C438D" w14:textId="77777777" w:rsidR="000937A8" w:rsidRPr="007626F7" w:rsidRDefault="000937A8" w:rsidP="007626F7">
      <w:pPr>
        <w:spacing w:after="0" w:line="360" w:lineRule="auto"/>
        <w:jc w:val="both"/>
        <w:rPr>
          <w:rFonts w:ascii="Times New Roman" w:hAnsi="Times New Roman" w:cs="Times New Roman"/>
          <w:sz w:val="28"/>
          <w:szCs w:val="28"/>
          <w:lang w:val="uk-UA"/>
        </w:rPr>
      </w:pPr>
    </w:p>
    <w:p w14:paraId="53121065" w14:textId="4E63EF3C" w:rsidR="00261056" w:rsidRPr="007626F7" w:rsidRDefault="00261056"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 xml:space="preserve">ДОДАТОК </w:t>
      </w:r>
      <w:r w:rsidR="003B403A" w:rsidRPr="007626F7">
        <w:rPr>
          <w:rFonts w:ascii="Times New Roman" w:hAnsi="Times New Roman" w:cs="Times New Roman"/>
          <w:b/>
          <w:bCs/>
          <w:sz w:val="28"/>
          <w:szCs w:val="28"/>
        </w:rPr>
        <w:t>Е</w:t>
      </w:r>
      <w:r w:rsidR="000C3377" w:rsidRPr="007626F7">
        <w:rPr>
          <w:rFonts w:ascii="Times New Roman" w:hAnsi="Times New Roman" w:cs="Times New Roman"/>
          <w:b/>
          <w:bCs/>
          <w:sz w:val="28"/>
          <w:szCs w:val="28"/>
        </w:rPr>
        <w:t>.1</w:t>
      </w:r>
    </w:p>
    <w:p w14:paraId="31861354" w14:textId="67BC883E" w:rsidR="00261056" w:rsidRPr="007626F7" w:rsidRDefault="00FD5A79" w:rsidP="007626F7">
      <w:pPr>
        <w:tabs>
          <w:tab w:val="left" w:pos="7371"/>
        </w:tabs>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t>Рахунок з поточних операцій</w:t>
      </w:r>
      <w:r w:rsidRPr="007626F7">
        <w:rPr>
          <w:rFonts w:ascii="Times New Roman" w:hAnsi="Times New Roman" w:cs="Times New Roman"/>
          <w:b/>
          <w:bCs/>
          <w:sz w:val="28"/>
          <w:szCs w:val="28"/>
        </w:rPr>
        <w:t xml:space="preserve"> </w:t>
      </w:r>
      <w:r w:rsidRPr="007626F7">
        <w:rPr>
          <w:rFonts w:ascii="Times New Roman" w:hAnsi="Times New Roman" w:cs="Times New Roman"/>
          <w:b/>
          <w:bCs/>
          <w:sz w:val="28"/>
          <w:szCs w:val="28"/>
          <w:lang w:val="uk-UA"/>
        </w:rPr>
        <w:t>Польщі (млн дол. США)</w:t>
      </w:r>
    </w:p>
    <w:p w14:paraId="46C39488" w14:textId="77777777" w:rsidR="005705EA" w:rsidRPr="007626F7" w:rsidRDefault="005705EA" w:rsidP="007626F7">
      <w:pPr>
        <w:tabs>
          <w:tab w:val="left" w:pos="7371"/>
        </w:tabs>
        <w:spacing w:after="0" w:line="360" w:lineRule="auto"/>
        <w:jc w:val="center"/>
        <w:rPr>
          <w:rFonts w:ascii="Times New Roman" w:hAnsi="Times New Roman" w:cs="Times New Roman"/>
          <w:b/>
          <w:bCs/>
          <w:sz w:val="28"/>
          <w:szCs w:val="28"/>
        </w:rPr>
      </w:pPr>
    </w:p>
    <w:p w14:paraId="397BC9CF" w14:textId="6659EDF4" w:rsidR="00261056" w:rsidRPr="007626F7" w:rsidRDefault="009F2071"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230AA92C" wp14:editId="70B8A6E2">
            <wp:extent cx="5895975" cy="3457575"/>
            <wp:effectExtent l="0" t="0" r="9525" b="9525"/>
            <wp:docPr id="3" name="Диаграмма 3">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B988C660-6C45-45B2-9A02-CB5F7C3977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14:paraId="6F423E1D" w14:textId="15A4686F" w:rsidR="005D531E" w:rsidRDefault="00261056" w:rsidP="005D531E">
      <w:p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[5</w:t>
      </w:r>
      <w:r w:rsidRPr="007626F7">
        <w:rPr>
          <w:rFonts w:ascii="Times New Roman" w:hAnsi="Times New Roman" w:cs="Times New Roman"/>
          <w:sz w:val="28"/>
          <w:szCs w:val="28"/>
        </w:rPr>
        <w:t>7</w:t>
      </w:r>
      <w:r w:rsidRPr="007626F7">
        <w:rPr>
          <w:rFonts w:ascii="Times New Roman" w:hAnsi="Times New Roman" w:cs="Times New Roman"/>
          <w:sz w:val="28"/>
          <w:szCs w:val="28"/>
          <w:lang w:val="uk-UA"/>
        </w:rPr>
        <w:t>].</w:t>
      </w:r>
      <w:r w:rsidR="005D531E">
        <w:rPr>
          <w:rFonts w:ascii="Times New Roman" w:hAnsi="Times New Roman" w:cs="Times New Roman"/>
          <w:sz w:val="28"/>
          <w:szCs w:val="28"/>
          <w:lang w:val="uk-UA"/>
        </w:rPr>
        <w:br w:type="page"/>
      </w:r>
    </w:p>
    <w:p w14:paraId="3F0E781A" w14:textId="5577BA6B" w:rsidR="000C3377" w:rsidRPr="007626F7" w:rsidRDefault="000C3377"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lastRenderedPageBreak/>
        <w:t xml:space="preserve">ДОДАТОК </w:t>
      </w:r>
      <w:r w:rsidR="003B403A" w:rsidRPr="007626F7">
        <w:rPr>
          <w:rFonts w:ascii="Times New Roman" w:hAnsi="Times New Roman" w:cs="Times New Roman"/>
          <w:b/>
          <w:bCs/>
          <w:sz w:val="28"/>
          <w:szCs w:val="28"/>
        </w:rPr>
        <w:t>Е</w:t>
      </w:r>
      <w:r w:rsidRPr="007626F7">
        <w:rPr>
          <w:rFonts w:ascii="Times New Roman" w:hAnsi="Times New Roman" w:cs="Times New Roman"/>
          <w:b/>
          <w:bCs/>
          <w:sz w:val="28"/>
          <w:szCs w:val="28"/>
        </w:rPr>
        <w:t>.2</w:t>
      </w:r>
    </w:p>
    <w:p w14:paraId="1DC8E539" w14:textId="07372299" w:rsidR="000C3377" w:rsidRPr="007626F7" w:rsidRDefault="00FD5A79" w:rsidP="007626F7">
      <w:pPr>
        <w:tabs>
          <w:tab w:val="left" w:pos="7371"/>
        </w:tabs>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t>Баланс первинних та вторинних доходів, рахунок операцій з капіталом Польщі (млн дол. США)</w:t>
      </w:r>
    </w:p>
    <w:p w14:paraId="6936F7AF" w14:textId="77777777" w:rsidR="005705EA" w:rsidRPr="007626F7" w:rsidRDefault="005705EA" w:rsidP="007626F7">
      <w:pPr>
        <w:tabs>
          <w:tab w:val="left" w:pos="7371"/>
        </w:tabs>
        <w:spacing w:after="0" w:line="360" w:lineRule="auto"/>
        <w:jc w:val="center"/>
        <w:rPr>
          <w:rFonts w:ascii="Times New Roman" w:hAnsi="Times New Roman" w:cs="Times New Roman"/>
          <w:b/>
          <w:bCs/>
          <w:sz w:val="28"/>
          <w:szCs w:val="28"/>
        </w:rPr>
      </w:pPr>
    </w:p>
    <w:p w14:paraId="074FB030" w14:textId="4DBED746" w:rsidR="00261056" w:rsidRPr="007626F7" w:rsidRDefault="00261056"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noProof/>
          <w:lang w:val="uk-UA" w:eastAsia="uk-UA"/>
        </w:rPr>
        <w:drawing>
          <wp:inline distT="0" distB="0" distL="0" distR="0" wp14:anchorId="47F0E49C" wp14:editId="7F7F18D9">
            <wp:extent cx="6096000" cy="2809875"/>
            <wp:effectExtent l="0" t="0" r="0" b="9525"/>
            <wp:docPr id="55" name="Диаграмма 55">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BD710A1-6322-47A4-A36F-389AFF3837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14:paraId="2D55708C" w14:textId="6DD63477" w:rsidR="00FD5A79" w:rsidRPr="007626F7" w:rsidRDefault="00FD5A79"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rPr>
        <w:t>Джерело: складено автором на основі [57].</w:t>
      </w:r>
    </w:p>
    <w:p w14:paraId="1726D61D" w14:textId="608A6F5B" w:rsidR="00261056" w:rsidRPr="007626F7" w:rsidRDefault="00261056" w:rsidP="007626F7">
      <w:pPr>
        <w:spacing w:after="0" w:line="360" w:lineRule="auto"/>
        <w:ind w:firstLine="709"/>
        <w:jc w:val="both"/>
        <w:rPr>
          <w:rFonts w:ascii="Times New Roman" w:hAnsi="Times New Roman" w:cs="Times New Roman"/>
          <w:sz w:val="28"/>
          <w:szCs w:val="28"/>
          <w:lang w:val="uk-UA"/>
        </w:rPr>
      </w:pPr>
    </w:p>
    <w:p w14:paraId="2922405C" w14:textId="071192ED" w:rsidR="000C3377" w:rsidRPr="007626F7" w:rsidRDefault="000C3377"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 xml:space="preserve">ДОДАТОК </w:t>
      </w:r>
      <w:r w:rsidR="003B403A" w:rsidRPr="007626F7">
        <w:rPr>
          <w:rFonts w:ascii="Times New Roman" w:hAnsi="Times New Roman" w:cs="Times New Roman"/>
          <w:b/>
          <w:bCs/>
          <w:sz w:val="28"/>
          <w:szCs w:val="28"/>
        </w:rPr>
        <w:t>Е</w:t>
      </w:r>
      <w:r w:rsidRPr="007626F7">
        <w:rPr>
          <w:rFonts w:ascii="Times New Roman" w:hAnsi="Times New Roman" w:cs="Times New Roman"/>
          <w:b/>
          <w:bCs/>
          <w:sz w:val="28"/>
          <w:szCs w:val="28"/>
        </w:rPr>
        <w:t>.3</w:t>
      </w:r>
    </w:p>
    <w:p w14:paraId="76269146" w14:textId="77777777" w:rsidR="005705EA" w:rsidRPr="007626F7" w:rsidRDefault="00FD5A79" w:rsidP="007626F7">
      <w:pPr>
        <w:tabs>
          <w:tab w:val="left" w:pos="7371"/>
        </w:tabs>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t>Фінансовий рахунок Польщі (млн дол. США)</w:t>
      </w:r>
    </w:p>
    <w:p w14:paraId="6DB2F893" w14:textId="7C236D57" w:rsidR="00261056" w:rsidRPr="007626F7" w:rsidRDefault="00261056"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noProof/>
          <w:lang w:val="uk-UA" w:eastAsia="uk-UA"/>
        </w:rPr>
        <w:drawing>
          <wp:anchor distT="0" distB="0" distL="114300" distR="114300" simplePos="0" relativeHeight="251660288" behindDoc="0" locked="0" layoutInCell="1" allowOverlap="1" wp14:anchorId="71AD0FD9" wp14:editId="1745E5FB">
            <wp:simplePos x="0" y="0"/>
            <wp:positionH relativeFrom="margin">
              <wp:align>right</wp:align>
            </wp:positionH>
            <wp:positionV relativeFrom="paragraph">
              <wp:posOffset>407035</wp:posOffset>
            </wp:positionV>
            <wp:extent cx="5934075" cy="2809875"/>
            <wp:effectExtent l="0" t="0" r="9525" b="9525"/>
            <wp:wrapSquare wrapText="bothSides"/>
            <wp:docPr id="56" name="Диаграмма 5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2DB1250-D01D-486F-80E1-6DD4C95AC3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14:sizeRelH relativeFrom="margin">
              <wp14:pctWidth>0</wp14:pctWidth>
            </wp14:sizeRelH>
            <wp14:sizeRelV relativeFrom="margin">
              <wp14:pctHeight>0</wp14:pctHeight>
            </wp14:sizeRelV>
          </wp:anchor>
        </w:drawing>
      </w:r>
    </w:p>
    <w:p w14:paraId="42291FE9" w14:textId="5B1BCB4F" w:rsidR="004519D8" w:rsidRPr="007626F7" w:rsidRDefault="00261056"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автором на основі [5</w:t>
      </w:r>
      <w:r w:rsidRPr="007626F7">
        <w:rPr>
          <w:rFonts w:ascii="Times New Roman" w:hAnsi="Times New Roman" w:cs="Times New Roman"/>
          <w:sz w:val="28"/>
          <w:szCs w:val="28"/>
        </w:rPr>
        <w:t>7</w:t>
      </w:r>
      <w:r w:rsidRPr="007626F7">
        <w:rPr>
          <w:rFonts w:ascii="Times New Roman" w:hAnsi="Times New Roman" w:cs="Times New Roman"/>
          <w:sz w:val="28"/>
          <w:szCs w:val="28"/>
          <w:lang w:val="uk-UA"/>
        </w:rPr>
        <w:t>].</w:t>
      </w:r>
    </w:p>
    <w:p w14:paraId="54537FF2" w14:textId="77777777" w:rsidR="004519D8" w:rsidRPr="007626F7" w:rsidRDefault="004519D8"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sz w:val="28"/>
          <w:szCs w:val="28"/>
          <w:lang w:val="uk-UA"/>
        </w:rPr>
        <w:br w:type="page"/>
      </w:r>
    </w:p>
    <w:p w14:paraId="5561F5C5" w14:textId="21EFE057" w:rsidR="008A2FEC" w:rsidRPr="007626F7" w:rsidRDefault="008A2FEC"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lastRenderedPageBreak/>
        <w:t xml:space="preserve">ДОДАТОК </w:t>
      </w:r>
      <w:r w:rsidR="003B403A" w:rsidRPr="007626F7">
        <w:rPr>
          <w:rFonts w:ascii="Times New Roman" w:hAnsi="Times New Roman" w:cs="Times New Roman"/>
          <w:b/>
          <w:bCs/>
          <w:sz w:val="28"/>
          <w:szCs w:val="28"/>
        </w:rPr>
        <w:t>Ж.1</w:t>
      </w:r>
    </w:p>
    <w:p w14:paraId="64C2B583" w14:textId="1E31F98B" w:rsidR="008A2FEC" w:rsidRPr="007626F7" w:rsidRDefault="008A2FEC" w:rsidP="007626F7">
      <w:pPr>
        <w:tabs>
          <w:tab w:val="left" w:pos="7371"/>
        </w:tabs>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lang w:val="uk-UA"/>
        </w:rPr>
        <w:t>Індекси Українських бірж</w:t>
      </w:r>
    </w:p>
    <w:p w14:paraId="7E3F1ACA" w14:textId="77777777" w:rsidR="005705EA" w:rsidRPr="007626F7" w:rsidRDefault="005705EA" w:rsidP="007626F7">
      <w:pPr>
        <w:tabs>
          <w:tab w:val="left" w:pos="7371"/>
        </w:tabs>
        <w:spacing w:after="0" w:line="360" w:lineRule="auto"/>
        <w:jc w:val="center"/>
        <w:rPr>
          <w:rFonts w:ascii="Times New Roman" w:hAnsi="Times New Roman" w:cs="Times New Roman"/>
          <w:b/>
          <w:bCs/>
          <w:sz w:val="28"/>
          <w:szCs w:val="28"/>
        </w:rPr>
      </w:pPr>
    </w:p>
    <w:p w14:paraId="1C41E1A4" w14:textId="77777777" w:rsidR="008A2FEC" w:rsidRPr="007626F7" w:rsidRDefault="008A2FEC"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6C959D70" wp14:editId="1C17AE73">
            <wp:extent cx="6115050" cy="2762250"/>
            <wp:effectExtent l="0" t="0" r="0" b="0"/>
            <wp:docPr id="57" name="Диаграмма 57">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7B15ED4-F086-4E12-9E2E-C42AFE7799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14:paraId="63A2E55C" w14:textId="776601FB" w:rsidR="008A2FEC" w:rsidRPr="007626F7" w:rsidRDefault="008A2FEC"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lang w:val="uk-UA"/>
        </w:rPr>
        <w:t xml:space="preserve">Джерело: складено автором на основі  </w:t>
      </w:r>
      <w:r w:rsidRPr="007626F7">
        <w:rPr>
          <w:rFonts w:ascii="Times New Roman" w:hAnsi="Times New Roman" w:cs="Times New Roman"/>
          <w:sz w:val="28"/>
          <w:szCs w:val="28"/>
        </w:rPr>
        <w:t>[60], [61].</w:t>
      </w:r>
    </w:p>
    <w:p w14:paraId="1F66FE82" w14:textId="77777777" w:rsidR="000937A8" w:rsidRPr="007626F7" w:rsidRDefault="000937A8" w:rsidP="007626F7">
      <w:pPr>
        <w:spacing w:after="0" w:line="360" w:lineRule="auto"/>
        <w:jc w:val="both"/>
        <w:rPr>
          <w:rFonts w:ascii="Times New Roman" w:hAnsi="Times New Roman" w:cs="Times New Roman"/>
          <w:sz w:val="28"/>
          <w:szCs w:val="28"/>
        </w:rPr>
      </w:pPr>
    </w:p>
    <w:p w14:paraId="6FC2EDC2" w14:textId="1D1BDFA0" w:rsidR="008A2FEC" w:rsidRPr="007626F7" w:rsidRDefault="008A2FEC"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 xml:space="preserve">ДОДАТОК </w:t>
      </w:r>
      <w:r w:rsidR="003B403A" w:rsidRPr="007626F7">
        <w:rPr>
          <w:rFonts w:ascii="Times New Roman" w:hAnsi="Times New Roman" w:cs="Times New Roman"/>
          <w:b/>
          <w:bCs/>
          <w:sz w:val="28"/>
          <w:szCs w:val="28"/>
        </w:rPr>
        <w:t>Ж.2</w:t>
      </w:r>
    </w:p>
    <w:p w14:paraId="08778B72" w14:textId="2B5CA944" w:rsidR="00EC322A" w:rsidRPr="007626F7" w:rsidRDefault="00EC322A" w:rsidP="007626F7">
      <w:pPr>
        <w:spacing w:after="0" w:line="360" w:lineRule="auto"/>
        <w:ind w:firstLine="720"/>
        <w:jc w:val="center"/>
        <w:rPr>
          <w:rFonts w:ascii="Times New Roman" w:hAnsi="Times New Roman" w:cs="Times New Roman"/>
          <w:b/>
          <w:bCs/>
          <w:sz w:val="28"/>
          <w:szCs w:val="28"/>
        </w:rPr>
      </w:pPr>
      <w:r w:rsidRPr="007626F7">
        <w:rPr>
          <w:rFonts w:ascii="Times New Roman" w:hAnsi="Times New Roman" w:cs="Times New Roman"/>
          <w:b/>
          <w:bCs/>
          <w:sz w:val="28"/>
          <w:szCs w:val="28"/>
          <w:lang w:val="uk-UA"/>
        </w:rPr>
        <w:t xml:space="preserve">Індекс Швейцарської біржі </w:t>
      </w:r>
      <w:r w:rsidRPr="007626F7">
        <w:rPr>
          <w:rFonts w:ascii="Times New Roman" w:hAnsi="Times New Roman" w:cs="Times New Roman"/>
          <w:b/>
          <w:bCs/>
          <w:sz w:val="28"/>
          <w:szCs w:val="28"/>
          <w:lang w:val="en-US"/>
        </w:rPr>
        <w:t>SMI</w:t>
      </w:r>
    </w:p>
    <w:p w14:paraId="1CD66B6C" w14:textId="77777777" w:rsidR="005705EA" w:rsidRPr="007626F7" w:rsidRDefault="005705EA" w:rsidP="007626F7">
      <w:pPr>
        <w:spacing w:after="0" w:line="360" w:lineRule="auto"/>
        <w:ind w:firstLine="720"/>
        <w:jc w:val="center"/>
        <w:rPr>
          <w:rFonts w:ascii="Times New Roman" w:hAnsi="Times New Roman" w:cs="Times New Roman"/>
          <w:b/>
          <w:bCs/>
          <w:sz w:val="28"/>
          <w:szCs w:val="28"/>
          <w:lang w:val="uk-UA"/>
        </w:rPr>
      </w:pPr>
    </w:p>
    <w:p w14:paraId="2DF3A456" w14:textId="77777777" w:rsidR="00AA49C5" w:rsidRPr="007626F7" w:rsidRDefault="00AA49C5"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446163C2" wp14:editId="6094B7B8">
            <wp:extent cx="6315075" cy="2809875"/>
            <wp:effectExtent l="0" t="0" r="9525" b="9525"/>
            <wp:docPr id="58" name="Диаграмма 58">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B751B1E-BD93-4620-9DB4-88CADB1847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14:paraId="10D09BBF" w14:textId="3B703BFE" w:rsidR="004519D8" w:rsidRPr="007626F7" w:rsidRDefault="00AA49C5"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lang w:val="uk-UA"/>
        </w:rPr>
        <w:t xml:space="preserve">Джерело: складено на основі </w:t>
      </w:r>
      <w:r w:rsidRPr="007626F7">
        <w:rPr>
          <w:rFonts w:ascii="Times New Roman" w:hAnsi="Times New Roman" w:cs="Times New Roman"/>
          <w:sz w:val="28"/>
          <w:szCs w:val="28"/>
        </w:rPr>
        <w:t>[64].</w:t>
      </w:r>
    </w:p>
    <w:p w14:paraId="5BBA422F" w14:textId="77777777" w:rsidR="004519D8" w:rsidRPr="007626F7" w:rsidRDefault="004519D8" w:rsidP="007626F7">
      <w:pPr>
        <w:spacing w:after="0" w:line="360" w:lineRule="auto"/>
        <w:rPr>
          <w:rFonts w:ascii="Times New Roman" w:hAnsi="Times New Roman" w:cs="Times New Roman"/>
          <w:sz w:val="28"/>
          <w:szCs w:val="28"/>
        </w:rPr>
      </w:pPr>
      <w:r w:rsidRPr="007626F7">
        <w:rPr>
          <w:rFonts w:ascii="Times New Roman" w:hAnsi="Times New Roman" w:cs="Times New Roman"/>
          <w:sz w:val="28"/>
          <w:szCs w:val="28"/>
        </w:rPr>
        <w:br w:type="page"/>
      </w:r>
    </w:p>
    <w:p w14:paraId="2428143A" w14:textId="3D1C2268" w:rsidR="008A2FEC" w:rsidRPr="007626F7" w:rsidRDefault="008A2FEC"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lastRenderedPageBreak/>
        <w:t>ДОДАТОК Ж</w:t>
      </w:r>
      <w:r w:rsidR="003B403A" w:rsidRPr="007626F7">
        <w:rPr>
          <w:rFonts w:ascii="Times New Roman" w:hAnsi="Times New Roman" w:cs="Times New Roman"/>
          <w:b/>
          <w:bCs/>
          <w:sz w:val="28"/>
          <w:szCs w:val="28"/>
        </w:rPr>
        <w:t>.3</w:t>
      </w:r>
    </w:p>
    <w:p w14:paraId="3C209B3F" w14:textId="6ACC9856" w:rsidR="001A6334" w:rsidRPr="007626F7" w:rsidRDefault="001A6334" w:rsidP="007626F7">
      <w:pPr>
        <w:tabs>
          <w:tab w:val="left" w:pos="7371"/>
        </w:tabs>
        <w:spacing w:after="0" w:line="360" w:lineRule="auto"/>
        <w:jc w:val="center"/>
        <w:rPr>
          <w:rFonts w:ascii="Times New Roman" w:hAnsi="Times New Roman" w:cs="Times New Roman"/>
          <w:b/>
          <w:bCs/>
          <w:sz w:val="28"/>
          <w:szCs w:val="28"/>
          <w:lang w:val="en-US"/>
        </w:rPr>
      </w:pPr>
      <w:r w:rsidRPr="007626F7">
        <w:rPr>
          <w:rFonts w:ascii="Times New Roman" w:hAnsi="Times New Roman" w:cs="Times New Roman"/>
          <w:b/>
          <w:bCs/>
          <w:sz w:val="28"/>
          <w:szCs w:val="28"/>
          <w:lang w:val="uk-UA"/>
        </w:rPr>
        <w:t xml:space="preserve">Індекс Варшавської біржі </w:t>
      </w:r>
      <w:r w:rsidRPr="007626F7">
        <w:rPr>
          <w:rFonts w:ascii="Times New Roman" w:hAnsi="Times New Roman" w:cs="Times New Roman"/>
          <w:b/>
          <w:bCs/>
          <w:sz w:val="28"/>
          <w:szCs w:val="28"/>
          <w:lang w:val="en-US"/>
        </w:rPr>
        <w:t>WIG</w:t>
      </w:r>
    </w:p>
    <w:p w14:paraId="45FD1B85" w14:textId="77777777" w:rsidR="005705EA" w:rsidRPr="007626F7" w:rsidRDefault="005705EA" w:rsidP="007626F7">
      <w:pPr>
        <w:tabs>
          <w:tab w:val="left" w:pos="7371"/>
        </w:tabs>
        <w:spacing w:after="0" w:line="360" w:lineRule="auto"/>
        <w:jc w:val="center"/>
        <w:rPr>
          <w:rFonts w:ascii="Times New Roman" w:hAnsi="Times New Roman" w:cs="Times New Roman"/>
          <w:b/>
          <w:bCs/>
          <w:sz w:val="28"/>
          <w:szCs w:val="28"/>
        </w:rPr>
      </w:pPr>
    </w:p>
    <w:p w14:paraId="61CBFE59" w14:textId="1690B446" w:rsidR="00EC322A" w:rsidRPr="007626F7" w:rsidRDefault="00EC322A"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3C280A80" wp14:editId="2F337E83">
            <wp:extent cx="6172200" cy="2419350"/>
            <wp:effectExtent l="0" t="0" r="0" b="0"/>
            <wp:docPr id="59" name="Диаграмма 59">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F7B47B4E-E6CB-4955-A2D1-CDFC94BDCC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14:paraId="560941FB" w14:textId="01F021D9" w:rsidR="00EC322A" w:rsidRPr="007626F7" w:rsidRDefault="00EC322A" w:rsidP="007626F7">
      <w:pPr>
        <w:spacing w:after="0" w:line="360" w:lineRule="auto"/>
        <w:jc w:val="both"/>
        <w:rPr>
          <w:rFonts w:ascii="Times New Roman" w:hAnsi="Times New Roman" w:cs="Times New Roman"/>
          <w:sz w:val="28"/>
          <w:szCs w:val="28"/>
          <w:lang w:val="uk-UA"/>
        </w:rPr>
      </w:pPr>
      <w:r w:rsidRPr="007626F7">
        <w:rPr>
          <w:rFonts w:ascii="Times New Roman" w:hAnsi="Times New Roman" w:cs="Times New Roman"/>
          <w:sz w:val="28"/>
          <w:szCs w:val="28"/>
          <w:lang w:val="uk-UA"/>
        </w:rPr>
        <w:t>Джерело: складено на основі [</w:t>
      </w:r>
      <w:r w:rsidRPr="007626F7">
        <w:rPr>
          <w:rFonts w:ascii="Times New Roman" w:hAnsi="Times New Roman" w:cs="Times New Roman"/>
          <w:sz w:val="28"/>
          <w:szCs w:val="28"/>
        </w:rPr>
        <w:t>66</w:t>
      </w:r>
      <w:r w:rsidRPr="007626F7">
        <w:rPr>
          <w:rFonts w:ascii="Times New Roman" w:hAnsi="Times New Roman" w:cs="Times New Roman"/>
          <w:sz w:val="28"/>
          <w:szCs w:val="28"/>
          <w:lang w:val="uk-UA"/>
        </w:rPr>
        <w:t>].</w:t>
      </w:r>
    </w:p>
    <w:p w14:paraId="744F3FCB" w14:textId="77777777" w:rsidR="00457C58" w:rsidRPr="007626F7" w:rsidRDefault="00457C58" w:rsidP="007626F7">
      <w:pPr>
        <w:spacing w:after="0" w:line="360" w:lineRule="auto"/>
        <w:jc w:val="both"/>
        <w:rPr>
          <w:rFonts w:ascii="Times New Roman" w:hAnsi="Times New Roman" w:cs="Times New Roman"/>
          <w:sz w:val="28"/>
          <w:szCs w:val="28"/>
          <w:lang w:val="uk-UA"/>
        </w:rPr>
      </w:pPr>
    </w:p>
    <w:p w14:paraId="57969CF8" w14:textId="5273AD96" w:rsidR="00392409" w:rsidRPr="007626F7" w:rsidRDefault="008A2FEC"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 xml:space="preserve">ДОДАТОК </w:t>
      </w:r>
      <w:r w:rsidR="003B403A" w:rsidRPr="007626F7">
        <w:rPr>
          <w:rFonts w:ascii="Times New Roman" w:hAnsi="Times New Roman" w:cs="Times New Roman"/>
          <w:b/>
          <w:bCs/>
          <w:sz w:val="28"/>
          <w:szCs w:val="28"/>
        </w:rPr>
        <w:t>И</w:t>
      </w:r>
      <w:r w:rsidR="00457C58" w:rsidRPr="007626F7">
        <w:rPr>
          <w:rFonts w:ascii="Times New Roman" w:hAnsi="Times New Roman" w:cs="Times New Roman"/>
          <w:b/>
          <w:bCs/>
          <w:sz w:val="28"/>
          <w:szCs w:val="28"/>
        </w:rPr>
        <w:t>.1</w:t>
      </w:r>
    </w:p>
    <w:tbl>
      <w:tblPr>
        <w:tblW w:w="97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43"/>
        <w:gridCol w:w="1643"/>
        <w:gridCol w:w="1889"/>
        <w:gridCol w:w="2355"/>
        <w:gridCol w:w="2357"/>
      </w:tblGrid>
      <w:tr w:rsidR="00016E97" w:rsidRPr="007626F7" w14:paraId="5E957838" w14:textId="77777777" w:rsidTr="004519D8">
        <w:trPr>
          <w:cantSplit/>
          <w:trHeight w:val="481"/>
        </w:trPr>
        <w:tc>
          <w:tcPr>
            <w:tcW w:w="9787" w:type="dxa"/>
            <w:gridSpan w:val="5"/>
            <w:tcBorders>
              <w:top w:val="nil"/>
              <w:left w:val="nil"/>
              <w:bottom w:val="nil"/>
              <w:right w:val="nil"/>
            </w:tcBorders>
            <w:shd w:val="clear" w:color="auto" w:fill="FFFFFF"/>
            <w:vAlign w:val="center"/>
          </w:tcPr>
          <w:p w14:paraId="46A5B820" w14:textId="2805F173" w:rsidR="005705EA" w:rsidRPr="007626F7" w:rsidRDefault="00016E97" w:rsidP="007626F7">
            <w:pPr>
              <w:autoSpaceDE w:val="0"/>
              <w:autoSpaceDN w:val="0"/>
              <w:adjustRightInd w:val="0"/>
              <w:spacing w:after="0" w:line="360" w:lineRule="auto"/>
              <w:ind w:left="60" w:right="60"/>
              <w:jc w:val="center"/>
              <w:rPr>
                <w:rFonts w:ascii="Times New Roman" w:hAnsi="Times New Roman" w:cs="Times New Roman"/>
                <w:b/>
                <w:bCs/>
                <w:color w:val="000000"/>
                <w:sz w:val="28"/>
                <w:szCs w:val="28"/>
                <w:lang w:val="uk-UA"/>
              </w:rPr>
            </w:pPr>
            <w:r w:rsidRPr="007626F7">
              <w:rPr>
                <w:rFonts w:ascii="Times New Roman" w:hAnsi="Times New Roman" w:cs="Times New Roman"/>
                <w:b/>
                <w:bCs/>
                <w:color w:val="000000"/>
                <w:sz w:val="28"/>
                <w:szCs w:val="28"/>
              </w:rPr>
              <w:t>Зведення для</w:t>
            </w:r>
            <w:r w:rsidR="0031235C" w:rsidRPr="007626F7">
              <w:rPr>
                <w:rFonts w:ascii="Times New Roman" w:hAnsi="Times New Roman" w:cs="Times New Roman"/>
                <w:b/>
                <w:bCs/>
                <w:color w:val="000000"/>
                <w:sz w:val="28"/>
                <w:szCs w:val="28"/>
              </w:rPr>
              <w:t xml:space="preserve"> </w:t>
            </w:r>
            <w:r w:rsidR="0031235C" w:rsidRPr="007626F7">
              <w:rPr>
                <w:rFonts w:ascii="Times New Roman" w:hAnsi="Times New Roman" w:cs="Times New Roman"/>
                <w:b/>
                <w:bCs/>
                <w:color w:val="000000"/>
                <w:sz w:val="28"/>
                <w:szCs w:val="28"/>
                <w:lang w:val="uk-UA"/>
              </w:rPr>
              <w:t>регресійної моделі України</w:t>
            </w:r>
          </w:p>
        </w:tc>
      </w:tr>
      <w:tr w:rsidR="00016E97" w:rsidRPr="007626F7" w14:paraId="3E5CF5F6" w14:textId="77777777" w:rsidTr="004519D8">
        <w:trPr>
          <w:cantSplit/>
          <w:trHeight w:val="481"/>
        </w:trPr>
        <w:tc>
          <w:tcPr>
            <w:tcW w:w="9787" w:type="dxa"/>
            <w:gridSpan w:val="5"/>
            <w:tcBorders>
              <w:top w:val="nil"/>
              <w:left w:val="nil"/>
              <w:bottom w:val="nil"/>
              <w:right w:val="nil"/>
            </w:tcBorders>
            <w:shd w:val="clear" w:color="auto" w:fill="FFFFFF"/>
            <w:vAlign w:val="center"/>
          </w:tcPr>
          <w:p w14:paraId="2731D8F5" w14:textId="77777777" w:rsidR="00016E97" w:rsidRPr="007626F7" w:rsidRDefault="00016E97" w:rsidP="007626F7">
            <w:pPr>
              <w:autoSpaceDE w:val="0"/>
              <w:autoSpaceDN w:val="0"/>
              <w:adjustRightInd w:val="0"/>
              <w:spacing w:after="0" w:line="360" w:lineRule="auto"/>
              <w:ind w:left="60" w:right="60"/>
              <w:jc w:val="right"/>
              <w:rPr>
                <w:rFonts w:ascii="Times New Roman" w:hAnsi="Times New Roman" w:cs="Times New Roman"/>
                <w:color w:val="000000"/>
                <w:sz w:val="28"/>
                <w:szCs w:val="28"/>
              </w:rPr>
            </w:pPr>
          </w:p>
        </w:tc>
      </w:tr>
      <w:tr w:rsidR="00016E97" w:rsidRPr="007626F7" w14:paraId="69E33E6A" w14:textId="77777777" w:rsidTr="004519D8">
        <w:trPr>
          <w:cantSplit/>
          <w:trHeight w:val="966"/>
        </w:trPr>
        <w:tc>
          <w:tcPr>
            <w:tcW w:w="1543"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0F54B8BC" w14:textId="77777777" w:rsidR="00016E97" w:rsidRPr="007626F7" w:rsidRDefault="00016E97"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Модель</w:t>
            </w:r>
          </w:p>
        </w:tc>
        <w:tc>
          <w:tcPr>
            <w:tcW w:w="1643" w:type="dxa"/>
            <w:tcBorders>
              <w:top w:val="single" w:sz="16" w:space="0" w:color="000000"/>
              <w:left w:val="single" w:sz="16" w:space="0" w:color="000000"/>
              <w:bottom w:val="single" w:sz="16" w:space="0" w:color="000000"/>
            </w:tcBorders>
            <w:shd w:val="clear" w:color="auto" w:fill="FFFFFF"/>
            <w:vAlign w:val="bottom"/>
          </w:tcPr>
          <w:p w14:paraId="403FBA05" w14:textId="77777777" w:rsidR="00016E97" w:rsidRPr="007626F7" w:rsidRDefault="00016E97"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R</w:t>
            </w:r>
          </w:p>
        </w:tc>
        <w:tc>
          <w:tcPr>
            <w:tcW w:w="1889" w:type="dxa"/>
            <w:tcBorders>
              <w:top w:val="single" w:sz="16" w:space="0" w:color="000000"/>
              <w:bottom w:val="single" w:sz="16" w:space="0" w:color="000000"/>
            </w:tcBorders>
            <w:shd w:val="clear" w:color="auto" w:fill="FFFFFF"/>
            <w:vAlign w:val="bottom"/>
          </w:tcPr>
          <w:p w14:paraId="67D034B8" w14:textId="77777777" w:rsidR="00016E97" w:rsidRPr="007626F7" w:rsidRDefault="00016E97"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R-квадрат</w:t>
            </w:r>
          </w:p>
        </w:tc>
        <w:tc>
          <w:tcPr>
            <w:tcW w:w="2355" w:type="dxa"/>
            <w:tcBorders>
              <w:top w:val="single" w:sz="16" w:space="0" w:color="000000"/>
              <w:bottom w:val="single" w:sz="16" w:space="0" w:color="000000"/>
            </w:tcBorders>
            <w:shd w:val="clear" w:color="auto" w:fill="FFFFFF"/>
            <w:vAlign w:val="bottom"/>
          </w:tcPr>
          <w:p w14:paraId="39836E0E" w14:textId="77777777" w:rsidR="00016E97" w:rsidRPr="007626F7" w:rsidRDefault="00016E97"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Скоригований R-квадрат</w:t>
            </w:r>
          </w:p>
        </w:tc>
        <w:tc>
          <w:tcPr>
            <w:tcW w:w="2356" w:type="dxa"/>
            <w:tcBorders>
              <w:top w:val="single" w:sz="16" w:space="0" w:color="000000"/>
              <w:bottom w:val="single" w:sz="16" w:space="0" w:color="000000"/>
              <w:right w:val="single" w:sz="16" w:space="0" w:color="000000"/>
            </w:tcBorders>
            <w:shd w:val="clear" w:color="auto" w:fill="FFFFFF"/>
            <w:vAlign w:val="bottom"/>
          </w:tcPr>
          <w:p w14:paraId="0221E88E" w14:textId="77777777" w:rsidR="00016E97" w:rsidRPr="007626F7" w:rsidRDefault="00016E97"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Стандартна помилка оцінки</w:t>
            </w:r>
          </w:p>
        </w:tc>
      </w:tr>
      <w:tr w:rsidR="00016E97" w:rsidRPr="007626F7" w14:paraId="64AD5183" w14:textId="77777777" w:rsidTr="004519D8">
        <w:trPr>
          <w:cantSplit/>
          <w:trHeight w:val="966"/>
        </w:trPr>
        <w:tc>
          <w:tcPr>
            <w:tcW w:w="1543" w:type="dxa"/>
            <w:tcBorders>
              <w:top w:val="single" w:sz="16" w:space="0" w:color="000000"/>
              <w:left w:val="single" w:sz="16" w:space="0" w:color="000000"/>
              <w:bottom w:val="single" w:sz="16" w:space="0" w:color="000000"/>
              <w:right w:val="single" w:sz="16" w:space="0" w:color="000000"/>
            </w:tcBorders>
            <w:shd w:val="clear" w:color="auto" w:fill="FFFFFF"/>
          </w:tcPr>
          <w:p w14:paraId="4DDE5681" w14:textId="77777777" w:rsidR="00016E97" w:rsidRPr="007626F7" w:rsidRDefault="00016E97"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w:t>
            </w:r>
          </w:p>
        </w:tc>
        <w:tc>
          <w:tcPr>
            <w:tcW w:w="1643" w:type="dxa"/>
            <w:tcBorders>
              <w:top w:val="single" w:sz="16" w:space="0" w:color="000000"/>
              <w:left w:val="single" w:sz="16" w:space="0" w:color="000000"/>
              <w:bottom w:val="single" w:sz="16" w:space="0" w:color="000000"/>
            </w:tcBorders>
            <w:shd w:val="clear" w:color="auto" w:fill="FFFFFF"/>
            <w:vAlign w:val="center"/>
          </w:tcPr>
          <w:p w14:paraId="65A97637" w14:textId="77777777" w:rsidR="00016E97" w:rsidRPr="007626F7" w:rsidRDefault="00016E97"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,966</w:t>
            </w:r>
            <w:r w:rsidRPr="007626F7">
              <w:rPr>
                <w:rFonts w:ascii="Times New Roman" w:hAnsi="Times New Roman" w:cs="Times New Roman"/>
                <w:color w:val="000000"/>
                <w:vertAlign w:val="superscript"/>
              </w:rPr>
              <w:t>a</w:t>
            </w:r>
          </w:p>
        </w:tc>
        <w:tc>
          <w:tcPr>
            <w:tcW w:w="1889" w:type="dxa"/>
            <w:tcBorders>
              <w:top w:val="single" w:sz="16" w:space="0" w:color="000000"/>
              <w:bottom w:val="single" w:sz="16" w:space="0" w:color="000000"/>
            </w:tcBorders>
            <w:shd w:val="clear" w:color="auto" w:fill="FFFFFF"/>
            <w:vAlign w:val="center"/>
          </w:tcPr>
          <w:p w14:paraId="312916A4" w14:textId="77777777" w:rsidR="00016E97" w:rsidRPr="007626F7" w:rsidRDefault="00016E97"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,933</w:t>
            </w:r>
          </w:p>
        </w:tc>
        <w:tc>
          <w:tcPr>
            <w:tcW w:w="2355" w:type="dxa"/>
            <w:tcBorders>
              <w:top w:val="single" w:sz="16" w:space="0" w:color="000000"/>
              <w:bottom w:val="single" w:sz="16" w:space="0" w:color="000000"/>
            </w:tcBorders>
            <w:shd w:val="clear" w:color="auto" w:fill="FFFFFF"/>
            <w:vAlign w:val="center"/>
          </w:tcPr>
          <w:p w14:paraId="10565252" w14:textId="77777777" w:rsidR="00016E97" w:rsidRPr="007626F7" w:rsidRDefault="00016E97"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,928</w:t>
            </w:r>
          </w:p>
        </w:tc>
        <w:tc>
          <w:tcPr>
            <w:tcW w:w="2356" w:type="dxa"/>
            <w:tcBorders>
              <w:top w:val="single" w:sz="16" w:space="0" w:color="000000"/>
              <w:bottom w:val="single" w:sz="16" w:space="0" w:color="000000"/>
              <w:right w:val="single" w:sz="16" w:space="0" w:color="000000"/>
            </w:tcBorders>
            <w:shd w:val="clear" w:color="auto" w:fill="FFFFFF"/>
            <w:vAlign w:val="center"/>
          </w:tcPr>
          <w:p w14:paraId="5AA0C4DE" w14:textId="77777777" w:rsidR="00016E97" w:rsidRPr="007626F7" w:rsidRDefault="00016E97"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84683606019,950</w:t>
            </w:r>
          </w:p>
        </w:tc>
      </w:tr>
    </w:tbl>
    <w:p w14:paraId="36535ADA" w14:textId="511BB20A" w:rsidR="004519D8" w:rsidRPr="007626F7" w:rsidRDefault="00457C58" w:rsidP="007626F7">
      <w:pPr>
        <w:spacing w:after="0" w:line="360" w:lineRule="auto"/>
        <w:jc w:val="both"/>
        <w:textAlignment w:val="baseline"/>
        <w:rPr>
          <w:rFonts w:ascii="Times New Roman" w:eastAsia="Times New Roman" w:hAnsi="Times New Roman" w:cs="Times New Roman"/>
          <w:color w:val="1D1D1B"/>
          <w:sz w:val="28"/>
          <w:szCs w:val="28"/>
          <w:lang w:val="uk-UA"/>
        </w:rPr>
      </w:pPr>
      <w:r w:rsidRPr="007626F7">
        <w:rPr>
          <w:rFonts w:ascii="Times New Roman" w:eastAsia="Times New Roman" w:hAnsi="Times New Roman" w:cs="Times New Roman"/>
          <w:color w:val="1D1D1B"/>
          <w:sz w:val="28"/>
          <w:szCs w:val="28"/>
          <w:lang w:val="uk-UA"/>
        </w:rPr>
        <w:t>Джерело: розраховано автором.</w:t>
      </w:r>
    </w:p>
    <w:p w14:paraId="2E8A0A71" w14:textId="77777777" w:rsidR="004519D8" w:rsidRPr="007626F7" w:rsidRDefault="004519D8" w:rsidP="007626F7">
      <w:pPr>
        <w:spacing w:after="0" w:line="360" w:lineRule="auto"/>
        <w:rPr>
          <w:rFonts w:ascii="Times New Roman" w:eastAsia="Times New Roman" w:hAnsi="Times New Roman" w:cs="Times New Roman"/>
          <w:color w:val="1D1D1B"/>
          <w:sz w:val="28"/>
          <w:szCs w:val="28"/>
          <w:lang w:val="uk-UA"/>
        </w:rPr>
      </w:pPr>
      <w:r w:rsidRPr="007626F7">
        <w:rPr>
          <w:rFonts w:ascii="Times New Roman" w:eastAsia="Times New Roman" w:hAnsi="Times New Roman" w:cs="Times New Roman"/>
          <w:color w:val="1D1D1B"/>
          <w:sz w:val="28"/>
          <w:szCs w:val="28"/>
          <w:lang w:val="uk-UA"/>
        </w:rPr>
        <w:br w:type="page"/>
      </w:r>
    </w:p>
    <w:p w14:paraId="01FA0591" w14:textId="6E544C22" w:rsidR="0031235C" w:rsidRPr="007626F7" w:rsidRDefault="00457C58"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lastRenderedPageBreak/>
        <w:t xml:space="preserve">ДОДАТОК </w:t>
      </w:r>
      <w:r w:rsidR="003B403A" w:rsidRPr="007626F7">
        <w:rPr>
          <w:rFonts w:ascii="Times New Roman" w:hAnsi="Times New Roman" w:cs="Times New Roman"/>
          <w:b/>
          <w:bCs/>
          <w:sz w:val="28"/>
          <w:szCs w:val="28"/>
        </w:rPr>
        <w:t>И</w:t>
      </w:r>
      <w:r w:rsidRPr="007626F7">
        <w:rPr>
          <w:rFonts w:ascii="Times New Roman" w:hAnsi="Times New Roman" w:cs="Times New Roman"/>
          <w:b/>
          <w:bCs/>
          <w:sz w:val="28"/>
          <w:szCs w:val="28"/>
        </w:rPr>
        <w:t>.2</w:t>
      </w:r>
    </w:p>
    <w:tbl>
      <w:tblPr>
        <w:tblW w:w="94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865"/>
        <w:gridCol w:w="1476"/>
        <w:gridCol w:w="1479"/>
        <w:gridCol w:w="1476"/>
        <w:gridCol w:w="1028"/>
        <w:gridCol w:w="1352"/>
      </w:tblGrid>
      <w:tr w:rsidR="0031235C" w:rsidRPr="007626F7" w14:paraId="31971CFA" w14:textId="77777777" w:rsidTr="005D531E">
        <w:trPr>
          <w:cantSplit/>
          <w:trHeight w:val="177"/>
        </w:trPr>
        <w:tc>
          <w:tcPr>
            <w:tcW w:w="9410" w:type="dxa"/>
            <w:gridSpan w:val="7"/>
            <w:tcBorders>
              <w:top w:val="nil"/>
              <w:left w:val="nil"/>
              <w:bottom w:val="nil"/>
              <w:right w:val="nil"/>
            </w:tcBorders>
            <w:shd w:val="clear" w:color="auto" w:fill="FFFFFF"/>
            <w:vAlign w:val="center"/>
          </w:tcPr>
          <w:p w14:paraId="7345DC97" w14:textId="4E6C4816" w:rsidR="005705EA" w:rsidRPr="007626F7" w:rsidRDefault="0031235C" w:rsidP="007626F7">
            <w:pPr>
              <w:autoSpaceDE w:val="0"/>
              <w:autoSpaceDN w:val="0"/>
              <w:adjustRightInd w:val="0"/>
              <w:spacing w:after="0" w:line="360" w:lineRule="auto"/>
              <w:ind w:firstLine="720"/>
              <w:jc w:val="center"/>
              <w:rPr>
                <w:rFonts w:ascii="Times New Roman" w:hAnsi="Times New Roman" w:cs="Times New Roman"/>
                <w:b/>
                <w:bCs/>
                <w:sz w:val="28"/>
                <w:szCs w:val="28"/>
              </w:rPr>
            </w:pPr>
            <w:r w:rsidRPr="007626F7">
              <w:rPr>
                <w:rFonts w:ascii="Times New Roman" w:hAnsi="Times New Roman" w:cs="Times New Roman"/>
                <w:b/>
                <w:bCs/>
                <w:sz w:val="28"/>
                <w:szCs w:val="28"/>
              </w:rPr>
              <w:t>Коеффіціенти</w:t>
            </w:r>
            <w:r w:rsidRPr="007626F7">
              <w:rPr>
                <w:rFonts w:ascii="Times New Roman" w:hAnsi="Times New Roman" w:cs="Times New Roman"/>
                <w:b/>
                <w:bCs/>
              </w:rPr>
              <w:t xml:space="preserve"> </w:t>
            </w:r>
            <w:r w:rsidRPr="007626F7">
              <w:rPr>
                <w:rFonts w:ascii="Times New Roman" w:hAnsi="Times New Roman" w:cs="Times New Roman"/>
                <w:b/>
                <w:bCs/>
                <w:sz w:val="28"/>
                <w:szCs w:val="28"/>
              </w:rPr>
              <w:t>для регресійної моделі України</w:t>
            </w:r>
          </w:p>
          <w:p w14:paraId="2B165E18" w14:textId="77777777" w:rsidR="005705EA" w:rsidRPr="007626F7" w:rsidRDefault="005705EA" w:rsidP="007626F7">
            <w:pPr>
              <w:autoSpaceDE w:val="0"/>
              <w:autoSpaceDN w:val="0"/>
              <w:adjustRightInd w:val="0"/>
              <w:spacing w:after="0" w:line="360" w:lineRule="auto"/>
              <w:ind w:firstLine="720"/>
              <w:jc w:val="center"/>
              <w:rPr>
                <w:rFonts w:ascii="Times New Roman" w:hAnsi="Times New Roman" w:cs="Times New Roman"/>
                <w:b/>
                <w:bCs/>
                <w:sz w:val="28"/>
                <w:szCs w:val="28"/>
              </w:rPr>
            </w:pPr>
          </w:p>
          <w:p w14:paraId="6F01C2B2" w14:textId="77777777" w:rsidR="0031235C" w:rsidRPr="007626F7" w:rsidRDefault="0031235C" w:rsidP="007626F7">
            <w:pPr>
              <w:autoSpaceDE w:val="0"/>
              <w:autoSpaceDN w:val="0"/>
              <w:adjustRightInd w:val="0"/>
              <w:spacing w:after="0" w:line="360" w:lineRule="auto"/>
              <w:ind w:right="60"/>
              <w:rPr>
                <w:rFonts w:ascii="Times New Roman" w:hAnsi="Times New Roman" w:cs="Times New Roman"/>
                <w:color w:val="000000"/>
                <w:sz w:val="18"/>
                <w:szCs w:val="18"/>
              </w:rPr>
            </w:pPr>
          </w:p>
        </w:tc>
      </w:tr>
      <w:tr w:rsidR="0031235C" w:rsidRPr="007626F7" w14:paraId="545475EC" w14:textId="77777777" w:rsidTr="005D531E">
        <w:trPr>
          <w:cantSplit/>
          <w:trHeight w:val="540"/>
        </w:trPr>
        <w:tc>
          <w:tcPr>
            <w:tcW w:w="2599" w:type="dxa"/>
            <w:gridSpan w:val="2"/>
            <w:vMerge w:val="restart"/>
            <w:tcBorders>
              <w:top w:val="single" w:sz="16" w:space="0" w:color="000000"/>
              <w:left w:val="single" w:sz="16" w:space="0" w:color="000000"/>
              <w:bottom w:val="nil"/>
              <w:right w:val="nil"/>
            </w:tcBorders>
            <w:shd w:val="clear" w:color="auto" w:fill="FFFFFF"/>
            <w:vAlign w:val="bottom"/>
          </w:tcPr>
          <w:p w14:paraId="0D3F7578"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Модель</w:t>
            </w:r>
          </w:p>
        </w:tc>
        <w:tc>
          <w:tcPr>
            <w:tcW w:w="2955" w:type="dxa"/>
            <w:gridSpan w:val="2"/>
            <w:tcBorders>
              <w:top w:val="single" w:sz="16" w:space="0" w:color="000000"/>
              <w:left w:val="single" w:sz="16" w:space="0" w:color="000000"/>
            </w:tcBorders>
            <w:shd w:val="clear" w:color="auto" w:fill="FFFFFF"/>
            <w:vAlign w:val="bottom"/>
          </w:tcPr>
          <w:p w14:paraId="568A3D7B"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lang w:val="uk-UA"/>
              </w:rPr>
            </w:pPr>
            <w:r w:rsidRPr="007626F7">
              <w:rPr>
                <w:rFonts w:ascii="Times New Roman" w:hAnsi="Times New Roman" w:cs="Times New Roman"/>
                <w:color w:val="000000"/>
                <w:lang w:val="uk-UA"/>
              </w:rPr>
              <w:t>Н</w:t>
            </w:r>
            <w:r w:rsidRPr="007626F7">
              <w:rPr>
                <w:rFonts w:ascii="Times New Roman" w:hAnsi="Times New Roman" w:cs="Times New Roman"/>
                <w:color w:val="000000"/>
              </w:rPr>
              <w:t>естандартизован</w:t>
            </w:r>
            <w:r w:rsidRPr="007626F7">
              <w:rPr>
                <w:rFonts w:ascii="Times New Roman" w:hAnsi="Times New Roman" w:cs="Times New Roman"/>
                <w:color w:val="000000"/>
                <w:lang w:val="uk-UA"/>
              </w:rPr>
              <w:t>і</w:t>
            </w:r>
          </w:p>
          <w:p w14:paraId="10657D11"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коефіцієнти</w:t>
            </w:r>
          </w:p>
        </w:tc>
        <w:tc>
          <w:tcPr>
            <w:tcW w:w="1476" w:type="dxa"/>
            <w:tcBorders>
              <w:top w:val="single" w:sz="16" w:space="0" w:color="000000"/>
            </w:tcBorders>
            <w:shd w:val="clear" w:color="auto" w:fill="FFFFFF"/>
            <w:vAlign w:val="bottom"/>
          </w:tcPr>
          <w:p w14:paraId="207B9F70"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lang w:val="uk-UA"/>
              </w:rPr>
              <w:t>С</w:t>
            </w:r>
            <w:r w:rsidRPr="007626F7">
              <w:rPr>
                <w:rFonts w:ascii="Times New Roman" w:hAnsi="Times New Roman" w:cs="Times New Roman"/>
                <w:color w:val="000000"/>
              </w:rPr>
              <w:t>тандартизовані коефіцієнти</w:t>
            </w:r>
          </w:p>
        </w:tc>
        <w:tc>
          <w:tcPr>
            <w:tcW w:w="1028" w:type="dxa"/>
            <w:vMerge w:val="restart"/>
            <w:tcBorders>
              <w:top w:val="single" w:sz="16" w:space="0" w:color="000000"/>
            </w:tcBorders>
            <w:shd w:val="clear" w:color="auto" w:fill="FFFFFF"/>
            <w:vAlign w:val="bottom"/>
          </w:tcPr>
          <w:p w14:paraId="41A0503F"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т</w:t>
            </w:r>
          </w:p>
        </w:tc>
        <w:tc>
          <w:tcPr>
            <w:tcW w:w="1351" w:type="dxa"/>
            <w:vMerge w:val="restart"/>
            <w:tcBorders>
              <w:top w:val="single" w:sz="16" w:space="0" w:color="000000"/>
              <w:right w:val="single" w:sz="16" w:space="0" w:color="000000"/>
            </w:tcBorders>
            <w:shd w:val="clear" w:color="auto" w:fill="FFFFFF"/>
            <w:vAlign w:val="bottom"/>
          </w:tcPr>
          <w:p w14:paraId="3E336272"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lang w:val="uk-UA"/>
              </w:rPr>
            </w:pPr>
            <w:r w:rsidRPr="007626F7">
              <w:rPr>
                <w:rFonts w:ascii="Times New Roman" w:hAnsi="Times New Roman" w:cs="Times New Roman"/>
                <w:color w:val="000000"/>
              </w:rPr>
              <w:t>Значи</w:t>
            </w:r>
            <w:r w:rsidRPr="007626F7">
              <w:rPr>
                <w:rFonts w:ascii="Times New Roman" w:hAnsi="Times New Roman" w:cs="Times New Roman"/>
                <w:color w:val="000000"/>
                <w:lang w:val="uk-UA"/>
              </w:rPr>
              <w:t>мість</w:t>
            </w:r>
          </w:p>
        </w:tc>
      </w:tr>
      <w:tr w:rsidR="0031235C" w:rsidRPr="007626F7" w14:paraId="4586D8FC" w14:textId="77777777" w:rsidTr="005D531E">
        <w:trPr>
          <w:cantSplit/>
          <w:trHeight w:val="381"/>
        </w:trPr>
        <w:tc>
          <w:tcPr>
            <w:tcW w:w="2599" w:type="dxa"/>
            <w:gridSpan w:val="2"/>
            <w:vMerge/>
            <w:tcBorders>
              <w:top w:val="single" w:sz="16" w:space="0" w:color="000000"/>
              <w:left w:val="single" w:sz="16" w:space="0" w:color="000000"/>
              <w:bottom w:val="nil"/>
              <w:right w:val="nil"/>
            </w:tcBorders>
            <w:shd w:val="clear" w:color="auto" w:fill="FFFFFF"/>
            <w:vAlign w:val="bottom"/>
          </w:tcPr>
          <w:p w14:paraId="473CB5A7" w14:textId="77777777" w:rsidR="0031235C" w:rsidRPr="007626F7" w:rsidRDefault="0031235C" w:rsidP="007626F7">
            <w:pPr>
              <w:autoSpaceDE w:val="0"/>
              <w:autoSpaceDN w:val="0"/>
              <w:adjustRightInd w:val="0"/>
              <w:spacing w:after="0" w:line="360" w:lineRule="auto"/>
              <w:jc w:val="center"/>
              <w:rPr>
                <w:rFonts w:ascii="Times New Roman" w:hAnsi="Times New Roman" w:cs="Times New Roman"/>
                <w:color w:val="000000"/>
              </w:rPr>
            </w:pPr>
          </w:p>
        </w:tc>
        <w:tc>
          <w:tcPr>
            <w:tcW w:w="1476" w:type="dxa"/>
            <w:tcBorders>
              <w:left w:val="single" w:sz="16" w:space="0" w:color="000000"/>
              <w:bottom w:val="single" w:sz="16" w:space="0" w:color="000000"/>
            </w:tcBorders>
            <w:shd w:val="clear" w:color="auto" w:fill="FFFFFF"/>
            <w:vAlign w:val="bottom"/>
          </w:tcPr>
          <w:p w14:paraId="7F11961D"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B</w:t>
            </w:r>
          </w:p>
        </w:tc>
        <w:tc>
          <w:tcPr>
            <w:tcW w:w="1478" w:type="dxa"/>
            <w:tcBorders>
              <w:bottom w:val="single" w:sz="16" w:space="0" w:color="000000"/>
            </w:tcBorders>
            <w:shd w:val="clear" w:color="auto" w:fill="FFFFFF"/>
            <w:vAlign w:val="bottom"/>
          </w:tcPr>
          <w:p w14:paraId="60B8DD8E"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lang w:val="uk-UA"/>
              </w:rPr>
            </w:pPr>
            <w:r w:rsidRPr="007626F7">
              <w:rPr>
                <w:rFonts w:ascii="Times New Roman" w:hAnsi="Times New Roman" w:cs="Times New Roman"/>
                <w:color w:val="000000"/>
              </w:rPr>
              <w:t xml:space="preserve">Стандартна </w:t>
            </w:r>
            <w:r w:rsidRPr="007626F7">
              <w:rPr>
                <w:rFonts w:ascii="Times New Roman" w:hAnsi="Times New Roman" w:cs="Times New Roman"/>
                <w:color w:val="000000"/>
                <w:lang w:val="uk-UA"/>
              </w:rPr>
              <w:t>помилка</w:t>
            </w:r>
          </w:p>
        </w:tc>
        <w:tc>
          <w:tcPr>
            <w:tcW w:w="1476" w:type="dxa"/>
            <w:tcBorders>
              <w:bottom w:val="single" w:sz="16" w:space="0" w:color="000000"/>
            </w:tcBorders>
            <w:shd w:val="clear" w:color="auto" w:fill="FFFFFF"/>
            <w:vAlign w:val="bottom"/>
          </w:tcPr>
          <w:p w14:paraId="2F1876B7"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Бета</w:t>
            </w:r>
          </w:p>
        </w:tc>
        <w:tc>
          <w:tcPr>
            <w:tcW w:w="1028" w:type="dxa"/>
            <w:vMerge/>
            <w:tcBorders>
              <w:top w:val="single" w:sz="16" w:space="0" w:color="000000"/>
            </w:tcBorders>
            <w:shd w:val="clear" w:color="auto" w:fill="FFFFFF"/>
            <w:vAlign w:val="bottom"/>
          </w:tcPr>
          <w:p w14:paraId="588F140F" w14:textId="77777777" w:rsidR="0031235C" w:rsidRPr="007626F7" w:rsidRDefault="0031235C" w:rsidP="007626F7">
            <w:pPr>
              <w:autoSpaceDE w:val="0"/>
              <w:autoSpaceDN w:val="0"/>
              <w:adjustRightInd w:val="0"/>
              <w:spacing w:after="0" w:line="360" w:lineRule="auto"/>
              <w:jc w:val="center"/>
              <w:rPr>
                <w:rFonts w:ascii="Times New Roman" w:hAnsi="Times New Roman" w:cs="Times New Roman"/>
                <w:color w:val="000000"/>
              </w:rPr>
            </w:pPr>
          </w:p>
        </w:tc>
        <w:tc>
          <w:tcPr>
            <w:tcW w:w="1351" w:type="dxa"/>
            <w:vMerge/>
            <w:tcBorders>
              <w:top w:val="single" w:sz="16" w:space="0" w:color="000000"/>
              <w:right w:val="single" w:sz="16" w:space="0" w:color="000000"/>
            </w:tcBorders>
            <w:shd w:val="clear" w:color="auto" w:fill="FFFFFF"/>
            <w:vAlign w:val="bottom"/>
          </w:tcPr>
          <w:p w14:paraId="04016B87" w14:textId="77777777" w:rsidR="0031235C" w:rsidRPr="007626F7" w:rsidRDefault="0031235C" w:rsidP="007626F7">
            <w:pPr>
              <w:autoSpaceDE w:val="0"/>
              <w:autoSpaceDN w:val="0"/>
              <w:adjustRightInd w:val="0"/>
              <w:spacing w:after="0" w:line="360" w:lineRule="auto"/>
              <w:jc w:val="center"/>
              <w:rPr>
                <w:rFonts w:ascii="Times New Roman" w:hAnsi="Times New Roman" w:cs="Times New Roman"/>
                <w:color w:val="000000"/>
              </w:rPr>
            </w:pPr>
          </w:p>
        </w:tc>
      </w:tr>
      <w:tr w:rsidR="001114EC" w:rsidRPr="007626F7" w14:paraId="04B74039" w14:textId="77777777" w:rsidTr="005D531E">
        <w:trPr>
          <w:cantSplit/>
          <w:trHeight w:val="367"/>
        </w:trPr>
        <w:tc>
          <w:tcPr>
            <w:tcW w:w="734" w:type="dxa"/>
            <w:vMerge w:val="restart"/>
            <w:tcBorders>
              <w:top w:val="single" w:sz="16" w:space="0" w:color="000000"/>
              <w:left w:val="single" w:sz="16" w:space="0" w:color="000000"/>
              <w:bottom w:val="single" w:sz="16" w:space="0" w:color="000000"/>
              <w:right w:val="nil"/>
            </w:tcBorders>
            <w:shd w:val="clear" w:color="auto" w:fill="FFFFFF"/>
          </w:tcPr>
          <w:p w14:paraId="613F0533"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w:t>
            </w:r>
          </w:p>
        </w:tc>
        <w:tc>
          <w:tcPr>
            <w:tcW w:w="1865" w:type="dxa"/>
            <w:tcBorders>
              <w:top w:val="single" w:sz="16" w:space="0" w:color="000000"/>
              <w:left w:val="nil"/>
              <w:bottom w:val="nil"/>
              <w:right w:val="single" w:sz="16" w:space="0" w:color="000000"/>
            </w:tcBorders>
            <w:shd w:val="clear" w:color="auto" w:fill="FFFFFF"/>
          </w:tcPr>
          <w:p w14:paraId="49B76492"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(Константа)</w:t>
            </w:r>
          </w:p>
        </w:tc>
        <w:tc>
          <w:tcPr>
            <w:tcW w:w="1476" w:type="dxa"/>
            <w:tcBorders>
              <w:top w:val="single" w:sz="16" w:space="0" w:color="000000"/>
              <w:left w:val="single" w:sz="16" w:space="0" w:color="000000"/>
              <w:bottom w:val="nil"/>
            </w:tcBorders>
            <w:shd w:val="clear" w:color="auto" w:fill="FFFFFF"/>
            <w:vAlign w:val="center"/>
          </w:tcPr>
          <w:p w14:paraId="1B9A1639"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2213323858240,793</w:t>
            </w:r>
          </w:p>
        </w:tc>
        <w:tc>
          <w:tcPr>
            <w:tcW w:w="1478" w:type="dxa"/>
            <w:tcBorders>
              <w:top w:val="single" w:sz="16" w:space="0" w:color="000000"/>
              <w:bottom w:val="nil"/>
            </w:tcBorders>
            <w:shd w:val="clear" w:color="auto" w:fill="FFFFFF"/>
            <w:vAlign w:val="center"/>
          </w:tcPr>
          <w:p w14:paraId="015352BE"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1069872555539,363</w:t>
            </w:r>
          </w:p>
        </w:tc>
        <w:tc>
          <w:tcPr>
            <w:tcW w:w="1476" w:type="dxa"/>
            <w:tcBorders>
              <w:top w:val="single" w:sz="16" w:space="0" w:color="000000"/>
              <w:bottom w:val="nil"/>
            </w:tcBorders>
            <w:shd w:val="clear" w:color="auto" w:fill="FFFFFF"/>
            <w:vAlign w:val="center"/>
          </w:tcPr>
          <w:p w14:paraId="7499E1D1" w14:textId="77777777" w:rsidR="0031235C" w:rsidRPr="007626F7" w:rsidRDefault="0031235C" w:rsidP="007626F7">
            <w:pPr>
              <w:autoSpaceDE w:val="0"/>
              <w:autoSpaceDN w:val="0"/>
              <w:adjustRightInd w:val="0"/>
              <w:spacing w:after="0" w:line="360" w:lineRule="auto"/>
              <w:jc w:val="center"/>
              <w:rPr>
                <w:rFonts w:ascii="Times New Roman" w:hAnsi="Times New Roman" w:cs="Times New Roman"/>
              </w:rPr>
            </w:pPr>
          </w:p>
        </w:tc>
        <w:tc>
          <w:tcPr>
            <w:tcW w:w="1028" w:type="dxa"/>
            <w:tcBorders>
              <w:top w:val="single" w:sz="16" w:space="0" w:color="000000"/>
              <w:bottom w:val="nil"/>
            </w:tcBorders>
            <w:shd w:val="clear" w:color="auto" w:fill="FFFFFF"/>
            <w:vAlign w:val="center"/>
          </w:tcPr>
          <w:p w14:paraId="4E7901DE"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2,069</w:t>
            </w:r>
          </w:p>
        </w:tc>
        <w:tc>
          <w:tcPr>
            <w:tcW w:w="1351" w:type="dxa"/>
            <w:tcBorders>
              <w:top w:val="single" w:sz="16" w:space="0" w:color="000000"/>
              <w:bottom w:val="nil"/>
              <w:right w:val="single" w:sz="16" w:space="0" w:color="000000"/>
            </w:tcBorders>
            <w:shd w:val="clear" w:color="auto" w:fill="FFFFFF"/>
            <w:vAlign w:val="center"/>
          </w:tcPr>
          <w:p w14:paraId="13497918"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,043</w:t>
            </w:r>
          </w:p>
        </w:tc>
      </w:tr>
      <w:tr w:rsidR="001114EC" w:rsidRPr="007626F7" w14:paraId="3E684615" w14:textId="77777777" w:rsidTr="005D531E">
        <w:trPr>
          <w:cantSplit/>
          <w:trHeight w:val="381"/>
        </w:trPr>
        <w:tc>
          <w:tcPr>
            <w:tcW w:w="734" w:type="dxa"/>
            <w:vMerge/>
            <w:tcBorders>
              <w:top w:val="single" w:sz="16" w:space="0" w:color="000000"/>
              <w:left w:val="single" w:sz="16" w:space="0" w:color="000000"/>
              <w:bottom w:val="single" w:sz="16" w:space="0" w:color="000000"/>
              <w:right w:val="nil"/>
            </w:tcBorders>
            <w:shd w:val="clear" w:color="auto" w:fill="FFFFFF"/>
          </w:tcPr>
          <w:p w14:paraId="05278E85" w14:textId="77777777" w:rsidR="0031235C" w:rsidRPr="007626F7" w:rsidRDefault="0031235C" w:rsidP="007626F7">
            <w:pPr>
              <w:autoSpaceDE w:val="0"/>
              <w:autoSpaceDN w:val="0"/>
              <w:adjustRightInd w:val="0"/>
              <w:spacing w:after="0" w:line="360" w:lineRule="auto"/>
              <w:jc w:val="center"/>
              <w:rPr>
                <w:rFonts w:ascii="Times New Roman" w:hAnsi="Times New Roman" w:cs="Times New Roman"/>
                <w:color w:val="000000"/>
              </w:rPr>
            </w:pPr>
          </w:p>
        </w:tc>
        <w:tc>
          <w:tcPr>
            <w:tcW w:w="1865" w:type="dxa"/>
            <w:tcBorders>
              <w:top w:val="nil"/>
              <w:left w:val="nil"/>
              <w:bottom w:val="nil"/>
              <w:right w:val="single" w:sz="16" w:space="0" w:color="000000"/>
            </w:tcBorders>
            <w:shd w:val="clear" w:color="auto" w:fill="FFFFFF"/>
          </w:tcPr>
          <w:p w14:paraId="5993468D"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Відсоткова ставка</w:t>
            </w:r>
          </w:p>
        </w:tc>
        <w:tc>
          <w:tcPr>
            <w:tcW w:w="1476" w:type="dxa"/>
            <w:tcBorders>
              <w:top w:val="nil"/>
              <w:left w:val="single" w:sz="16" w:space="0" w:color="000000"/>
              <w:bottom w:val="nil"/>
            </w:tcBorders>
            <w:shd w:val="clear" w:color="auto" w:fill="FFFFFF"/>
            <w:vAlign w:val="center"/>
          </w:tcPr>
          <w:p w14:paraId="02067EF2"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2273099501,358</w:t>
            </w:r>
          </w:p>
        </w:tc>
        <w:tc>
          <w:tcPr>
            <w:tcW w:w="1478" w:type="dxa"/>
            <w:tcBorders>
              <w:top w:val="nil"/>
              <w:bottom w:val="nil"/>
            </w:tcBorders>
            <w:shd w:val="clear" w:color="auto" w:fill="FFFFFF"/>
            <w:vAlign w:val="center"/>
          </w:tcPr>
          <w:p w14:paraId="4E40B6B8"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2768989725,938</w:t>
            </w:r>
          </w:p>
        </w:tc>
        <w:tc>
          <w:tcPr>
            <w:tcW w:w="1476" w:type="dxa"/>
            <w:tcBorders>
              <w:top w:val="nil"/>
              <w:bottom w:val="nil"/>
            </w:tcBorders>
            <w:shd w:val="clear" w:color="auto" w:fill="FFFFFF"/>
            <w:vAlign w:val="center"/>
          </w:tcPr>
          <w:p w14:paraId="23AEA284"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,037</w:t>
            </w:r>
          </w:p>
        </w:tc>
        <w:tc>
          <w:tcPr>
            <w:tcW w:w="1028" w:type="dxa"/>
            <w:tcBorders>
              <w:top w:val="nil"/>
              <w:bottom w:val="nil"/>
            </w:tcBorders>
            <w:shd w:val="clear" w:color="auto" w:fill="FFFFFF"/>
            <w:vAlign w:val="center"/>
          </w:tcPr>
          <w:p w14:paraId="7D9D5B1F"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,821</w:t>
            </w:r>
          </w:p>
        </w:tc>
        <w:tc>
          <w:tcPr>
            <w:tcW w:w="1351" w:type="dxa"/>
            <w:tcBorders>
              <w:top w:val="nil"/>
              <w:bottom w:val="nil"/>
              <w:right w:val="single" w:sz="16" w:space="0" w:color="000000"/>
            </w:tcBorders>
            <w:shd w:val="clear" w:color="auto" w:fill="FFFFFF"/>
            <w:vAlign w:val="center"/>
          </w:tcPr>
          <w:p w14:paraId="18BDA4CF"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,415</w:t>
            </w:r>
          </w:p>
        </w:tc>
      </w:tr>
      <w:tr w:rsidR="001114EC" w:rsidRPr="007626F7" w14:paraId="698AF704" w14:textId="77777777" w:rsidTr="005D531E">
        <w:trPr>
          <w:cantSplit/>
          <w:trHeight w:val="203"/>
        </w:trPr>
        <w:tc>
          <w:tcPr>
            <w:tcW w:w="734" w:type="dxa"/>
            <w:vMerge/>
            <w:tcBorders>
              <w:top w:val="single" w:sz="16" w:space="0" w:color="000000"/>
              <w:left w:val="single" w:sz="16" w:space="0" w:color="000000"/>
              <w:bottom w:val="single" w:sz="16" w:space="0" w:color="000000"/>
              <w:right w:val="nil"/>
            </w:tcBorders>
            <w:shd w:val="clear" w:color="auto" w:fill="FFFFFF"/>
          </w:tcPr>
          <w:p w14:paraId="415565E7" w14:textId="77777777" w:rsidR="0031235C" w:rsidRPr="007626F7" w:rsidRDefault="0031235C" w:rsidP="007626F7">
            <w:pPr>
              <w:autoSpaceDE w:val="0"/>
              <w:autoSpaceDN w:val="0"/>
              <w:adjustRightInd w:val="0"/>
              <w:spacing w:after="0" w:line="360" w:lineRule="auto"/>
              <w:jc w:val="center"/>
              <w:rPr>
                <w:rFonts w:ascii="Times New Roman" w:hAnsi="Times New Roman" w:cs="Times New Roman"/>
                <w:color w:val="000000"/>
              </w:rPr>
            </w:pPr>
          </w:p>
        </w:tc>
        <w:tc>
          <w:tcPr>
            <w:tcW w:w="1865" w:type="dxa"/>
            <w:tcBorders>
              <w:top w:val="nil"/>
              <w:left w:val="nil"/>
              <w:bottom w:val="nil"/>
              <w:right w:val="single" w:sz="16" w:space="0" w:color="000000"/>
            </w:tcBorders>
            <w:shd w:val="clear" w:color="auto" w:fill="FFFFFF"/>
          </w:tcPr>
          <w:p w14:paraId="04331355"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Зовнішній борг</w:t>
            </w:r>
          </w:p>
        </w:tc>
        <w:tc>
          <w:tcPr>
            <w:tcW w:w="1476" w:type="dxa"/>
            <w:tcBorders>
              <w:top w:val="nil"/>
              <w:left w:val="single" w:sz="16" w:space="0" w:color="000000"/>
              <w:bottom w:val="nil"/>
            </w:tcBorders>
            <w:shd w:val="clear" w:color="auto" w:fill="FFFFFF"/>
            <w:vAlign w:val="center"/>
          </w:tcPr>
          <w:p w14:paraId="36795123"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-1,105</w:t>
            </w:r>
          </w:p>
        </w:tc>
        <w:tc>
          <w:tcPr>
            <w:tcW w:w="1478" w:type="dxa"/>
            <w:tcBorders>
              <w:top w:val="nil"/>
              <w:bottom w:val="nil"/>
            </w:tcBorders>
            <w:shd w:val="clear" w:color="auto" w:fill="FFFFFF"/>
            <w:vAlign w:val="center"/>
          </w:tcPr>
          <w:p w14:paraId="672A7A76"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,529</w:t>
            </w:r>
          </w:p>
        </w:tc>
        <w:tc>
          <w:tcPr>
            <w:tcW w:w="1476" w:type="dxa"/>
            <w:tcBorders>
              <w:top w:val="nil"/>
              <w:bottom w:val="nil"/>
            </w:tcBorders>
            <w:shd w:val="clear" w:color="auto" w:fill="FFFFFF"/>
            <w:vAlign w:val="center"/>
          </w:tcPr>
          <w:p w14:paraId="63A8FD65"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-,124</w:t>
            </w:r>
          </w:p>
        </w:tc>
        <w:tc>
          <w:tcPr>
            <w:tcW w:w="1028" w:type="dxa"/>
            <w:tcBorders>
              <w:top w:val="nil"/>
              <w:bottom w:val="nil"/>
            </w:tcBorders>
            <w:shd w:val="clear" w:color="auto" w:fill="FFFFFF"/>
            <w:vAlign w:val="center"/>
          </w:tcPr>
          <w:p w14:paraId="650E078C"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-2,089</w:t>
            </w:r>
          </w:p>
        </w:tc>
        <w:tc>
          <w:tcPr>
            <w:tcW w:w="1351" w:type="dxa"/>
            <w:tcBorders>
              <w:top w:val="nil"/>
              <w:bottom w:val="nil"/>
              <w:right w:val="single" w:sz="16" w:space="0" w:color="000000"/>
            </w:tcBorders>
            <w:shd w:val="clear" w:color="auto" w:fill="FFFFFF"/>
            <w:vAlign w:val="center"/>
          </w:tcPr>
          <w:p w14:paraId="6644695D"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,041</w:t>
            </w:r>
          </w:p>
        </w:tc>
      </w:tr>
      <w:tr w:rsidR="001114EC" w:rsidRPr="007626F7" w14:paraId="06066069" w14:textId="77777777" w:rsidTr="005D531E">
        <w:trPr>
          <w:cantSplit/>
          <w:trHeight w:val="381"/>
        </w:trPr>
        <w:tc>
          <w:tcPr>
            <w:tcW w:w="734" w:type="dxa"/>
            <w:vMerge/>
            <w:tcBorders>
              <w:top w:val="single" w:sz="16" w:space="0" w:color="000000"/>
              <w:left w:val="single" w:sz="16" w:space="0" w:color="000000"/>
              <w:bottom w:val="single" w:sz="16" w:space="0" w:color="000000"/>
              <w:right w:val="nil"/>
            </w:tcBorders>
            <w:shd w:val="clear" w:color="auto" w:fill="FFFFFF"/>
          </w:tcPr>
          <w:p w14:paraId="13333351" w14:textId="77777777" w:rsidR="0031235C" w:rsidRPr="007626F7" w:rsidRDefault="0031235C" w:rsidP="007626F7">
            <w:pPr>
              <w:autoSpaceDE w:val="0"/>
              <w:autoSpaceDN w:val="0"/>
              <w:adjustRightInd w:val="0"/>
              <w:spacing w:after="0" w:line="360" w:lineRule="auto"/>
              <w:jc w:val="center"/>
              <w:rPr>
                <w:rFonts w:ascii="Times New Roman" w:hAnsi="Times New Roman" w:cs="Times New Roman"/>
                <w:color w:val="000000"/>
              </w:rPr>
            </w:pPr>
          </w:p>
        </w:tc>
        <w:tc>
          <w:tcPr>
            <w:tcW w:w="1865" w:type="dxa"/>
            <w:tcBorders>
              <w:top w:val="nil"/>
              <w:left w:val="nil"/>
              <w:bottom w:val="nil"/>
              <w:right w:val="single" w:sz="16" w:space="0" w:color="000000"/>
            </w:tcBorders>
            <w:shd w:val="clear" w:color="auto" w:fill="FFFFFF"/>
          </w:tcPr>
          <w:p w14:paraId="2E445C41"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Валютний курс</w:t>
            </w:r>
          </w:p>
        </w:tc>
        <w:tc>
          <w:tcPr>
            <w:tcW w:w="1476" w:type="dxa"/>
            <w:tcBorders>
              <w:top w:val="nil"/>
              <w:left w:val="single" w:sz="16" w:space="0" w:color="000000"/>
              <w:bottom w:val="nil"/>
            </w:tcBorders>
            <w:shd w:val="clear" w:color="auto" w:fill="FFFFFF"/>
            <w:vAlign w:val="center"/>
          </w:tcPr>
          <w:p w14:paraId="0F93FB70"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8755930037,091</w:t>
            </w:r>
          </w:p>
        </w:tc>
        <w:tc>
          <w:tcPr>
            <w:tcW w:w="1478" w:type="dxa"/>
            <w:tcBorders>
              <w:top w:val="nil"/>
              <w:bottom w:val="nil"/>
            </w:tcBorders>
            <w:shd w:val="clear" w:color="auto" w:fill="FFFFFF"/>
            <w:vAlign w:val="center"/>
          </w:tcPr>
          <w:p w14:paraId="3B21B8A7"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3400465256,149</w:t>
            </w:r>
          </w:p>
        </w:tc>
        <w:tc>
          <w:tcPr>
            <w:tcW w:w="1476" w:type="dxa"/>
            <w:tcBorders>
              <w:top w:val="nil"/>
              <w:bottom w:val="nil"/>
            </w:tcBorders>
            <w:shd w:val="clear" w:color="auto" w:fill="FFFFFF"/>
            <w:vAlign w:val="center"/>
          </w:tcPr>
          <w:p w14:paraId="17B5A4A7"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,245</w:t>
            </w:r>
          </w:p>
        </w:tc>
        <w:tc>
          <w:tcPr>
            <w:tcW w:w="1028" w:type="dxa"/>
            <w:tcBorders>
              <w:top w:val="nil"/>
              <w:bottom w:val="nil"/>
            </w:tcBorders>
            <w:shd w:val="clear" w:color="auto" w:fill="FFFFFF"/>
            <w:vAlign w:val="center"/>
          </w:tcPr>
          <w:p w14:paraId="2E7A672C"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2,575</w:t>
            </w:r>
          </w:p>
        </w:tc>
        <w:tc>
          <w:tcPr>
            <w:tcW w:w="1351" w:type="dxa"/>
            <w:tcBorders>
              <w:top w:val="nil"/>
              <w:bottom w:val="nil"/>
              <w:right w:val="single" w:sz="16" w:space="0" w:color="000000"/>
            </w:tcBorders>
            <w:shd w:val="clear" w:color="auto" w:fill="FFFFFF"/>
            <w:vAlign w:val="center"/>
          </w:tcPr>
          <w:p w14:paraId="28D4C7EC"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,012</w:t>
            </w:r>
          </w:p>
        </w:tc>
      </w:tr>
      <w:tr w:rsidR="001114EC" w:rsidRPr="007626F7" w14:paraId="02F09711" w14:textId="77777777" w:rsidTr="005D531E">
        <w:trPr>
          <w:cantSplit/>
          <w:trHeight w:val="563"/>
        </w:trPr>
        <w:tc>
          <w:tcPr>
            <w:tcW w:w="734" w:type="dxa"/>
            <w:vMerge/>
            <w:tcBorders>
              <w:top w:val="single" w:sz="16" w:space="0" w:color="000000"/>
              <w:left w:val="single" w:sz="16" w:space="0" w:color="000000"/>
              <w:bottom w:val="single" w:sz="16" w:space="0" w:color="000000"/>
              <w:right w:val="nil"/>
            </w:tcBorders>
            <w:shd w:val="clear" w:color="auto" w:fill="FFFFFF"/>
          </w:tcPr>
          <w:p w14:paraId="3DAD4E0C" w14:textId="77777777" w:rsidR="0031235C" w:rsidRPr="007626F7" w:rsidRDefault="0031235C" w:rsidP="007626F7">
            <w:pPr>
              <w:autoSpaceDE w:val="0"/>
              <w:autoSpaceDN w:val="0"/>
              <w:adjustRightInd w:val="0"/>
              <w:spacing w:after="0" w:line="360" w:lineRule="auto"/>
              <w:jc w:val="center"/>
              <w:rPr>
                <w:rFonts w:ascii="Times New Roman" w:hAnsi="Times New Roman" w:cs="Times New Roman"/>
                <w:color w:val="000000"/>
              </w:rPr>
            </w:pPr>
          </w:p>
        </w:tc>
        <w:tc>
          <w:tcPr>
            <w:tcW w:w="1865" w:type="dxa"/>
            <w:tcBorders>
              <w:top w:val="nil"/>
              <w:left w:val="nil"/>
              <w:bottom w:val="nil"/>
              <w:right w:val="single" w:sz="16" w:space="0" w:color="000000"/>
            </w:tcBorders>
            <w:shd w:val="clear" w:color="auto" w:fill="FFFFFF"/>
          </w:tcPr>
          <w:p w14:paraId="3C97FB26"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Рівень цін</w:t>
            </w:r>
          </w:p>
        </w:tc>
        <w:tc>
          <w:tcPr>
            <w:tcW w:w="1476" w:type="dxa"/>
            <w:tcBorders>
              <w:top w:val="nil"/>
              <w:left w:val="single" w:sz="16" w:space="0" w:color="000000"/>
              <w:bottom w:val="nil"/>
            </w:tcBorders>
            <w:shd w:val="clear" w:color="auto" w:fill="FFFFFF"/>
            <w:vAlign w:val="center"/>
          </w:tcPr>
          <w:p w14:paraId="2D8AC403"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-7234684709,111</w:t>
            </w:r>
          </w:p>
        </w:tc>
        <w:tc>
          <w:tcPr>
            <w:tcW w:w="1478" w:type="dxa"/>
            <w:tcBorders>
              <w:top w:val="nil"/>
              <w:bottom w:val="nil"/>
            </w:tcBorders>
            <w:shd w:val="clear" w:color="auto" w:fill="FFFFFF"/>
            <w:vAlign w:val="center"/>
          </w:tcPr>
          <w:p w14:paraId="3F8E6D73"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3538142219,827</w:t>
            </w:r>
          </w:p>
        </w:tc>
        <w:tc>
          <w:tcPr>
            <w:tcW w:w="1476" w:type="dxa"/>
            <w:tcBorders>
              <w:top w:val="nil"/>
              <w:bottom w:val="nil"/>
            </w:tcBorders>
            <w:shd w:val="clear" w:color="auto" w:fill="FFFFFF"/>
            <w:vAlign w:val="center"/>
          </w:tcPr>
          <w:p w14:paraId="56099DC2"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-,080</w:t>
            </w:r>
          </w:p>
        </w:tc>
        <w:tc>
          <w:tcPr>
            <w:tcW w:w="1028" w:type="dxa"/>
            <w:tcBorders>
              <w:top w:val="nil"/>
              <w:bottom w:val="nil"/>
            </w:tcBorders>
            <w:shd w:val="clear" w:color="auto" w:fill="FFFFFF"/>
            <w:vAlign w:val="center"/>
          </w:tcPr>
          <w:p w14:paraId="49F5F22B"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-2,045</w:t>
            </w:r>
          </w:p>
        </w:tc>
        <w:tc>
          <w:tcPr>
            <w:tcW w:w="1351" w:type="dxa"/>
            <w:tcBorders>
              <w:top w:val="nil"/>
              <w:bottom w:val="nil"/>
              <w:right w:val="single" w:sz="16" w:space="0" w:color="000000"/>
            </w:tcBorders>
            <w:shd w:val="clear" w:color="auto" w:fill="FFFFFF"/>
            <w:vAlign w:val="center"/>
          </w:tcPr>
          <w:p w14:paraId="7B583B87"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,045</w:t>
            </w:r>
          </w:p>
        </w:tc>
      </w:tr>
      <w:tr w:rsidR="001114EC" w:rsidRPr="007626F7" w14:paraId="68BE1B00" w14:textId="77777777" w:rsidTr="005D531E">
        <w:trPr>
          <w:cantSplit/>
          <w:trHeight w:val="203"/>
        </w:trPr>
        <w:tc>
          <w:tcPr>
            <w:tcW w:w="734" w:type="dxa"/>
            <w:vMerge/>
            <w:tcBorders>
              <w:top w:val="single" w:sz="16" w:space="0" w:color="000000"/>
              <w:left w:val="single" w:sz="16" w:space="0" w:color="000000"/>
              <w:bottom w:val="single" w:sz="16" w:space="0" w:color="000000"/>
              <w:right w:val="nil"/>
            </w:tcBorders>
            <w:shd w:val="clear" w:color="auto" w:fill="FFFFFF"/>
          </w:tcPr>
          <w:p w14:paraId="62E025BD" w14:textId="77777777" w:rsidR="0031235C" w:rsidRPr="007626F7" w:rsidRDefault="0031235C" w:rsidP="007626F7">
            <w:pPr>
              <w:autoSpaceDE w:val="0"/>
              <w:autoSpaceDN w:val="0"/>
              <w:adjustRightInd w:val="0"/>
              <w:spacing w:after="0" w:line="360" w:lineRule="auto"/>
              <w:jc w:val="center"/>
              <w:rPr>
                <w:rFonts w:ascii="Times New Roman" w:hAnsi="Times New Roman" w:cs="Times New Roman"/>
                <w:color w:val="000000"/>
              </w:rPr>
            </w:pPr>
          </w:p>
        </w:tc>
        <w:tc>
          <w:tcPr>
            <w:tcW w:w="1865" w:type="dxa"/>
            <w:tcBorders>
              <w:top w:val="nil"/>
              <w:left w:val="nil"/>
              <w:bottom w:val="single" w:sz="16" w:space="0" w:color="000000"/>
              <w:right w:val="single" w:sz="16" w:space="0" w:color="000000"/>
            </w:tcBorders>
            <w:shd w:val="clear" w:color="auto" w:fill="FFFFFF"/>
          </w:tcPr>
          <w:p w14:paraId="4C14B734"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Грошова маса М1</w:t>
            </w:r>
          </w:p>
        </w:tc>
        <w:tc>
          <w:tcPr>
            <w:tcW w:w="1476" w:type="dxa"/>
            <w:tcBorders>
              <w:top w:val="nil"/>
              <w:left w:val="single" w:sz="16" w:space="0" w:color="000000"/>
              <w:bottom w:val="single" w:sz="16" w:space="0" w:color="000000"/>
            </w:tcBorders>
            <w:shd w:val="clear" w:color="auto" w:fill="FFFFFF"/>
            <w:vAlign w:val="center"/>
          </w:tcPr>
          <w:p w14:paraId="51C513D1"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1053215,559</w:t>
            </w:r>
          </w:p>
        </w:tc>
        <w:tc>
          <w:tcPr>
            <w:tcW w:w="1478" w:type="dxa"/>
            <w:tcBorders>
              <w:top w:val="nil"/>
              <w:bottom w:val="single" w:sz="16" w:space="0" w:color="000000"/>
            </w:tcBorders>
            <w:shd w:val="clear" w:color="auto" w:fill="FFFFFF"/>
            <w:vAlign w:val="center"/>
          </w:tcPr>
          <w:p w14:paraId="10960F2C"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147311,188</w:t>
            </w:r>
          </w:p>
        </w:tc>
        <w:tc>
          <w:tcPr>
            <w:tcW w:w="1476" w:type="dxa"/>
            <w:tcBorders>
              <w:top w:val="nil"/>
              <w:bottom w:val="single" w:sz="16" w:space="0" w:color="000000"/>
            </w:tcBorders>
            <w:shd w:val="clear" w:color="auto" w:fill="FFFFFF"/>
            <w:vAlign w:val="center"/>
          </w:tcPr>
          <w:p w14:paraId="67D0C115"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,797</w:t>
            </w:r>
          </w:p>
        </w:tc>
        <w:tc>
          <w:tcPr>
            <w:tcW w:w="1028" w:type="dxa"/>
            <w:tcBorders>
              <w:top w:val="nil"/>
              <w:bottom w:val="single" w:sz="16" w:space="0" w:color="000000"/>
            </w:tcBorders>
            <w:shd w:val="clear" w:color="auto" w:fill="FFFFFF"/>
            <w:vAlign w:val="center"/>
          </w:tcPr>
          <w:p w14:paraId="4E8C2203"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7,150</w:t>
            </w:r>
          </w:p>
        </w:tc>
        <w:tc>
          <w:tcPr>
            <w:tcW w:w="1351" w:type="dxa"/>
            <w:tcBorders>
              <w:top w:val="nil"/>
              <w:bottom w:val="single" w:sz="16" w:space="0" w:color="000000"/>
              <w:right w:val="single" w:sz="16" w:space="0" w:color="000000"/>
            </w:tcBorders>
            <w:shd w:val="clear" w:color="auto" w:fill="FFFFFF"/>
            <w:vAlign w:val="center"/>
          </w:tcPr>
          <w:p w14:paraId="7101AFB1" w14:textId="77777777" w:rsidR="0031235C" w:rsidRPr="007626F7" w:rsidRDefault="0031235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,000</w:t>
            </w:r>
          </w:p>
        </w:tc>
      </w:tr>
      <w:tr w:rsidR="0031235C" w:rsidRPr="007626F7" w14:paraId="15ACF5D9" w14:textId="77777777" w:rsidTr="005D531E">
        <w:trPr>
          <w:cantSplit/>
          <w:trHeight w:val="177"/>
        </w:trPr>
        <w:tc>
          <w:tcPr>
            <w:tcW w:w="9410" w:type="dxa"/>
            <w:gridSpan w:val="7"/>
            <w:tcBorders>
              <w:top w:val="nil"/>
              <w:left w:val="nil"/>
              <w:bottom w:val="nil"/>
              <w:right w:val="nil"/>
            </w:tcBorders>
            <w:shd w:val="clear" w:color="auto" w:fill="FFFFFF"/>
          </w:tcPr>
          <w:p w14:paraId="77999C76" w14:textId="77777777" w:rsidR="00457C58" w:rsidRPr="007626F7" w:rsidRDefault="00457C58" w:rsidP="007626F7">
            <w:pPr>
              <w:spacing w:after="0" w:line="360" w:lineRule="auto"/>
              <w:jc w:val="both"/>
              <w:textAlignment w:val="baseline"/>
              <w:rPr>
                <w:rFonts w:ascii="Times New Roman" w:eastAsia="Times New Roman" w:hAnsi="Times New Roman" w:cs="Times New Roman"/>
                <w:color w:val="1D1D1B"/>
                <w:sz w:val="28"/>
                <w:szCs w:val="28"/>
                <w:lang w:val="uk-UA"/>
              </w:rPr>
            </w:pPr>
            <w:r w:rsidRPr="007626F7">
              <w:rPr>
                <w:rFonts w:ascii="Times New Roman" w:eastAsia="Times New Roman" w:hAnsi="Times New Roman" w:cs="Times New Roman"/>
                <w:color w:val="1D1D1B"/>
                <w:sz w:val="28"/>
                <w:szCs w:val="28"/>
                <w:lang w:val="uk-UA"/>
              </w:rPr>
              <w:t>Джерело: розраховано автором.</w:t>
            </w:r>
          </w:p>
          <w:p w14:paraId="601EB906" w14:textId="77777777" w:rsidR="0031235C" w:rsidRPr="007626F7" w:rsidRDefault="0031235C" w:rsidP="007626F7">
            <w:pPr>
              <w:autoSpaceDE w:val="0"/>
              <w:autoSpaceDN w:val="0"/>
              <w:adjustRightInd w:val="0"/>
              <w:spacing w:after="0" w:line="360" w:lineRule="auto"/>
              <w:ind w:left="60" w:right="60"/>
              <w:rPr>
                <w:rFonts w:ascii="Times New Roman" w:hAnsi="Times New Roman" w:cs="Times New Roman"/>
                <w:color w:val="000000"/>
                <w:sz w:val="18"/>
                <w:szCs w:val="18"/>
              </w:rPr>
            </w:pPr>
          </w:p>
        </w:tc>
      </w:tr>
      <w:tr w:rsidR="001114EC" w:rsidRPr="007626F7" w14:paraId="129D5B1D" w14:textId="77777777" w:rsidTr="005D531E">
        <w:trPr>
          <w:cantSplit/>
          <w:trHeight w:val="177"/>
        </w:trPr>
        <w:tc>
          <w:tcPr>
            <w:tcW w:w="9410" w:type="dxa"/>
            <w:gridSpan w:val="7"/>
            <w:tcBorders>
              <w:top w:val="nil"/>
              <w:left w:val="nil"/>
              <w:bottom w:val="nil"/>
              <w:right w:val="nil"/>
            </w:tcBorders>
            <w:shd w:val="clear" w:color="auto" w:fill="FFFFFF"/>
          </w:tcPr>
          <w:p w14:paraId="68A1649A" w14:textId="0E117110" w:rsidR="001114EC" w:rsidRPr="007626F7" w:rsidRDefault="001114EC" w:rsidP="007626F7">
            <w:pPr>
              <w:autoSpaceDE w:val="0"/>
              <w:autoSpaceDN w:val="0"/>
              <w:adjustRightInd w:val="0"/>
              <w:spacing w:after="0" w:line="360" w:lineRule="auto"/>
              <w:ind w:right="60"/>
              <w:rPr>
                <w:rFonts w:ascii="Times New Roman" w:hAnsi="Times New Roman" w:cs="Times New Roman"/>
                <w:color w:val="000000"/>
                <w:sz w:val="18"/>
                <w:szCs w:val="18"/>
              </w:rPr>
            </w:pPr>
          </w:p>
        </w:tc>
      </w:tr>
    </w:tbl>
    <w:p w14:paraId="3FFD784D" w14:textId="23972AC1" w:rsidR="001114EC" w:rsidRPr="007626F7" w:rsidRDefault="00457C58"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 xml:space="preserve">ДОДАТОК </w:t>
      </w:r>
      <w:r w:rsidR="003B403A" w:rsidRPr="007626F7">
        <w:rPr>
          <w:rFonts w:ascii="Times New Roman" w:hAnsi="Times New Roman" w:cs="Times New Roman"/>
          <w:b/>
          <w:bCs/>
          <w:sz w:val="28"/>
          <w:szCs w:val="28"/>
        </w:rPr>
        <w:t>К</w:t>
      </w:r>
      <w:r w:rsidRPr="007626F7">
        <w:rPr>
          <w:rFonts w:ascii="Times New Roman" w:hAnsi="Times New Roman" w:cs="Times New Roman"/>
          <w:b/>
          <w:bCs/>
          <w:sz w:val="28"/>
          <w:szCs w:val="28"/>
        </w:rPr>
        <w:t>.1</w:t>
      </w:r>
    </w:p>
    <w:tbl>
      <w:tblPr>
        <w:tblW w:w="98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50"/>
        <w:gridCol w:w="1651"/>
        <w:gridCol w:w="1899"/>
        <w:gridCol w:w="2367"/>
        <w:gridCol w:w="2374"/>
      </w:tblGrid>
      <w:tr w:rsidR="001114EC" w:rsidRPr="007626F7" w14:paraId="7A7A5F0A" w14:textId="77777777" w:rsidTr="004519D8">
        <w:trPr>
          <w:cantSplit/>
          <w:trHeight w:val="514"/>
        </w:trPr>
        <w:tc>
          <w:tcPr>
            <w:tcW w:w="9841" w:type="dxa"/>
            <w:gridSpan w:val="5"/>
            <w:tcBorders>
              <w:top w:val="nil"/>
              <w:left w:val="nil"/>
              <w:bottom w:val="nil"/>
              <w:right w:val="nil"/>
            </w:tcBorders>
            <w:shd w:val="clear" w:color="auto" w:fill="FFFFFF"/>
            <w:vAlign w:val="center"/>
          </w:tcPr>
          <w:p w14:paraId="0C04B3FB"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b/>
                <w:bCs/>
                <w:color w:val="000000"/>
                <w:sz w:val="28"/>
                <w:szCs w:val="28"/>
                <w:lang w:val="uk-UA"/>
              </w:rPr>
            </w:pPr>
            <w:r w:rsidRPr="007626F7">
              <w:rPr>
                <w:rFonts w:ascii="Times New Roman" w:hAnsi="Times New Roman" w:cs="Times New Roman"/>
                <w:b/>
                <w:bCs/>
                <w:color w:val="000000"/>
                <w:sz w:val="28"/>
                <w:szCs w:val="28"/>
              </w:rPr>
              <w:t>Зведення для регресійної модел</w:t>
            </w:r>
            <w:r w:rsidRPr="007626F7">
              <w:rPr>
                <w:rFonts w:ascii="Times New Roman" w:hAnsi="Times New Roman" w:cs="Times New Roman"/>
                <w:b/>
                <w:bCs/>
                <w:color w:val="000000"/>
                <w:sz w:val="28"/>
                <w:szCs w:val="28"/>
                <w:lang w:val="uk-UA"/>
              </w:rPr>
              <w:t>і Швейцарії</w:t>
            </w:r>
          </w:p>
          <w:p w14:paraId="79FD0373" w14:textId="1F51465A" w:rsidR="005705EA" w:rsidRPr="007626F7" w:rsidRDefault="005705EA" w:rsidP="007626F7">
            <w:pPr>
              <w:autoSpaceDE w:val="0"/>
              <w:autoSpaceDN w:val="0"/>
              <w:adjustRightInd w:val="0"/>
              <w:spacing w:after="0" w:line="360" w:lineRule="auto"/>
              <w:ind w:left="60" w:right="60"/>
              <w:jc w:val="center"/>
              <w:rPr>
                <w:rFonts w:ascii="Times New Roman" w:hAnsi="Times New Roman" w:cs="Times New Roman"/>
                <w:b/>
                <w:bCs/>
                <w:color w:val="000000"/>
                <w:sz w:val="28"/>
                <w:szCs w:val="28"/>
                <w:lang w:val="uk-UA"/>
              </w:rPr>
            </w:pPr>
          </w:p>
        </w:tc>
      </w:tr>
      <w:tr w:rsidR="001114EC" w:rsidRPr="007626F7" w14:paraId="70D296C6" w14:textId="77777777" w:rsidTr="004519D8">
        <w:trPr>
          <w:cantSplit/>
          <w:trHeight w:val="1055"/>
        </w:trPr>
        <w:tc>
          <w:tcPr>
            <w:tcW w:w="1550"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439D0409"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Модель</w:t>
            </w:r>
          </w:p>
        </w:tc>
        <w:tc>
          <w:tcPr>
            <w:tcW w:w="1651" w:type="dxa"/>
            <w:tcBorders>
              <w:top w:val="single" w:sz="16" w:space="0" w:color="000000"/>
              <w:left w:val="single" w:sz="16" w:space="0" w:color="000000"/>
              <w:bottom w:val="single" w:sz="16" w:space="0" w:color="000000"/>
            </w:tcBorders>
            <w:shd w:val="clear" w:color="auto" w:fill="FFFFFF"/>
            <w:vAlign w:val="bottom"/>
          </w:tcPr>
          <w:p w14:paraId="79B09B6B"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R</w:t>
            </w:r>
          </w:p>
        </w:tc>
        <w:tc>
          <w:tcPr>
            <w:tcW w:w="1899" w:type="dxa"/>
            <w:tcBorders>
              <w:top w:val="single" w:sz="16" w:space="0" w:color="000000"/>
              <w:bottom w:val="single" w:sz="16" w:space="0" w:color="000000"/>
            </w:tcBorders>
            <w:shd w:val="clear" w:color="auto" w:fill="FFFFFF"/>
            <w:vAlign w:val="bottom"/>
          </w:tcPr>
          <w:p w14:paraId="07474306"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R-квадрат</w:t>
            </w:r>
          </w:p>
        </w:tc>
        <w:tc>
          <w:tcPr>
            <w:tcW w:w="2367" w:type="dxa"/>
            <w:tcBorders>
              <w:top w:val="single" w:sz="16" w:space="0" w:color="000000"/>
              <w:bottom w:val="single" w:sz="16" w:space="0" w:color="000000"/>
            </w:tcBorders>
            <w:shd w:val="clear" w:color="auto" w:fill="FFFFFF"/>
            <w:vAlign w:val="bottom"/>
          </w:tcPr>
          <w:p w14:paraId="53E2E710"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Скоригований R-квадрат</w:t>
            </w:r>
          </w:p>
        </w:tc>
        <w:tc>
          <w:tcPr>
            <w:tcW w:w="2371" w:type="dxa"/>
            <w:tcBorders>
              <w:top w:val="single" w:sz="16" w:space="0" w:color="000000"/>
              <w:bottom w:val="single" w:sz="16" w:space="0" w:color="000000"/>
              <w:right w:val="single" w:sz="16" w:space="0" w:color="000000"/>
            </w:tcBorders>
            <w:shd w:val="clear" w:color="auto" w:fill="FFFFFF"/>
            <w:vAlign w:val="bottom"/>
          </w:tcPr>
          <w:p w14:paraId="42C73F42"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lang w:val="uk-UA"/>
              </w:rPr>
            </w:pPr>
            <w:r w:rsidRPr="007626F7">
              <w:rPr>
                <w:rFonts w:ascii="Times New Roman" w:hAnsi="Times New Roman" w:cs="Times New Roman"/>
                <w:color w:val="000000"/>
              </w:rPr>
              <w:t>Стандартна</w:t>
            </w:r>
            <w:r w:rsidRPr="007626F7">
              <w:rPr>
                <w:rFonts w:ascii="Times New Roman" w:hAnsi="Times New Roman" w:cs="Times New Roman"/>
                <w:color w:val="000000"/>
                <w:lang w:val="uk-UA"/>
              </w:rPr>
              <w:t xml:space="preserve"> помилка оцінки</w:t>
            </w:r>
          </w:p>
        </w:tc>
      </w:tr>
      <w:tr w:rsidR="001114EC" w:rsidRPr="007626F7" w14:paraId="7EC6F7F4" w14:textId="77777777" w:rsidTr="004519D8">
        <w:trPr>
          <w:cantSplit/>
          <w:trHeight w:val="514"/>
        </w:trPr>
        <w:tc>
          <w:tcPr>
            <w:tcW w:w="1550" w:type="dxa"/>
            <w:tcBorders>
              <w:top w:val="single" w:sz="16" w:space="0" w:color="000000"/>
              <w:left w:val="single" w:sz="16" w:space="0" w:color="000000"/>
              <w:bottom w:val="single" w:sz="16" w:space="0" w:color="000000"/>
              <w:right w:val="single" w:sz="16" w:space="0" w:color="000000"/>
            </w:tcBorders>
            <w:shd w:val="clear" w:color="auto" w:fill="FFFFFF"/>
          </w:tcPr>
          <w:p w14:paraId="59EF14ED"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w:t>
            </w:r>
          </w:p>
        </w:tc>
        <w:tc>
          <w:tcPr>
            <w:tcW w:w="1651" w:type="dxa"/>
            <w:tcBorders>
              <w:top w:val="single" w:sz="16" w:space="0" w:color="000000"/>
              <w:left w:val="single" w:sz="16" w:space="0" w:color="000000"/>
              <w:bottom w:val="single" w:sz="16" w:space="0" w:color="000000"/>
            </w:tcBorders>
            <w:shd w:val="clear" w:color="auto" w:fill="FFFFFF"/>
            <w:vAlign w:val="center"/>
          </w:tcPr>
          <w:p w14:paraId="4402B09F"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,967</w:t>
            </w:r>
            <w:r w:rsidRPr="007626F7">
              <w:rPr>
                <w:rFonts w:ascii="Times New Roman" w:hAnsi="Times New Roman" w:cs="Times New Roman"/>
                <w:color w:val="000000"/>
                <w:vertAlign w:val="superscript"/>
              </w:rPr>
              <w:t>a</w:t>
            </w:r>
          </w:p>
        </w:tc>
        <w:tc>
          <w:tcPr>
            <w:tcW w:w="1899" w:type="dxa"/>
            <w:tcBorders>
              <w:top w:val="single" w:sz="16" w:space="0" w:color="000000"/>
              <w:bottom w:val="single" w:sz="16" w:space="0" w:color="000000"/>
            </w:tcBorders>
            <w:shd w:val="clear" w:color="auto" w:fill="FFFFFF"/>
            <w:vAlign w:val="center"/>
          </w:tcPr>
          <w:p w14:paraId="363EAC83"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,935</w:t>
            </w:r>
          </w:p>
        </w:tc>
        <w:tc>
          <w:tcPr>
            <w:tcW w:w="2367" w:type="dxa"/>
            <w:tcBorders>
              <w:top w:val="single" w:sz="16" w:space="0" w:color="000000"/>
              <w:bottom w:val="single" w:sz="16" w:space="0" w:color="000000"/>
            </w:tcBorders>
            <w:shd w:val="clear" w:color="auto" w:fill="FFFFFF"/>
            <w:vAlign w:val="center"/>
          </w:tcPr>
          <w:p w14:paraId="1D6CF4E2"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,931</w:t>
            </w:r>
          </w:p>
        </w:tc>
        <w:tc>
          <w:tcPr>
            <w:tcW w:w="2371" w:type="dxa"/>
            <w:tcBorders>
              <w:top w:val="single" w:sz="16" w:space="0" w:color="000000"/>
              <w:bottom w:val="single" w:sz="16" w:space="0" w:color="000000"/>
              <w:right w:val="single" w:sz="16" w:space="0" w:color="000000"/>
            </w:tcBorders>
            <w:shd w:val="clear" w:color="auto" w:fill="FFFFFF"/>
            <w:vAlign w:val="center"/>
          </w:tcPr>
          <w:p w14:paraId="77FB4D07"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5605,168</w:t>
            </w:r>
          </w:p>
        </w:tc>
      </w:tr>
    </w:tbl>
    <w:p w14:paraId="13F46A07" w14:textId="143D53F7" w:rsidR="004519D8" w:rsidRPr="007626F7" w:rsidRDefault="004F78EF" w:rsidP="007626F7">
      <w:pPr>
        <w:spacing w:after="0" w:line="360" w:lineRule="auto"/>
        <w:jc w:val="both"/>
        <w:textAlignment w:val="baseline"/>
        <w:rPr>
          <w:rFonts w:ascii="Times New Roman" w:eastAsia="Times New Roman" w:hAnsi="Times New Roman" w:cs="Times New Roman"/>
          <w:color w:val="1D1D1B"/>
          <w:sz w:val="28"/>
          <w:szCs w:val="28"/>
          <w:lang w:val="uk-UA"/>
        </w:rPr>
      </w:pPr>
      <w:r w:rsidRPr="007626F7">
        <w:rPr>
          <w:rFonts w:ascii="Times New Roman" w:eastAsia="Times New Roman" w:hAnsi="Times New Roman" w:cs="Times New Roman"/>
          <w:color w:val="1D1D1B"/>
          <w:sz w:val="28"/>
          <w:szCs w:val="28"/>
          <w:lang w:val="uk-UA"/>
        </w:rPr>
        <w:t>Джерело: розраховано автором.</w:t>
      </w:r>
    </w:p>
    <w:p w14:paraId="0FCAD61E" w14:textId="77777777" w:rsidR="004519D8" w:rsidRPr="007626F7" w:rsidRDefault="004519D8" w:rsidP="007626F7">
      <w:pPr>
        <w:spacing w:after="0" w:line="360" w:lineRule="auto"/>
        <w:rPr>
          <w:rFonts w:ascii="Times New Roman" w:eastAsia="Times New Roman" w:hAnsi="Times New Roman" w:cs="Times New Roman"/>
          <w:color w:val="1D1D1B"/>
          <w:sz w:val="28"/>
          <w:szCs w:val="28"/>
          <w:lang w:val="uk-UA"/>
        </w:rPr>
      </w:pPr>
      <w:r w:rsidRPr="007626F7">
        <w:rPr>
          <w:rFonts w:ascii="Times New Roman" w:eastAsia="Times New Roman" w:hAnsi="Times New Roman" w:cs="Times New Roman"/>
          <w:color w:val="1D1D1B"/>
          <w:sz w:val="28"/>
          <w:szCs w:val="28"/>
          <w:lang w:val="uk-UA"/>
        </w:rPr>
        <w:br w:type="page"/>
      </w:r>
    </w:p>
    <w:p w14:paraId="6437D746" w14:textId="0BB02B73" w:rsidR="00457C58" w:rsidRPr="007626F7" w:rsidRDefault="00457C58"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lastRenderedPageBreak/>
        <w:t xml:space="preserve">ДОДАТОК </w:t>
      </w:r>
      <w:r w:rsidR="003B403A" w:rsidRPr="007626F7">
        <w:rPr>
          <w:rFonts w:ascii="Times New Roman" w:hAnsi="Times New Roman" w:cs="Times New Roman"/>
          <w:b/>
          <w:bCs/>
          <w:sz w:val="28"/>
          <w:szCs w:val="28"/>
        </w:rPr>
        <w:t>К</w:t>
      </w:r>
      <w:r w:rsidRPr="007626F7">
        <w:rPr>
          <w:rFonts w:ascii="Times New Roman" w:hAnsi="Times New Roman" w:cs="Times New Roman"/>
          <w:b/>
          <w:bCs/>
          <w:sz w:val="28"/>
          <w:szCs w:val="28"/>
        </w:rPr>
        <w:t>.2</w:t>
      </w:r>
    </w:p>
    <w:tbl>
      <w:tblPr>
        <w:tblW w:w="97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6"/>
        <w:gridCol w:w="1936"/>
        <w:gridCol w:w="1536"/>
        <w:gridCol w:w="1537"/>
        <w:gridCol w:w="1536"/>
        <w:gridCol w:w="1072"/>
        <w:gridCol w:w="1395"/>
      </w:tblGrid>
      <w:tr w:rsidR="001114EC" w:rsidRPr="007626F7" w14:paraId="5473A551" w14:textId="77777777" w:rsidTr="0091471B">
        <w:trPr>
          <w:cantSplit/>
          <w:trHeight w:val="496"/>
        </w:trPr>
        <w:tc>
          <w:tcPr>
            <w:tcW w:w="9778" w:type="dxa"/>
            <w:gridSpan w:val="7"/>
            <w:tcBorders>
              <w:top w:val="nil"/>
              <w:left w:val="nil"/>
              <w:bottom w:val="nil"/>
              <w:right w:val="nil"/>
            </w:tcBorders>
            <w:shd w:val="clear" w:color="auto" w:fill="FFFFFF"/>
            <w:vAlign w:val="center"/>
          </w:tcPr>
          <w:p w14:paraId="60F62CE6"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b/>
                <w:bCs/>
                <w:color w:val="000000"/>
                <w:sz w:val="28"/>
                <w:szCs w:val="28"/>
              </w:rPr>
            </w:pPr>
            <w:r w:rsidRPr="007626F7">
              <w:rPr>
                <w:rFonts w:ascii="Times New Roman" w:hAnsi="Times New Roman" w:cs="Times New Roman"/>
                <w:b/>
                <w:bCs/>
                <w:color w:val="000000"/>
                <w:sz w:val="28"/>
                <w:szCs w:val="28"/>
                <w:lang w:val="uk-UA"/>
              </w:rPr>
              <w:t>К</w:t>
            </w:r>
            <w:r w:rsidRPr="007626F7">
              <w:rPr>
                <w:rFonts w:ascii="Times New Roman" w:hAnsi="Times New Roman" w:cs="Times New Roman"/>
                <w:b/>
                <w:bCs/>
                <w:color w:val="000000"/>
                <w:sz w:val="28"/>
                <w:szCs w:val="28"/>
              </w:rPr>
              <w:t>оефіцієнти</w:t>
            </w:r>
            <w:r w:rsidRPr="007626F7">
              <w:rPr>
                <w:rFonts w:ascii="Times New Roman" w:hAnsi="Times New Roman" w:cs="Times New Roman"/>
                <w:b/>
                <w:bCs/>
                <w:sz w:val="28"/>
                <w:szCs w:val="28"/>
              </w:rPr>
              <w:t xml:space="preserve"> </w:t>
            </w:r>
            <w:r w:rsidRPr="007626F7">
              <w:rPr>
                <w:rFonts w:ascii="Times New Roman" w:hAnsi="Times New Roman" w:cs="Times New Roman"/>
                <w:b/>
                <w:bCs/>
                <w:sz w:val="28"/>
                <w:szCs w:val="28"/>
                <w:lang w:val="uk-UA"/>
              </w:rPr>
              <w:t>для</w:t>
            </w:r>
            <w:r w:rsidRPr="007626F7">
              <w:rPr>
                <w:rFonts w:ascii="Times New Roman" w:hAnsi="Times New Roman" w:cs="Times New Roman"/>
                <w:b/>
                <w:bCs/>
                <w:lang w:val="uk-UA"/>
              </w:rPr>
              <w:t xml:space="preserve"> </w:t>
            </w:r>
            <w:r w:rsidRPr="007626F7">
              <w:rPr>
                <w:rFonts w:ascii="Times New Roman" w:hAnsi="Times New Roman" w:cs="Times New Roman"/>
                <w:b/>
                <w:bCs/>
                <w:color w:val="000000"/>
                <w:sz w:val="28"/>
                <w:szCs w:val="28"/>
              </w:rPr>
              <w:t>регресійної моделі України</w:t>
            </w:r>
          </w:p>
          <w:p w14:paraId="58ABDE15" w14:textId="31A34E0E" w:rsidR="005705EA" w:rsidRPr="007626F7" w:rsidRDefault="005705EA" w:rsidP="007626F7">
            <w:pPr>
              <w:autoSpaceDE w:val="0"/>
              <w:autoSpaceDN w:val="0"/>
              <w:adjustRightInd w:val="0"/>
              <w:spacing w:after="0" w:line="360" w:lineRule="auto"/>
              <w:ind w:left="60" w:right="60"/>
              <w:jc w:val="center"/>
              <w:rPr>
                <w:rFonts w:ascii="Times New Roman" w:hAnsi="Times New Roman" w:cs="Times New Roman"/>
                <w:b/>
                <w:bCs/>
                <w:color w:val="000000"/>
                <w:sz w:val="28"/>
                <w:szCs w:val="28"/>
              </w:rPr>
            </w:pPr>
          </w:p>
        </w:tc>
      </w:tr>
      <w:tr w:rsidR="001114EC" w:rsidRPr="007626F7" w14:paraId="7450EABF" w14:textId="77777777" w:rsidTr="00457C58">
        <w:trPr>
          <w:cantSplit/>
          <w:trHeight w:val="1490"/>
        </w:trPr>
        <w:tc>
          <w:tcPr>
            <w:tcW w:w="2702" w:type="dxa"/>
            <w:gridSpan w:val="2"/>
            <w:vMerge w:val="restart"/>
            <w:tcBorders>
              <w:top w:val="single" w:sz="16" w:space="0" w:color="000000"/>
              <w:left w:val="single" w:sz="16" w:space="0" w:color="000000"/>
              <w:bottom w:val="nil"/>
              <w:right w:val="nil"/>
            </w:tcBorders>
            <w:shd w:val="clear" w:color="auto" w:fill="FFFFFF"/>
            <w:vAlign w:val="bottom"/>
          </w:tcPr>
          <w:p w14:paraId="7399FE85"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Модель</w:t>
            </w:r>
          </w:p>
        </w:tc>
        <w:tc>
          <w:tcPr>
            <w:tcW w:w="3073" w:type="dxa"/>
            <w:gridSpan w:val="2"/>
            <w:tcBorders>
              <w:top w:val="single" w:sz="16" w:space="0" w:color="000000"/>
              <w:left w:val="single" w:sz="16" w:space="0" w:color="000000"/>
            </w:tcBorders>
            <w:shd w:val="clear" w:color="auto" w:fill="FFFFFF"/>
            <w:vAlign w:val="bottom"/>
          </w:tcPr>
          <w:p w14:paraId="75C63C4F"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Нестандартизованн</w:t>
            </w:r>
            <w:r w:rsidRPr="007626F7">
              <w:rPr>
                <w:rFonts w:ascii="Times New Roman" w:hAnsi="Times New Roman" w:cs="Times New Roman"/>
                <w:color w:val="000000"/>
                <w:lang w:val="uk-UA"/>
              </w:rPr>
              <w:t>і</w:t>
            </w:r>
            <w:r w:rsidRPr="007626F7">
              <w:rPr>
                <w:rFonts w:ascii="Times New Roman" w:hAnsi="Times New Roman" w:cs="Times New Roman"/>
                <w:color w:val="000000"/>
              </w:rPr>
              <w:t xml:space="preserve"> коефіцієнти</w:t>
            </w:r>
          </w:p>
        </w:tc>
        <w:tc>
          <w:tcPr>
            <w:tcW w:w="1536" w:type="dxa"/>
            <w:tcBorders>
              <w:top w:val="single" w:sz="16" w:space="0" w:color="000000"/>
            </w:tcBorders>
            <w:shd w:val="clear" w:color="auto" w:fill="FFFFFF"/>
            <w:vAlign w:val="bottom"/>
          </w:tcPr>
          <w:p w14:paraId="5104969D"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Стандартизован</w:t>
            </w:r>
            <w:r w:rsidRPr="007626F7">
              <w:rPr>
                <w:rFonts w:ascii="Times New Roman" w:hAnsi="Times New Roman" w:cs="Times New Roman"/>
                <w:color w:val="000000"/>
                <w:lang w:val="uk-UA"/>
              </w:rPr>
              <w:t>і коефіцієнти</w:t>
            </w:r>
          </w:p>
        </w:tc>
        <w:tc>
          <w:tcPr>
            <w:tcW w:w="1072" w:type="dxa"/>
            <w:vMerge w:val="restart"/>
            <w:tcBorders>
              <w:top w:val="single" w:sz="16" w:space="0" w:color="000000"/>
            </w:tcBorders>
            <w:shd w:val="clear" w:color="auto" w:fill="FFFFFF"/>
            <w:vAlign w:val="bottom"/>
          </w:tcPr>
          <w:p w14:paraId="3812DEE0"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т</w:t>
            </w:r>
          </w:p>
        </w:tc>
        <w:tc>
          <w:tcPr>
            <w:tcW w:w="1395" w:type="dxa"/>
            <w:vMerge w:val="restart"/>
            <w:tcBorders>
              <w:top w:val="single" w:sz="16" w:space="0" w:color="000000"/>
              <w:right w:val="single" w:sz="16" w:space="0" w:color="000000"/>
            </w:tcBorders>
            <w:shd w:val="clear" w:color="auto" w:fill="FFFFFF"/>
            <w:vAlign w:val="bottom"/>
          </w:tcPr>
          <w:p w14:paraId="46FD090C"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lang w:val="uk-UA"/>
              </w:rPr>
            </w:pPr>
            <w:r w:rsidRPr="007626F7">
              <w:rPr>
                <w:rFonts w:ascii="Times New Roman" w:hAnsi="Times New Roman" w:cs="Times New Roman"/>
                <w:color w:val="000000"/>
              </w:rPr>
              <w:t>Значим</w:t>
            </w:r>
            <w:r w:rsidRPr="007626F7">
              <w:rPr>
                <w:rFonts w:ascii="Times New Roman" w:hAnsi="Times New Roman" w:cs="Times New Roman"/>
                <w:color w:val="000000"/>
                <w:lang w:val="uk-UA"/>
              </w:rPr>
              <w:t>ість</w:t>
            </w:r>
          </w:p>
        </w:tc>
      </w:tr>
      <w:tr w:rsidR="001114EC" w:rsidRPr="007626F7" w14:paraId="4D9091F1" w14:textId="77777777" w:rsidTr="00457C58">
        <w:trPr>
          <w:cantSplit/>
          <w:trHeight w:val="1080"/>
        </w:trPr>
        <w:tc>
          <w:tcPr>
            <w:tcW w:w="2702" w:type="dxa"/>
            <w:gridSpan w:val="2"/>
            <w:vMerge/>
            <w:tcBorders>
              <w:top w:val="single" w:sz="16" w:space="0" w:color="000000"/>
              <w:left w:val="single" w:sz="16" w:space="0" w:color="000000"/>
              <w:bottom w:val="nil"/>
              <w:right w:val="nil"/>
            </w:tcBorders>
            <w:shd w:val="clear" w:color="auto" w:fill="FFFFFF"/>
            <w:vAlign w:val="bottom"/>
          </w:tcPr>
          <w:p w14:paraId="5F4A95F9" w14:textId="77777777" w:rsidR="001114EC" w:rsidRPr="007626F7" w:rsidRDefault="001114EC" w:rsidP="007626F7">
            <w:pPr>
              <w:autoSpaceDE w:val="0"/>
              <w:autoSpaceDN w:val="0"/>
              <w:adjustRightInd w:val="0"/>
              <w:spacing w:after="0" w:line="360" w:lineRule="auto"/>
              <w:jc w:val="center"/>
              <w:rPr>
                <w:rFonts w:ascii="Times New Roman" w:hAnsi="Times New Roman" w:cs="Times New Roman"/>
                <w:color w:val="000000"/>
              </w:rPr>
            </w:pPr>
          </w:p>
        </w:tc>
        <w:tc>
          <w:tcPr>
            <w:tcW w:w="1536" w:type="dxa"/>
            <w:tcBorders>
              <w:left w:val="single" w:sz="16" w:space="0" w:color="000000"/>
              <w:bottom w:val="single" w:sz="16" w:space="0" w:color="000000"/>
            </w:tcBorders>
            <w:shd w:val="clear" w:color="auto" w:fill="FFFFFF"/>
            <w:vAlign w:val="bottom"/>
          </w:tcPr>
          <w:p w14:paraId="4B686393"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B</w:t>
            </w:r>
          </w:p>
        </w:tc>
        <w:tc>
          <w:tcPr>
            <w:tcW w:w="1537" w:type="dxa"/>
            <w:tcBorders>
              <w:bottom w:val="single" w:sz="16" w:space="0" w:color="000000"/>
            </w:tcBorders>
            <w:shd w:val="clear" w:color="auto" w:fill="FFFFFF"/>
            <w:vAlign w:val="bottom"/>
          </w:tcPr>
          <w:p w14:paraId="7EC0CA60"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lang w:val="uk-UA"/>
              </w:rPr>
            </w:pPr>
            <w:r w:rsidRPr="007626F7">
              <w:rPr>
                <w:rFonts w:ascii="Times New Roman" w:hAnsi="Times New Roman" w:cs="Times New Roman"/>
                <w:color w:val="000000"/>
              </w:rPr>
              <w:t xml:space="preserve">Стандартна </w:t>
            </w:r>
            <w:r w:rsidRPr="007626F7">
              <w:rPr>
                <w:rFonts w:ascii="Times New Roman" w:hAnsi="Times New Roman" w:cs="Times New Roman"/>
                <w:color w:val="000000"/>
                <w:lang w:val="uk-UA"/>
              </w:rPr>
              <w:t>помилка</w:t>
            </w:r>
          </w:p>
        </w:tc>
        <w:tc>
          <w:tcPr>
            <w:tcW w:w="1536" w:type="dxa"/>
            <w:tcBorders>
              <w:bottom w:val="single" w:sz="16" w:space="0" w:color="000000"/>
            </w:tcBorders>
            <w:shd w:val="clear" w:color="auto" w:fill="FFFFFF"/>
            <w:vAlign w:val="bottom"/>
          </w:tcPr>
          <w:p w14:paraId="4520CC1F"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Бета</w:t>
            </w:r>
          </w:p>
        </w:tc>
        <w:tc>
          <w:tcPr>
            <w:tcW w:w="1072" w:type="dxa"/>
            <w:vMerge/>
            <w:tcBorders>
              <w:top w:val="single" w:sz="16" w:space="0" w:color="000000"/>
            </w:tcBorders>
            <w:shd w:val="clear" w:color="auto" w:fill="FFFFFF"/>
            <w:vAlign w:val="bottom"/>
          </w:tcPr>
          <w:p w14:paraId="164395DC" w14:textId="77777777" w:rsidR="001114EC" w:rsidRPr="007626F7" w:rsidRDefault="001114EC" w:rsidP="007626F7">
            <w:pPr>
              <w:autoSpaceDE w:val="0"/>
              <w:autoSpaceDN w:val="0"/>
              <w:adjustRightInd w:val="0"/>
              <w:spacing w:after="0" w:line="360" w:lineRule="auto"/>
              <w:jc w:val="center"/>
              <w:rPr>
                <w:rFonts w:ascii="Times New Roman" w:hAnsi="Times New Roman" w:cs="Times New Roman"/>
                <w:color w:val="000000"/>
              </w:rPr>
            </w:pPr>
          </w:p>
        </w:tc>
        <w:tc>
          <w:tcPr>
            <w:tcW w:w="1395" w:type="dxa"/>
            <w:vMerge/>
            <w:tcBorders>
              <w:top w:val="single" w:sz="16" w:space="0" w:color="000000"/>
              <w:right w:val="single" w:sz="16" w:space="0" w:color="000000"/>
            </w:tcBorders>
            <w:shd w:val="clear" w:color="auto" w:fill="FFFFFF"/>
            <w:vAlign w:val="bottom"/>
          </w:tcPr>
          <w:p w14:paraId="39D8CF2C" w14:textId="77777777" w:rsidR="001114EC" w:rsidRPr="007626F7" w:rsidRDefault="001114EC" w:rsidP="007626F7">
            <w:pPr>
              <w:autoSpaceDE w:val="0"/>
              <w:autoSpaceDN w:val="0"/>
              <w:adjustRightInd w:val="0"/>
              <w:spacing w:after="0" w:line="360" w:lineRule="auto"/>
              <w:jc w:val="center"/>
              <w:rPr>
                <w:rFonts w:ascii="Times New Roman" w:hAnsi="Times New Roman" w:cs="Times New Roman"/>
                <w:color w:val="000000"/>
              </w:rPr>
            </w:pPr>
          </w:p>
        </w:tc>
      </w:tr>
      <w:tr w:rsidR="001114EC" w:rsidRPr="007626F7" w14:paraId="7C8A13D9" w14:textId="77777777" w:rsidTr="00457C58">
        <w:trPr>
          <w:cantSplit/>
          <w:trHeight w:val="496"/>
        </w:trPr>
        <w:tc>
          <w:tcPr>
            <w:tcW w:w="766" w:type="dxa"/>
            <w:vMerge w:val="restart"/>
            <w:tcBorders>
              <w:top w:val="single" w:sz="16" w:space="0" w:color="000000"/>
              <w:left w:val="single" w:sz="16" w:space="0" w:color="000000"/>
              <w:bottom w:val="single" w:sz="16" w:space="0" w:color="000000"/>
              <w:right w:val="nil"/>
            </w:tcBorders>
            <w:shd w:val="clear" w:color="auto" w:fill="FFFFFF"/>
          </w:tcPr>
          <w:p w14:paraId="3E3BA4EA"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w:t>
            </w:r>
          </w:p>
        </w:tc>
        <w:tc>
          <w:tcPr>
            <w:tcW w:w="1936" w:type="dxa"/>
            <w:tcBorders>
              <w:top w:val="single" w:sz="16" w:space="0" w:color="000000"/>
              <w:left w:val="nil"/>
              <w:bottom w:val="nil"/>
              <w:right w:val="single" w:sz="16" w:space="0" w:color="000000"/>
            </w:tcBorders>
            <w:shd w:val="clear" w:color="auto" w:fill="FFFFFF"/>
          </w:tcPr>
          <w:p w14:paraId="11328119"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(Константа)</w:t>
            </w:r>
          </w:p>
        </w:tc>
        <w:tc>
          <w:tcPr>
            <w:tcW w:w="1536" w:type="dxa"/>
            <w:tcBorders>
              <w:top w:val="single" w:sz="16" w:space="0" w:color="000000"/>
              <w:left w:val="single" w:sz="16" w:space="0" w:color="000000"/>
              <w:bottom w:val="nil"/>
            </w:tcBorders>
            <w:shd w:val="clear" w:color="auto" w:fill="FFFFFF"/>
            <w:vAlign w:val="center"/>
          </w:tcPr>
          <w:p w14:paraId="598F589F"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-166844,063</w:t>
            </w:r>
          </w:p>
        </w:tc>
        <w:tc>
          <w:tcPr>
            <w:tcW w:w="1537" w:type="dxa"/>
            <w:tcBorders>
              <w:top w:val="single" w:sz="16" w:space="0" w:color="000000"/>
              <w:bottom w:val="nil"/>
            </w:tcBorders>
            <w:shd w:val="clear" w:color="auto" w:fill="FFFFFF"/>
            <w:vAlign w:val="center"/>
          </w:tcPr>
          <w:p w14:paraId="6B47C2F8"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81017,126</w:t>
            </w:r>
          </w:p>
        </w:tc>
        <w:tc>
          <w:tcPr>
            <w:tcW w:w="1536" w:type="dxa"/>
            <w:tcBorders>
              <w:top w:val="single" w:sz="16" w:space="0" w:color="000000"/>
              <w:bottom w:val="nil"/>
            </w:tcBorders>
            <w:shd w:val="clear" w:color="auto" w:fill="FFFFFF"/>
            <w:vAlign w:val="center"/>
          </w:tcPr>
          <w:p w14:paraId="3B0FA3EC" w14:textId="77777777" w:rsidR="001114EC" w:rsidRPr="007626F7" w:rsidRDefault="001114EC" w:rsidP="007626F7">
            <w:pPr>
              <w:autoSpaceDE w:val="0"/>
              <w:autoSpaceDN w:val="0"/>
              <w:adjustRightInd w:val="0"/>
              <w:spacing w:after="0" w:line="360" w:lineRule="auto"/>
              <w:jc w:val="center"/>
              <w:rPr>
                <w:rFonts w:ascii="Times New Roman" w:hAnsi="Times New Roman" w:cs="Times New Roman"/>
              </w:rPr>
            </w:pPr>
          </w:p>
        </w:tc>
        <w:tc>
          <w:tcPr>
            <w:tcW w:w="1072" w:type="dxa"/>
            <w:tcBorders>
              <w:top w:val="single" w:sz="16" w:space="0" w:color="000000"/>
              <w:bottom w:val="nil"/>
            </w:tcBorders>
            <w:shd w:val="clear" w:color="auto" w:fill="FFFFFF"/>
            <w:vAlign w:val="center"/>
          </w:tcPr>
          <w:p w14:paraId="62106A13"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-2,059</w:t>
            </w:r>
          </w:p>
        </w:tc>
        <w:tc>
          <w:tcPr>
            <w:tcW w:w="1395" w:type="dxa"/>
            <w:tcBorders>
              <w:top w:val="single" w:sz="16" w:space="0" w:color="000000"/>
              <w:bottom w:val="nil"/>
              <w:right w:val="single" w:sz="16" w:space="0" w:color="000000"/>
            </w:tcBorders>
            <w:shd w:val="clear" w:color="auto" w:fill="FFFFFF"/>
            <w:vAlign w:val="center"/>
          </w:tcPr>
          <w:p w14:paraId="2AC256D6"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,043</w:t>
            </w:r>
          </w:p>
        </w:tc>
      </w:tr>
      <w:tr w:rsidR="001114EC" w:rsidRPr="007626F7" w14:paraId="3A9551C3" w14:textId="77777777" w:rsidTr="00457C58">
        <w:trPr>
          <w:cantSplit/>
          <w:trHeight w:val="561"/>
        </w:trPr>
        <w:tc>
          <w:tcPr>
            <w:tcW w:w="766" w:type="dxa"/>
            <w:vMerge/>
            <w:tcBorders>
              <w:top w:val="single" w:sz="16" w:space="0" w:color="000000"/>
              <w:left w:val="single" w:sz="16" w:space="0" w:color="000000"/>
              <w:bottom w:val="single" w:sz="16" w:space="0" w:color="000000"/>
              <w:right w:val="nil"/>
            </w:tcBorders>
            <w:shd w:val="clear" w:color="auto" w:fill="FFFFFF"/>
          </w:tcPr>
          <w:p w14:paraId="5828704E" w14:textId="77777777" w:rsidR="001114EC" w:rsidRPr="007626F7" w:rsidRDefault="001114EC" w:rsidP="007626F7">
            <w:pPr>
              <w:autoSpaceDE w:val="0"/>
              <w:autoSpaceDN w:val="0"/>
              <w:adjustRightInd w:val="0"/>
              <w:spacing w:after="0" w:line="360" w:lineRule="auto"/>
              <w:jc w:val="center"/>
              <w:rPr>
                <w:rFonts w:ascii="Times New Roman" w:hAnsi="Times New Roman" w:cs="Times New Roman"/>
                <w:color w:val="000000"/>
              </w:rPr>
            </w:pPr>
          </w:p>
        </w:tc>
        <w:tc>
          <w:tcPr>
            <w:tcW w:w="1936" w:type="dxa"/>
            <w:tcBorders>
              <w:top w:val="nil"/>
              <w:left w:val="nil"/>
              <w:bottom w:val="nil"/>
              <w:right w:val="single" w:sz="16" w:space="0" w:color="000000"/>
            </w:tcBorders>
            <w:shd w:val="clear" w:color="auto" w:fill="FFFFFF"/>
          </w:tcPr>
          <w:p w14:paraId="22693F92"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Відсоткова ставка</w:t>
            </w:r>
          </w:p>
        </w:tc>
        <w:tc>
          <w:tcPr>
            <w:tcW w:w="1536" w:type="dxa"/>
            <w:tcBorders>
              <w:top w:val="nil"/>
              <w:left w:val="single" w:sz="16" w:space="0" w:color="000000"/>
              <w:bottom w:val="nil"/>
            </w:tcBorders>
            <w:shd w:val="clear" w:color="auto" w:fill="FFFFFF"/>
            <w:vAlign w:val="center"/>
          </w:tcPr>
          <w:p w14:paraId="3AB898B5"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-2514,692</w:t>
            </w:r>
          </w:p>
        </w:tc>
        <w:tc>
          <w:tcPr>
            <w:tcW w:w="1537" w:type="dxa"/>
            <w:tcBorders>
              <w:top w:val="nil"/>
              <w:bottom w:val="nil"/>
            </w:tcBorders>
            <w:shd w:val="clear" w:color="auto" w:fill="FFFFFF"/>
            <w:vAlign w:val="center"/>
          </w:tcPr>
          <w:p w14:paraId="56C73B55"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913,037</w:t>
            </w:r>
          </w:p>
        </w:tc>
        <w:tc>
          <w:tcPr>
            <w:tcW w:w="1536" w:type="dxa"/>
            <w:tcBorders>
              <w:top w:val="nil"/>
              <w:bottom w:val="nil"/>
            </w:tcBorders>
            <w:shd w:val="clear" w:color="auto" w:fill="FFFFFF"/>
            <w:vAlign w:val="center"/>
          </w:tcPr>
          <w:p w14:paraId="343C1514"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-,141</w:t>
            </w:r>
          </w:p>
        </w:tc>
        <w:tc>
          <w:tcPr>
            <w:tcW w:w="1072" w:type="dxa"/>
            <w:tcBorders>
              <w:top w:val="nil"/>
              <w:bottom w:val="nil"/>
            </w:tcBorders>
            <w:shd w:val="clear" w:color="auto" w:fill="FFFFFF"/>
            <w:vAlign w:val="center"/>
          </w:tcPr>
          <w:p w14:paraId="00017B02"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-2,754</w:t>
            </w:r>
          </w:p>
        </w:tc>
        <w:tc>
          <w:tcPr>
            <w:tcW w:w="1395" w:type="dxa"/>
            <w:tcBorders>
              <w:top w:val="nil"/>
              <w:bottom w:val="nil"/>
              <w:right w:val="single" w:sz="16" w:space="0" w:color="000000"/>
            </w:tcBorders>
            <w:shd w:val="clear" w:color="auto" w:fill="FFFFFF"/>
            <w:vAlign w:val="center"/>
          </w:tcPr>
          <w:p w14:paraId="53D8ADED"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,007</w:t>
            </w:r>
          </w:p>
        </w:tc>
      </w:tr>
      <w:tr w:rsidR="001114EC" w:rsidRPr="007626F7" w14:paraId="14336D86" w14:textId="77777777" w:rsidTr="00457C58">
        <w:trPr>
          <w:cantSplit/>
          <w:trHeight w:val="561"/>
        </w:trPr>
        <w:tc>
          <w:tcPr>
            <w:tcW w:w="766" w:type="dxa"/>
            <w:vMerge/>
            <w:tcBorders>
              <w:top w:val="single" w:sz="16" w:space="0" w:color="000000"/>
              <w:left w:val="single" w:sz="16" w:space="0" w:color="000000"/>
              <w:bottom w:val="single" w:sz="16" w:space="0" w:color="000000"/>
              <w:right w:val="nil"/>
            </w:tcBorders>
            <w:shd w:val="clear" w:color="auto" w:fill="FFFFFF"/>
          </w:tcPr>
          <w:p w14:paraId="0D6E866D" w14:textId="77777777" w:rsidR="001114EC" w:rsidRPr="007626F7" w:rsidRDefault="001114EC" w:rsidP="007626F7">
            <w:pPr>
              <w:autoSpaceDE w:val="0"/>
              <w:autoSpaceDN w:val="0"/>
              <w:adjustRightInd w:val="0"/>
              <w:spacing w:after="0" w:line="360" w:lineRule="auto"/>
              <w:jc w:val="center"/>
              <w:rPr>
                <w:rFonts w:ascii="Times New Roman" w:hAnsi="Times New Roman" w:cs="Times New Roman"/>
                <w:color w:val="000000"/>
              </w:rPr>
            </w:pPr>
          </w:p>
        </w:tc>
        <w:tc>
          <w:tcPr>
            <w:tcW w:w="1936" w:type="dxa"/>
            <w:tcBorders>
              <w:top w:val="nil"/>
              <w:left w:val="nil"/>
              <w:bottom w:val="nil"/>
              <w:right w:val="single" w:sz="16" w:space="0" w:color="000000"/>
            </w:tcBorders>
            <w:shd w:val="clear" w:color="auto" w:fill="FFFFFF"/>
          </w:tcPr>
          <w:p w14:paraId="6427BC3E"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Зовнішній борг</w:t>
            </w:r>
          </w:p>
        </w:tc>
        <w:tc>
          <w:tcPr>
            <w:tcW w:w="1536" w:type="dxa"/>
            <w:tcBorders>
              <w:top w:val="nil"/>
              <w:left w:val="single" w:sz="16" w:space="0" w:color="000000"/>
              <w:bottom w:val="nil"/>
            </w:tcBorders>
            <w:shd w:val="clear" w:color="auto" w:fill="FFFFFF"/>
            <w:vAlign w:val="center"/>
          </w:tcPr>
          <w:p w14:paraId="636D7CA6"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,032</w:t>
            </w:r>
          </w:p>
        </w:tc>
        <w:tc>
          <w:tcPr>
            <w:tcW w:w="1537" w:type="dxa"/>
            <w:tcBorders>
              <w:top w:val="nil"/>
              <w:bottom w:val="nil"/>
            </w:tcBorders>
            <w:shd w:val="clear" w:color="auto" w:fill="FFFFFF"/>
            <w:vAlign w:val="center"/>
          </w:tcPr>
          <w:p w14:paraId="7A53DC3F"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,003</w:t>
            </w:r>
          </w:p>
        </w:tc>
        <w:tc>
          <w:tcPr>
            <w:tcW w:w="1536" w:type="dxa"/>
            <w:tcBorders>
              <w:top w:val="nil"/>
              <w:bottom w:val="nil"/>
            </w:tcBorders>
            <w:shd w:val="clear" w:color="auto" w:fill="FFFFFF"/>
            <w:vAlign w:val="center"/>
          </w:tcPr>
          <w:p w14:paraId="7E3544F5"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,530</w:t>
            </w:r>
          </w:p>
        </w:tc>
        <w:tc>
          <w:tcPr>
            <w:tcW w:w="1072" w:type="dxa"/>
            <w:tcBorders>
              <w:top w:val="nil"/>
              <w:bottom w:val="nil"/>
            </w:tcBorders>
            <w:shd w:val="clear" w:color="auto" w:fill="FFFFFF"/>
            <w:vAlign w:val="center"/>
          </w:tcPr>
          <w:p w14:paraId="5CA376BE"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10,044</w:t>
            </w:r>
          </w:p>
        </w:tc>
        <w:tc>
          <w:tcPr>
            <w:tcW w:w="1395" w:type="dxa"/>
            <w:tcBorders>
              <w:top w:val="nil"/>
              <w:bottom w:val="nil"/>
              <w:right w:val="single" w:sz="16" w:space="0" w:color="000000"/>
            </w:tcBorders>
            <w:shd w:val="clear" w:color="auto" w:fill="FFFFFF"/>
            <w:vAlign w:val="center"/>
          </w:tcPr>
          <w:p w14:paraId="060F4E17"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,000</w:t>
            </w:r>
          </w:p>
        </w:tc>
      </w:tr>
      <w:tr w:rsidR="001114EC" w:rsidRPr="007626F7" w14:paraId="4445C15D" w14:textId="77777777" w:rsidTr="00457C58">
        <w:trPr>
          <w:cantSplit/>
          <w:trHeight w:val="561"/>
        </w:trPr>
        <w:tc>
          <w:tcPr>
            <w:tcW w:w="766" w:type="dxa"/>
            <w:vMerge/>
            <w:tcBorders>
              <w:top w:val="single" w:sz="16" w:space="0" w:color="000000"/>
              <w:left w:val="single" w:sz="16" w:space="0" w:color="000000"/>
              <w:bottom w:val="single" w:sz="16" w:space="0" w:color="000000"/>
              <w:right w:val="nil"/>
            </w:tcBorders>
            <w:shd w:val="clear" w:color="auto" w:fill="FFFFFF"/>
          </w:tcPr>
          <w:p w14:paraId="13FD64C1" w14:textId="77777777" w:rsidR="001114EC" w:rsidRPr="007626F7" w:rsidRDefault="001114EC" w:rsidP="007626F7">
            <w:pPr>
              <w:autoSpaceDE w:val="0"/>
              <w:autoSpaceDN w:val="0"/>
              <w:adjustRightInd w:val="0"/>
              <w:spacing w:after="0" w:line="360" w:lineRule="auto"/>
              <w:jc w:val="center"/>
              <w:rPr>
                <w:rFonts w:ascii="Times New Roman" w:hAnsi="Times New Roman" w:cs="Times New Roman"/>
                <w:color w:val="000000"/>
              </w:rPr>
            </w:pPr>
          </w:p>
        </w:tc>
        <w:tc>
          <w:tcPr>
            <w:tcW w:w="1936" w:type="dxa"/>
            <w:tcBorders>
              <w:top w:val="nil"/>
              <w:left w:val="nil"/>
              <w:bottom w:val="nil"/>
              <w:right w:val="single" w:sz="16" w:space="0" w:color="000000"/>
            </w:tcBorders>
            <w:shd w:val="clear" w:color="auto" w:fill="FFFFFF"/>
          </w:tcPr>
          <w:p w14:paraId="7B0F06FE"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Валютний курс</w:t>
            </w:r>
          </w:p>
        </w:tc>
        <w:tc>
          <w:tcPr>
            <w:tcW w:w="1536" w:type="dxa"/>
            <w:tcBorders>
              <w:top w:val="nil"/>
              <w:left w:val="single" w:sz="16" w:space="0" w:color="000000"/>
              <w:bottom w:val="nil"/>
            </w:tcBorders>
            <w:shd w:val="clear" w:color="auto" w:fill="FFFFFF"/>
            <w:vAlign w:val="center"/>
          </w:tcPr>
          <w:p w14:paraId="0A8C3809"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-5008,241</w:t>
            </w:r>
          </w:p>
        </w:tc>
        <w:tc>
          <w:tcPr>
            <w:tcW w:w="1537" w:type="dxa"/>
            <w:tcBorders>
              <w:top w:val="nil"/>
              <w:bottom w:val="nil"/>
            </w:tcBorders>
            <w:shd w:val="clear" w:color="auto" w:fill="FFFFFF"/>
            <w:vAlign w:val="center"/>
          </w:tcPr>
          <w:p w14:paraId="404E6B30"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8834,549</w:t>
            </w:r>
          </w:p>
        </w:tc>
        <w:tc>
          <w:tcPr>
            <w:tcW w:w="1536" w:type="dxa"/>
            <w:tcBorders>
              <w:top w:val="nil"/>
              <w:bottom w:val="nil"/>
            </w:tcBorders>
            <w:shd w:val="clear" w:color="auto" w:fill="FFFFFF"/>
            <w:vAlign w:val="center"/>
          </w:tcPr>
          <w:p w14:paraId="1B72F9F0"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-,058</w:t>
            </w:r>
          </w:p>
        </w:tc>
        <w:tc>
          <w:tcPr>
            <w:tcW w:w="1072" w:type="dxa"/>
            <w:tcBorders>
              <w:top w:val="nil"/>
              <w:bottom w:val="nil"/>
            </w:tcBorders>
            <w:shd w:val="clear" w:color="auto" w:fill="FFFFFF"/>
            <w:vAlign w:val="center"/>
          </w:tcPr>
          <w:p w14:paraId="24EB3C70"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-,567</w:t>
            </w:r>
          </w:p>
        </w:tc>
        <w:tc>
          <w:tcPr>
            <w:tcW w:w="1395" w:type="dxa"/>
            <w:tcBorders>
              <w:top w:val="nil"/>
              <w:bottom w:val="nil"/>
              <w:right w:val="single" w:sz="16" w:space="0" w:color="000000"/>
            </w:tcBorders>
            <w:shd w:val="clear" w:color="auto" w:fill="FFFFFF"/>
            <w:vAlign w:val="center"/>
          </w:tcPr>
          <w:p w14:paraId="6F7A5CC4"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,572</w:t>
            </w:r>
          </w:p>
        </w:tc>
      </w:tr>
      <w:tr w:rsidR="001114EC" w:rsidRPr="007626F7" w14:paraId="21BF7554" w14:textId="77777777" w:rsidTr="00457C58">
        <w:trPr>
          <w:cantSplit/>
          <w:trHeight w:val="561"/>
        </w:trPr>
        <w:tc>
          <w:tcPr>
            <w:tcW w:w="766" w:type="dxa"/>
            <w:vMerge/>
            <w:tcBorders>
              <w:top w:val="single" w:sz="16" w:space="0" w:color="000000"/>
              <w:left w:val="single" w:sz="16" w:space="0" w:color="000000"/>
              <w:bottom w:val="single" w:sz="16" w:space="0" w:color="000000"/>
              <w:right w:val="nil"/>
            </w:tcBorders>
            <w:shd w:val="clear" w:color="auto" w:fill="FFFFFF"/>
          </w:tcPr>
          <w:p w14:paraId="4317F7DC" w14:textId="77777777" w:rsidR="001114EC" w:rsidRPr="007626F7" w:rsidRDefault="001114EC" w:rsidP="007626F7">
            <w:pPr>
              <w:autoSpaceDE w:val="0"/>
              <w:autoSpaceDN w:val="0"/>
              <w:adjustRightInd w:val="0"/>
              <w:spacing w:after="0" w:line="360" w:lineRule="auto"/>
              <w:jc w:val="center"/>
              <w:rPr>
                <w:rFonts w:ascii="Times New Roman" w:hAnsi="Times New Roman" w:cs="Times New Roman"/>
                <w:color w:val="000000"/>
              </w:rPr>
            </w:pPr>
          </w:p>
        </w:tc>
        <w:tc>
          <w:tcPr>
            <w:tcW w:w="1936" w:type="dxa"/>
            <w:tcBorders>
              <w:top w:val="nil"/>
              <w:left w:val="nil"/>
              <w:bottom w:val="nil"/>
              <w:right w:val="single" w:sz="16" w:space="0" w:color="000000"/>
            </w:tcBorders>
            <w:shd w:val="clear" w:color="auto" w:fill="FFFFFF"/>
          </w:tcPr>
          <w:p w14:paraId="098C7C0E"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Рівень цін</w:t>
            </w:r>
          </w:p>
        </w:tc>
        <w:tc>
          <w:tcPr>
            <w:tcW w:w="1536" w:type="dxa"/>
            <w:tcBorders>
              <w:top w:val="nil"/>
              <w:left w:val="single" w:sz="16" w:space="0" w:color="000000"/>
              <w:bottom w:val="nil"/>
            </w:tcBorders>
            <w:shd w:val="clear" w:color="auto" w:fill="FFFFFF"/>
            <w:vAlign w:val="center"/>
          </w:tcPr>
          <w:p w14:paraId="6D7FE359"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2477,484</w:t>
            </w:r>
          </w:p>
        </w:tc>
        <w:tc>
          <w:tcPr>
            <w:tcW w:w="1537" w:type="dxa"/>
            <w:tcBorders>
              <w:top w:val="nil"/>
              <w:bottom w:val="nil"/>
            </w:tcBorders>
            <w:shd w:val="clear" w:color="auto" w:fill="FFFFFF"/>
            <w:vAlign w:val="center"/>
          </w:tcPr>
          <w:p w14:paraId="5E41CB5C"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655,310</w:t>
            </w:r>
          </w:p>
        </w:tc>
        <w:tc>
          <w:tcPr>
            <w:tcW w:w="1536" w:type="dxa"/>
            <w:tcBorders>
              <w:top w:val="nil"/>
              <w:bottom w:val="nil"/>
            </w:tcBorders>
            <w:shd w:val="clear" w:color="auto" w:fill="FFFFFF"/>
            <w:vAlign w:val="center"/>
          </w:tcPr>
          <w:p w14:paraId="1D237658"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,354</w:t>
            </w:r>
          </w:p>
        </w:tc>
        <w:tc>
          <w:tcPr>
            <w:tcW w:w="1072" w:type="dxa"/>
            <w:tcBorders>
              <w:top w:val="nil"/>
              <w:bottom w:val="nil"/>
            </w:tcBorders>
            <w:shd w:val="clear" w:color="auto" w:fill="FFFFFF"/>
            <w:vAlign w:val="center"/>
          </w:tcPr>
          <w:p w14:paraId="747FD359"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3,781</w:t>
            </w:r>
          </w:p>
        </w:tc>
        <w:tc>
          <w:tcPr>
            <w:tcW w:w="1395" w:type="dxa"/>
            <w:tcBorders>
              <w:top w:val="nil"/>
              <w:bottom w:val="nil"/>
              <w:right w:val="single" w:sz="16" w:space="0" w:color="000000"/>
            </w:tcBorders>
            <w:shd w:val="clear" w:color="auto" w:fill="FFFFFF"/>
            <w:vAlign w:val="center"/>
          </w:tcPr>
          <w:p w14:paraId="66DC052D"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,000</w:t>
            </w:r>
          </w:p>
        </w:tc>
      </w:tr>
      <w:tr w:rsidR="001114EC" w:rsidRPr="007626F7" w14:paraId="74A5D6DB" w14:textId="77777777" w:rsidTr="00457C58">
        <w:trPr>
          <w:cantSplit/>
          <w:trHeight w:val="540"/>
        </w:trPr>
        <w:tc>
          <w:tcPr>
            <w:tcW w:w="766" w:type="dxa"/>
            <w:vMerge/>
            <w:tcBorders>
              <w:top w:val="single" w:sz="16" w:space="0" w:color="000000"/>
              <w:left w:val="single" w:sz="16" w:space="0" w:color="000000"/>
              <w:bottom w:val="single" w:sz="16" w:space="0" w:color="000000"/>
              <w:right w:val="nil"/>
            </w:tcBorders>
            <w:shd w:val="clear" w:color="auto" w:fill="FFFFFF"/>
          </w:tcPr>
          <w:p w14:paraId="4904D329" w14:textId="77777777" w:rsidR="001114EC" w:rsidRPr="007626F7" w:rsidRDefault="001114EC" w:rsidP="007626F7">
            <w:pPr>
              <w:autoSpaceDE w:val="0"/>
              <w:autoSpaceDN w:val="0"/>
              <w:adjustRightInd w:val="0"/>
              <w:spacing w:after="0" w:line="360" w:lineRule="auto"/>
              <w:jc w:val="center"/>
              <w:rPr>
                <w:rFonts w:ascii="Times New Roman" w:hAnsi="Times New Roman" w:cs="Times New Roman"/>
                <w:color w:val="000000"/>
              </w:rPr>
            </w:pPr>
          </w:p>
        </w:tc>
        <w:tc>
          <w:tcPr>
            <w:tcW w:w="1936" w:type="dxa"/>
            <w:tcBorders>
              <w:top w:val="nil"/>
              <w:left w:val="nil"/>
              <w:bottom w:val="single" w:sz="16" w:space="0" w:color="000000"/>
              <w:right w:val="single" w:sz="16" w:space="0" w:color="000000"/>
            </w:tcBorders>
            <w:shd w:val="clear" w:color="auto" w:fill="FFFFFF"/>
          </w:tcPr>
          <w:p w14:paraId="592595D9"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Грошова маса М1</w:t>
            </w:r>
          </w:p>
        </w:tc>
        <w:tc>
          <w:tcPr>
            <w:tcW w:w="1536" w:type="dxa"/>
            <w:tcBorders>
              <w:top w:val="nil"/>
              <w:left w:val="single" w:sz="16" w:space="0" w:color="000000"/>
              <w:bottom w:val="single" w:sz="16" w:space="0" w:color="000000"/>
            </w:tcBorders>
            <w:shd w:val="clear" w:color="auto" w:fill="FFFFFF"/>
            <w:vAlign w:val="center"/>
          </w:tcPr>
          <w:p w14:paraId="11F28A64"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-20,522</w:t>
            </w:r>
          </w:p>
        </w:tc>
        <w:tc>
          <w:tcPr>
            <w:tcW w:w="1537" w:type="dxa"/>
            <w:tcBorders>
              <w:top w:val="nil"/>
              <w:bottom w:val="single" w:sz="16" w:space="0" w:color="000000"/>
            </w:tcBorders>
            <w:shd w:val="clear" w:color="auto" w:fill="FFFFFF"/>
            <w:vAlign w:val="center"/>
          </w:tcPr>
          <w:p w14:paraId="20B3C8AA"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24,419</w:t>
            </w:r>
          </w:p>
        </w:tc>
        <w:tc>
          <w:tcPr>
            <w:tcW w:w="1536" w:type="dxa"/>
            <w:tcBorders>
              <w:top w:val="nil"/>
              <w:bottom w:val="single" w:sz="16" w:space="0" w:color="000000"/>
            </w:tcBorders>
            <w:shd w:val="clear" w:color="auto" w:fill="FFFFFF"/>
            <w:vAlign w:val="center"/>
          </w:tcPr>
          <w:p w14:paraId="2C25ED49"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-,028</w:t>
            </w:r>
          </w:p>
        </w:tc>
        <w:tc>
          <w:tcPr>
            <w:tcW w:w="1072" w:type="dxa"/>
            <w:tcBorders>
              <w:top w:val="nil"/>
              <w:bottom w:val="single" w:sz="16" w:space="0" w:color="000000"/>
            </w:tcBorders>
            <w:shd w:val="clear" w:color="auto" w:fill="FFFFFF"/>
            <w:vAlign w:val="center"/>
          </w:tcPr>
          <w:p w14:paraId="460CE6F4"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-,840</w:t>
            </w:r>
          </w:p>
        </w:tc>
        <w:tc>
          <w:tcPr>
            <w:tcW w:w="1395" w:type="dxa"/>
            <w:tcBorders>
              <w:top w:val="nil"/>
              <w:bottom w:val="single" w:sz="16" w:space="0" w:color="000000"/>
              <w:right w:val="single" w:sz="16" w:space="0" w:color="000000"/>
            </w:tcBorders>
            <w:shd w:val="clear" w:color="auto" w:fill="FFFFFF"/>
            <w:vAlign w:val="center"/>
          </w:tcPr>
          <w:p w14:paraId="78050BE2" w14:textId="77777777" w:rsidR="001114EC" w:rsidRPr="007626F7" w:rsidRDefault="001114EC" w:rsidP="007626F7">
            <w:pPr>
              <w:autoSpaceDE w:val="0"/>
              <w:autoSpaceDN w:val="0"/>
              <w:adjustRightInd w:val="0"/>
              <w:spacing w:after="0" w:line="360" w:lineRule="auto"/>
              <w:ind w:left="60" w:right="60"/>
              <w:jc w:val="center"/>
              <w:rPr>
                <w:rFonts w:ascii="Times New Roman" w:hAnsi="Times New Roman" w:cs="Times New Roman"/>
                <w:color w:val="000000"/>
              </w:rPr>
            </w:pPr>
            <w:r w:rsidRPr="007626F7">
              <w:rPr>
                <w:rFonts w:ascii="Times New Roman" w:hAnsi="Times New Roman" w:cs="Times New Roman"/>
                <w:color w:val="000000"/>
              </w:rPr>
              <w:t>,403</w:t>
            </w:r>
          </w:p>
        </w:tc>
      </w:tr>
    </w:tbl>
    <w:p w14:paraId="62326200" w14:textId="2C69C2AC" w:rsidR="004F78EF" w:rsidRPr="007626F7" w:rsidRDefault="00457C58" w:rsidP="007626F7">
      <w:pPr>
        <w:spacing w:after="0" w:line="360" w:lineRule="auto"/>
        <w:jc w:val="both"/>
        <w:textAlignment w:val="baseline"/>
        <w:rPr>
          <w:rFonts w:ascii="Times New Roman" w:eastAsia="Times New Roman" w:hAnsi="Times New Roman" w:cs="Times New Roman"/>
          <w:color w:val="1D1D1B"/>
          <w:sz w:val="28"/>
          <w:szCs w:val="28"/>
          <w:lang w:val="uk-UA"/>
        </w:rPr>
      </w:pPr>
      <w:r w:rsidRPr="007626F7">
        <w:rPr>
          <w:rFonts w:ascii="Times New Roman" w:eastAsia="Times New Roman" w:hAnsi="Times New Roman" w:cs="Times New Roman"/>
          <w:color w:val="1D1D1B"/>
          <w:sz w:val="28"/>
          <w:szCs w:val="28"/>
          <w:lang w:val="uk-UA"/>
        </w:rPr>
        <w:t>Джерело: розраховано автором.</w:t>
      </w:r>
    </w:p>
    <w:p w14:paraId="705E0A49" w14:textId="77777777" w:rsidR="000937A8" w:rsidRPr="007626F7" w:rsidRDefault="000937A8" w:rsidP="007626F7">
      <w:pPr>
        <w:spacing w:after="0" w:line="360" w:lineRule="auto"/>
        <w:jc w:val="both"/>
        <w:textAlignment w:val="baseline"/>
        <w:rPr>
          <w:rFonts w:ascii="Times New Roman" w:eastAsia="Times New Roman" w:hAnsi="Times New Roman" w:cs="Times New Roman"/>
          <w:color w:val="1D1D1B"/>
          <w:sz w:val="28"/>
          <w:szCs w:val="28"/>
          <w:lang w:val="uk-UA"/>
        </w:rPr>
      </w:pPr>
    </w:p>
    <w:p w14:paraId="3E28C54F" w14:textId="389DE3FE" w:rsidR="0059114F" w:rsidRPr="007626F7" w:rsidRDefault="0059114F"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 xml:space="preserve">ДОДАТОК </w:t>
      </w:r>
      <w:r w:rsidR="003B403A" w:rsidRPr="007626F7">
        <w:rPr>
          <w:rFonts w:ascii="Times New Roman" w:hAnsi="Times New Roman" w:cs="Times New Roman"/>
          <w:b/>
          <w:bCs/>
          <w:sz w:val="28"/>
          <w:szCs w:val="28"/>
        </w:rPr>
        <w:t>Л</w:t>
      </w:r>
      <w:r w:rsidRPr="007626F7">
        <w:rPr>
          <w:rFonts w:ascii="Times New Roman" w:hAnsi="Times New Roman" w:cs="Times New Roman"/>
          <w:b/>
          <w:bCs/>
          <w:sz w:val="28"/>
          <w:szCs w:val="28"/>
        </w:rPr>
        <w:t>.1</w:t>
      </w:r>
    </w:p>
    <w:p w14:paraId="4F102663" w14:textId="7C2C7322" w:rsidR="005705EA" w:rsidRPr="007626F7" w:rsidRDefault="0059114F" w:rsidP="007626F7">
      <w:pPr>
        <w:spacing w:after="0" w:line="360" w:lineRule="auto"/>
        <w:ind w:firstLine="709"/>
        <w:jc w:val="center"/>
        <w:rPr>
          <w:rFonts w:ascii="Times New Roman" w:hAnsi="Times New Roman" w:cs="Times New Roman"/>
          <w:b/>
          <w:color w:val="000000"/>
          <w:sz w:val="28"/>
          <w:szCs w:val="28"/>
          <w:lang w:val="uk-UA"/>
        </w:rPr>
      </w:pPr>
      <w:r w:rsidRPr="007626F7">
        <w:rPr>
          <w:rFonts w:ascii="Times New Roman" w:hAnsi="Times New Roman" w:cs="Times New Roman"/>
          <w:b/>
          <w:color w:val="000000"/>
          <w:sz w:val="28"/>
          <w:szCs w:val="28"/>
          <w:lang w:val="uk-UA"/>
        </w:rPr>
        <w:t>Обсяги експорту та імпорту України з Швейцарією (тис. дол. США)</w:t>
      </w:r>
    </w:p>
    <w:p w14:paraId="4968E724" w14:textId="77777777" w:rsidR="0059114F" w:rsidRPr="007626F7" w:rsidRDefault="0059114F" w:rsidP="007626F7">
      <w:pPr>
        <w:spacing w:after="0" w:line="360" w:lineRule="auto"/>
        <w:rPr>
          <w:rFonts w:ascii="Times New Roman" w:hAnsi="Times New Roman" w:cs="Times New Roman"/>
          <w:lang w:val="uk-UA"/>
        </w:rPr>
      </w:pPr>
    </w:p>
    <w:tbl>
      <w:tblPr>
        <w:tblW w:w="9284" w:type="dxa"/>
        <w:tblLook w:val="04A0" w:firstRow="1" w:lastRow="0" w:firstColumn="1" w:lastColumn="0" w:noHBand="0" w:noVBand="1"/>
      </w:tblPr>
      <w:tblGrid>
        <w:gridCol w:w="1943"/>
        <w:gridCol w:w="2303"/>
        <w:gridCol w:w="2303"/>
        <w:gridCol w:w="2735"/>
      </w:tblGrid>
      <w:tr w:rsidR="0059114F" w:rsidRPr="007626F7" w14:paraId="0DFDE732" w14:textId="77777777" w:rsidTr="009F1288">
        <w:trPr>
          <w:trHeight w:val="356"/>
        </w:trPr>
        <w:tc>
          <w:tcPr>
            <w:tcW w:w="1943" w:type="dxa"/>
            <w:vMerge w:val="restart"/>
            <w:tcBorders>
              <w:top w:val="single" w:sz="4" w:space="0" w:color="auto"/>
              <w:left w:val="single" w:sz="4" w:space="0" w:color="auto"/>
              <w:bottom w:val="single" w:sz="4" w:space="0" w:color="auto"/>
              <w:right w:val="single" w:sz="4" w:space="0" w:color="auto"/>
            </w:tcBorders>
            <w:shd w:val="clear" w:color="000000" w:fill="FFFFFF"/>
            <w:hideMark/>
          </w:tcPr>
          <w:p w14:paraId="58781D41"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 </w:t>
            </w:r>
          </w:p>
        </w:tc>
        <w:tc>
          <w:tcPr>
            <w:tcW w:w="2303" w:type="dxa"/>
            <w:tcBorders>
              <w:top w:val="single" w:sz="4" w:space="0" w:color="auto"/>
              <w:left w:val="nil"/>
              <w:bottom w:val="single" w:sz="4" w:space="0" w:color="auto"/>
              <w:right w:val="single" w:sz="4" w:space="0" w:color="000000"/>
            </w:tcBorders>
            <w:shd w:val="clear" w:color="000000" w:fill="FFFFFF"/>
            <w:vAlign w:val="center"/>
            <w:hideMark/>
          </w:tcPr>
          <w:p w14:paraId="130723E7"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Експорт</w:t>
            </w:r>
          </w:p>
        </w:tc>
        <w:tc>
          <w:tcPr>
            <w:tcW w:w="2303" w:type="dxa"/>
            <w:tcBorders>
              <w:top w:val="single" w:sz="4" w:space="0" w:color="auto"/>
              <w:left w:val="nil"/>
              <w:bottom w:val="single" w:sz="4" w:space="0" w:color="auto"/>
              <w:right w:val="single" w:sz="4" w:space="0" w:color="000000"/>
            </w:tcBorders>
            <w:shd w:val="clear" w:color="auto" w:fill="auto"/>
            <w:vAlign w:val="center"/>
            <w:hideMark/>
          </w:tcPr>
          <w:p w14:paraId="13F90DDE"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Імпорт</w:t>
            </w:r>
          </w:p>
        </w:tc>
        <w:tc>
          <w:tcPr>
            <w:tcW w:w="2735"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495B2EC"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Сальдо</w:t>
            </w:r>
          </w:p>
        </w:tc>
      </w:tr>
      <w:tr w:rsidR="0059114F" w:rsidRPr="007626F7" w14:paraId="1DED5814" w14:textId="77777777" w:rsidTr="009F1288">
        <w:trPr>
          <w:trHeight w:val="748"/>
        </w:trPr>
        <w:tc>
          <w:tcPr>
            <w:tcW w:w="1943" w:type="dxa"/>
            <w:vMerge/>
            <w:tcBorders>
              <w:top w:val="single" w:sz="4" w:space="0" w:color="auto"/>
              <w:left w:val="single" w:sz="4" w:space="0" w:color="auto"/>
              <w:bottom w:val="single" w:sz="4" w:space="0" w:color="auto"/>
              <w:right w:val="single" w:sz="4" w:space="0" w:color="auto"/>
            </w:tcBorders>
            <w:vAlign w:val="center"/>
            <w:hideMark/>
          </w:tcPr>
          <w:p w14:paraId="609B2C60" w14:textId="77777777" w:rsidR="0059114F" w:rsidRPr="007626F7" w:rsidRDefault="0059114F" w:rsidP="007626F7">
            <w:pPr>
              <w:spacing w:after="0" w:line="360" w:lineRule="auto"/>
              <w:rPr>
                <w:rFonts w:ascii="Times New Roman" w:eastAsia="Times New Roman" w:hAnsi="Times New Roman" w:cs="Times New Roman"/>
                <w:color w:val="000000"/>
                <w:sz w:val="28"/>
                <w:szCs w:val="28"/>
              </w:rPr>
            </w:pPr>
          </w:p>
        </w:tc>
        <w:tc>
          <w:tcPr>
            <w:tcW w:w="2303" w:type="dxa"/>
            <w:tcBorders>
              <w:top w:val="single" w:sz="4" w:space="0" w:color="auto"/>
              <w:left w:val="nil"/>
              <w:bottom w:val="single" w:sz="4" w:space="0" w:color="auto"/>
              <w:right w:val="single" w:sz="4" w:space="0" w:color="auto"/>
            </w:tcBorders>
            <w:shd w:val="clear" w:color="000000" w:fill="FFFFFF"/>
            <w:vAlign w:val="center"/>
            <w:hideMark/>
          </w:tcPr>
          <w:p w14:paraId="3C023618"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тис</w:t>
            </w:r>
            <w:proofErr w:type="gramStart"/>
            <w:r w:rsidRPr="007626F7">
              <w:rPr>
                <w:rFonts w:ascii="Times New Roman" w:eastAsia="Times New Roman" w:hAnsi="Times New Roman" w:cs="Times New Roman"/>
                <w:color w:val="000000"/>
                <w:sz w:val="28"/>
                <w:szCs w:val="28"/>
              </w:rPr>
              <w:t>.д</w:t>
            </w:r>
            <w:proofErr w:type="gramEnd"/>
            <w:r w:rsidRPr="007626F7">
              <w:rPr>
                <w:rFonts w:ascii="Times New Roman" w:eastAsia="Times New Roman" w:hAnsi="Times New Roman" w:cs="Times New Roman"/>
                <w:color w:val="000000"/>
                <w:sz w:val="28"/>
                <w:szCs w:val="28"/>
              </w:rPr>
              <w:t>ол. США</w:t>
            </w:r>
            <w:r w:rsidRPr="007626F7">
              <w:rPr>
                <w:rFonts w:ascii="Times New Roman" w:eastAsia="Times New Roman" w:hAnsi="Times New Roman" w:cs="Times New Roman"/>
                <w:i/>
                <w:iCs/>
                <w:color w:val="000000"/>
                <w:sz w:val="28"/>
                <w:szCs w:val="28"/>
              </w:rPr>
              <w:t xml:space="preserve">            </w:t>
            </w:r>
          </w:p>
        </w:tc>
        <w:tc>
          <w:tcPr>
            <w:tcW w:w="2303" w:type="dxa"/>
            <w:tcBorders>
              <w:top w:val="single" w:sz="4" w:space="0" w:color="auto"/>
              <w:left w:val="nil"/>
              <w:bottom w:val="single" w:sz="4" w:space="0" w:color="auto"/>
              <w:right w:val="single" w:sz="4" w:space="0" w:color="auto"/>
            </w:tcBorders>
            <w:shd w:val="clear" w:color="000000" w:fill="FFFFFF"/>
            <w:vAlign w:val="center"/>
            <w:hideMark/>
          </w:tcPr>
          <w:p w14:paraId="3BE1FAAE"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тис</w:t>
            </w:r>
            <w:proofErr w:type="gramStart"/>
            <w:r w:rsidRPr="007626F7">
              <w:rPr>
                <w:rFonts w:ascii="Times New Roman" w:eastAsia="Times New Roman" w:hAnsi="Times New Roman" w:cs="Times New Roman"/>
                <w:color w:val="000000"/>
                <w:sz w:val="28"/>
                <w:szCs w:val="28"/>
              </w:rPr>
              <w:t>.д</w:t>
            </w:r>
            <w:proofErr w:type="gramEnd"/>
            <w:r w:rsidRPr="007626F7">
              <w:rPr>
                <w:rFonts w:ascii="Times New Roman" w:eastAsia="Times New Roman" w:hAnsi="Times New Roman" w:cs="Times New Roman"/>
                <w:color w:val="000000"/>
                <w:sz w:val="28"/>
                <w:szCs w:val="28"/>
              </w:rPr>
              <w:t>ол. США</w:t>
            </w:r>
            <w:r w:rsidRPr="007626F7">
              <w:rPr>
                <w:rFonts w:ascii="Times New Roman" w:eastAsia="Times New Roman" w:hAnsi="Times New Roman" w:cs="Times New Roman"/>
                <w:i/>
                <w:iCs/>
                <w:color w:val="000000"/>
                <w:sz w:val="28"/>
                <w:szCs w:val="28"/>
              </w:rPr>
              <w:t xml:space="preserve">             </w:t>
            </w:r>
          </w:p>
        </w:tc>
        <w:tc>
          <w:tcPr>
            <w:tcW w:w="2735" w:type="dxa"/>
            <w:vMerge/>
            <w:tcBorders>
              <w:top w:val="single" w:sz="4" w:space="0" w:color="auto"/>
              <w:left w:val="single" w:sz="4" w:space="0" w:color="auto"/>
              <w:bottom w:val="single" w:sz="4" w:space="0" w:color="auto"/>
              <w:right w:val="single" w:sz="4" w:space="0" w:color="auto"/>
            </w:tcBorders>
            <w:vAlign w:val="center"/>
            <w:hideMark/>
          </w:tcPr>
          <w:p w14:paraId="675AB562" w14:textId="77777777" w:rsidR="0059114F" w:rsidRPr="007626F7" w:rsidRDefault="0059114F" w:rsidP="007626F7">
            <w:pPr>
              <w:spacing w:after="0" w:line="360" w:lineRule="auto"/>
              <w:rPr>
                <w:rFonts w:ascii="Times New Roman" w:eastAsia="Times New Roman" w:hAnsi="Times New Roman" w:cs="Times New Roman"/>
                <w:color w:val="000000"/>
                <w:sz w:val="28"/>
                <w:szCs w:val="28"/>
              </w:rPr>
            </w:pPr>
          </w:p>
        </w:tc>
      </w:tr>
      <w:tr w:rsidR="0059114F" w:rsidRPr="007626F7" w14:paraId="17366C98" w14:textId="77777777" w:rsidTr="009F1288">
        <w:trPr>
          <w:trHeight w:val="356"/>
        </w:trPr>
        <w:tc>
          <w:tcPr>
            <w:tcW w:w="1943" w:type="dxa"/>
            <w:tcBorders>
              <w:top w:val="nil"/>
              <w:left w:val="single" w:sz="4" w:space="0" w:color="auto"/>
              <w:bottom w:val="single" w:sz="4" w:space="0" w:color="auto"/>
              <w:right w:val="single" w:sz="4" w:space="0" w:color="auto"/>
            </w:tcBorders>
            <w:shd w:val="clear" w:color="auto" w:fill="auto"/>
            <w:noWrap/>
            <w:vAlign w:val="bottom"/>
            <w:hideMark/>
          </w:tcPr>
          <w:p w14:paraId="3558CB30"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2017</w:t>
            </w:r>
          </w:p>
        </w:tc>
        <w:tc>
          <w:tcPr>
            <w:tcW w:w="2303" w:type="dxa"/>
            <w:tcBorders>
              <w:top w:val="single" w:sz="4" w:space="0" w:color="auto"/>
              <w:left w:val="nil"/>
              <w:bottom w:val="single" w:sz="4" w:space="0" w:color="auto"/>
              <w:right w:val="single" w:sz="4" w:space="0" w:color="000000"/>
            </w:tcBorders>
            <w:shd w:val="clear" w:color="auto" w:fill="auto"/>
            <w:noWrap/>
            <w:vAlign w:val="bottom"/>
            <w:hideMark/>
          </w:tcPr>
          <w:p w14:paraId="2A77B4B3"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182314,5</w:t>
            </w:r>
          </w:p>
        </w:tc>
        <w:tc>
          <w:tcPr>
            <w:tcW w:w="2303" w:type="dxa"/>
            <w:tcBorders>
              <w:top w:val="single" w:sz="4" w:space="0" w:color="auto"/>
              <w:left w:val="nil"/>
              <w:bottom w:val="single" w:sz="4" w:space="0" w:color="auto"/>
              <w:right w:val="single" w:sz="4" w:space="0" w:color="000000"/>
            </w:tcBorders>
            <w:shd w:val="clear" w:color="auto" w:fill="auto"/>
            <w:noWrap/>
            <w:vAlign w:val="bottom"/>
            <w:hideMark/>
          </w:tcPr>
          <w:p w14:paraId="4D5BFCB6"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1682171,1</w:t>
            </w:r>
          </w:p>
        </w:tc>
        <w:tc>
          <w:tcPr>
            <w:tcW w:w="2735" w:type="dxa"/>
            <w:tcBorders>
              <w:top w:val="nil"/>
              <w:left w:val="nil"/>
              <w:bottom w:val="single" w:sz="4" w:space="0" w:color="auto"/>
              <w:right w:val="single" w:sz="4" w:space="0" w:color="auto"/>
            </w:tcBorders>
            <w:shd w:val="clear" w:color="auto" w:fill="auto"/>
            <w:noWrap/>
            <w:vAlign w:val="bottom"/>
            <w:hideMark/>
          </w:tcPr>
          <w:p w14:paraId="5CFAA91C"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–1499856,6</w:t>
            </w:r>
          </w:p>
        </w:tc>
      </w:tr>
      <w:tr w:rsidR="0059114F" w:rsidRPr="007626F7" w14:paraId="39395D4D" w14:textId="77777777" w:rsidTr="009F1288">
        <w:trPr>
          <w:trHeight w:val="356"/>
        </w:trPr>
        <w:tc>
          <w:tcPr>
            <w:tcW w:w="1943" w:type="dxa"/>
            <w:tcBorders>
              <w:top w:val="nil"/>
              <w:left w:val="single" w:sz="4" w:space="0" w:color="auto"/>
              <w:bottom w:val="single" w:sz="4" w:space="0" w:color="auto"/>
              <w:right w:val="single" w:sz="4" w:space="0" w:color="auto"/>
            </w:tcBorders>
            <w:shd w:val="clear" w:color="auto" w:fill="auto"/>
            <w:noWrap/>
            <w:vAlign w:val="bottom"/>
            <w:hideMark/>
          </w:tcPr>
          <w:p w14:paraId="1DF0B965"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2018</w:t>
            </w:r>
          </w:p>
        </w:tc>
        <w:tc>
          <w:tcPr>
            <w:tcW w:w="2303" w:type="dxa"/>
            <w:tcBorders>
              <w:top w:val="single" w:sz="4" w:space="0" w:color="auto"/>
              <w:left w:val="nil"/>
              <w:bottom w:val="single" w:sz="4" w:space="0" w:color="auto"/>
              <w:right w:val="single" w:sz="4" w:space="0" w:color="000000"/>
            </w:tcBorders>
            <w:shd w:val="clear" w:color="auto" w:fill="auto"/>
            <w:noWrap/>
            <w:vAlign w:val="bottom"/>
            <w:hideMark/>
          </w:tcPr>
          <w:p w14:paraId="370517AE"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108638,1</w:t>
            </w:r>
          </w:p>
        </w:tc>
        <w:tc>
          <w:tcPr>
            <w:tcW w:w="2303" w:type="dxa"/>
            <w:tcBorders>
              <w:top w:val="single" w:sz="4" w:space="0" w:color="auto"/>
              <w:left w:val="nil"/>
              <w:bottom w:val="single" w:sz="4" w:space="0" w:color="auto"/>
              <w:right w:val="single" w:sz="4" w:space="0" w:color="000000"/>
            </w:tcBorders>
            <w:shd w:val="clear" w:color="auto" w:fill="auto"/>
            <w:noWrap/>
            <w:vAlign w:val="bottom"/>
            <w:hideMark/>
          </w:tcPr>
          <w:p w14:paraId="596A4CB2"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1644924,6</w:t>
            </w:r>
          </w:p>
        </w:tc>
        <w:tc>
          <w:tcPr>
            <w:tcW w:w="2735" w:type="dxa"/>
            <w:tcBorders>
              <w:top w:val="nil"/>
              <w:left w:val="nil"/>
              <w:bottom w:val="single" w:sz="4" w:space="0" w:color="auto"/>
              <w:right w:val="single" w:sz="4" w:space="0" w:color="auto"/>
            </w:tcBorders>
            <w:shd w:val="clear" w:color="auto" w:fill="auto"/>
            <w:noWrap/>
            <w:vAlign w:val="bottom"/>
            <w:hideMark/>
          </w:tcPr>
          <w:p w14:paraId="5E0D2460"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–1536286,4</w:t>
            </w:r>
          </w:p>
        </w:tc>
      </w:tr>
      <w:tr w:rsidR="0059114F" w:rsidRPr="007626F7" w14:paraId="452FFAB5" w14:textId="77777777" w:rsidTr="009F1288">
        <w:trPr>
          <w:trHeight w:val="356"/>
        </w:trPr>
        <w:tc>
          <w:tcPr>
            <w:tcW w:w="1943" w:type="dxa"/>
            <w:tcBorders>
              <w:top w:val="nil"/>
              <w:left w:val="single" w:sz="4" w:space="0" w:color="auto"/>
              <w:bottom w:val="single" w:sz="4" w:space="0" w:color="auto"/>
              <w:right w:val="single" w:sz="4" w:space="0" w:color="auto"/>
            </w:tcBorders>
            <w:shd w:val="clear" w:color="auto" w:fill="auto"/>
            <w:noWrap/>
            <w:vAlign w:val="bottom"/>
            <w:hideMark/>
          </w:tcPr>
          <w:p w14:paraId="68BD386C"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2019</w:t>
            </w:r>
          </w:p>
        </w:tc>
        <w:tc>
          <w:tcPr>
            <w:tcW w:w="2303" w:type="dxa"/>
            <w:tcBorders>
              <w:top w:val="single" w:sz="4" w:space="0" w:color="auto"/>
              <w:left w:val="nil"/>
              <w:bottom w:val="single" w:sz="4" w:space="0" w:color="auto"/>
              <w:right w:val="single" w:sz="4" w:space="0" w:color="000000"/>
            </w:tcBorders>
            <w:shd w:val="clear" w:color="auto" w:fill="auto"/>
            <w:noWrap/>
            <w:vAlign w:val="bottom"/>
            <w:hideMark/>
          </w:tcPr>
          <w:p w14:paraId="3E2A8530"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127646,4</w:t>
            </w:r>
          </w:p>
        </w:tc>
        <w:tc>
          <w:tcPr>
            <w:tcW w:w="2303" w:type="dxa"/>
            <w:tcBorders>
              <w:top w:val="single" w:sz="4" w:space="0" w:color="auto"/>
              <w:left w:val="nil"/>
              <w:bottom w:val="single" w:sz="4" w:space="0" w:color="auto"/>
              <w:right w:val="single" w:sz="4" w:space="0" w:color="000000"/>
            </w:tcBorders>
            <w:shd w:val="clear" w:color="auto" w:fill="auto"/>
            <w:noWrap/>
            <w:vAlign w:val="bottom"/>
            <w:hideMark/>
          </w:tcPr>
          <w:p w14:paraId="0044693E"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1592098,2</w:t>
            </w:r>
          </w:p>
        </w:tc>
        <w:tc>
          <w:tcPr>
            <w:tcW w:w="2735" w:type="dxa"/>
            <w:tcBorders>
              <w:top w:val="nil"/>
              <w:left w:val="nil"/>
              <w:bottom w:val="single" w:sz="4" w:space="0" w:color="auto"/>
              <w:right w:val="single" w:sz="4" w:space="0" w:color="auto"/>
            </w:tcBorders>
            <w:shd w:val="clear" w:color="auto" w:fill="auto"/>
            <w:noWrap/>
            <w:vAlign w:val="bottom"/>
            <w:hideMark/>
          </w:tcPr>
          <w:p w14:paraId="5B862B17"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–1464451,8</w:t>
            </w:r>
          </w:p>
        </w:tc>
      </w:tr>
      <w:tr w:rsidR="0059114F" w:rsidRPr="007626F7" w14:paraId="2CBF0AC7" w14:textId="77777777" w:rsidTr="009F1288">
        <w:trPr>
          <w:trHeight w:val="356"/>
        </w:trPr>
        <w:tc>
          <w:tcPr>
            <w:tcW w:w="1943" w:type="dxa"/>
            <w:tcBorders>
              <w:top w:val="nil"/>
              <w:left w:val="single" w:sz="4" w:space="0" w:color="auto"/>
              <w:bottom w:val="single" w:sz="4" w:space="0" w:color="auto"/>
              <w:right w:val="single" w:sz="4" w:space="0" w:color="auto"/>
            </w:tcBorders>
            <w:shd w:val="clear" w:color="auto" w:fill="auto"/>
            <w:noWrap/>
            <w:vAlign w:val="bottom"/>
            <w:hideMark/>
          </w:tcPr>
          <w:p w14:paraId="5CB1C273"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2020</w:t>
            </w:r>
          </w:p>
        </w:tc>
        <w:tc>
          <w:tcPr>
            <w:tcW w:w="2303" w:type="dxa"/>
            <w:tcBorders>
              <w:top w:val="single" w:sz="4" w:space="0" w:color="auto"/>
              <w:left w:val="nil"/>
              <w:bottom w:val="single" w:sz="4" w:space="0" w:color="auto"/>
              <w:right w:val="single" w:sz="4" w:space="0" w:color="000000"/>
            </w:tcBorders>
            <w:shd w:val="clear" w:color="auto" w:fill="auto"/>
            <w:noWrap/>
            <w:vAlign w:val="bottom"/>
            <w:hideMark/>
          </w:tcPr>
          <w:p w14:paraId="2A7DA7AC"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142659,3673</w:t>
            </w:r>
          </w:p>
        </w:tc>
        <w:tc>
          <w:tcPr>
            <w:tcW w:w="2303" w:type="dxa"/>
            <w:tcBorders>
              <w:top w:val="single" w:sz="4" w:space="0" w:color="auto"/>
              <w:left w:val="nil"/>
              <w:bottom w:val="single" w:sz="4" w:space="0" w:color="auto"/>
              <w:right w:val="single" w:sz="4" w:space="0" w:color="000000"/>
            </w:tcBorders>
            <w:shd w:val="clear" w:color="auto" w:fill="auto"/>
            <w:noWrap/>
            <w:vAlign w:val="bottom"/>
            <w:hideMark/>
          </w:tcPr>
          <w:p w14:paraId="3196288F"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1165990,488</w:t>
            </w:r>
          </w:p>
        </w:tc>
        <w:tc>
          <w:tcPr>
            <w:tcW w:w="2735" w:type="dxa"/>
            <w:tcBorders>
              <w:top w:val="nil"/>
              <w:left w:val="nil"/>
              <w:bottom w:val="single" w:sz="4" w:space="0" w:color="auto"/>
              <w:right w:val="single" w:sz="4" w:space="0" w:color="auto"/>
            </w:tcBorders>
            <w:shd w:val="clear" w:color="auto" w:fill="auto"/>
            <w:noWrap/>
            <w:vAlign w:val="bottom"/>
            <w:hideMark/>
          </w:tcPr>
          <w:p w14:paraId="689EBCD4"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-1023331,121</w:t>
            </w:r>
          </w:p>
        </w:tc>
      </w:tr>
      <w:tr w:rsidR="0059114F" w:rsidRPr="007626F7" w14:paraId="349F4BA3" w14:textId="77777777" w:rsidTr="009F1288">
        <w:trPr>
          <w:trHeight w:val="356"/>
        </w:trPr>
        <w:tc>
          <w:tcPr>
            <w:tcW w:w="1943" w:type="dxa"/>
            <w:tcBorders>
              <w:top w:val="nil"/>
              <w:left w:val="single" w:sz="4" w:space="0" w:color="auto"/>
              <w:bottom w:val="single" w:sz="4" w:space="0" w:color="auto"/>
              <w:right w:val="single" w:sz="4" w:space="0" w:color="auto"/>
            </w:tcBorders>
            <w:shd w:val="clear" w:color="auto" w:fill="auto"/>
            <w:noWrap/>
            <w:vAlign w:val="bottom"/>
            <w:hideMark/>
          </w:tcPr>
          <w:p w14:paraId="380D2E23"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2021 (січень)</w:t>
            </w:r>
          </w:p>
        </w:tc>
        <w:tc>
          <w:tcPr>
            <w:tcW w:w="2303" w:type="dxa"/>
            <w:tcBorders>
              <w:top w:val="single" w:sz="4" w:space="0" w:color="auto"/>
              <w:left w:val="nil"/>
              <w:bottom w:val="single" w:sz="4" w:space="0" w:color="auto"/>
              <w:right w:val="single" w:sz="4" w:space="0" w:color="000000"/>
            </w:tcBorders>
            <w:shd w:val="clear" w:color="auto" w:fill="auto"/>
            <w:noWrap/>
            <w:vAlign w:val="bottom"/>
            <w:hideMark/>
          </w:tcPr>
          <w:p w14:paraId="6CAFD73E"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4930,54351</w:t>
            </w:r>
          </w:p>
        </w:tc>
        <w:tc>
          <w:tcPr>
            <w:tcW w:w="2303" w:type="dxa"/>
            <w:tcBorders>
              <w:top w:val="single" w:sz="4" w:space="0" w:color="auto"/>
              <w:left w:val="nil"/>
              <w:bottom w:val="single" w:sz="4" w:space="0" w:color="auto"/>
              <w:right w:val="single" w:sz="4" w:space="0" w:color="000000"/>
            </w:tcBorders>
            <w:shd w:val="clear" w:color="auto" w:fill="auto"/>
            <w:noWrap/>
            <w:vAlign w:val="bottom"/>
            <w:hideMark/>
          </w:tcPr>
          <w:p w14:paraId="30E16042"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30098,58787</w:t>
            </w:r>
          </w:p>
        </w:tc>
        <w:tc>
          <w:tcPr>
            <w:tcW w:w="2735" w:type="dxa"/>
            <w:tcBorders>
              <w:top w:val="nil"/>
              <w:left w:val="nil"/>
              <w:bottom w:val="single" w:sz="4" w:space="0" w:color="auto"/>
              <w:right w:val="single" w:sz="4" w:space="0" w:color="auto"/>
            </w:tcBorders>
            <w:shd w:val="clear" w:color="auto" w:fill="auto"/>
            <w:noWrap/>
            <w:vAlign w:val="bottom"/>
            <w:hideMark/>
          </w:tcPr>
          <w:p w14:paraId="51368BD5"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-25168,04436</w:t>
            </w:r>
          </w:p>
        </w:tc>
      </w:tr>
    </w:tbl>
    <w:p w14:paraId="5E257D36" w14:textId="603A24CF" w:rsidR="004519D8" w:rsidRPr="007626F7" w:rsidRDefault="0059114F" w:rsidP="007626F7">
      <w:pPr>
        <w:spacing w:after="0" w:line="360" w:lineRule="auto"/>
        <w:rPr>
          <w:rFonts w:ascii="Times New Roman" w:hAnsi="Times New Roman" w:cs="Times New Roman"/>
          <w:sz w:val="28"/>
          <w:szCs w:val="28"/>
        </w:rPr>
      </w:pPr>
      <w:r w:rsidRPr="007626F7">
        <w:rPr>
          <w:rFonts w:ascii="Times New Roman" w:hAnsi="Times New Roman" w:cs="Times New Roman"/>
          <w:sz w:val="28"/>
          <w:szCs w:val="28"/>
          <w:lang w:val="uk-UA"/>
        </w:rPr>
        <w:t>Джерело: складено автором на основі [6</w:t>
      </w:r>
      <w:r w:rsidRPr="007626F7">
        <w:rPr>
          <w:rFonts w:ascii="Times New Roman" w:hAnsi="Times New Roman" w:cs="Times New Roman"/>
          <w:sz w:val="28"/>
          <w:szCs w:val="28"/>
        </w:rPr>
        <w:t>7]</w:t>
      </w:r>
      <w:r w:rsidRPr="007626F7">
        <w:rPr>
          <w:rFonts w:ascii="Times New Roman" w:hAnsi="Times New Roman" w:cs="Times New Roman"/>
          <w:sz w:val="28"/>
          <w:szCs w:val="28"/>
          <w:lang w:val="uk-UA"/>
        </w:rPr>
        <w:t>,</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6</w:t>
      </w:r>
      <w:r w:rsidRPr="007626F7">
        <w:rPr>
          <w:rFonts w:ascii="Times New Roman" w:hAnsi="Times New Roman" w:cs="Times New Roman"/>
          <w:sz w:val="28"/>
          <w:szCs w:val="28"/>
        </w:rPr>
        <w:t>8]</w:t>
      </w:r>
      <w:r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6</w:t>
      </w:r>
      <w:r w:rsidRPr="007626F7">
        <w:rPr>
          <w:rFonts w:ascii="Times New Roman" w:hAnsi="Times New Roman" w:cs="Times New Roman"/>
          <w:sz w:val="28"/>
          <w:szCs w:val="28"/>
        </w:rPr>
        <w:t>9]</w:t>
      </w:r>
      <w:r w:rsidRPr="007626F7">
        <w:rPr>
          <w:rFonts w:ascii="Times New Roman" w:hAnsi="Times New Roman" w:cs="Times New Roman"/>
          <w:sz w:val="28"/>
          <w:szCs w:val="28"/>
          <w:lang w:val="uk-UA"/>
        </w:rPr>
        <w:t>,</w:t>
      </w:r>
      <w:r w:rsidRPr="007626F7">
        <w:rPr>
          <w:rFonts w:ascii="Times New Roman" w:hAnsi="Times New Roman" w:cs="Times New Roman"/>
          <w:sz w:val="28"/>
          <w:szCs w:val="28"/>
        </w:rPr>
        <w:t>[70]</w:t>
      </w:r>
      <w:r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7</w:t>
      </w:r>
      <w:r w:rsidRPr="007626F7">
        <w:rPr>
          <w:rFonts w:ascii="Times New Roman" w:hAnsi="Times New Roman" w:cs="Times New Roman"/>
          <w:sz w:val="28"/>
          <w:szCs w:val="28"/>
        </w:rPr>
        <w:t>1].</w:t>
      </w:r>
    </w:p>
    <w:p w14:paraId="31A30EFD" w14:textId="77777777" w:rsidR="004519D8" w:rsidRPr="007626F7" w:rsidRDefault="004519D8" w:rsidP="007626F7">
      <w:pPr>
        <w:spacing w:after="0" w:line="360" w:lineRule="auto"/>
        <w:rPr>
          <w:rFonts w:ascii="Times New Roman" w:hAnsi="Times New Roman" w:cs="Times New Roman"/>
          <w:sz w:val="28"/>
          <w:szCs w:val="28"/>
        </w:rPr>
      </w:pPr>
      <w:r w:rsidRPr="007626F7">
        <w:rPr>
          <w:rFonts w:ascii="Times New Roman" w:hAnsi="Times New Roman" w:cs="Times New Roman"/>
          <w:sz w:val="28"/>
          <w:szCs w:val="28"/>
        </w:rPr>
        <w:br w:type="page"/>
      </w:r>
    </w:p>
    <w:p w14:paraId="5C70E8D9" w14:textId="6C5BF85C" w:rsidR="0059114F" w:rsidRPr="007626F7" w:rsidRDefault="0059114F"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lastRenderedPageBreak/>
        <w:t xml:space="preserve">ДОДАТОК </w:t>
      </w:r>
      <w:r w:rsidR="003B403A" w:rsidRPr="007626F7">
        <w:rPr>
          <w:rFonts w:ascii="Times New Roman" w:hAnsi="Times New Roman" w:cs="Times New Roman"/>
          <w:b/>
          <w:bCs/>
          <w:sz w:val="28"/>
          <w:szCs w:val="28"/>
        </w:rPr>
        <w:t>Л</w:t>
      </w:r>
      <w:r w:rsidRPr="007626F7">
        <w:rPr>
          <w:rFonts w:ascii="Times New Roman" w:hAnsi="Times New Roman" w:cs="Times New Roman"/>
          <w:b/>
          <w:bCs/>
          <w:sz w:val="28"/>
          <w:szCs w:val="28"/>
        </w:rPr>
        <w:t>.2</w:t>
      </w:r>
    </w:p>
    <w:p w14:paraId="4C71BD49" w14:textId="34256C23" w:rsidR="00A73D83" w:rsidRPr="007626F7" w:rsidRDefault="00A73D83" w:rsidP="007626F7">
      <w:pPr>
        <w:spacing w:after="0" w:line="360" w:lineRule="auto"/>
        <w:jc w:val="center"/>
        <w:rPr>
          <w:rFonts w:ascii="Times New Roman" w:hAnsi="Times New Roman" w:cs="Times New Roman"/>
          <w:b/>
          <w:bCs/>
          <w:sz w:val="28"/>
          <w:szCs w:val="28"/>
          <w:lang w:val="uk-UA"/>
        </w:rPr>
      </w:pPr>
      <w:r w:rsidRPr="007626F7">
        <w:rPr>
          <w:rFonts w:ascii="Times New Roman" w:hAnsi="Times New Roman" w:cs="Times New Roman"/>
          <w:b/>
          <w:bCs/>
          <w:sz w:val="28"/>
          <w:szCs w:val="28"/>
        </w:rPr>
        <w:t>Прям</w:t>
      </w:r>
      <w:r w:rsidRPr="007626F7">
        <w:rPr>
          <w:rFonts w:ascii="Times New Roman" w:hAnsi="Times New Roman" w:cs="Times New Roman"/>
          <w:b/>
          <w:bCs/>
          <w:sz w:val="28"/>
          <w:szCs w:val="28"/>
          <w:lang w:val="uk-UA"/>
        </w:rPr>
        <w:t>і</w:t>
      </w:r>
      <w:r w:rsidRPr="007626F7">
        <w:rPr>
          <w:rFonts w:ascii="Times New Roman" w:hAnsi="Times New Roman" w:cs="Times New Roman"/>
          <w:b/>
          <w:bCs/>
          <w:sz w:val="28"/>
          <w:szCs w:val="28"/>
        </w:rPr>
        <w:t xml:space="preserve"> інвестиції</w:t>
      </w:r>
      <w:r w:rsidRPr="007626F7">
        <w:rPr>
          <w:rFonts w:ascii="Times New Roman" w:hAnsi="Times New Roman" w:cs="Times New Roman"/>
          <w:b/>
          <w:bCs/>
          <w:sz w:val="28"/>
          <w:szCs w:val="28"/>
          <w:lang w:val="uk-UA"/>
        </w:rPr>
        <w:t xml:space="preserve"> з Швейцарії в Україну (млн дол. США)</w:t>
      </w:r>
    </w:p>
    <w:p w14:paraId="1AB255C1" w14:textId="77777777" w:rsidR="005705EA" w:rsidRPr="007626F7" w:rsidRDefault="005705EA" w:rsidP="007626F7">
      <w:pPr>
        <w:spacing w:after="0" w:line="360" w:lineRule="auto"/>
        <w:jc w:val="center"/>
        <w:rPr>
          <w:rFonts w:ascii="Times New Roman" w:hAnsi="Times New Roman" w:cs="Times New Roman"/>
          <w:b/>
          <w:bCs/>
          <w:sz w:val="28"/>
          <w:szCs w:val="28"/>
          <w:lang w:val="uk-UA"/>
        </w:rPr>
      </w:pPr>
    </w:p>
    <w:p w14:paraId="53FA840A" w14:textId="77777777" w:rsidR="00A73D83" w:rsidRPr="007626F7" w:rsidRDefault="00A73D83" w:rsidP="007626F7">
      <w:pPr>
        <w:spacing w:after="0" w:line="360" w:lineRule="auto"/>
        <w:rPr>
          <w:rFonts w:ascii="Times New Roman" w:hAnsi="Times New Roman" w:cs="Times New Roman"/>
          <w:sz w:val="28"/>
          <w:szCs w:val="28"/>
          <w:lang w:val="uk-UA"/>
        </w:rPr>
      </w:pPr>
      <w:r w:rsidRPr="007626F7">
        <w:rPr>
          <w:rFonts w:ascii="Times New Roman" w:hAnsi="Times New Roman" w:cs="Times New Roman"/>
          <w:noProof/>
          <w:lang w:val="uk-UA" w:eastAsia="uk-UA"/>
        </w:rPr>
        <w:drawing>
          <wp:inline distT="0" distB="0" distL="0" distR="0" wp14:anchorId="4F69F94B" wp14:editId="3578ADA3">
            <wp:extent cx="5686425" cy="2847975"/>
            <wp:effectExtent l="0" t="0" r="9525" b="9525"/>
            <wp:docPr id="60" name="Диаграмма 60">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A9CF79F-79B6-4BFD-BFBB-CE91EDDFA8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14:paraId="6006F1B4" w14:textId="14DB8590" w:rsidR="0059114F" w:rsidRPr="007626F7" w:rsidRDefault="00A73D83" w:rsidP="007626F7">
      <w:pPr>
        <w:spacing w:after="0" w:line="360" w:lineRule="auto"/>
        <w:rPr>
          <w:rFonts w:ascii="Times New Roman" w:hAnsi="Times New Roman" w:cs="Times New Roman"/>
          <w:sz w:val="28"/>
          <w:szCs w:val="28"/>
        </w:rPr>
      </w:pPr>
      <w:r w:rsidRPr="007626F7">
        <w:rPr>
          <w:rFonts w:ascii="Times New Roman" w:hAnsi="Times New Roman" w:cs="Times New Roman"/>
          <w:sz w:val="28"/>
          <w:szCs w:val="28"/>
          <w:lang w:val="uk-UA"/>
        </w:rPr>
        <w:t xml:space="preserve">Джерело: складено автором на основі </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21</w:t>
      </w:r>
      <w:r w:rsidRPr="007626F7">
        <w:rPr>
          <w:rFonts w:ascii="Times New Roman" w:hAnsi="Times New Roman" w:cs="Times New Roman"/>
          <w:sz w:val="28"/>
          <w:szCs w:val="28"/>
        </w:rPr>
        <w:t>].</w:t>
      </w:r>
    </w:p>
    <w:p w14:paraId="449F92F2" w14:textId="77777777" w:rsidR="004F78EF" w:rsidRPr="007626F7" w:rsidRDefault="004F78EF" w:rsidP="007626F7">
      <w:pPr>
        <w:spacing w:after="0" w:line="360" w:lineRule="auto"/>
        <w:rPr>
          <w:rFonts w:ascii="Times New Roman" w:hAnsi="Times New Roman" w:cs="Times New Roman"/>
          <w:sz w:val="28"/>
          <w:szCs w:val="28"/>
        </w:rPr>
      </w:pPr>
    </w:p>
    <w:p w14:paraId="1221AB6C" w14:textId="6D2C49AA" w:rsidR="0059114F" w:rsidRPr="007626F7" w:rsidRDefault="0059114F"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 xml:space="preserve">ДОДАТОК </w:t>
      </w:r>
      <w:r w:rsidR="003B403A" w:rsidRPr="007626F7">
        <w:rPr>
          <w:rFonts w:ascii="Times New Roman" w:hAnsi="Times New Roman" w:cs="Times New Roman"/>
          <w:b/>
          <w:bCs/>
          <w:sz w:val="28"/>
          <w:szCs w:val="28"/>
        </w:rPr>
        <w:t>Л</w:t>
      </w:r>
      <w:r w:rsidRPr="007626F7">
        <w:rPr>
          <w:rFonts w:ascii="Times New Roman" w:hAnsi="Times New Roman" w:cs="Times New Roman"/>
          <w:b/>
          <w:bCs/>
          <w:sz w:val="28"/>
          <w:szCs w:val="28"/>
        </w:rPr>
        <w:t>.3</w:t>
      </w:r>
    </w:p>
    <w:p w14:paraId="42877889" w14:textId="232D9017" w:rsidR="0059114F" w:rsidRPr="007626F7" w:rsidRDefault="0059114F" w:rsidP="007626F7">
      <w:pPr>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Приплив ПІІ від швейцарських компаній в Україну за секторами</w:t>
      </w:r>
    </w:p>
    <w:p w14:paraId="25FD8651" w14:textId="77777777" w:rsidR="005705EA" w:rsidRPr="007626F7" w:rsidRDefault="005705EA" w:rsidP="007626F7">
      <w:pPr>
        <w:spacing w:after="0" w:line="360" w:lineRule="auto"/>
        <w:jc w:val="center"/>
        <w:rPr>
          <w:rFonts w:ascii="Times New Roman" w:hAnsi="Times New Roman" w:cs="Times New Roman"/>
          <w:b/>
          <w:bCs/>
          <w:sz w:val="28"/>
          <w:szCs w:val="28"/>
        </w:rPr>
      </w:pPr>
    </w:p>
    <w:tbl>
      <w:tblPr>
        <w:tblW w:w="9269" w:type="dxa"/>
        <w:tblLook w:val="04A0" w:firstRow="1" w:lastRow="0" w:firstColumn="1" w:lastColumn="0" w:noHBand="0" w:noVBand="1"/>
      </w:tblPr>
      <w:tblGrid>
        <w:gridCol w:w="4334"/>
        <w:gridCol w:w="4935"/>
      </w:tblGrid>
      <w:tr w:rsidR="0059114F" w:rsidRPr="007626F7" w14:paraId="01012E97" w14:textId="77777777" w:rsidTr="005D531E">
        <w:trPr>
          <w:trHeight w:val="587"/>
        </w:trPr>
        <w:tc>
          <w:tcPr>
            <w:tcW w:w="43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27EBBF"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Сектор</w:t>
            </w:r>
          </w:p>
        </w:tc>
        <w:tc>
          <w:tcPr>
            <w:tcW w:w="4935" w:type="dxa"/>
            <w:tcBorders>
              <w:top w:val="single" w:sz="4" w:space="0" w:color="auto"/>
              <w:left w:val="nil"/>
              <w:bottom w:val="single" w:sz="4" w:space="0" w:color="auto"/>
              <w:right w:val="single" w:sz="4" w:space="0" w:color="auto"/>
            </w:tcBorders>
            <w:shd w:val="clear" w:color="auto" w:fill="auto"/>
            <w:noWrap/>
            <w:vAlign w:val="bottom"/>
            <w:hideMark/>
          </w:tcPr>
          <w:p w14:paraId="308BDF45"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Приплив ПІІ, млн. Дол</w:t>
            </w:r>
          </w:p>
        </w:tc>
      </w:tr>
      <w:tr w:rsidR="0059114F" w:rsidRPr="007626F7" w14:paraId="09CE4C3D" w14:textId="77777777" w:rsidTr="005D531E">
        <w:trPr>
          <w:trHeight w:val="587"/>
        </w:trPr>
        <w:tc>
          <w:tcPr>
            <w:tcW w:w="4334" w:type="dxa"/>
            <w:tcBorders>
              <w:top w:val="nil"/>
              <w:left w:val="single" w:sz="4" w:space="0" w:color="auto"/>
              <w:bottom w:val="single" w:sz="4" w:space="0" w:color="auto"/>
              <w:right w:val="single" w:sz="4" w:space="0" w:color="auto"/>
            </w:tcBorders>
            <w:shd w:val="clear" w:color="auto" w:fill="auto"/>
            <w:noWrap/>
            <w:vAlign w:val="bottom"/>
            <w:hideMark/>
          </w:tcPr>
          <w:p w14:paraId="25650623"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Промисловість</w:t>
            </w:r>
          </w:p>
        </w:tc>
        <w:tc>
          <w:tcPr>
            <w:tcW w:w="4935" w:type="dxa"/>
            <w:tcBorders>
              <w:top w:val="nil"/>
              <w:left w:val="nil"/>
              <w:bottom w:val="single" w:sz="4" w:space="0" w:color="auto"/>
              <w:right w:val="single" w:sz="4" w:space="0" w:color="auto"/>
            </w:tcBorders>
            <w:shd w:val="clear" w:color="auto" w:fill="auto"/>
            <w:noWrap/>
            <w:vAlign w:val="bottom"/>
            <w:hideMark/>
          </w:tcPr>
          <w:p w14:paraId="2FA937CC"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114,50</w:t>
            </w:r>
          </w:p>
        </w:tc>
      </w:tr>
      <w:tr w:rsidR="0059114F" w:rsidRPr="007626F7" w14:paraId="2E266619" w14:textId="77777777" w:rsidTr="005D531E">
        <w:trPr>
          <w:trHeight w:val="587"/>
        </w:trPr>
        <w:tc>
          <w:tcPr>
            <w:tcW w:w="4334" w:type="dxa"/>
            <w:tcBorders>
              <w:top w:val="nil"/>
              <w:left w:val="single" w:sz="4" w:space="0" w:color="auto"/>
              <w:bottom w:val="single" w:sz="4" w:space="0" w:color="auto"/>
              <w:right w:val="single" w:sz="4" w:space="0" w:color="auto"/>
            </w:tcBorders>
            <w:shd w:val="clear" w:color="auto" w:fill="auto"/>
            <w:noWrap/>
            <w:vAlign w:val="bottom"/>
            <w:hideMark/>
          </w:tcPr>
          <w:p w14:paraId="4A4F880E"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Фінансова та страхова діяльність</w:t>
            </w:r>
          </w:p>
        </w:tc>
        <w:tc>
          <w:tcPr>
            <w:tcW w:w="4935" w:type="dxa"/>
            <w:tcBorders>
              <w:top w:val="nil"/>
              <w:left w:val="nil"/>
              <w:bottom w:val="single" w:sz="4" w:space="0" w:color="auto"/>
              <w:right w:val="single" w:sz="4" w:space="0" w:color="auto"/>
            </w:tcBorders>
            <w:shd w:val="clear" w:color="auto" w:fill="auto"/>
            <w:noWrap/>
            <w:vAlign w:val="bottom"/>
            <w:hideMark/>
          </w:tcPr>
          <w:p w14:paraId="682352A5"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32,90</w:t>
            </w:r>
          </w:p>
        </w:tc>
      </w:tr>
      <w:tr w:rsidR="0059114F" w:rsidRPr="007626F7" w14:paraId="50201703" w14:textId="77777777" w:rsidTr="005D531E">
        <w:trPr>
          <w:trHeight w:val="587"/>
        </w:trPr>
        <w:tc>
          <w:tcPr>
            <w:tcW w:w="4334" w:type="dxa"/>
            <w:tcBorders>
              <w:top w:val="nil"/>
              <w:left w:val="single" w:sz="4" w:space="0" w:color="auto"/>
              <w:bottom w:val="single" w:sz="4" w:space="0" w:color="auto"/>
              <w:right w:val="single" w:sz="4" w:space="0" w:color="auto"/>
            </w:tcBorders>
            <w:shd w:val="clear" w:color="auto" w:fill="auto"/>
            <w:noWrap/>
            <w:vAlign w:val="bottom"/>
            <w:hideMark/>
          </w:tcPr>
          <w:p w14:paraId="1227A4FA"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Інший</w:t>
            </w:r>
          </w:p>
        </w:tc>
        <w:tc>
          <w:tcPr>
            <w:tcW w:w="4935" w:type="dxa"/>
            <w:tcBorders>
              <w:top w:val="nil"/>
              <w:left w:val="nil"/>
              <w:bottom w:val="single" w:sz="4" w:space="0" w:color="auto"/>
              <w:right w:val="single" w:sz="4" w:space="0" w:color="auto"/>
            </w:tcBorders>
            <w:shd w:val="clear" w:color="auto" w:fill="auto"/>
            <w:noWrap/>
            <w:vAlign w:val="bottom"/>
            <w:hideMark/>
          </w:tcPr>
          <w:p w14:paraId="15F0C0C6"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15,10</w:t>
            </w:r>
          </w:p>
        </w:tc>
      </w:tr>
      <w:tr w:rsidR="0059114F" w:rsidRPr="007626F7" w14:paraId="50AC01FF" w14:textId="77777777" w:rsidTr="005D531E">
        <w:trPr>
          <w:trHeight w:val="587"/>
        </w:trPr>
        <w:tc>
          <w:tcPr>
            <w:tcW w:w="4334" w:type="dxa"/>
            <w:tcBorders>
              <w:top w:val="nil"/>
              <w:left w:val="single" w:sz="4" w:space="0" w:color="auto"/>
              <w:bottom w:val="single" w:sz="4" w:space="0" w:color="auto"/>
              <w:right w:val="single" w:sz="4" w:space="0" w:color="auto"/>
            </w:tcBorders>
            <w:shd w:val="clear" w:color="auto" w:fill="auto"/>
            <w:noWrap/>
            <w:vAlign w:val="bottom"/>
            <w:hideMark/>
          </w:tcPr>
          <w:p w14:paraId="7A1FB8EF"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Разом</w:t>
            </w:r>
          </w:p>
        </w:tc>
        <w:tc>
          <w:tcPr>
            <w:tcW w:w="4935" w:type="dxa"/>
            <w:tcBorders>
              <w:top w:val="nil"/>
              <w:left w:val="nil"/>
              <w:bottom w:val="single" w:sz="4" w:space="0" w:color="auto"/>
              <w:right w:val="single" w:sz="4" w:space="0" w:color="auto"/>
            </w:tcBorders>
            <w:shd w:val="clear" w:color="auto" w:fill="auto"/>
            <w:noWrap/>
            <w:vAlign w:val="bottom"/>
            <w:hideMark/>
          </w:tcPr>
          <w:p w14:paraId="2E06A9C7" w14:textId="77777777" w:rsidR="0059114F" w:rsidRPr="007626F7" w:rsidRDefault="0059114F" w:rsidP="007626F7">
            <w:pPr>
              <w:spacing w:after="0" w:line="360" w:lineRule="auto"/>
              <w:jc w:val="center"/>
              <w:rPr>
                <w:rFonts w:ascii="Times New Roman" w:eastAsia="Times New Roman" w:hAnsi="Times New Roman" w:cs="Times New Roman"/>
                <w:color w:val="000000"/>
                <w:sz w:val="28"/>
                <w:szCs w:val="28"/>
              </w:rPr>
            </w:pPr>
            <w:r w:rsidRPr="007626F7">
              <w:rPr>
                <w:rFonts w:ascii="Times New Roman" w:eastAsia="Times New Roman" w:hAnsi="Times New Roman" w:cs="Times New Roman"/>
                <w:color w:val="000000"/>
                <w:sz w:val="28"/>
                <w:szCs w:val="28"/>
              </w:rPr>
              <w:t>162,50</w:t>
            </w:r>
          </w:p>
        </w:tc>
      </w:tr>
    </w:tbl>
    <w:p w14:paraId="71D57125" w14:textId="02AC1C92" w:rsidR="004B7506" w:rsidRPr="007626F7" w:rsidRDefault="0059114F" w:rsidP="007626F7">
      <w:pPr>
        <w:spacing w:after="0" w:line="360" w:lineRule="auto"/>
        <w:rPr>
          <w:rFonts w:ascii="Times New Roman" w:hAnsi="Times New Roman" w:cs="Times New Roman"/>
          <w:sz w:val="28"/>
          <w:szCs w:val="28"/>
        </w:rPr>
      </w:pPr>
      <w:r w:rsidRPr="007626F7">
        <w:rPr>
          <w:rFonts w:ascii="Times New Roman" w:hAnsi="Times New Roman" w:cs="Times New Roman"/>
          <w:sz w:val="28"/>
          <w:szCs w:val="28"/>
          <w:lang w:val="uk-UA"/>
        </w:rPr>
        <w:t xml:space="preserve">Джерело : </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7</w:t>
      </w:r>
      <w:r w:rsidRPr="007626F7">
        <w:rPr>
          <w:rFonts w:ascii="Times New Roman" w:hAnsi="Times New Roman" w:cs="Times New Roman"/>
          <w:sz w:val="28"/>
          <w:szCs w:val="28"/>
          <w:lang w:val="en-US"/>
        </w:rPr>
        <w:t>4</w:t>
      </w:r>
      <w:r w:rsidRPr="007626F7">
        <w:rPr>
          <w:rFonts w:ascii="Times New Roman" w:hAnsi="Times New Roman" w:cs="Times New Roman"/>
          <w:sz w:val="28"/>
          <w:szCs w:val="28"/>
        </w:rPr>
        <w:t>].</w:t>
      </w:r>
    </w:p>
    <w:p w14:paraId="1FD0C769" w14:textId="77777777" w:rsidR="004B7506" w:rsidRPr="007626F7" w:rsidRDefault="004B7506" w:rsidP="007626F7">
      <w:pPr>
        <w:spacing w:after="0" w:line="360" w:lineRule="auto"/>
        <w:rPr>
          <w:rFonts w:ascii="Times New Roman" w:hAnsi="Times New Roman" w:cs="Times New Roman"/>
          <w:sz w:val="28"/>
          <w:szCs w:val="28"/>
        </w:rPr>
      </w:pPr>
      <w:r w:rsidRPr="007626F7">
        <w:rPr>
          <w:rFonts w:ascii="Times New Roman" w:hAnsi="Times New Roman" w:cs="Times New Roman"/>
          <w:sz w:val="28"/>
          <w:szCs w:val="28"/>
        </w:rPr>
        <w:br w:type="page"/>
      </w:r>
    </w:p>
    <w:p w14:paraId="126F0ED0" w14:textId="6502396A" w:rsidR="004B7506" w:rsidRPr="007626F7" w:rsidRDefault="004B7506"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lastRenderedPageBreak/>
        <w:t>ДОДАТОК Л.4</w:t>
      </w:r>
    </w:p>
    <w:p w14:paraId="3FE0061B" w14:textId="7784C9DF" w:rsidR="004304F0" w:rsidRPr="007626F7" w:rsidRDefault="004304F0" w:rsidP="007626F7">
      <w:pPr>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Прямі інвестиції з</w:t>
      </w:r>
      <w:r w:rsidRPr="007626F7">
        <w:rPr>
          <w:rFonts w:ascii="Times New Roman" w:hAnsi="Times New Roman" w:cs="Times New Roman"/>
          <w:b/>
          <w:bCs/>
          <w:sz w:val="28"/>
          <w:szCs w:val="28"/>
          <w:lang w:val="uk-UA"/>
        </w:rPr>
        <w:t xml:space="preserve"> </w:t>
      </w:r>
      <w:r w:rsidRPr="007626F7">
        <w:rPr>
          <w:rFonts w:ascii="Times New Roman" w:hAnsi="Times New Roman" w:cs="Times New Roman"/>
          <w:b/>
          <w:bCs/>
          <w:sz w:val="28"/>
          <w:szCs w:val="28"/>
        </w:rPr>
        <w:t>Україн</w:t>
      </w:r>
      <w:r w:rsidRPr="007626F7">
        <w:rPr>
          <w:rFonts w:ascii="Times New Roman" w:hAnsi="Times New Roman" w:cs="Times New Roman"/>
          <w:b/>
          <w:bCs/>
          <w:sz w:val="28"/>
          <w:szCs w:val="28"/>
          <w:lang w:val="uk-UA"/>
        </w:rPr>
        <w:t xml:space="preserve">и в Швейцарію </w:t>
      </w:r>
      <w:r w:rsidRPr="007626F7">
        <w:rPr>
          <w:rFonts w:ascii="Times New Roman" w:hAnsi="Times New Roman" w:cs="Times New Roman"/>
          <w:b/>
          <w:bCs/>
          <w:sz w:val="28"/>
          <w:szCs w:val="28"/>
        </w:rPr>
        <w:t>(млн дол. США)</w:t>
      </w:r>
    </w:p>
    <w:p w14:paraId="3C41583D" w14:textId="77777777" w:rsidR="005705EA" w:rsidRPr="007626F7" w:rsidRDefault="005705EA" w:rsidP="007626F7">
      <w:pPr>
        <w:spacing w:after="0" w:line="360" w:lineRule="auto"/>
        <w:jc w:val="center"/>
        <w:rPr>
          <w:rFonts w:ascii="Times New Roman" w:hAnsi="Times New Roman" w:cs="Times New Roman"/>
          <w:b/>
          <w:bCs/>
          <w:sz w:val="28"/>
          <w:szCs w:val="28"/>
        </w:rPr>
      </w:pPr>
    </w:p>
    <w:p w14:paraId="27C4099D" w14:textId="77777777" w:rsidR="00531EB0" w:rsidRPr="007626F7" w:rsidRDefault="00531EB0" w:rsidP="007626F7">
      <w:pPr>
        <w:spacing w:after="0" w:line="360" w:lineRule="auto"/>
        <w:ind w:firstLine="709"/>
        <w:jc w:val="both"/>
        <w:rPr>
          <w:rFonts w:ascii="Times New Roman" w:hAnsi="Times New Roman" w:cs="Times New Roman"/>
          <w:color w:val="000000"/>
          <w:sz w:val="28"/>
          <w:szCs w:val="28"/>
          <w:lang w:val="uk-UA"/>
        </w:rPr>
      </w:pPr>
      <w:r w:rsidRPr="007626F7">
        <w:rPr>
          <w:rFonts w:ascii="Times New Roman" w:hAnsi="Times New Roman" w:cs="Times New Roman"/>
          <w:noProof/>
          <w:lang w:val="uk-UA" w:eastAsia="uk-UA"/>
        </w:rPr>
        <w:drawing>
          <wp:inline distT="0" distB="0" distL="0" distR="0" wp14:anchorId="4848F69D" wp14:editId="397F69D5">
            <wp:extent cx="5524500" cy="2990850"/>
            <wp:effectExtent l="0" t="0" r="0" b="0"/>
            <wp:docPr id="61" name="Диаграмма 6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D5905ECC-22E5-4C92-AFAF-6E019ACD35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14:paraId="06224D51" w14:textId="338626CB" w:rsidR="000937A8" w:rsidRPr="007626F7" w:rsidRDefault="00531EB0"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rPr>
        <w:t xml:space="preserve">Джерело: </w:t>
      </w:r>
      <w:r w:rsidRPr="007626F7">
        <w:rPr>
          <w:rFonts w:ascii="Times New Roman" w:hAnsi="Times New Roman" w:cs="Times New Roman"/>
          <w:sz w:val="28"/>
          <w:szCs w:val="28"/>
          <w:lang w:val="uk-UA"/>
        </w:rPr>
        <w:t xml:space="preserve">складено автором на основі </w:t>
      </w:r>
      <w:r w:rsidRPr="007626F7">
        <w:rPr>
          <w:rFonts w:ascii="Times New Roman" w:hAnsi="Times New Roman" w:cs="Times New Roman"/>
          <w:sz w:val="28"/>
          <w:szCs w:val="28"/>
        </w:rPr>
        <w:t>[</w:t>
      </w:r>
      <w:r w:rsidRPr="007626F7">
        <w:rPr>
          <w:rFonts w:ascii="Times New Roman" w:hAnsi="Times New Roman" w:cs="Times New Roman"/>
          <w:sz w:val="28"/>
          <w:szCs w:val="28"/>
          <w:lang w:val="uk-UA"/>
        </w:rPr>
        <w:t>21</w:t>
      </w:r>
      <w:r w:rsidRPr="007626F7">
        <w:rPr>
          <w:rFonts w:ascii="Times New Roman" w:hAnsi="Times New Roman" w:cs="Times New Roman"/>
          <w:sz w:val="28"/>
          <w:szCs w:val="28"/>
        </w:rPr>
        <w:t>].</w:t>
      </w:r>
    </w:p>
    <w:p w14:paraId="53D45C08" w14:textId="77777777" w:rsidR="004F78EF" w:rsidRPr="007626F7" w:rsidRDefault="004F78EF" w:rsidP="007626F7">
      <w:pPr>
        <w:spacing w:after="0" w:line="360" w:lineRule="auto"/>
        <w:jc w:val="both"/>
        <w:rPr>
          <w:rFonts w:ascii="Times New Roman" w:hAnsi="Times New Roman" w:cs="Times New Roman"/>
          <w:sz w:val="28"/>
          <w:szCs w:val="28"/>
        </w:rPr>
      </w:pPr>
    </w:p>
    <w:p w14:paraId="23C41EF9" w14:textId="136238E8" w:rsidR="0059114F" w:rsidRPr="007626F7" w:rsidRDefault="0059114F"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 xml:space="preserve">ДОДАТОК </w:t>
      </w:r>
      <w:r w:rsidR="003B403A" w:rsidRPr="007626F7">
        <w:rPr>
          <w:rFonts w:ascii="Times New Roman" w:hAnsi="Times New Roman" w:cs="Times New Roman"/>
          <w:b/>
          <w:bCs/>
          <w:sz w:val="28"/>
          <w:szCs w:val="28"/>
        </w:rPr>
        <w:t>М</w:t>
      </w:r>
      <w:r w:rsidRPr="007626F7">
        <w:rPr>
          <w:rFonts w:ascii="Times New Roman" w:hAnsi="Times New Roman" w:cs="Times New Roman"/>
          <w:b/>
          <w:bCs/>
          <w:sz w:val="28"/>
          <w:szCs w:val="28"/>
        </w:rPr>
        <w:t>.1</w:t>
      </w:r>
    </w:p>
    <w:p w14:paraId="28DF88E7" w14:textId="2AE68723" w:rsidR="0059114F" w:rsidRPr="007626F7" w:rsidRDefault="0059114F" w:rsidP="007626F7">
      <w:pPr>
        <w:tabs>
          <w:tab w:val="left" w:pos="7371"/>
        </w:tabs>
        <w:spacing w:after="0" w:line="360" w:lineRule="auto"/>
        <w:jc w:val="center"/>
        <w:rPr>
          <w:rFonts w:ascii="Times New Roman" w:hAnsi="Times New Roman" w:cs="Times New Roman"/>
          <w:b/>
          <w:sz w:val="28"/>
          <w:szCs w:val="28"/>
          <w:lang w:val="uk-UA"/>
        </w:rPr>
      </w:pPr>
      <w:r w:rsidRPr="007626F7">
        <w:rPr>
          <w:rFonts w:ascii="Times New Roman" w:hAnsi="Times New Roman" w:cs="Times New Roman"/>
          <w:b/>
          <w:sz w:val="28"/>
          <w:szCs w:val="28"/>
          <w:lang w:val="uk-UA"/>
        </w:rPr>
        <w:t>Обсяги експорту та імпорту України з Польщею (тис. дол. США)</w:t>
      </w:r>
    </w:p>
    <w:p w14:paraId="68DB1F81" w14:textId="77777777" w:rsidR="005705EA" w:rsidRPr="007626F7" w:rsidRDefault="005705EA" w:rsidP="007626F7">
      <w:pPr>
        <w:tabs>
          <w:tab w:val="left" w:pos="7371"/>
        </w:tabs>
        <w:spacing w:after="0" w:line="360" w:lineRule="auto"/>
        <w:jc w:val="center"/>
        <w:rPr>
          <w:rFonts w:ascii="Times New Roman" w:hAnsi="Times New Roman" w:cs="Times New Roman"/>
          <w:b/>
          <w:sz w:val="28"/>
          <w:szCs w:val="28"/>
        </w:rPr>
      </w:pPr>
    </w:p>
    <w:tbl>
      <w:tblPr>
        <w:tblW w:w="9506" w:type="dxa"/>
        <w:tblLook w:val="04A0" w:firstRow="1" w:lastRow="0" w:firstColumn="1" w:lastColumn="0" w:noHBand="0" w:noVBand="1"/>
      </w:tblPr>
      <w:tblGrid>
        <w:gridCol w:w="2269"/>
        <w:gridCol w:w="2720"/>
        <w:gridCol w:w="2720"/>
        <w:gridCol w:w="1797"/>
      </w:tblGrid>
      <w:tr w:rsidR="0059114F" w:rsidRPr="007626F7" w14:paraId="7D43A722" w14:textId="77777777" w:rsidTr="005D531E">
        <w:trPr>
          <w:trHeight w:val="912"/>
        </w:trPr>
        <w:tc>
          <w:tcPr>
            <w:tcW w:w="2269" w:type="dxa"/>
            <w:vMerge w:val="restart"/>
            <w:tcBorders>
              <w:top w:val="single" w:sz="4" w:space="0" w:color="auto"/>
              <w:left w:val="single" w:sz="4" w:space="0" w:color="auto"/>
              <w:bottom w:val="single" w:sz="4" w:space="0" w:color="auto"/>
              <w:right w:val="single" w:sz="4" w:space="0" w:color="auto"/>
            </w:tcBorders>
            <w:shd w:val="clear" w:color="000000" w:fill="FFFFFF"/>
            <w:hideMark/>
          </w:tcPr>
          <w:p w14:paraId="2293C48F"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 </w:t>
            </w:r>
          </w:p>
        </w:tc>
        <w:tc>
          <w:tcPr>
            <w:tcW w:w="2720" w:type="dxa"/>
            <w:tcBorders>
              <w:top w:val="single" w:sz="4" w:space="0" w:color="auto"/>
              <w:left w:val="nil"/>
              <w:bottom w:val="single" w:sz="4" w:space="0" w:color="auto"/>
              <w:right w:val="single" w:sz="4" w:space="0" w:color="000000"/>
            </w:tcBorders>
            <w:shd w:val="clear" w:color="000000" w:fill="FFFFFF"/>
            <w:vAlign w:val="center"/>
            <w:hideMark/>
          </w:tcPr>
          <w:p w14:paraId="19E87619"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Експорт</w:t>
            </w:r>
          </w:p>
        </w:tc>
        <w:tc>
          <w:tcPr>
            <w:tcW w:w="2720" w:type="dxa"/>
            <w:tcBorders>
              <w:top w:val="single" w:sz="4" w:space="0" w:color="auto"/>
              <w:left w:val="nil"/>
              <w:bottom w:val="single" w:sz="4" w:space="0" w:color="auto"/>
              <w:right w:val="single" w:sz="4" w:space="0" w:color="000000"/>
            </w:tcBorders>
            <w:shd w:val="clear" w:color="auto" w:fill="auto"/>
            <w:vAlign w:val="center"/>
            <w:hideMark/>
          </w:tcPr>
          <w:p w14:paraId="06074FE3"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Імпорт</w:t>
            </w:r>
          </w:p>
        </w:tc>
        <w:tc>
          <w:tcPr>
            <w:tcW w:w="179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19070C9"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 xml:space="preserve">Сальдо      </w:t>
            </w:r>
          </w:p>
        </w:tc>
      </w:tr>
      <w:tr w:rsidR="0059114F" w:rsidRPr="007626F7" w14:paraId="28A52608" w14:textId="77777777" w:rsidTr="005D531E">
        <w:trPr>
          <w:trHeight w:val="1194"/>
        </w:trPr>
        <w:tc>
          <w:tcPr>
            <w:tcW w:w="2269" w:type="dxa"/>
            <w:vMerge/>
            <w:tcBorders>
              <w:top w:val="single" w:sz="4" w:space="0" w:color="auto"/>
              <w:left w:val="single" w:sz="4" w:space="0" w:color="auto"/>
              <w:bottom w:val="single" w:sz="4" w:space="0" w:color="auto"/>
              <w:right w:val="single" w:sz="4" w:space="0" w:color="auto"/>
            </w:tcBorders>
            <w:vAlign w:val="center"/>
            <w:hideMark/>
          </w:tcPr>
          <w:p w14:paraId="276FB492" w14:textId="77777777" w:rsidR="0059114F" w:rsidRPr="007626F7" w:rsidRDefault="0059114F" w:rsidP="007626F7">
            <w:pPr>
              <w:spacing w:after="0" w:line="360" w:lineRule="auto"/>
              <w:rPr>
                <w:rFonts w:ascii="Times New Roman" w:eastAsia="Times New Roman" w:hAnsi="Times New Roman" w:cs="Times New Roman"/>
                <w:sz w:val="28"/>
                <w:szCs w:val="28"/>
              </w:rPr>
            </w:pPr>
          </w:p>
        </w:tc>
        <w:tc>
          <w:tcPr>
            <w:tcW w:w="2720" w:type="dxa"/>
            <w:tcBorders>
              <w:top w:val="single" w:sz="4" w:space="0" w:color="auto"/>
              <w:left w:val="nil"/>
              <w:bottom w:val="single" w:sz="4" w:space="0" w:color="auto"/>
              <w:right w:val="single" w:sz="4" w:space="0" w:color="auto"/>
            </w:tcBorders>
            <w:shd w:val="clear" w:color="000000" w:fill="FFFFFF"/>
            <w:vAlign w:val="center"/>
            <w:hideMark/>
          </w:tcPr>
          <w:p w14:paraId="036F0A34"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тис</w:t>
            </w:r>
            <w:proofErr w:type="gramStart"/>
            <w:r w:rsidRPr="007626F7">
              <w:rPr>
                <w:rFonts w:ascii="Times New Roman" w:eastAsia="Times New Roman" w:hAnsi="Times New Roman" w:cs="Times New Roman"/>
                <w:sz w:val="28"/>
                <w:szCs w:val="28"/>
              </w:rPr>
              <w:t>.д</w:t>
            </w:r>
            <w:proofErr w:type="gramEnd"/>
            <w:r w:rsidRPr="007626F7">
              <w:rPr>
                <w:rFonts w:ascii="Times New Roman" w:eastAsia="Times New Roman" w:hAnsi="Times New Roman" w:cs="Times New Roman"/>
                <w:sz w:val="28"/>
                <w:szCs w:val="28"/>
              </w:rPr>
              <w:t xml:space="preserve">ол. </w:t>
            </w:r>
            <w:r w:rsidRPr="007626F7">
              <w:rPr>
                <w:rFonts w:ascii="Times New Roman" w:eastAsia="Times New Roman" w:hAnsi="Times New Roman" w:cs="Times New Roman"/>
                <w:i/>
                <w:iCs/>
                <w:sz w:val="28"/>
                <w:szCs w:val="28"/>
              </w:rPr>
              <w:t xml:space="preserve">           </w:t>
            </w:r>
          </w:p>
        </w:tc>
        <w:tc>
          <w:tcPr>
            <w:tcW w:w="2720" w:type="dxa"/>
            <w:tcBorders>
              <w:top w:val="single" w:sz="4" w:space="0" w:color="auto"/>
              <w:left w:val="nil"/>
              <w:bottom w:val="single" w:sz="4" w:space="0" w:color="auto"/>
              <w:right w:val="single" w:sz="4" w:space="0" w:color="auto"/>
            </w:tcBorders>
            <w:shd w:val="clear" w:color="000000" w:fill="FFFFFF"/>
            <w:vAlign w:val="center"/>
            <w:hideMark/>
          </w:tcPr>
          <w:p w14:paraId="55E7131A"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тис</w:t>
            </w:r>
            <w:proofErr w:type="gramStart"/>
            <w:r w:rsidRPr="007626F7">
              <w:rPr>
                <w:rFonts w:ascii="Times New Roman" w:eastAsia="Times New Roman" w:hAnsi="Times New Roman" w:cs="Times New Roman"/>
                <w:sz w:val="28"/>
                <w:szCs w:val="28"/>
              </w:rPr>
              <w:t>.д</w:t>
            </w:r>
            <w:proofErr w:type="gramEnd"/>
            <w:r w:rsidRPr="007626F7">
              <w:rPr>
                <w:rFonts w:ascii="Times New Roman" w:eastAsia="Times New Roman" w:hAnsi="Times New Roman" w:cs="Times New Roman"/>
                <w:sz w:val="28"/>
                <w:szCs w:val="28"/>
              </w:rPr>
              <w:t>ол.</w:t>
            </w:r>
            <w:r w:rsidRPr="007626F7">
              <w:rPr>
                <w:rFonts w:ascii="Times New Roman" w:eastAsia="Times New Roman" w:hAnsi="Times New Roman" w:cs="Times New Roman"/>
                <w:i/>
                <w:iCs/>
                <w:sz w:val="28"/>
                <w:szCs w:val="28"/>
              </w:rPr>
              <w:t xml:space="preserve">           </w:t>
            </w:r>
          </w:p>
        </w:tc>
        <w:tc>
          <w:tcPr>
            <w:tcW w:w="1797" w:type="dxa"/>
            <w:vMerge/>
            <w:tcBorders>
              <w:top w:val="single" w:sz="4" w:space="0" w:color="auto"/>
              <w:left w:val="single" w:sz="4" w:space="0" w:color="auto"/>
              <w:bottom w:val="single" w:sz="4" w:space="0" w:color="auto"/>
              <w:right w:val="single" w:sz="4" w:space="0" w:color="auto"/>
            </w:tcBorders>
            <w:vAlign w:val="center"/>
            <w:hideMark/>
          </w:tcPr>
          <w:p w14:paraId="1CD4BEB7" w14:textId="77777777" w:rsidR="0059114F" w:rsidRPr="007626F7" w:rsidRDefault="0059114F" w:rsidP="007626F7">
            <w:pPr>
              <w:spacing w:after="0" w:line="360" w:lineRule="auto"/>
              <w:rPr>
                <w:rFonts w:ascii="Times New Roman" w:eastAsia="Times New Roman" w:hAnsi="Times New Roman" w:cs="Times New Roman"/>
                <w:sz w:val="28"/>
                <w:szCs w:val="28"/>
              </w:rPr>
            </w:pPr>
          </w:p>
        </w:tc>
      </w:tr>
      <w:tr w:rsidR="0059114F" w:rsidRPr="007626F7" w14:paraId="100C47BB" w14:textId="77777777" w:rsidTr="005D531E">
        <w:trPr>
          <w:trHeight w:val="433"/>
        </w:trPr>
        <w:tc>
          <w:tcPr>
            <w:tcW w:w="2269" w:type="dxa"/>
            <w:tcBorders>
              <w:top w:val="nil"/>
              <w:left w:val="single" w:sz="4" w:space="0" w:color="auto"/>
              <w:bottom w:val="single" w:sz="4" w:space="0" w:color="auto"/>
              <w:right w:val="single" w:sz="4" w:space="0" w:color="auto"/>
            </w:tcBorders>
            <w:shd w:val="clear" w:color="auto" w:fill="auto"/>
            <w:noWrap/>
            <w:vAlign w:val="bottom"/>
            <w:hideMark/>
          </w:tcPr>
          <w:p w14:paraId="62B0D98B"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2017</w:t>
            </w:r>
          </w:p>
        </w:tc>
        <w:tc>
          <w:tcPr>
            <w:tcW w:w="2720" w:type="dxa"/>
            <w:tcBorders>
              <w:top w:val="single" w:sz="4" w:space="0" w:color="auto"/>
              <w:left w:val="nil"/>
              <w:bottom w:val="single" w:sz="4" w:space="0" w:color="auto"/>
              <w:right w:val="single" w:sz="4" w:space="0" w:color="000000"/>
            </w:tcBorders>
            <w:shd w:val="clear" w:color="auto" w:fill="auto"/>
            <w:noWrap/>
            <w:vAlign w:val="bottom"/>
            <w:hideMark/>
          </w:tcPr>
          <w:p w14:paraId="3596A521"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2724589,7</w:t>
            </w:r>
          </w:p>
        </w:tc>
        <w:tc>
          <w:tcPr>
            <w:tcW w:w="2720" w:type="dxa"/>
            <w:tcBorders>
              <w:top w:val="single" w:sz="4" w:space="0" w:color="auto"/>
              <w:left w:val="nil"/>
              <w:bottom w:val="single" w:sz="4" w:space="0" w:color="auto"/>
              <w:right w:val="single" w:sz="4" w:space="0" w:color="000000"/>
            </w:tcBorders>
            <w:shd w:val="clear" w:color="auto" w:fill="auto"/>
            <w:noWrap/>
            <w:vAlign w:val="bottom"/>
            <w:hideMark/>
          </w:tcPr>
          <w:p w14:paraId="6F49B196"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3453816,5</w:t>
            </w:r>
          </w:p>
        </w:tc>
        <w:tc>
          <w:tcPr>
            <w:tcW w:w="1797" w:type="dxa"/>
            <w:tcBorders>
              <w:top w:val="nil"/>
              <w:left w:val="nil"/>
              <w:bottom w:val="single" w:sz="4" w:space="0" w:color="auto"/>
              <w:right w:val="single" w:sz="4" w:space="0" w:color="auto"/>
            </w:tcBorders>
            <w:shd w:val="clear" w:color="auto" w:fill="auto"/>
            <w:noWrap/>
            <w:vAlign w:val="bottom"/>
            <w:hideMark/>
          </w:tcPr>
          <w:p w14:paraId="792EB615"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–729226,8</w:t>
            </w:r>
          </w:p>
        </w:tc>
      </w:tr>
      <w:tr w:rsidR="0059114F" w:rsidRPr="007626F7" w14:paraId="25B39BB4" w14:textId="77777777" w:rsidTr="005D531E">
        <w:trPr>
          <w:trHeight w:val="433"/>
        </w:trPr>
        <w:tc>
          <w:tcPr>
            <w:tcW w:w="22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288D67"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2018</w:t>
            </w:r>
          </w:p>
        </w:tc>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C5724D"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3257248,5</w:t>
            </w:r>
          </w:p>
        </w:tc>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BEAB32"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3641921,5</w:t>
            </w:r>
          </w:p>
        </w:tc>
        <w:tc>
          <w:tcPr>
            <w:tcW w:w="17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BA71FB"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–384673,0</w:t>
            </w:r>
          </w:p>
        </w:tc>
      </w:tr>
      <w:tr w:rsidR="0059114F" w:rsidRPr="007626F7" w14:paraId="281696E3" w14:textId="77777777" w:rsidTr="005D531E">
        <w:trPr>
          <w:trHeight w:val="433"/>
        </w:trPr>
        <w:tc>
          <w:tcPr>
            <w:tcW w:w="22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6902FB"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2019</w:t>
            </w:r>
          </w:p>
        </w:tc>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A45909"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3295846,6</w:t>
            </w:r>
          </w:p>
        </w:tc>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F87FDD"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4109083,2</w:t>
            </w:r>
          </w:p>
        </w:tc>
        <w:tc>
          <w:tcPr>
            <w:tcW w:w="17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4E3A11"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–813236,7</w:t>
            </w:r>
          </w:p>
        </w:tc>
      </w:tr>
      <w:tr w:rsidR="0059114F" w:rsidRPr="007626F7" w14:paraId="1597AE2A" w14:textId="77777777" w:rsidTr="005D531E">
        <w:trPr>
          <w:trHeight w:val="433"/>
        </w:trPr>
        <w:tc>
          <w:tcPr>
            <w:tcW w:w="22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A74DD9"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2020</w:t>
            </w:r>
          </w:p>
        </w:tc>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6226F7"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3273145,422</w:t>
            </w:r>
          </w:p>
        </w:tc>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7DC739"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4088751,141</w:t>
            </w:r>
          </w:p>
        </w:tc>
        <w:tc>
          <w:tcPr>
            <w:tcW w:w="17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5081FD"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-815606</w:t>
            </w:r>
          </w:p>
        </w:tc>
      </w:tr>
      <w:tr w:rsidR="0059114F" w:rsidRPr="007626F7" w14:paraId="40981187" w14:textId="77777777" w:rsidTr="005D531E">
        <w:trPr>
          <w:trHeight w:val="433"/>
        </w:trPr>
        <w:tc>
          <w:tcPr>
            <w:tcW w:w="22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01406B"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2021 (січень)</w:t>
            </w:r>
          </w:p>
        </w:tc>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114DCC"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295383,0632</w:t>
            </w:r>
          </w:p>
        </w:tc>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E24793"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239467,122</w:t>
            </w:r>
          </w:p>
        </w:tc>
        <w:tc>
          <w:tcPr>
            <w:tcW w:w="17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E0C2A5" w14:textId="77777777" w:rsidR="0059114F" w:rsidRPr="007626F7" w:rsidRDefault="0059114F" w:rsidP="007626F7">
            <w:pPr>
              <w:spacing w:after="0" w:line="360" w:lineRule="auto"/>
              <w:jc w:val="center"/>
              <w:rPr>
                <w:rFonts w:ascii="Times New Roman" w:eastAsia="Times New Roman" w:hAnsi="Times New Roman" w:cs="Times New Roman"/>
                <w:sz w:val="28"/>
                <w:szCs w:val="28"/>
              </w:rPr>
            </w:pPr>
            <w:r w:rsidRPr="007626F7">
              <w:rPr>
                <w:rFonts w:ascii="Times New Roman" w:eastAsia="Times New Roman" w:hAnsi="Times New Roman" w:cs="Times New Roman"/>
                <w:sz w:val="28"/>
                <w:szCs w:val="28"/>
              </w:rPr>
              <w:t>55915,94</w:t>
            </w:r>
          </w:p>
        </w:tc>
      </w:tr>
    </w:tbl>
    <w:p w14:paraId="095CB571" w14:textId="2B753913" w:rsidR="004B7506" w:rsidRPr="007626F7" w:rsidRDefault="0059114F" w:rsidP="007626F7">
      <w:pPr>
        <w:spacing w:after="0" w:line="360" w:lineRule="auto"/>
        <w:rPr>
          <w:rFonts w:ascii="Times New Roman" w:hAnsi="Times New Roman" w:cs="Times New Roman"/>
          <w:sz w:val="28"/>
          <w:szCs w:val="28"/>
        </w:rPr>
      </w:pPr>
      <w:r w:rsidRPr="007626F7">
        <w:rPr>
          <w:rFonts w:ascii="Times New Roman" w:hAnsi="Times New Roman" w:cs="Times New Roman"/>
          <w:sz w:val="28"/>
          <w:szCs w:val="28"/>
          <w:lang w:val="uk-UA"/>
        </w:rPr>
        <w:t>Джерело: складено автором на основі [</w:t>
      </w:r>
      <w:r w:rsidRPr="007626F7">
        <w:rPr>
          <w:rFonts w:ascii="Times New Roman" w:hAnsi="Times New Roman" w:cs="Times New Roman"/>
          <w:sz w:val="28"/>
          <w:szCs w:val="28"/>
        </w:rPr>
        <w:t>67]</w:t>
      </w:r>
      <w:r w:rsidRPr="007626F7">
        <w:rPr>
          <w:rFonts w:ascii="Times New Roman" w:hAnsi="Times New Roman" w:cs="Times New Roman"/>
          <w:sz w:val="28"/>
          <w:szCs w:val="28"/>
          <w:lang w:val="uk-UA"/>
        </w:rPr>
        <w:t>,</w:t>
      </w:r>
      <w:r w:rsidRPr="007626F7">
        <w:rPr>
          <w:rFonts w:ascii="Times New Roman" w:hAnsi="Times New Roman" w:cs="Times New Roman"/>
          <w:sz w:val="28"/>
          <w:szCs w:val="28"/>
        </w:rPr>
        <w:t>[68]</w:t>
      </w:r>
      <w:r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rPr>
        <w:t>[69]</w:t>
      </w:r>
      <w:r w:rsidRPr="007626F7">
        <w:rPr>
          <w:rFonts w:ascii="Times New Roman" w:hAnsi="Times New Roman" w:cs="Times New Roman"/>
          <w:sz w:val="28"/>
          <w:szCs w:val="28"/>
          <w:lang w:val="uk-UA"/>
        </w:rPr>
        <w:t>,</w:t>
      </w:r>
      <w:r w:rsidRPr="007626F7">
        <w:rPr>
          <w:rFonts w:ascii="Times New Roman" w:hAnsi="Times New Roman" w:cs="Times New Roman"/>
          <w:sz w:val="28"/>
          <w:szCs w:val="28"/>
        </w:rPr>
        <w:t>[70]</w:t>
      </w:r>
      <w:r w:rsidRPr="007626F7">
        <w:rPr>
          <w:rFonts w:ascii="Times New Roman" w:hAnsi="Times New Roman" w:cs="Times New Roman"/>
          <w:sz w:val="28"/>
          <w:szCs w:val="28"/>
          <w:lang w:val="uk-UA"/>
        </w:rPr>
        <w:t xml:space="preserve">, </w:t>
      </w:r>
      <w:r w:rsidRPr="007626F7">
        <w:rPr>
          <w:rFonts w:ascii="Times New Roman" w:hAnsi="Times New Roman" w:cs="Times New Roman"/>
          <w:sz w:val="28"/>
          <w:szCs w:val="28"/>
        </w:rPr>
        <w:t>[71].</w:t>
      </w:r>
    </w:p>
    <w:p w14:paraId="4B1B5216" w14:textId="77777777" w:rsidR="004B7506" w:rsidRPr="007626F7" w:rsidRDefault="004B7506" w:rsidP="007626F7">
      <w:pPr>
        <w:spacing w:after="0" w:line="360" w:lineRule="auto"/>
        <w:rPr>
          <w:rFonts w:ascii="Times New Roman" w:hAnsi="Times New Roman" w:cs="Times New Roman"/>
          <w:sz w:val="28"/>
          <w:szCs w:val="28"/>
        </w:rPr>
      </w:pPr>
      <w:r w:rsidRPr="007626F7">
        <w:rPr>
          <w:rFonts w:ascii="Times New Roman" w:hAnsi="Times New Roman" w:cs="Times New Roman"/>
          <w:sz w:val="28"/>
          <w:szCs w:val="28"/>
        </w:rPr>
        <w:br w:type="page"/>
      </w:r>
    </w:p>
    <w:p w14:paraId="7B2226FE" w14:textId="4C740F7A" w:rsidR="004304F0" w:rsidRPr="007626F7" w:rsidRDefault="0059114F"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lastRenderedPageBreak/>
        <w:t xml:space="preserve">ДОДАТОК </w:t>
      </w:r>
      <w:r w:rsidR="00865A3E" w:rsidRPr="007626F7">
        <w:rPr>
          <w:rFonts w:ascii="Times New Roman" w:hAnsi="Times New Roman" w:cs="Times New Roman"/>
          <w:b/>
          <w:bCs/>
          <w:sz w:val="28"/>
          <w:szCs w:val="28"/>
        </w:rPr>
        <w:t>М</w:t>
      </w:r>
      <w:r w:rsidRPr="007626F7">
        <w:rPr>
          <w:rFonts w:ascii="Times New Roman" w:hAnsi="Times New Roman" w:cs="Times New Roman"/>
          <w:b/>
          <w:bCs/>
          <w:sz w:val="28"/>
          <w:szCs w:val="28"/>
        </w:rPr>
        <w:t>.2</w:t>
      </w:r>
    </w:p>
    <w:p w14:paraId="4DB06E3D" w14:textId="65D2DA14" w:rsidR="004304F0" w:rsidRPr="007626F7" w:rsidRDefault="004304F0"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Прямі інвестиції з</w:t>
      </w:r>
      <w:r w:rsidRPr="007626F7">
        <w:rPr>
          <w:rFonts w:ascii="Times New Roman" w:hAnsi="Times New Roman" w:cs="Times New Roman"/>
          <w:b/>
          <w:bCs/>
          <w:sz w:val="28"/>
          <w:szCs w:val="28"/>
          <w:lang w:val="uk-UA"/>
        </w:rPr>
        <w:t xml:space="preserve"> Польщі</w:t>
      </w:r>
      <w:r w:rsidRPr="007626F7">
        <w:rPr>
          <w:rFonts w:ascii="Times New Roman" w:hAnsi="Times New Roman" w:cs="Times New Roman"/>
          <w:b/>
          <w:bCs/>
          <w:sz w:val="28"/>
          <w:szCs w:val="28"/>
        </w:rPr>
        <w:t xml:space="preserve"> в Україну</w:t>
      </w:r>
      <w:r w:rsidRPr="007626F7">
        <w:rPr>
          <w:rFonts w:ascii="Times New Roman" w:hAnsi="Times New Roman" w:cs="Times New Roman"/>
          <w:b/>
          <w:bCs/>
          <w:sz w:val="28"/>
          <w:szCs w:val="28"/>
          <w:lang w:val="uk-UA"/>
        </w:rPr>
        <w:t xml:space="preserve"> </w:t>
      </w:r>
      <w:r w:rsidRPr="007626F7">
        <w:rPr>
          <w:rFonts w:ascii="Times New Roman" w:hAnsi="Times New Roman" w:cs="Times New Roman"/>
          <w:b/>
          <w:bCs/>
          <w:sz w:val="28"/>
          <w:szCs w:val="28"/>
        </w:rPr>
        <w:t>(млн дол. США)</w:t>
      </w:r>
    </w:p>
    <w:p w14:paraId="6505166B" w14:textId="77777777" w:rsidR="005705EA" w:rsidRPr="007626F7" w:rsidRDefault="005705EA" w:rsidP="007626F7">
      <w:pPr>
        <w:tabs>
          <w:tab w:val="left" w:pos="7371"/>
        </w:tabs>
        <w:spacing w:after="0" w:line="360" w:lineRule="auto"/>
        <w:jc w:val="center"/>
        <w:rPr>
          <w:rFonts w:ascii="Times New Roman" w:hAnsi="Times New Roman" w:cs="Times New Roman"/>
          <w:b/>
          <w:bCs/>
          <w:sz w:val="28"/>
          <w:szCs w:val="28"/>
        </w:rPr>
      </w:pPr>
    </w:p>
    <w:p w14:paraId="2C15B70E" w14:textId="0C7C2D9C" w:rsidR="00CB7B4D" w:rsidRPr="007626F7" w:rsidRDefault="00CB7B4D"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noProof/>
          <w:lang w:val="uk-UA" w:eastAsia="uk-UA"/>
        </w:rPr>
        <w:drawing>
          <wp:inline distT="0" distB="0" distL="0" distR="0" wp14:anchorId="5336AB5A" wp14:editId="06B54012">
            <wp:extent cx="5781675" cy="3114675"/>
            <wp:effectExtent l="0" t="0" r="9525" b="9525"/>
            <wp:docPr id="62" name="Диаграмма 6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5FF367E-DEF7-40FD-B030-8AD1AA3EEC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14:paraId="6E8DFD89" w14:textId="051A4C47" w:rsidR="004F78EF" w:rsidRPr="007626F7" w:rsidRDefault="00CB7B4D" w:rsidP="007626F7">
      <w:pPr>
        <w:spacing w:after="0" w:line="360" w:lineRule="auto"/>
        <w:jc w:val="both"/>
        <w:rPr>
          <w:rFonts w:ascii="Times New Roman" w:hAnsi="Times New Roman" w:cs="Times New Roman"/>
          <w:sz w:val="28"/>
          <w:szCs w:val="28"/>
        </w:rPr>
      </w:pPr>
      <w:r w:rsidRPr="007626F7">
        <w:rPr>
          <w:rFonts w:ascii="Times New Roman" w:hAnsi="Times New Roman" w:cs="Times New Roman"/>
          <w:sz w:val="28"/>
          <w:szCs w:val="28"/>
        </w:rPr>
        <w:t xml:space="preserve">Джерело: </w:t>
      </w:r>
      <w:r w:rsidRPr="007626F7">
        <w:rPr>
          <w:rFonts w:ascii="Times New Roman" w:hAnsi="Times New Roman" w:cs="Times New Roman"/>
          <w:sz w:val="28"/>
          <w:szCs w:val="28"/>
          <w:lang w:val="uk-UA"/>
        </w:rPr>
        <w:t xml:space="preserve">складено автором на основі </w:t>
      </w:r>
      <w:r w:rsidRPr="007626F7">
        <w:rPr>
          <w:rFonts w:ascii="Times New Roman" w:hAnsi="Times New Roman" w:cs="Times New Roman"/>
          <w:sz w:val="28"/>
          <w:szCs w:val="28"/>
        </w:rPr>
        <w:t>[21].</w:t>
      </w:r>
    </w:p>
    <w:p w14:paraId="5CECF162" w14:textId="77777777" w:rsidR="000937A8" w:rsidRPr="007626F7" w:rsidRDefault="000937A8" w:rsidP="007626F7">
      <w:pPr>
        <w:spacing w:after="0" w:line="360" w:lineRule="auto"/>
        <w:jc w:val="both"/>
        <w:rPr>
          <w:rFonts w:ascii="Times New Roman" w:hAnsi="Times New Roman" w:cs="Times New Roman"/>
          <w:sz w:val="28"/>
          <w:szCs w:val="28"/>
        </w:rPr>
      </w:pPr>
    </w:p>
    <w:p w14:paraId="509BA3E1" w14:textId="7B7E991D" w:rsidR="0059114F" w:rsidRPr="007626F7" w:rsidRDefault="0059114F" w:rsidP="007626F7">
      <w:pPr>
        <w:tabs>
          <w:tab w:val="left" w:pos="7371"/>
        </w:tabs>
        <w:spacing w:after="0" w:line="360" w:lineRule="auto"/>
        <w:jc w:val="center"/>
        <w:rPr>
          <w:rFonts w:ascii="Times New Roman" w:hAnsi="Times New Roman" w:cs="Times New Roman"/>
          <w:b/>
          <w:bCs/>
          <w:sz w:val="28"/>
          <w:szCs w:val="28"/>
        </w:rPr>
      </w:pPr>
      <w:r w:rsidRPr="007626F7">
        <w:rPr>
          <w:rFonts w:ascii="Times New Roman" w:hAnsi="Times New Roman" w:cs="Times New Roman"/>
          <w:b/>
          <w:bCs/>
          <w:sz w:val="28"/>
          <w:szCs w:val="28"/>
        </w:rPr>
        <w:t xml:space="preserve">ДОДАТОК </w:t>
      </w:r>
      <w:r w:rsidR="00865A3E" w:rsidRPr="007626F7">
        <w:rPr>
          <w:rFonts w:ascii="Times New Roman" w:hAnsi="Times New Roman" w:cs="Times New Roman"/>
          <w:b/>
          <w:bCs/>
          <w:sz w:val="28"/>
          <w:szCs w:val="28"/>
        </w:rPr>
        <w:t>М</w:t>
      </w:r>
      <w:r w:rsidRPr="007626F7">
        <w:rPr>
          <w:rFonts w:ascii="Times New Roman" w:hAnsi="Times New Roman" w:cs="Times New Roman"/>
          <w:b/>
          <w:bCs/>
          <w:sz w:val="28"/>
          <w:szCs w:val="28"/>
        </w:rPr>
        <w:t>.3</w:t>
      </w:r>
    </w:p>
    <w:p w14:paraId="65129722" w14:textId="50D7F311" w:rsidR="004304F0" w:rsidRPr="007626F7" w:rsidRDefault="004304F0" w:rsidP="007626F7">
      <w:pPr>
        <w:tabs>
          <w:tab w:val="left" w:pos="7371"/>
        </w:tabs>
        <w:spacing w:after="0" w:line="360" w:lineRule="auto"/>
        <w:jc w:val="center"/>
        <w:rPr>
          <w:rFonts w:ascii="Times New Roman" w:hAnsi="Times New Roman" w:cs="Times New Roman"/>
          <w:sz w:val="28"/>
          <w:szCs w:val="28"/>
        </w:rPr>
      </w:pPr>
      <w:r w:rsidRPr="007626F7">
        <w:rPr>
          <w:rFonts w:ascii="Times New Roman" w:hAnsi="Times New Roman" w:cs="Times New Roman"/>
          <w:b/>
          <w:bCs/>
          <w:sz w:val="28"/>
          <w:szCs w:val="28"/>
        </w:rPr>
        <w:t>Прямі інвестиції з</w:t>
      </w:r>
      <w:r w:rsidRPr="007626F7">
        <w:rPr>
          <w:rFonts w:ascii="Times New Roman" w:hAnsi="Times New Roman" w:cs="Times New Roman"/>
          <w:b/>
          <w:bCs/>
          <w:sz w:val="28"/>
          <w:szCs w:val="28"/>
          <w:lang w:val="uk-UA"/>
        </w:rPr>
        <w:t xml:space="preserve"> </w:t>
      </w:r>
      <w:r w:rsidRPr="007626F7">
        <w:rPr>
          <w:rFonts w:ascii="Times New Roman" w:hAnsi="Times New Roman" w:cs="Times New Roman"/>
          <w:b/>
          <w:bCs/>
          <w:sz w:val="28"/>
          <w:szCs w:val="28"/>
        </w:rPr>
        <w:t>Україн</w:t>
      </w:r>
      <w:r w:rsidRPr="007626F7">
        <w:rPr>
          <w:rFonts w:ascii="Times New Roman" w:hAnsi="Times New Roman" w:cs="Times New Roman"/>
          <w:b/>
          <w:bCs/>
          <w:sz w:val="28"/>
          <w:szCs w:val="28"/>
          <w:lang w:val="uk-UA"/>
        </w:rPr>
        <w:t xml:space="preserve">и у Польщу </w:t>
      </w:r>
      <w:r w:rsidRPr="007626F7">
        <w:rPr>
          <w:rFonts w:ascii="Times New Roman" w:hAnsi="Times New Roman" w:cs="Times New Roman"/>
          <w:b/>
          <w:bCs/>
          <w:sz w:val="28"/>
          <w:szCs w:val="28"/>
        </w:rPr>
        <w:t>(</w:t>
      </w:r>
      <w:proofErr w:type="gramStart"/>
      <w:r w:rsidRPr="007626F7">
        <w:rPr>
          <w:rFonts w:ascii="Times New Roman" w:hAnsi="Times New Roman" w:cs="Times New Roman"/>
          <w:b/>
          <w:bCs/>
          <w:sz w:val="28"/>
          <w:szCs w:val="28"/>
        </w:rPr>
        <w:t>млн</w:t>
      </w:r>
      <w:proofErr w:type="gramEnd"/>
      <w:r w:rsidRPr="007626F7">
        <w:rPr>
          <w:rFonts w:ascii="Times New Roman" w:hAnsi="Times New Roman" w:cs="Times New Roman"/>
          <w:b/>
          <w:bCs/>
          <w:sz w:val="28"/>
          <w:szCs w:val="28"/>
        </w:rPr>
        <w:t xml:space="preserve"> дол. США</w:t>
      </w:r>
      <w:r w:rsidRPr="007626F7">
        <w:rPr>
          <w:rFonts w:ascii="Times New Roman" w:hAnsi="Times New Roman" w:cs="Times New Roman"/>
          <w:sz w:val="28"/>
          <w:szCs w:val="28"/>
        </w:rPr>
        <w:t>)</w:t>
      </w:r>
    </w:p>
    <w:p w14:paraId="0794C60B" w14:textId="77777777" w:rsidR="005705EA" w:rsidRPr="007626F7" w:rsidRDefault="005705EA" w:rsidP="007626F7">
      <w:pPr>
        <w:tabs>
          <w:tab w:val="left" w:pos="7371"/>
        </w:tabs>
        <w:spacing w:after="0" w:line="360" w:lineRule="auto"/>
        <w:jc w:val="center"/>
        <w:rPr>
          <w:rFonts w:ascii="Times New Roman" w:hAnsi="Times New Roman" w:cs="Times New Roman"/>
          <w:b/>
          <w:bCs/>
          <w:sz w:val="28"/>
          <w:szCs w:val="28"/>
        </w:rPr>
      </w:pPr>
    </w:p>
    <w:p w14:paraId="22837522" w14:textId="77777777" w:rsidR="00CB7B4D" w:rsidRPr="007626F7" w:rsidRDefault="00CB7B4D" w:rsidP="007626F7">
      <w:pPr>
        <w:shd w:val="clear" w:color="auto" w:fill="FFFFFF"/>
        <w:spacing w:after="0" w:line="360" w:lineRule="auto"/>
        <w:jc w:val="both"/>
        <w:textAlignment w:val="baseline"/>
        <w:rPr>
          <w:rFonts w:ascii="Times New Roman" w:eastAsia="Times New Roman" w:hAnsi="Times New Roman" w:cs="Times New Roman"/>
          <w:color w:val="1D1D1B"/>
          <w:sz w:val="28"/>
          <w:szCs w:val="28"/>
          <w:lang w:val="uk-UA"/>
        </w:rPr>
      </w:pPr>
      <w:r w:rsidRPr="007626F7">
        <w:rPr>
          <w:rFonts w:ascii="Times New Roman" w:hAnsi="Times New Roman" w:cs="Times New Roman"/>
          <w:noProof/>
          <w:lang w:val="uk-UA" w:eastAsia="uk-UA"/>
        </w:rPr>
        <w:drawing>
          <wp:inline distT="0" distB="0" distL="0" distR="0" wp14:anchorId="3C4343E1" wp14:editId="22F712E3">
            <wp:extent cx="6000750" cy="3028950"/>
            <wp:effectExtent l="0" t="0" r="0" b="0"/>
            <wp:docPr id="63" name="Диаграмма 63">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283060FA-4D47-4BD2-81A1-F231906D38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14:paraId="726ADFEF" w14:textId="2771F0E9" w:rsidR="00EB2478" w:rsidRDefault="00CB7B4D" w:rsidP="00EB2478">
      <w:pPr>
        <w:spacing w:after="0" w:line="360" w:lineRule="auto"/>
        <w:jc w:val="both"/>
        <w:rPr>
          <w:rFonts w:ascii="Times New Roman" w:hAnsi="Times New Roman"/>
          <w:sz w:val="28"/>
          <w:szCs w:val="28"/>
        </w:rPr>
      </w:pPr>
      <w:r w:rsidRPr="007626F7">
        <w:rPr>
          <w:rFonts w:ascii="Times New Roman" w:hAnsi="Times New Roman" w:cs="Times New Roman"/>
          <w:sz w:val="28"/>
          <w:szCs w:val="28"/>
        </w:rPr>
        <w:t xml:space="preserve">Джерело: </w:t>
      </w:r>
      <w:r w:rsidRPr="007626F7">
        <w:rPr>
          <w:rFonts w:ascii="Times New Roman" w:hAnsi="Times New Roman" w:cs="Times New Roman"/>
          <w:sz w:val="28"/>
          <w:szCs w:val="28"/>
          <w:lang w:val="uk-UA"/>
        </w:rPr>
        <w:t xml:space="preserve">складено автором на основі </w:t>
      </w:r>
      <w:r w:rsidRPr="007626F7">
        <w:rPr>
          <w:rFonts w:ascii="Times New Roman" w:hAnsi="Times New Roman" w:cs="Times New Roman"/>
          <w:sz w:val="28"/>
          <w:szCs w:val="28"/>
        </w:rPr>
        <w:t>[21]</w:t>
      </w:r>
      <w:r w:rsidRPr="00EC3808">
        <w:rPr>
          <w:rFonts w:ascii="Times New Roman" w:hAnsi="Times New Roman"/>
          <w:sz w:val="28"/>
          <w:szCs w:val="28"/>
        </w:rPr>
        <w:t>.</w:t>
      </w:r>
      <w:r w:rsidR="00EB2478">
        <w:rPr>
          <w:rFonts w:ascii="Times New Roman" w:hAnsi="Times New Roman"/>
          <w:sz w:val="28"/>
          <w:szCs w:val="28"/>
        </w:rPr>
        <w:br w:type="page"/>
      </w:r>
    </w:p>
    <w:p w14:paraId="34CE01AA" w14:textId="77777777" w:rsidR="00FB2627" w:rsidRDefault="00FB2627" w:rsidP="007626F7">
      <w:pPr>
        <w:spacing w:after="0" w:line="360" w:lineRule="auto"/>
        <w:jc w:val="both"/>
        <w:rPr>
          <w:rFonts w:ascii="Times New Roman" w:hAnsi="Times New Roman"/>
          <w:sz w:val="28"/>
          <w:szCs w:val="28"/>
        </w:rPr>
      </w:pPr>
    </w:p>
    <w:p w14:paraId="25B8F94B" w14:textId="77777777" w:rsidR="00EB2478" w:rsidRPr="005E7256" w:rsidRDefault="00EB2478" w:rsidP="00EB2478">
      <w:pPr>
        <w:spacing w:after="0" w:line="360" w:lineRule="auto"/>
        <w:jc w:val="right"/>
        <w:rPr>
          <w:rFonts w:ascii="Times New Roman" w:hAnsi="Times New Roman"/>
          <w:sz w:val="28"/>
          <w:szCs w:val="28"/>
          <w:lang w:val="uk-UA"/>
        </w:rPr>
      </w:pPr>
      <w:r w:rsidRPr="005E7256">
        <w:rPr>
          <w:rFonts w:ascii="Times New Roman" w:hAnsi="Times New Roman"/>
          <w:sz w:val="28"/>
          <w:szCs w:val="28"/>
          <w:lang w:val="uk-UA"/>
        </w:rPr>
        <w:t>ЗАТВЕРДЖЕНО</w:t>
      </w:r>
    </w:p>
    <w:p w14:paraId="44406D4A" w14:textId="77777777" w:rsidR="00EB2478" w:rsidRPr="005E7256" w:rsidRDefault="00EB2478" w:rsidP="00EB2478">
      <w:pPr>
        <w:spacing w:after="0" w:line="360" w:lineRule="auto"/>
        <w:jc w:val="right"/>
        <w:rPr>
          <w:rFonts w:ascii="Times New Roman" w:hAnsi="Times New Roman"/>
          <w:sz w:val="28"/>
          <w:szCs w:val="28"/>
          <w:lang w:val="uk-UA"/>
        </w:rPr>
      </w:pPr>
      <w:r w:rsidRPr="005E7256">
        <w:rPr>
          <w:rFonts w:ascii="Times New Roman" w:hAnsi="Times New Roman"/>
          <w:sz w:val="28"/>
          <w:szCs w:val="28"/>
          <w:lang w:val="uk-UA"/>
        </w:rPr>
        <w:t>рішенням Вченої ради ФМВПС</w:t>
      </w:r>
    </w:p>
    <w:p w14:paraId="76AD8ED0" w14:textId="77777777" w:rsidR="00EB2478" w:rsidRPr="005E7256" w:rsidRDefault="00EB2478" w:rsidP="00EB2478">
      <w:pPr>
        <w:spacing w:after="0" w:line="360" w:lineRule="auto"/>
        <w:jc w:val="right"/>
        <w:rPr>
          <w:rFonts w:ascii="Times New Roman" w:hAnsi="Times New Roman"/>
          <w:sz w:val="28"/>
          <w:szCs w:val="28"/>
          <w:lang w:val="uk-UA"/>
        </w:rPr>
      </w:pPr>
      <w:r w:rsidRPr="005E7256">
        <w:rPr>
          <w:rFonts w:ascii="Times New Roman" w:hAnsi="Times New Roman"/>
          <w:sz w:val="28"/>
          <w:szCs w:val="28"/>
          <w:lang w:val="uk-UA"/>
        </w:rPr>
        <w:t>протокол №3 від 28.11.2018 р.</w:t>
      </w:r>
    </w:p>
    <w:p w14:paraId="7B4CC715" w14:textId="77777777" w:rsidR="00EB2478" w:rsidRPr="005E7256" w:rsidRDefault="00EB2478" w:rsidP="00EB2478">
      <w:pPr>
        <w:spacing w:after="0" w:line="360" w:lineRule="auto"/>
        <w:jc w:val="both"/>
        <w:rPr>
          <w:rFonts w:ascii="Times New Roman" w:hAnsi="Times New Roman"/>
          <w:sz w:val="28"/>
          <w:szCs w:val="28"/>
          <w:lang w:val="uk-UA"/>
        </w:rPr>
      </w:pPr>
    </w:p>
    <w:p w14:paraId="4B7E64D8" w14:textId="77777777" w:rsidR="00EB2478" w:rsidRPr="005E7256" w:rsidRDefault="00EB2478" w:rsidP="00EB2478">
      <w:pPr>
        <w:spacing w:after="0" w:line="360" w:lineRule="auto"/>
        <w:jc w:val="both"/>
        <w:rPr>
          <w:rFonts w:ascii="Times New Roman" w:hAnsi="Times New Roman"/>
          <w:sz w:val="28"/>
          <w:szCs w:val="28"/>
          <w:lang w:val="uk-UA"/>
        </w:rPr>
      </w:pPr>
    </w:p>
    <w:p w14:paraId="4AEF81D1" w14:textId="77777777" w:rsidR="00EB2478" w:rsidRPr="005E7256" w:rsidRDefault="00EB2478" w:rsidP="00EB2478">
      <w:pPr>
        <w:spacing w:after="0" w:line="360" w:lineRule="auto"/>
        <w:jc w:val="both"/>
        <w:rPr>
          <w:rFonts w:ascii="Times New Roman" w:hAnsi="Times New Roman"/>
          <w:sz w:val="28"/>
          <w:szCs w:val="28"/>
          <w:lang w:val="uk-UA"/>
        </w:rPr>
      </w:pPr>
    </w:p>
    <w:p w14:paraId="6154167A" w14:textId="77777777" w:rsidR="00EB2478" w:rsidRPr="005E7256" w:rsidRDefault="00EB2478" w:rsidP="00EB2478">
      <w:pPr>
        <w:spacing w:after="0" w:line="360" w:lineRule="auto"/>
        <w:jc w:val="center"/>
        <w:rPr>
          <w:rFonts w:ascii="Times New Roman" w:hAnsi="Times New Roman"/>
          <w:sz w:val="28"/>
          <w:szCs w:val="28"/>
          <w:lang w:val="uk-UA"/>
        </w:rPr>
      </w:pPr>
      <w:r w:rsidRPr="005E7256">
        <w:rPr>
          <w:rFonts w:ascii="Times New Roman" w:hAnsi="Times New Roman"/>
          <w:sz w:val="28"/>
          <w:szCs w:val="28"/>
          <w:lang w:val="uk-UA"/>
        </w:rPr>
        <w:t>РОЗПИСКА</w:t>
      </w:r>
    </w:p>
    <w:p w14:paraId="71EF2135" w14:textId="77777777" w:rsidR="00EB2478" w:rsidRPr="005E7256" w:rsidRDefault="00EB2478" w:rsidP="00EB2478">
      <w:pPr>
        <w:spacing w:after="0" w:line="360" w:lineRule="auto"/>
        <w:ind w:firstLine="709"/>
        <w:jc w:val="both"/>
        <w:rPr>
          <w:rFonts w:ascii="Times New Roman" w:hAnsi="Times New Roman"/>
          <w:sz w:val="28"/>
          <w:szCs w:val="28"/>
          <w:lang w:val="uk-UA"/>
        </w:rPr>
      </w:pPr>
    </w:p>
    <w:p w14:paraId="7DD9D4C1" w14:textId="77777777" w:rsidR="00EB2478" w:rsidRPr="005E7256" w:rsidRDefault="00EB2478" w:rsidP="00EB2478">
      <w:pPr>
        <w:spacing w:after="0" w:line="360" w:lineRule="auto"/>
        <w:ind w:firstLine="709"/>
        <w:jc w:val="both"/>
        <w:rPr>
          <w:rFonts w:ascii="Times New Roman" w:hAnsi="Times New Roman"/>
          <w:sz w:val="28"/>
          <w:szCs w:val="28"/>
          <w:lang w:val="uk-UA"/>
        </w:rPr>
      </w:pPr>
      <w:r w:rsidRPr="005E7256">
        <w:rPr>
          <w:rFonts w:ascii="Times New Roman" w:hAnsi="Times New Roman"/>
          <w:sz w:val="28"/>
          <w:szCs w:val="28"/>
          <w:lang w:val="uk-UA"/>
        </w:rPr>
        <w:t>Я,</w:t>
      </w:r>
      <w:r w:rsidRPr="000254C2">
        <w:rPr>
          <w:lang w:val="uk-UA"/>
        </w:rPr>
        <w:t xml:space="preserve"> </w:t>
      </w:r>
      <w:r w:rsidRPr="000254C2">
        <w:rPr>
          <w:rFonts w:ascii="Times New Roman" w:hAnsi="Times New Roman"/>
          <w:sz w:val="28"/>
          <w:szCs w:val="28"/>
          <w:lang w:val="uk-UA"/>
        </w:rPr>
        <w:t>Ніколаєва Дар’я Сергіївна</w:t>
      </w:r>
      <w:r w:rsidRPr="005E7256">
        <w:rPr>
          <w:rFonts w:ascii="Times New Roman" w:hAnsi="Times New Roman"/>
          <w:sz w:val="28"/>
          <w:szCs w:val="28"/>
          <w:lang w:val="uk-UA"/>
        </w:rPr>
        <w:t>, підтверджую, що моя дипломна робота за темою: «</w:t>
      </w:r>
      <w:r w:rsidRPr="000254C2">
        <w:rPr>
          <w:rFonts w:ascii="Times New Roman" w:hAnsi="Times New Roman" w:cs="Times New Roman"/>
          <w:bCs/>
          <w:sz w:val="28"/>
          <w:szCs w:val="28"/>
          <w:lang w:val="uk-UA" w:eastAsia="uk-UA"/>
        </w:rPr>
        <w:t>Зміни міжнародної конкурентоспроможності країн Європи в умовах світової пандемії (на прикладі Швейцарії, Польщі та України)</w:t>
      </w:r>
      <w:r w:rsidRPr="005E7256">
        <w:rPr>
          <w:rFonts w:ascii="Times New Roman" w:hAnsi="Times New Roman"/>
          <w:sz w:val="28"/>
          <w:szCs w:val="28"/>
          <w:lang w:val="uk-UA"/>
        </w:rPr>
        <w:t>»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14:paraId="28C3DC89" w14:textId="77777777" w:rsidR="00EB2478" w:rsidRPr="005E7256" w:rsidRDefault="00EB2478" w:rsidP="00EB2478">
      <w:pPr>
        <w:spacing w:after="0" w:line="360" w:lineRule="auto"/>
        <w:ind w:firstLine="709"/>
        <w:jc w:val="both"/>
        <w:rPr>
          <w:rFonts w:ascii="Times New Roman" w:hAnsi="Times New Roman"/>
          <w:sz w:val="28"/>
          <w:szCs w:val="28"/>
          <w:lang w:val="uk-UA"/>
        </w:rPr>
      </w:pPr>
    </w:p>
    <w:p w14:paraId="7CF04750" w14:textId="77777777" w:rsidR="00EB2478" w:rsidRPr="005E7256" w:rsidRDefault="00EB2478" w:rsidP="00EB2478">
      <w:pPr>
        <w:spacing w:after="0" w:line="360" w:lineRule="auto"/>
        <w:ind w:firstLine="709"/>
        <w:jc w:val="both"/>
        <w:rPr>
          <w:rFonts w:ascii="Times New Roman" w:hAnsi="Times New Roman"/>
          <w:sz w:val="28"/>
          <w:szCs w:val="28"/>
          <w:lang w:val="uk-UA"/>
        </w:rPr>
      </w:pPr>
    </w:p>
    <w:p w14:paraId="28ECB635" w14:textId="77777777" w:rsidR="00EB2478" w:rsidRPr="005E7256" w:rsidRDefault="00EB2478" w:rsidP="00EB2478">
      <w:pPr>
        <w:spacing w:after="0" w:line="360" w:lineRule="auto"/>
        <w:ind w:firstLine="709"/>
        <w:jc w:val="both"/>
        <w:rPr>
          <w:rFonts w:ascii="Times New Roman" w:hAnsi="Times New Roman"/>
          <w:sz w:val="28"/>
          <w:szCs w:val="28"/>
          <w:lang w:val="uk-UA"/>
        </w:rPr>
      </w:pPr>
      <w:r w:rsidRPr="005E7256">
        <w:rPr>
          <w:rFonts w:ascii="Times New Roman" w:hAnsi="Times New Roman"/>
          <w:sz w:val="28"/>
          <w:szCs w:val="28"/>
          <w:u w:val="single"/>
          <w:lang w:val="uk-UA"/>
        </w:rPr>
        <w:t>2.06.2021 р.</w:t>
      </w:r>
      <w:r w:rsidRPr="005E7256">
        <w:rPr>
          <w:rFonts w:ascii="Times New Roman" w:hAnsi="Times New Roman"/>
          <w:sz w:val="28"/>
          <w:szCs w:val="28"/>
          <w:lang w:val="uk-UA"/>
        </w:rPr>
        <w:t xml:space="preserve"> </w:t>
      </w:r>
      <w:r w:rsidRPr="005E7256">
        <w:rPr>
          <w:rFonts w:ascii="Times New Roman" w:hAnsi="Times New Roman"/>
          <w:sz w:val="28"/>
          <w:szCs w:val="28"/>
          <w:lang w:val="uk-UA"/>
        </w:rPr>
        <w:tab/>
        <w:t>________________</w:t>
      </w:r>
    </w:p>
    <w:p w14:paraId="1C16E9B2" w14:textId="77777777" w:rsidR="00EB2478" w:rsidRPr="005E7256" w:rsidRDefault="00EB2478" w:rsidP="00EB2478">
      <w:pPr>
        <w:spacing w:after="0" w:line="360" w:lineRule="auto"/>
        <w:ind w:firstLine="709"/>
        <w:jc w:val="both"/>
        <w:rPr>
          <w:rFonts w:ascii="Times New Roman" w:hAnsi="Times New Roman"/>
          <w:sz w:val="28"/>
          <w:szCs w:val="28"/>
          <w:lang w:val="uk-UA"/>
        </w:rPr>
      </w:pPr>
      <w:r w:rsidRPr="005E7256">
        <w:rPr>
          <w:rFonts w:ascii="Times New Roman" w:hAnsi="Times New Roman"/>
          <w:sz w:val="28"/>
          <w:szCs w:val="28"/>
          <w:lang w:val="uk-UA"/>
        </w:rPr>
        <w:t xml:space="preserve">   (дата)</w:t>
      </w:r>
      <w:r w:rsidRPr="005E7256">
        <w:rPr>
          <w:rFonts w:ascii="Times New Roman" w:hAnsi="Times New Roman"/>
          <w:sz w:val="28"/>
          <w:szCs w:val="28"/>
          <w:lang w:val="uk-UA"/>
        </w:rPr>
        <w:tab/>
        <w:t xml:space="preserve">                   (підпис)</w:t>
      </w:r>
    </w:p>
    <w:p w14:paraId="36100E5B" w14:textId="77777777" w:rsidR="00EB2478" w:rsidRPr="005E7256" w:rsidRDefault="00EB2478" w:rsidP="00EB2478">
      <w:pPr>
        <w:tabs>
          <w:tab w:val="right" w:leader="dot" w:pos="9911"/>
        </w:tabs>
        <w:spacing w:after="0" w:line="360" w:lineRule="auto"/>
        <w:jc w:val="both"/>
        <w:rPr>
          <w:rFonts w:ascii="Times New Roman" w:hAnsi="Times New Roman"/>
          <w:sz w:val="28"/>
          <w:szCs w:val="28"/>
          <w:lang w:val="uk-UA"/>
        </w:rPr>
      </w:pPr>
    </w:p>
    <w:p w14:paraId="210397D8" w14:textId="77777777" w:rsidR="00EB2478" w:rsidRPr="005E7256" w:rsidRDefault="00EB2478" w:rsidP="00EB2478">
      <w:pPr>
        <w:tabs>
          <w:tab w:val="right" w:leader="dot" w:pos="9911"/>
        </w:tabs>
        <w:spacing w:after="0" w:line="360" w:lineRule="auto"/>
        <w:jc w:val="both"/>
        <w:rPr>
          <w:rFonts w:ascii="Times New Roman" w:hAnsi="Times New Roman"/>
          <w:sz w:val="28"/>
          <w:szCs w:val="28"/>
          <w:lang w:val="uk-UA"/>
        </w:rPr>
      </w:pPr>
    </w:p>
    <w:p w14:paraId="21E50AB1" w14:textId="77777777" w:rsidR="00EB2478" w:rsidRPr="005E7256" w:rsidRDefault="00EB2478" w:rsidP="00EB2478">
      <w:pPr>
        <w:tabs>
          <w:tab w:val="right" w:leader="dot" w:pos="9911"/>
        </w:tabs>
        <w:spacing w:after="0" w:line="360" w:lineRule="auto"/>
        <w:jc w:val="both"/>
        <w:rPr>
          <w:rFonts w:ascii="Times New Roman" w:hAnsi="Times New Roman"/>
          <w:sz w:val="28"/>
          <w:szCs w:val="28"/>
          <w:lang w:val="uk-UA"/>
        </w:rPr>
      </w:pPr>
    </w:p>
    <w:p w14:paraId="6AD7FE3E" w14:textId="77777777" w:rsidR="00EB2478" w:rsidRPr="005E7256" w:rsidRDefault="00EB2478" w:rsidP="00EB2478">
      <w:pPr>
        <w:tabs>
          <w:tab w:val="right" w:leader="dot" w:pos="9911"/>
        </w:tabs>
        <w:spacing w:after="0" w:line="360" w:lineRule="auto"/>
        <w:jc w:val="both"/>
        <w:rPr>
          <w:rFonts w:ascii="Times New Roman" w:hAnsi="Times New Roman"/>
          <w:sz w:val="28"/>
          <w:szCs w:val="28"/>
          <w:lang w:val="uk-UA"/>
        </w:rPr>
      </w:pPr>
    </w:p>
    <w:p w14:paraId="7B417779" w14:textId="77777777" w:rsidR="00EB2478" w:rsidRDefault="00EB2478" w:rsidP="00EB2478"/>
    <w:p w14:paraId="71C43EAB" w14:textId="77777777" w:rsidR="00EB2478" w:rsidRPr="004304F0" w:rsidRDefault="00EB2478" w:rsidP="007626F7">
      <w:pPr>
        <w:spacing w:after="0" w:line="360" w:lineRule="auto"/>
        <w:jc w:val="both"/>
        <w:rPr>
          <w:rFonts w:ascii="Times New Roman" w:hAnsi="Times New Roman"/>
          <w:sz w:val="28"/>
          <w:szCs w:val="28"/>
        </w:rPr>
      </w:pPr>
    </w:p>
    <w:sectPr w:rsidR="00EB2478" w:rsidRPr="004304F0" w:rsidSect="009F1288">
      <w:headerReference w:type="default" r:id="rId119"/>
      <w:pgSz w:w="11906" w:h="16838"/>
      <w:pgMar w:top="1134" w:right="851" w:bottom="1134" w:left="1559"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6A62C1" w14:textId="77777777" w:rsidR="008B6127" w:rsidRDefault="008B6127" w:rsidP="00D2765F">
      <w:pPr>
        <w:spacing w:after="0" w:line="240" w:lineRule="auto"/>
      </w:pPr>
      <w:r>
        <w:separator/>
      </w:r>
    </w:p>
  </w:endnote>
  <w:endnote w:type="continuationSeparator" w:id="0">
    <w:p w14:paraId="1AD90CB0" w14:textId="77777777" w:rsidR="008B6127" w:rsidRDefault="008B6127" w:rsidP="00D276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20D735" w14:textId="77777777" w:rsidR="008B6127" w:rsidRDefault="008B6127" w:rsidP="00D2765F">
      <w:pPr>
        <w:spacing w:after="0" w:line="240" w:lineRule="auto"/>
      </w:pPr>
      <w:r>
        <w:separator/>
      </w:r>
    </w:p>
  </w:footnote>
  <w:footnote w:type="continuationSeparator" w:id="0">
    <w:p w14:paraId="749FC8BD" w14:textId="77777777" w:rsidR="008B6127" w:rsidRDefault="008B6127" w:rsidP="00D276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9692325"/>
      <w:docPartObj>
        <w:docPartGallery w:val="Page Numbers (Top of Page)"/>
        <w:docPartUnique/>
      </w:docPartObj>
    </w:sdtPr>
    <w:sdtEndPr/>
    <w:sdtContent>
      <w:p w14:paraId="30CE03DB" w14:textId="6301F2B3" w:rsidR="00201F83" w:rsidRDefault="00201F83">
        <w:pPr>
          <w:pStyle w:val="a5"/>
          <w:jc w:val="right"/>
        </w:pPr>
        <w:r>
          <w:fldChar w:fldCharType="begin"/>
        </w:r>
        <w:r>
          <w:instrText>PAGE   \* MERGEFORMAT</w:instrText>
        </w:r>
        <w:r>
          <w:fldChar w:fldCharType="separate"/>
        </w:r>
        <w:r w:rsidR="00AA176F">
          <w:rPr>
            <w:noProof/>
          </w:rPr>
          <w:t>86</w:t>
        </w:r>
        <w:r>
          <w:fldChar w:fldCharType="end"/>
        </w:r>
      </w:p>
    </w:sdtContent>
  </w:sdt>
  <w:p w14:paraId="65FBBEE6" w14:textId="77777777" w:rsidR="00201F83" w:rsidRDefault="00201F8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E12CB5"/>
    <w:multiLevelType w:val="hybridMultilevel"/>
    <w:tmpl w:val="4624446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E8E0DF1"/>
    <w:multiLevelType w:val="hybridMultilevel"/>
    <w:tmpl w:val="4624446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240338A6"/>
    <w:multiLevelType w:val="hybridMultilevel"/>
    <w:tmpl w:val="48345034"/>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59D2527"/>
    <w:multiLevelType w:val="hybridMultilevel"/>
    <w:tmpl w:val="96524F50"/>
    <w:lvl w:ilvl="0" w:tplc="20000011">
      <w:start w:val="6"/>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27337946"/>
    <w:multiLevelType w:val="hybridMultilevel"/>
    <w:tmpl w:val="89420FA6"/>
    <w:lvl w:ilvl="0" w:tplc="95CE6C78">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3D797947"/>
    <w:multiLevelType w:val="hybridMultilevel"/>
    <w:tmpl w:val="BA76BC7C"/>
    <w:lvl w:ilvl="0" w:tplc="20000011">
      <w:start w:val="9"/>
      <w:numFmt w:val="decimal"/>
      <w:lvlText w:val="%1)"/>
      <w:lvlJc w:val="left"/>
      <w:pPr>
        <w:ind w:left="786"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615C5F59"/>
    <w:multiLevelType w:val="hybridMultilevel"/>
    <w:tmpl w:val="2A683D7A"/>
    <w:lvl w:ilvl="0" w:tplc="2000000F">
      <w:start w:val="1"/>
      <w:numFmt w:val="decimal"/>
      <w:lvlText w:val="%1."/>
      <w:lvlJc w:val="left"/>
      <w:pPr>
        <w:ind w:left="928" w:hanging="360"/>
      </w:pPr>
    </w:lvl>
    <w:lvl w:ilvl="1" w:tplc="20000019" w:tentative="1">
      <w:start w:val="1"/>
      <w:numFmt w:val="lowerLetter"/>
      <w:lvlText w:val="%2."/>
      <w:lvlJc w:val="left"/>
      <w:pPr>
        <w:ind w:left="1648" w:hanging="360"/>
      </w:pPr>
    </w:lvl>
    <w:lvl w:ilvl="2" w:tplc="2000001B" w:tentative="1">
      <w:start w:val="1"/>
      <w:numFmt w:val="lowerRoman"/>
      <w:lvlText w:val="%3."/>
      <w:lvlJc w:val="right"/>
      <w:pPr>
        <w:ind w:left="2368" w:hanging="180"/>
      </w:pPr>
    </w:lvl>
    <w:lvl w:ilvl="3" w:tplc="2000000F" w:tentative="1">
      <w:start w:val="1"/>
      <w:numFmt w:val="decimal"/>
      <w:lvlText w:val="%4."/>
      <w:lvlJc w:val="left"/>
      <w:pPr>
        <w:ind w:left="3088" w:hanging="360"/>
      </w:pPr>
    </w:lvl>
    <w:lvl w:ilvl="4" w:tplc="20000019" w:tentative="1">
      <w:start w:val="1"/>
      <w:numFmt w:val="lowerLetter"/>
      <w:lvlText w:val="%5."/>
      <w:lvlJc w:val="left"/>
      <w:pPr>
        <w:ind w:left="3808" w:hanging="360"/>
      </w:pPr>
    </w:lvl>
    <w:lvl w:ilvl="5" w:tplc="2000001B" w:tentative="1">
      <w:start w:val="1"/>
      <w:numFmt w:val="lowerRoman"/>
      <w:lvlText w:val="%6."/>
      <w:lvlJc w:val="right"/>
      <w:pPr>
        <w:ind w:left="4528" w:hanging="180"/>
      </w:pPr>
    </w:lvl>
    <w:lvl w:ilvl="6" w:tplc="2000000F" w:tentative="1">
      <w:start w:val="1"/>
      <w:numFmt w:val="decimal"/>
      <w:lvlText w:val="%7."/>
      <w:lvlJc w:val="left"/>
      <w:pPr>
        <w:ind w:left="5248" w:hanging="360"/>
      </w:pPr>
    </w:lvl>
    <w:lvl w:ilvl="7" w:tplc="20000019" w:tentative="1">
      <w:start w:val="1"/>
      <w:numFmt w:val="lowerLetter"/>
      <w:lvlText w:val="%8."/>
      <w:lvlJc w:val="left"/>
      <w:pPr>
        <w:ind w:left="5968" w:hanging="360"/>
      </w:pPr>
    </w:lvl>
    <w:lvl w:ilvl="8" w:tplc="2000001B" w:tentative="1">
      <w:start w:val="1"/>
      <w:numFmt w:val="lowerRoman"/>
      <w:lvlText w:val="%9."/>
      <w:lvlJc w:val="right"/>
      <w:pPr>
        <w:ind w:left="6688" w:hanging="180"/>
      </w:pPr>
    </w:lvl>
  </w:abstractNum>
  <w:abstractNum w:abstractNumId="7">
    <w:nsid w:val="6BB005CE"/>
    <w:multiLevelType w:val="hybridMultilevel"/>
    <w:tmpl w:val="F6EE96D6"/>
    <w:lvl w:ilvl="0" w:tplc="4554FB44">
      <w:start w:val="18"/>
      <w:numFmt w:val="decimal"/>
      <w:lvlText w:val="%1)"/>
      <w:lvlJc w:val="left"/>
      <w:pPr>
        <w:ind w:left="750" w:hanging="39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nsid w:val="78D254D9"/>
    <w:multiLevelType w:val="hybridMultilevel"/>
    <w:tmpl w:val="823A79E6"/>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9">
    <w:nsid w:val="7D5733FB"/>
    <w:multiLevelType w:val="hybridMultilevel"/>
    <w:tmpl w:val="823A79E6"/>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num w:numId="1">
    <w:abstractNumId w:val="0"/>
  </w:num>
  <w:num w:numId="2">
    <w:abstractNumId w:val="9"/>
  </w:num>
  <w:num w:numId="3">
    <w:abstractNumId w:val="4"/>
  </w:num>
  <w:num w:numId="4">
    <w:abstractNumId w:val="8"/>
  </w:num>
  <w:num w:numId="5">
    <w:abstractNumId w:val="1"/>
  </w:num>
  <w:num w:numId="6">
    <w:abstractNumId w:val="2"/>
  </w:num>
  <w:num w:numId="7">
    <w:abstractNumId w:val="3"/>
  </w:num>
  <w:num w:numId="8">
    <w:abstractNumId w:val="5"/>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79F6"/>
    <w:rsid w:val="00002324"/>
    <w:rsid w:val="00002A8A"/>
    <w:rsid w:val="00012156"/>
    <w:rsid w:val="00016E97"/>
    <w:rsid w:val="0002273F"/>
    <w:rsid w:val="00022C08"/>
    <w:rsid w:val="000260DE"/>
    <w:rsid w:val="00054991"/>
    <w:rsid w:val="00071331"/>
    <w:rsid w:val="000775BD"/>
    <w:rsid w:val="000915F7"/>
    <w:rsid w:val="000930B3"/>
    <w:rsid w:val="000937A8"/>
    <w:rsid w:val="000C1952"/>
    <w:rsid w:val="000C3377"/>
    <w:rsid w:val="000D18A5"/>
    <w:rsid w:val="001114EC"/>
    <w:rsid w:val="00125568"/>
    <w:rsid w:val="00125815"/>
    <w:rsid w:val="00154072"/>
    <w:rsid w:val="00163476"/>
    <w:rsid w:val="00173A24"/>
    <w:rsid w:val="001A6334"/>
    <w:rsid w:val="001B2E62"/>
    <w:rsid w:val="001C2C71"/>
    <w:rsid w:val="001C3A0F"/>
    <w:rsid w:val="001C5632"/>
    <w:rsid w:val="001D0516"/>
    <w:rsid w:val="001D0B8E"/>
    <w:rsid w:val="001D2287"/>
    <w:rsid w:val="001F7190"/>
    <w:rsid w:val="00201F83"/>
    <w:rsid w:val="0020614A"/>
    <w:rsid w:val="00210E3A"/>
    <w:rsid w:val="00214A03"/>
    <w:rsid w:val="00234586"/>
    <w:rsid w:val="002555AC"/>
    <w:rsid w:val="00261056"/>
    <w:rsid w:val="00272339"/>
    <w:rsid w:val="00272C17"/>
    <w:rsid w:val="0028508E"/>
    <w:rsid w:val="00296011"/>
    <w:rsid w:val="002C4790"/>
    <w:rsid w:val="002C5D48"/>
    <w:rsid w:val="002E1D9A"/>
    <w:rsid w:val="002F2A01"/>
    <w:rsid w:val="002F2B54"/>
    <w:rsid w:val="0031235C"/>
    <w:rsid w:val="003162CF"/>
    <w:rsid w:val="003236B7"/>
    <w:rsid w:val="003245B6"/>
    <w:rsid w:val="00342645"/>
    <w:rsid w:val="00343DF4"/>
    <w:rsid w:val="0035008C"/>
    <w:rsid w:val="0035341D"/>
    <w:rsid w:val="00377692"/>
    <w:rsid w:val="003815FE"/>
    <w:rsid w:val="00392409"/>
    <w:rsid w:val="003A4DA8"/>
    <w:rsid w:val="003B403A"/>
    <w:rsid w:val="003C0CFE"/>
    <w:rsid w:val="003C3DA8"/>
    <w:rsid w:val="003D0671"/>
    <w:rsid w:val="003D23E0"/>
    <w:rsid w:val="003E0AAD"/>
    <w:rsid w:val="003E5146"/>
    <w:rsid w:val="003E7BFE"/>
    <w:rsid w:val="00410270"/>
    <w:rsid w:val="00416760"/>
    <w:rsid w:val="00424635"/>
    <w:rsid w:val="004304F0"/>
    <w:rsid w:val="00431CD1"/>
    <w:rsid w:val="00444E5F"/>
    <w:rsid w:val="004519D8"/>
    <w:rsid w:val="004565F4"/>
    <w:rsid w:val="00457C58"/>
    <w:rsid w:val="00491403"/>
    <w:rsid w:val="004915C7"/>
    <w:rsid w:val="00495D0E"/>
    <w:rsid w:val="004B11C0"/>
    <w:rsid w:val="004B7506"/>
    <w:rsid w:val="004C17CE"/>
    <w:rsid w:val="004C67DD"/>
    <w:rsid w:val="004C6F5F"/>
    <w:rsid w:val="004D0ECF"/>
    <w:rsid w:val="004D4735"/>
    <w:rsid w:val="004E2B07"/>
    <w:rsid w:val="004E5301"/>
    <w:rsid w:val="004F67FB"/>
    <w:rsid w:val="004F78EF"/>
    <w:rsid w:val="00507D30"/>
    <w:rsid w:val="00514CD2"/>
    <w:rsid w:val="00531EB0"/>
    <w:rsid w:val="00537EAA"/>
    <w:rsid w:val="0054147E"/>
    <w:rsid w:val="00554E6E"/>
    <w:rsid w:val="00556234"/>
    <w:rsid w:val="005641A0"/>
    <w:rsid w:val="005705EA"/>
    <w:rsid w:val="0057611D"/>
    <w:rsid w:val="00576C6A"/>
    <w:rsid w:val="005853AE"/>
    <w:rsid w:val="0059114F"/>
    <w:rsid w:val="005A747B"/>
    <w:rsid w:val="005C7AB7"/>
    <w:rsid w:val="005D079E"/>
    <w:rsid w:val="005D531E"/>
    <w:rsid w:val="005E2F17"/>
    <w:rsid w:val="00613D1F"/>
    <w:rsid w:val="00617F86"/>
    <w:rsid w:val="006228F5"/>
    <w:rsid w:val="00670020"/>
    <w:rsid w:val="0069190D"/>
    <w:rsid w:val="006B28CE"/>
    <w:rsid w:val="006B6C66"/>
    <w:rsid w:val="006D50E3"/>
    <w:rsid w:val="006E0298"/>
    <w:rsid w:val="006E526C"/>
    <w:rsid w:val="006F0F70"/>
    <w:rsid w:val="006F2F0C"/>
    <w:rsid w:val="0070309F"/>
    <w:rsid w:val="00715060"/>
    <w:rsid w:val="00715415"/>
    <w:rsid w:val="00745F09"/>
    <w:rsid w:val="00760EFA"/>
    <w:rsid w:val="007626F7"/>
    <w:rsid w:val="007643D4"/>
    <w:rsid w:val="00774CED"/>
    <w:rsid w:val="0077702A"/>
    <w:rsid w:val="00791256"/>
    <w:rsid w:val="007A2A80"/>
    <w:rsid w:val="007A63E5"/>
    <w:rsid w:val="007D779D"/>
    <w:rsid w:val="007E1B12"/>
    <w:rsid w:val="007E734D"/>
    <w:rsid w:val="008264AB"/>
    <w:rsid w:val="00833925"/>
    <w:rsid w:val="0084289D"/>
    <w:rsid w:val="00850B1F"/>
    <w:rsid w:val="008558C4"/>
    <w:rsid w:val="00861ADD"/>
    <w:rsid w:val="00864DC5"/>
    <w:rsid w:val="00865A3E"/>
    <w:rsid w:val="00870AEB"/>
    <w:rsid w:val="00880111"/>
    <w:rsid w:val="008838BD"/>
    <w:rsid w:val="00884CC9"/>
    <w:rsid w:val="008850CC"/>
    <w:rsid w:val="0089556E"/>
    <w:rsid w:val="008A2FEC"/>
    <w:rsid w:val="008B6127"/>
    <w:rsid w:val="008C0AD5"/>
    <w:rsid w:val="008C0C51"/>
    <w:rsid w:val="008C6670"/>
    <w:rsid w:val="008D1E9E"/>
    <w:rsid w:val="008D5A1D"/>
    <w:rsid w:val="008E0BD5"/>
    <w:rsid w:val="008E7794"/>
    <w:rsid w:val="008F6058"/>
    <w:rsid w:val="008F7534"/>
    <w:rsid w:val="00901FFC"/>
    <w:rsid w:val="0091471B"/>
    <w:rsid w:val="009174AF"/>
    <w:rsid w:val="00917DCD"/>
    <w:rsid w:val="0092312E"/>
    <w:rsid w:val="00936CDD"/>
    <w:rsid w:val="00936F3E"/>
    <w:rsid w:val="0093715D"/>
    <w:rsid w:val="0095505A"/>
    <w:rsid w:val="0095728E"/>
    <w:rsid w:val="009602E4"/>
    <w:rsid w:val="00960F63"/>
    <w:rsid w:val="0096292F"/>
    <w:rsid w:val="00986012"/>
    <w:rsid w:val="00992E0F"/>
    <w:rsid w:val="00995C78"/>
    <w:rsid w:val="009967DE"/>
    <w:rsid w:val="009A2D48"/>
    <w:rsid w:val="009B0A75"/>
    <w:rsid w:val="009D08B6"/>
    <w:rsid w:val="009D164A"/>
    <w:rsid w:val="009D2BB1"/>
    <w:rsid w:val="009F1288"/>
    <w:rsid w:val="009F2071"/>
    <w:rsid w:val="00A00605"/>
    <w:rsid w:val="00A04628"/>
    <w:rsid w:val="00A048C0"/>
    <w:rsid w:val="00A079F6"/>
    <w:rsid w:val="00A110FB"/>
    <w:rsid w:val="00A11A9A"/>
    <w:rsid w:val="00A21EE3"/>
    <w:rsid w:val="00A33737"/>
    <w:rsid w:val="00A3523B"/>
    <w:rsid w:val="00A371F4"/>
    <w:rsid w:val="00A56DD8"/>
    <w:rsid w:val="00A62F3B"/>
    <w:rsid w:val="00A73D83"/>
    <w:rsid w:val="00A7547A"/>
    <w:rsid w:val="00A90403"/>
    <w:rsid w:val="00A90F6E"/>
    <w:rsid w:val="00A95E05"/>
    <w:rsid w:val="00AA176F"/>
    <w:rsid w:val="00AA49C5"/>
    <w:rsid w:val="00AA6305"/>
    <w:rsid w:val="00AA74C8"/>
    <w:rsid w:val="00B00D60"/>
    <w:rsid w:val="00B22C32"/>
    <w:rsid w:val="00B2591D"/>
    <w:rsid w:val="00B26598"/>
    <w:rsid w:val="00B45D38"/>
    <w:rsid w:val="00B517D3"/>
    <w:rsid w:val="00B578F2"/>
    <w:rsid w:val="00B77F22"/>
    <w:rsid w:val="00B824BA"/>
    <w:rsid w:val="00B874A7"/>
    <w:rsid w:val="00B915ED"/>
    <w:rsid w:val="00B96E33"/>
    <w:rsid w:val="00BB2685"/>
    <w:rsid w:val="00BB77A7"/>
    <w:rsid w:val="00BC2C99"/>
    <w:rsid w:val="00BC2D82"/>
    <w:rsid w:val="00BE65AB"/>
    <w:rsid w:val="00BE65DF"/>
    <w:rsid w:val="00BE7C11"/>
    <w:rsid w:val="00C040F5"/>
    <w:rsid w:val="00C32FF4"/>
    <w:rsid w:val="00C33F52"/>
    <w:rsid w:val="00C42D29"/>
    <w:rsid w:val="00C453D2"/>
    <w:rsid w:val="00C45845"/>
    <w:rsid w:val="00C46DD5"/>
    <w:rsid w:val="00C65B8F"/>
    <w:rsid w:val="00C66933"/>
    <w:rsid w:val="00CB2FE9"/>
    <w:rsid w:val="00CB4A71"/>
    <w:rsid w:val="00CB7B4D"/>
    <w:rsid w:val="00CE19DC"/>
    <w:rsid w:val="00CF67BE"/>
    <w:rsid w:val="00CF7303"/>
    <w:rsid w:val="00D17D34"/>
    <w:rsid w:val="00D2765F"/>
    <w:rsid w:val="00D50110"/>
    <w:rsid w:val="00D605E1"/>
    <w:rsid w:val="00D65764"/>
    <w:rsid w:val="00D9391E"/>
    <w:rsid w:val="00D97AA3"/>
    <w:rsid w:val="00DA2ACD"/>
    <w:rsid w:val="00DA6466"/>
    <w:rsid w:val="00DA65DB"/>
    <w:rsid w:val="00DB2A82"/>
    <w:rsid w:val="00DC5022"/>
    <w:rsid w:val="00DD4D53"/>
    <w:rsid w:val="00DE42E9"/>
    <w:rsid w:val="00E167C7"/>
    <w:rsid w:val="00E22108"/>
    <w:rsid w:val="00EA04C1"/>
    <w:rsid w:val="00EB2478"/>
    <w:rsid w:val="00EB5E7F"/>
    <w:rsid w:val="00EB6592"/>
    <w:rsid w:val="00EC322A"/>
    <w:rsid w:val="00EC3808"/>
    <w:rsid w:val="00ED37DB"/>
    <w:rsid w:val="00ED4A6C"/>
    <w:rsid w:val="00EE5E09"/>
    <w:rsid w:val="00EF643E"/>
    <w:rsid w:val="00F206E9"/>
    <w:rsid w:val="00F20BAC"/>
    <w:rsid w:val="00F2555B"/>
    <w:rsid w:val="00F35AE0"/>
    <w:rsid w:val="00F3621D"/>
    <w:rsid w:val="00F419DC"/>
    <w:rsid w:val="00F501EC"/>
    <w:rsid w:val="00F57935"/>
    <w:rsid w:val="00F644B7"/>
    <w:rsid w:val="00F67624"/>
    <w:rsid w:val="00F74382"/>
    <w:rsid w:val="00F92CDC"/>
    <w:rsid w:val="00FA09C9"/>
    <w:rsid w:val="00FA366E"/>
    <w:rsid w:val="00FA6775"/>
    <w:rsid w:val="00FB2627"/>
    <w:rsid w:val="00FB4D40"/>
    <w:rsid w:val="00FC3A2C"/>
    <w:rsid w:val="00FC7940"/>
    <w:rsid w:val="00FD00A9"/>
    <w:rsid w:val="00FD5A79"/>
    <w:rsid w:val="00FE5A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98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105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07D30"/>
    <w:rPr>
      <w:color w:val="0563C1" w:themeColor="hyperlink"/>
      <w:u w:val="single"/>
    </w:rPr>
  </w:style>
  <w:style w:type="paragraph" w:styleId="a4">
    <w:name w:val="List Paragraph"/>
    <w:basedOn w:val="a"/>
    <w:uiPriority w:val="34"/>
    <w:qFormat/>
    <w:rsid w:val="00507D30"/>
    <w:pPr>
      <w:ind w:left="720"/>
      <w:contextualSpacing/>
    </w:pPr>
  </w:style>
  <w:style w:type="paragraph" w:styleId="1">
    <w:name w:val="toc 1"/>
    <w:basedOn w:val="a"/>
    <w:next w:val="a"/>
    <w:autoRedefine/>
    <w:uiPriority w:val="39"/>
    <w:unhideWhenUsed/>
    <w:rsid w:val="00B00D60"/>
    <w:pPr>
      <w:tabs>
        <w:tab w:val="right" w:leader="dot" w:pos="9345"/>
      </w:tabs>
      <w:spacing w:after="100"/>
      <w:jc w:val="both"/>
    </w:pPr>
  </w:style>
  <w:style w:type="paragraph" w:styleId="2">
    <w:name w:val="toc 2"/>
    <w:basedOn w:val="a"/>
    <w:next w:val="a"/>
    <w:autoRedefine/>
    <w:uiPriority w:val="39"/>
    <w:unhideWhenUsed/>
    <w:rsid w:val="00C32FF4"/>
    <w:pPr>
      <w:spacing w:after="100"/>
      <w:ind w:left="220"/>
    </w:pPr>
  </w:style>
  <w:style w:type="character" w:customStyle="1" w:styleId="UnresolvedMention">
    <w:name w:val="Unresolved Mention"/>
    <w:basedOn w:val="a0"/>
    <w:uiPriority w:val="99"/>
    <w:semiHidden/>
    <w:unhideWhenUsed/>
    <w:rsid w:val="00BC2C99"/>
    <w:rPr>
      <w:color w:val="605E5C"/>
      <w:shd w:val="clear" w:color="auto" w:fill="E1DFDD"/>
    </w:rPr>
  </w:style>
  <w:style w:type="paragraph" w:styleId="a5">
    <w:name w:val="header"/>
    <w:basedOn w:val="a"/>
    <w:link w:val="a6"/>
    <w:uiPriority w:val="99"/>
    <w:unhideWhenUsed/>
    <w:rsid w:val="00D2765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2765F"/>
  </w:style>
  <w:style w:type="paragraph" w:styleId="a7">
    <w:name w:val="footer"/>
    <w:basedOn w:val="a"/>
    <w:link w:val="a8"/>
    <w:uiPriority w:val="99"/>
    <w:unhideWhenUsed/>
    <w:rsid w:val="00D2765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2765F"/>
  </w:style>
  <w:style w:type="paragraph" w:styleId="a9">
    <w:name w:val="No Spacing"/>
    <w:uiPriority w:val="1"/>
    <w:qFormat/>
    <w:rsid w:val="00424635"/>
    <w:pPr>
      <w:spacing w:after="0" w:line="240" w:lineRule="auto"/>
    </w:pPr>
    <w:rPr>
      <w:lang w:val="uk-UA"/>
    </w:rPr>
  </w:style>
  <w:style w:type="paragraph" w:styleId="aa">
    <w:name w:val="Balloon Text"/>
    <w:basedOn w:val="a"/>
    <w:link w:val="ab"/>
    <w:uiPriority w:val="99"/>
    <w:semiHidden/>
    <w:unhideWhenUsed/>
    <w:rsid w:val="00C453D2"/>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C453D2"/>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105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07D30"/>
    <w:rPr>
      <w:color w:val="0563C1" w:themeColor="hyperlink"/>
      <w:u w:val="single"/>
    </w:rPr>
  </w:style>
  <w:style w:type="paragraph" w:styleId="a4">
    <w:name w:val="List Paragraph"/>
    <w:basedOn w:val="a"/>
    <w:uiPriority w:val="34"/>
    <w:qFormat/>
    <w:rsid w:val="00507D30"/>
    <w:pPr>
      <w:ind w:left="720"/>
      <w:contextualSpacing/>
    </w:pPr>
  </w:style>
  <w:style w:type="paragraph" w:styleId="1">
    <w:name w:val="toc 1"/>
    <w:basedOn w:val="a"/>
    <w:next w:val="a"/>
    <w:autoRedefine/>
    <w:uiPriority w:val="39"/>
    <w:unhideWhenUsed/>
    <w:rsid w:val="00B00D60"/>
    <w:pPr>
      <w:tabs>
        <w:tab w:val="right" w:leader="dot" w:pos="9345"/>
      </w:tabs>
      <w:spacing w:after="100"/>
      <w:jc w:val="both"/>
    </w:pPr>
  </w:style>
  <w:style w:type="paragraph" w:styleId="2">
    <w:name w:val="toc 2"/>
    <w:basedOn w:val="a"/>
    <w:next w:val="a"/>
    <w:autoRedefine/>
    <w:uiPriority w:val="39"/>
    <w:unhideWhenUsed/>
    <w:rsid w:val="00C32FF4"/>
    <w:pPr>
      <w:spacing w:after="100"/>
      <w:ind w:left="220"/>
    </w:pPr>
  </w:style>
  <w:style w:type="character" w:customStyle="1" w:styleId="UnresolvedMention">
    <w:name w:val="Unresolved Mention"/>
    <w:basedOn w:val="a0"/>
    <w:uiPriority w:val="99"/>
    <w:semiHidden/>
    <w:unhideWhenUsed/>
    <w:rsid w:val="00BC2C99"/>
    <w:rPr>
      <w:color w:val="605E5C"/>
      <w:shd w:val="clear" w:color="auto" w:fill="E1DFDD"/>
    </w:rPr>
  </w:style>
  <w:style w:type="paragraph" w:styleId="a5">
    <w:name w:val="header"/>
    <w:basedOn w:val="a"/>
    <w:link w:val="a6"/>
    <w:uiPriority w:val="99"/>
    <w:unhideWhenUsed/>
    <w:rsid w:val="00D2765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2765F"/>
  </w:style>
  <w:style w:type="paragraph" w:styleId="a7">
    <w:name w:val="footer"/>
    <w:basedOn w:val="a"/>
    <w:link w:val="a8"/>
    <w:uiPriority w:val="99"/>
    <w:unhideWhenUsed/>
    <w:rsid w:val="00D2765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2765F"/>
  </w:style>
  <w:style w:type="paragraph" w:styleId="a9">
    <w:name w:val="No Spacing"/>
    <w:uiPriority w:val="1"/>
    <w:qFormat/>
    <w:rsid w:val="00424635"/>
    <w:pPr>
      <w:spacing w:after="0" w:line="240" w:lineRule="auto"/>
    </w:pPr>
    <w:rPr>
      <w:lang w:val="uk-UA"/>
    </w:rPr>
  </w:style>
  <w:style w:type="paragraph" w:styleId="aa">
    <w:name w:val="Balloon Text"/>
    <w:basedOn w:val="a"/>
    <w:link w:val="ab"/>
    <w:uiPriority w:val="99"/>
    <w:semiHidden/>
    <w:unhideWhenUsed/>
    <w:rsid w:val="00C453D2"/>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C453D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561400">
      <w:bodyDiv w:val="1"/>
      <w:marLeft w:val="0"/>
      <w:marRight w:val="0"/>
      <w:marTop w:val="0"/>
      <w:marBottom w:val="0"/>
      <w:divBdr>
        <w:top w:val="none" w:sz="0" w:space="0" w:color="auto"/>
        <w:left w:val="none" w:sz="0" w:space="0" w:color="auto"/>
        <w:bottom w:val="none" w:sz="0" w:space="0" w:color="auto"/>
        <w:right w:val="none" w:sz="0" w:space="0" w:color="auto"/>
      </w:divBdr>
    </w:div>
    <w:div w:id="135034498">
      <w:bodyDiv w:val="1"/>
      <w:marLeft w:val="0"/>
      <w:marRight w:val="0"/>
      <w:marTop w:val="0"/>
      <w:marBottom w:val="0"/>
      <w:divBdr>
        <w:top w:val="none" w:sz="0" w:space="0" w:color="auto"/>
        <w:left w:val="none" w:sz="0" w:space="0" w:color="auto"/>
        <w:bottom w:val="none" w:sz="0" w:space="0" w:color="auto"/>
        <w:right w:val="none" w:sz="0" w:space="0" w:color="auto"/>
      </w:divBdr>
    </w:div>
    <w:div w:id="1198785171">
      <w:bodyDiv w:val="1"/>
      <w:marLeft w:val="0"/>
      <w:marRight w:val="0"/>
      <w:marTop w:val="0"/>
      <w:marBottom w:val="0"/>
      <w:divBdr>
        <w:top w:val="none" w:sz="0" w:space="0" w:color="auto"/>
        <w:left w:val="none" w:sz="0" w:space="0" w:color="auto"/>
        <w:bottom w:val="none" w:sz="0" w:space="0" w:color="auto"/>
        <w:right w:val="none" w:sz="0" w:space="0" w:color="auto"/>
      </w:divBdr>
    </w:div>
    <w:div w:id="1391146922">
      <w:bodyDiv w:val="1"/>
      <w:marLeft w:val="0"/>
      <w:marRight w:val="0"/>
      <w:marTop w:val="0"/>
      <w:marBottom w:val="0"/>
      <w:divBdr>
        <w:top w:val="none" w:sz="0" w:space="0" w:color="auto"/>
        <w:left w:val="none" w:sz="0" w:space="0" w:color="auto"/>
        <w:bottom w:val="none" w:sz="0" w:space="0" w:color="auto"/>
        <w:right w:val="none" w:sz="0" w:space="0" w:color="auto"/>
      </w:divBdr>
    </w:div>
    <w:div w:id="1395860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8.xml"/><Relationship Id="rId117" Type="http://schemas.openxmlformats.org/officeDocument/2006/relationships/chart" Target="charts/chart41.xml"/><Relationship Id="rId21" Type="http://schemas.openxmlformats.org/officeDocument/2006/relationships/chart" Target="charts/chart13.xml"/><Relationship Id="rId42" Type="http://schemas.openxmlformats.org/officeDocument/2006/relationships/hyperlink" Target="https://businessperspectives.org/images/pdf/applications/publishing/templates/article/assets/13409/BBS_2020_02_Danylyshyn.pdf" TargetMode="External"/><Relationship Id="rId47" Type="http://schemas.openxmlformats.org/officeDocument/2006/relationships/hyperlink" Target="http://www.journalsofznu.zp.ua/index.php/economics/article/view/1422" TargetMode="External"/><Relationship Id="rId63" Type="http://schemas.openxmlformats.org/officeDocument/2006/relationships/hyperlink" Target="https://stat.gov.pl/wskazniki-makroekonomiczne/" TargetMode="External"/><Relationship Id="rId68" Type="http://schemas.openxmlformats.org/officeDocument/2006/relationships/hyperlink" Target="https://index.minfin.com.ua/economy/index/inflation/" TargetMode="External"/><Relationship Id="rId84" Type="http://schemas.openxmlformats.org/officeDocument/2006/relationships/hyperlink" Target="https://pfts.ua/stock-exchange-pfts/pfts-participants" TargetMode="External"/><Relationship Id="rId89" Type="http://schemas.openxmlformats.org/officeDocument/2006/relationships/hyperlink" Target="https://www.six-group.com/en/products-services/the-swiss-stock-exchange/market-data/indices/index-explorer/index-details.html?valorId=CH0009980894CHF9" TargetMode="External"/><Relationship Id="rId112" Type="http://schemas.openxmlformats.org/officeDocument/2006/relationships/chart" Target="charts/chart36.xml"/><Relationship Id="rId16" Type="http://schemas.openxmlformats.org/officeDocument/2006/relationships/chart" Target="charts/chart8.xml"/><Relationship Id="rId107" Type="http://schemas.openxmlformats.org/officeDocument/2006/relationships/chart" Target="charts/chart31.xml"/><Relationship Id="rId11" Type="http://schemas.openxmlformats.org/officeDocument/2006/relationships/chart" Target="charts/chart3.xml"/><Relationship Id="rId32" Type="http://schemas.openxmlformats.org/officeDocument/2006/relationships/hyperlink" Target="https://doi.org/10.1080/15387216.2020.1779104" TargetMode="External"/><Relationship Id="rId37" Type="http://schemas.openxmlformats.org/officeDocument/2006/relationships/hyperlink" Target="https://doi.org/10.3390/en13184977" TargetMode="External"/><Relationship Id="rId53" Type="http://schemas.openxmlformats.org/officeDocument/2006/relationships/hyperlink" Target="https://index.minfin.com.ua/finance/assets/2020/" TargetMode="External"/><Relationship Id="rId58" Type="http://schemas.openxmlformats.org/officeDocument/2006/relationships/hyperlink" Target="https://www.efv.admin.ch/efv/en/home/finanzberichterstattung/daten/datencenter.spa.EIS.app/eisui/index.html" TargetMode="External"/><Relationship Id="rId74" Type="http://schemas.openxmlformats.org/officeDocument/2006/relationships/hyperlink" Target="https://data.snb.ch/en/topics/ziredev" TargetMode="External"/><Relationship Id="rId79" Type="http://schemas.openxmlformats.org/officeDocument/2006/relationships/hyperlink" Target="https://www.nbp.pl/homen.aspx?f=/en/statystyka/core.html" TargetMode="External"/><Relationship Id="rId102" Type="http://schemas.openxmlformats.org/officeDocument/2006/relationships/chart" Target="charts/chart26.xml"/><Relationship Id="rId5" Type="http://schemas.openxmlformats.org/officeDocument/2006/relationships/settings" Target="settings.xml"/><Relationship Id="rId61" Type="http://schemas.openxmlformats.org/officeDocument/2006/relationships/hyperlink" Target="https://data.snb.ch/en/topics/cross" TargetMode="External"/><Relationship Id="rId82" Type="http://schemas.openxmlformats.org/officeDocument/2006/relationships/hyperlink" Target="https://data.snb.ch/en/topics/aube" TargetMode="External"/><Relationship Id="rId90" Type="http://schemas.openxmlformats.org/officeDocument/2006/relationships/hyperlink" Target="https://www.six-group.com/exchanges/indices/data_centre/shares/smi_en.html" TargetMode="External"/><Relationship Id="rId95" Type="http://schemas.openxmlformats.org/officeDocument/2006/relationships/hyperlink" Target="https://switzerland.mfa.gov.ua/en/partnership/trade-and-economic-cooperation-between-ukraine-and-switzerland/investment-cooperation-between-ukraine-and-switzerland" TargetMode="External"/><Relationship Id="rId19" Type="http://schemas.openxmlformats.org/officeDocument/2006/relationships/chart" Target="charts/chart1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chart" Target="charts/chart19.xml"/><Relationship Id="rId30" Type="http://schemas.openxmlformats.org/officeDocument/2006/relationships/hyperlink" Target="https://doi.org/10.1186/s41937-020-00060-y" TargetMode="External"/><Relationship Id="rId35" Type="http://schemas.openxmlformats.org/officeDocument/2006/relationships/hyperlink" Target="https://www.ceeol.com/search/article-detail?id=898620" TargetMode="External"/><Relationship Id="rId43" Type="http://schemas.openxmlformats.org/officeDocument/2006/relationships/hyperlink" Target="https://iopscience.iop.org/article/10.1088/1755-1315/628/1/012031/meta" TargetMode="External"/><Relationship Id="rId48" Type="http://schemas.openxmlformats.org/officeDocument/2006/relationships/hyperlink" Target="http://www.ukrstat.gov.ua/operativ/operativ2003/vvp/vvp_kv/vvp_kv_u/arh_vvp_kv.html" TargetMode="External"/><Relationship Id="rId56" Type="http://schemas.openxmlformats.org/officeDocument/2006/relationships/hyperlink" Target="https://www.seco.admin.ch/seco/de/home/wirtschaftslage---wirtschaftspolitik/Wirtschaftslage/bip-quartalsschaetzungen-/daten.html" TargetMode="External"/><Relationship Id="rId64" Type="http://schemas.openxmlformats.org/officeDocument/2006/relationships/hyperlink" Target="https://www.nbp.pl/homen.aspx?f=/en/statystyka/zadluz.html" TargetMode="External"/><Relationship Id="rId69" Type="http://schemas.openxmlformats.org/officeDocument/2006/relationships/hyperlink" Target="https://www.bls.gov/regions/mid-atlantic/data/consumerpriceindexhistorical_us_table.htm" TargetMode="External"/><Relationship Id="rId77" Type="http://schemas.openxmlformats.org/officeDocument/2006/relationships/hyperlink" Target="https://data.snb.ch/en/topics/snb" TargetMode="External"/><Relationship Id="rId100" Type="http://schemas.openxmlformats.org/officeDocument/2006/relationships/chart" Target="charts/chart24.xml"/><Relationship Id="rId105" Type="http://schemas.openxmlformats.org/officeDocument/2006/relationships/chart" Target="charts/chart29.xml"/><Relationship Id="rId113" Type="http://schemas.openxmlformats.org/officeDocument/2006/relationships/chart" Target="charts/chart37.xml"/><Relationship Id="rId118" Type="http://schemas.openxmlformats.org/officeDocument/2006/relationships/chart" Target="charts/chart42.xml"/><Relationship Id="rId8" Type="http://schemas.openxmlformats.org/officeDocument/2006/relationships/endnotes" Target="endnotes.xml"/><Relationship Id="rId51" Type="http://schemas.openxmlformats.org/officeDocument/2006/relationships/hyperlink" Target="https://index.minfin.com.ua/finance/budget/gov/income/" TargetMode="External"/><Relationship Id="rId72" Type="http://schemas.openxmlformats.org/officeDocument/2006/relationships/hyperlink" Target="https://bank.gov.ua/ua/news/all/natsionalniy-bank-ukrayini-zniziv-oblikovu-stavku-do-6" TargetMode="External"/><Relationship Id="rId80" Type="http://schemas.openxmlformats.org/officeDocument/2006/relationships/hyperlink" Target="https://www.nbp.pl/homen.aspx?f=/en/statystyka/instrumenty/instrumenty.html" TargetMode="External"/><Relationship Id="rId85" Type="http://schemas.openxmlformats.org/officeDocument/2006/relationships/hyperlink" Target="http://www.ux.ua/ua/members.aspx" TargetMode="External"/><Relationship Id="rId93" Type="http://schemas.openxmlformats.org/officeDocument/2006/relationships/hyperlink" Target="http://www.ukrstat.gov.ua/operativ/operativ2017/zd/ztt/ztt_u/ztt1217_u.htm" TargetMode="External"/><Relationship Id="rId98" Type="http://schemas.openxmlformats.org/officeDocument/2006/relationships/chart" Target="charts/chart22.xml"/><Relationship Id="rId12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33" Type="http://schemas.openxmlformats.org/officeDocument/2006/relationships/hyperlink" Target="https://doi.org/10.1002/epa2.1094" TargetMode="External"/><Relationship Id="rId38" Type="http://schemas.openxmlformats.org/officeDocument/2006/relationships/hyperlink" Target="https://depot.ceon.pl/handle/123456789/18694" TargetMode="External"/><Relationship Id="rId46" Type="http://schemas.openxmlformats.org/officeDocument/2006/relationships/hyperlink" Target="https://web.b.ebscohost.com/abstract?direct=true&amp;profile=ehost&amp;scope=site&amp;authtype=crawler&amp;jrnl=20712227&amp;AN=145375493&amp;h=yq03iNiQ1emZAW7ClESD3%2bMinFSWCuW9zFawYsEn0Fds1gndQF%2bn4rIk%2fWpJ%2f8PmsIGlEpQOoB68vtMQFDmijQ%3d%3d&amp;crl=c&amp;resultNs=AdminWebAuth&amp;resultLocal=ErrCrlNotAuth&amp;crlhashurl=login.aspx%3fdirect%3dtrue%26profile%3dehost%26scope%3dsite%26authtype%3dcrawler%26jrnl%3d20712227%26AN%3d145375493" TargetMode="External"/><Relationship Id="rId59" Type="http://schemas.openxmlformats.org/officeDocument/2006/relationships/hyperlink" Target="https://data.snb.ch/en/topics/aube" TargetMode="External"/><Relationship Id="rId67" Type="http://schemas.openxmlformats.org/officeDocument/2006/relationships/hyperlink" Target="https://nabu.ua/ru/indikatori-valyutnogo-rinku-2.html" TargetMode="External"/><Relationship Id="rId103" Type="http://schemas.openxmlformats.org/officeDocument/2006/relationships/chart" Target="charts/chart27.xml"/><Relationship Id="rId108" Type="http://schemas.openxmlformats.org/officeDocument/2006/relationships/chart" Target="charts/chart32.xml"/><Relationship Id="rId116" Type="http://schemas.openxmlformats.org/officeDocument/2006/relationships/chart" Target="charts/chart40.xml"/><Relationship Id="rId20" Type="http://schemas.openxmlformats.org/officeDocument/2006/relationships/chart" Target="charts/chart12.xml"/><Relationship Id="rId41" Type="http://schemas.openxmlformats.org/officeDocument/2006/relationships/hyperlink" Target="http://journalsofznu.zp.ua/index.php/economics/article/view/1777" TargetMode="External"/><Relationship Id="rId54" Type="http://schemas.openxmlformats.org/officeDocument/2006/relationships/hyperlink" Target="https://index.minfin.com.ua/finance/assets/2021/" TargetMode="External"/><Relationship Id="rId62" Type="http://schemas.openxmlformats.org/officeDocument/2006/relationships/hyperlink" Target="https://stat.gov.pl/en/topics/national-accounts/quarterly-national%20accounts/gross-domestic-product-in-the-third-quarter-of-2020-preliminary-estimate,2,47.html" TargetMode="External"/><Relationship Id="rId70" Type="http://schemas.openxmlformats.org/officeDocument/2006/relationships/hyperlink" Target="https://bank.gov.ua/ua/monetary/stages/archive-rish" TargetMode="External"/><Relationship Id="rId75" Type="http://schemas.openxmlformats.org/officeDocument/2006/relationships/hyperlink" Target="https://www.bfs.admin.ch/bfs/en/home/statistics/prices/consumer-price-index.assetdetail.16664792.html" TargetMode="External"/><Relationship Id="rId83" Type="http://schemas.openxmlformats.org/officeDocument/2006/relationships/hyperlink" Target="https://www.nbp.pl/homen.aspx?f=en/statystyka/bilans_platniczy/bilansplatniczy_m.html" TargetMode="External"/><Relationship Id="rId88" Type="http://schemas.openxmlformats.org/officeDocument/2006/relationships/hyperlink" Target="https://pfts.ua/news/5402-do-torgiv-pfts-dopushcheno-novij-vipusk-kaznachejskikh-obligatsij-uryadu-ssha" TargetMode="External"/><Relationship Id="rId91" Type="http://schemas.openxmlformats.org/officeDocument/2006/relationships/hyperlink" Target="https://www.gpw.pl/en-home" TargetMode="External"/><Relationship Id="rId96" Type="http://schemas.openxmlformats.org/officeDocument/2006/relationships/hyperlink" Target="https://www.president.gov.ua/ru/news/ukrayina-ta-shvejcariya-pidpisali-nizku-dvostoronnih-dokumen-62337" TargetMode="External"/><Relationship Id="rId111" Type="http://schemas.openxmlformats.org/officeDocument/2006/relationships/chart" Target="charts/chart35.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chart" Target="charts/chart20.xml"/><Relationship Id="rId36" Type="http://schemas.openxmlformats.org/officeDocument/2006/relationships/hyperlink" Target="https://hrcak.srce.hr/246119" TargetMode="External"/><Relationship Id="rId49" Type="http://schemas.openxmlformats.org/officeDocument/2006/relationships/hyperlink" Target="https://bank.gov.ua/ua/statistic/sector-external/data-sector-external" TargetMode="External"/><Relationship Id="rId57" Type="http://schemas.openxmlformats.org/officeDocument/2006/relationships/hyperlink" Target="https://www.efv.admin.ch/efv/en/home/finanzberichterstattung/daten/datencenter.spa.EIS.app/eisui/index.html" TargetMode="External"/><Relationship Id="rId106" Type="http://schemas.openxmlformats.org/officeDocument/2006/relationships/chart" Target="charts/chart30.xml"/><Relationship Id="rId114" Type="http://schemas.openxmlformats.org/officeDocument/2006/relationships/chart" Target="charts/chart38.xml"/><Relationship Id="rId119" Type="http://schemas.openxmlformats.org/officeDocument/2006/relationships/header" Target="header1.xml"/><Relationship Id="rId10" Type="http://schemas.openxmlformats.org/officeDocument/2006/relationships/chart" Target="charts/chart2.xml"/><Relationship Id="rId31" Type="http://schemas.openxmlformats.org/officeDocument/2006/relationships/hyperlink" Target="https://doi.org/10.1111/tesg.12439" TargetMode="External"/><Relationship Id="rId44" Type="http://schemas.openxmlformats.org/officeDocument/2006/relationships/hyperlink" Target="https://pdfs.semanticscholar.org/5686/2163e6778755ab79fe071e939cb1da712c3f.pdf" TargetMode="External"/><Relationship Id="rId52" Type="http://schemas.openxmlformats.org/officeDocument/2006/relationships/hyperlink" Target="https://index.minfin.com.ua/finance/assets/2019" TargetMode="External"/><Relationship Id="rId60" Type="http://schemas.openxmlformats.org/officeDocument/2006/relationships/hyperlink" Target="https://www.amstat.ch/v2/index.html" TargetMode="External"/><Relationship Id="rId65" Type="http://schemas.openxmlformats.org/officeDocument/2006/relationships/hyperlink" Target="https://bdm.stat.gov.pl/" TargetMode="External"/><Relationship Id="rId73" Type="http://schemas.openxmlformats.org/officeDocument/2006/relationships/hyperlink" Target="http://www.ukrstat.gov.ua/imf/Pokaz.html" TargetMode="External"/><Relationship Id="rId78" Type="http://schemas.openxmlformats.org/officeDocument/2006/relationships/hyperlink" Target="https://www.nbp.pl/home.aspx?f=/kursy/arch_a.html" TargetMode="External"/><Relationship Id="rId81" Type="http://schemas.openxmlformats.org/officeDocument/2006/relationships/hyperlink" Target="https://www.nbp.pl/home.aspx?f=/statystyka/pieniezna_i_bankowa/m3.html" TargetMode="External"/><Relationship Id="rId86" Type="http://schemas.openxmlformats.org/officeDocument/2006/relationships/hyperlink" Target="https://pfts.ua/trade-info/indexes/shares-indexes" TargetMode="External"/><Relationship Id="rId94" Type="http://schemas.openxmlformats.org/officeDocument/2006/relationships/hyperlink" Target="https://switzerland.mfa.gov.ua/en/partnership/trade-and-economic-cooperation-between-ukraine-and-switzerland/trade-and-economic-cooperation" TargetMode="External"/><Relationship Id="rId99" Type="http://schemas.openxmlformats.org/officeDocument/2006/relationships/chart" Target="charts/chart23.xml"/><Relationship Id="rId101" Type="http://schemas.openxmlformats.org/officeDocument/2006/relationships/chart" Target="charts/chart25.xml"/><Relationship Id="rId4" Type="http://schemas.microsoft.com/office/2007/relationships/stylesWithEffects" Target="stylesWithEffects.xml"/><Relationship Id="rId9" Type="http://schemas.openxmlformats.org/officeDocument/2006/relationships/chart" Target="charts/chart1.xml"/><Relationship Id="rId13" Type="http://schemas.openxmlformats.org/officeDocument/2006/relationships/chart" Target="charts/chart5.xml"/><Relationship Id="rId18" Type="http://schemas.openxmlformats.org/officeDocument/2006/relationships/chart" Target="charts/chart10.xml"/><Relationship Id="rId39" Type="http://schemas.openxmlformats.org/officeDocument/2006/relationships/hyperlink" Target="https://businessperspectives.org/images/pdf/applications/publishing/templates/article/assets/14484/IMC_2020_01_Polinkevych.pdf" TargetMode="External"/><Relationship Id="rId109" Type="http://schemas.openxmlformats.org/officeDocument/2006/relationships/chart" Target="charts/chart33.xml"/><Relationship Id="rId34" Type="http://schemas.openxmlformats.org/officeDocument/2006/relationships/hyperlink" Target="https://doi.org/10.1186/s41937-020-00058-6" TargetMode="External"/><Relationship Id="rId50" Type="http://schemas.openxmlformats.org/officeDocument/2006/relationships/hyperlink" Target="https://www.treasury.gov.ua/ua/file-storage/misyachnij-zvit-pro-vikonannya-derzhavnogo-byudzhetu-ukrayini-za-sichen-2020-roku" TargetMode="External"/><Relationship Id="rId55" Type="http://schemas.openxmlformats.org/officeDocument/2006/relationships/hyperlink" Target="https://www.ukrinform.ua/rubric-economy/3175346-na-rivni-30-milardiv-golova-nbu-pro-zrostanna-miznarodnih-rezerviv-ukraini.html" TargetMode="External"/><Relationship Id="rId76" Type="http://schemas.openxmlformats.org/officeDocument/2006/relationships/hyperlink" Target="https://data.snb.ch/en/topics/snb" TargetMode="External"/><Relationship Id="rId97" Type="http://schemas.openxmlformats.org/officeDocument/2006/relationships/hyperlink" Target="https://poland.mfa.gov.ua/spivrobitnictvo/229-torgovelyno-jekonomichne-spivrobitnictvo-mizh-ukrajinoju-ta-polyshheju" TargetMode="External"/><Relationship Id="rId104" Type="http://schemas.openxmlformats.org/officeDocument/2006/relationships/chart" Target="charts/chart28.xml"/><Relationship Id="rId120"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s://bank.gov.ua/ua/news/all/rishennya-oblikova-stavka-2020-04-23" TargetMode="External"/><Relationship Id="rId92" Type="http://schemas.openxmlformats.org/officeDocument/2006/relationships/hyperlink" Target="http://www.ukrstat.gov.ua/operativ/operativ2021/zd/ztt/ztt_u/arh_ztt2021.htm" TargetMode="External"/><Relationship Id="rId2" Type="http://schemas.openxmlformats.org/officeDocument/2006/relationships/numbering" Target="numbering.xml"/><Relationship Id="rId29" Type="http://schemas.openxmlformats.org/officeDocument/2006/relationships/chart" Target="charts/chart21.xml"/><Relationship Id="rId24" Type="http://schemas.openxmlformats.org/officeDocument/2006/relationships/chart" Target="charts/chart16.xml"/><Relationship Id="rId40" Type="http://schemas.openxmlformats.org/officeDocument/2006/relationships/hyperlink" Target="http://www.journalsofznu.zp.ua/index.php/economics/article/view/1776" TargetMode="External"/><Relationship Id="rId45" Type="http://schemas.openxmlformats.org/officeDocument/2006/relationships/hyperlink" Target="https://www.elibrary.ru/item.asp?id=42728296" TargetMode="External"/><Relationship Id="rId66" Type="http://schemas.openxmlformats.org/officeDocument/2006/relationships/hyperlink" Target="https://www.nbp.pl/home.aspx?f=/statystyka/aktywa_rezerwowe.html" TargetMode="External"/><Relationship Id="rId87" Type="http://schemas.openxmlformats.org/officeDocument/2006/relationships/hyperlink" Target="http://www.ux.ua/ua/index/stat/dailyhistory.aspx?code=UX" TargetMode="External"/><Relationship Id="rId110" Type="http://schemas.openxmlformats.org/officeDocument/2006/relationships/chart" Target="charts/chart34.xml"/><Relationship Id="rId115" Type="http://schemas.openxmlformats.org/officeDocument/2006/relationships/chart" Target="charts/chart39.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3" Type="http://schemas.microsoft.com/office/2011/relationships/chartStyle" Target="style10.xml"/><Relationship Id="rId2" Type="http://schemas.microsoft.com/office/2011/relationships/chartColorStyle" Target="colors10.xml"/><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3" Type="http://schemas.microsoft.com/office/2011/relationships/chartStyle" Target="style11.xml"/><Relationship Id="rId2" Type="http://schemas.microsoft.com/office/2011/relationships/chartColorStyle" Target="colors11.xml"/><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3" Type="http://schemas.microsoft.com/office/2011/relationships/chartStyle" Target="style12.xml"/><Relationship Id="rId2" Type="http://schemas.microsoft.com/office/2011/relationships/chartColorStyle" Target="colors12.xml"/><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3" Type="http://schemas.microsoft.com/office/2011/relationships/chartStyle" Target="style13.xml"/><Relationship Id="rId2" Type="http://schemas.microsoft.com/office/2011/relationships/chartColorStyle" Target="colors13.xml"/><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3" Type="http://schemas.microsoft.com/office/2011/relationships/chartStyle" Target="style14.xml"/><Relationship Id="rId2" Type="http://schemas.microsoft.com/office/2011/relationships/chartColorStyle" Target="colors14.xml"/><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3" Type="http://schemas.microsoft.com/office/2011/relationships/chartStyle" Target="style15.xml"/><Relationship Id="rId2" Type="http://schemas.microsoft.com/office/2011/relationships/chartColorStyle" Target="colors15.xml"/><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3" Type="http://schemas.microsoft.com/office/2011/relationships/chartStyle" Target="style16.xml"/><Relationship Id="rId2" Type="http://schemas.microsoft.com/office/2011/relationships/chartColorStyle" Target="colors16.xml"/><Relationship Id="rId1" Type="http://schemas.openxmlformats.org/officeDocument/2006/relationships/package" Target="../embeddings/Microsoft_Excel_Worksheet16.xlsx"/></Relationships>
</file>

<file path=word/charts/_rels/chart17.xml.rels><?xml version="1.0" encoding="UTF-8" standalone="yes"?>
<Relationships xmlns="http://schemas.openxmlformats.org/package/2006/relationships"><Relationship Id="rId3" Type="http://schemas.microsoft.com/office/2011/relationships/chartStyle" Target="style17.xml"/><Relationship Id="rId2" Type="http://schemas.microsoft.com/office/2011/relationships/chartColorStyle" Target="colors17.xml"/><Relationship Id="rId1" Type="http://schemas.openxmlformats.org/officeDocument/2006/relationships/package" Target="../embeddings/Microsoft_Excel_Worksheet17.xlsx"/></Relationships>
</file>

<file path=word/charts/_rels/chart18.xml.rels><?xml version="1.0" encoding="UTF-8" standalone="yes"?>
<Relationships xmlns="http://schemas.openxmlformats.org/package/2006/relationships"><Relationship Id="rId3" Type="http://schemas.microsoft.com/office/2011/relationships/chartStyle" Target="style18.xml"/><Relationship Id="rId2" Type="http://schemas.microsoft.com/office/2011/relationships/chartColorStyle" Target="colors18.xml"/><Relationship Id="rId1" Type="http://schemas.openxmlformats.org/officeDocument/2006/relationships/package" Target="../embeddings/Microsoft_Excel_Worksheet18.xlsx"/></Relationships>
</file>

<file path=word/charts/_rels/chart19.xml.rels><?xml version="1.0" encoding="UTF-8" standalone="yes"?>
<Relationships xmlns="http://schemas.openxmlformats.org/package/2006/relationships"><Relationship Id="rId3" Type="http://schemas.microsoft.com/office/2011/relationships/chartStyle" Target="style19.xml"/><Relationship Id="rId2" Type="http://schemas.microsoft.com/office/2011/relationships/chartColorStyle" Target="colors19.xml"/><Relationship Id="rId1" Type="http://schemas.openxmlformats.org/officeDocument/2006/relationships/package" Target="../embeddings/Microsoft_Excel_Worksheet19.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2.xlsx"/></Relationships>
</file>

<file path=word/charts/_rels/chart20.xml.rels><?xml version="1.0" encoding="UTF-8" standalone="yes"?>
<Relationships xmlns="http://schemas.openxmlformats.org/package/2006/relationships"><Relationship Id="rId3" Type="http://schemas.microsoft.com/office/2011/relationships/chartStyle" Target="style20.xml"/><Relationship Id="rId2" Type="http://schemas.microsoft.com/office/2011/relationships/chartColorStyle" Target="colors20.xml"/><Relationship Id="rId1" Type="http://schemas.openxmlformats.org/officeDocument/2006/relationships/package" Target="../embeddings/Microsoft_Excel_Worksheet20.xlsx"/></Relationships>
</file>

<file path=word/charts/_rels/chart21.xml.rels><?xml version="1.0" encoding="UTF-8" standalone="yes"?>
<Relationships xmlns="http://schemas.openxmlformats.org/package/2006/relationships"><Relationship Id="rId3" Type="http://schemas.microsoft.com/office/2011/relationships/chartStyle" Target="style21.xml"/><Relationship Id="rId2" Type="http://schemas.microsoft.com/office/2011/relationships/chartColorStyle" Target="colors21.xml"/><Relationship Id="rId1" Type="http://schemas.openxmlformats.org/officeDocument/2006/relationships/package" Target="../embeddings/Microsoft_Excel_Worksheet21.xlsx"/></Relationships>
</file>

<file path=word/charts/_rels/chart22.xml.rels><?xml version="1.0" encoding="UTF-8" standalone="yes"?>
<Relationships xmlns="http://schemas.openxmlformats.org/package/2006/relationships"><Relationship Id="rId3" Type="http://schemas.microsoft.com/office/2011/relationships/chartStyle" Target="style22.xml"/><Relationship Id="rId2" Type="http://schemas.microsoft.com/office/2011/relationships/chartColorStyle" Target="colors22.xml"/><Relationship Id="rId1" Type="http://schemas.openxmlformats.org/officeDocument/2006/relationships/package" Target="../embeddings/Microsoft_Excel_Worksheet22.xlsx"/></Relationships>
</file>

<file path=word/charts/_rels/chart23.xml.rels><?xml version="1.0" encoding="UTF-8" standalone="yes"?>
<Relationships xmlns="http://schemas.openxmlformats.org/package/2006/relationships"><Relationship Id="rId3" Type="http://schemas.microsoft.com/office/2011/relationships/chartStyle" Target="style23.xml"/><Relationship Id="rId2" Type="http://schemas.microsoft.com/office/2011/relationships/chartColorStyle" Target="colors23.xml"/><Relationship Id="rId1" Type="http://schemas.openxmlformats.org/officeDocument/2006/relationships/package" Target="../embeddings/Microsoft_Excel_Worksheet23.xlsx"/></Relationships>
</file>

<file path=word/charts/_rels/chart24.xml.rels><?xml version="1.0" encoding="UTF-8" standalone="yes"?>
<Relationships xmlns="http://schemas.openxmlformats.org/package/2006/relationships"><Relationship Id="rId3" Type="http://schemas.microsoft.com/office/2011/relationships/chartStyle" Target="style24.xml"/><Relationship Id="rId2" Type="http://schemas.microsoft.com/office/2011/relationships/chartColorStyle" Target="colors24.xml"/><Relationship Id="rId1" Type="http://schemas.openxmlformats.org/officeDocument/2006/relationships/package" Target="../embeddings/Microsoft_Excel_Worksheet24.xlsx"/></Relationships>
</file>

<file path=word/charts/_rels/chart25.xml.rels><?xml version="1.0" encoding="UTF-8" standalone="yes"?>
<Relationships xmlns="http://schemas.openxmlformats.org/package/2006/relationships"><Relationship Id="rId3" Type="http://schemas.microsoft.com/office/2011/relationships/chartStyle" Target="style25.xml"/><Relationship Id="rId2" Type="http://schemas.microsoft.com/office/2011/relationships/chartColorStyle" Target="colors25.xml"/><Relationship Id="rId1" Type="http://schemas.openxmlformats.org/officeDocument/2006/relationships/package" Target="../embeddings/Microsoft_Excel_Worksheet25.xlsx"/></Relationships>
</file>

<file path=word/charts/_rels/chart26.xml.rels><?xml version="1.0" encoding="UTF-8" standalone="yes"?>
<Relationships xmlns="http://schemas.openxmlformats.org/package/2006/relationships"><Relationship Id="rId3" Type="http://schemas.microsoft.com/office/2011/relationships/chartStyle" Target="style26.xml"/><Relationship Id="rId2" Type="http://schemas.microsoft.com/office/2011/relationships/chartColorStyle" Target="colors26.xml"/><Relationship Id="rId1" Type="http://schemas.openxmlformats.org/officeDocument/2006/relationships/package" Target="../embeddings/Microsoft_Excel_Worksheet26.xlsx"/></Relationships>
</file>

<file path=word/charts/_rels/chart27.xml.rels><?xml version="1.0" encoding="UTF-8" standalone="yes"?>
<Relationships xmlns="http://schemas.openxmlformats.org/package/2006/relationships"><Relationship Id="rId3" Type="http://schemas.microsoft.com/office/2011/relationships/chartStyle" Target="style27.xml"/><Relationship Id="rId2" Type="http://schemas.microsoft.com/office/2011/relationships/chartColorStyle" Target="colors27.xml"/><Relationship Id="rId1" Type="http://schemas.openxmlformats.org/officeDocument/2006/relationships/package" Target="../embeddings/Microsoft_Excel_Worksheet27.xlsx"/></Relationships>
</file>

<file path=word/charts/_rels/chart28.xml.rels><?xml version="1.0" encoding="UTF-8" standalone="yes"?>
<Relationships xmlns="http://schemas.openxmlformats.org/package/2006/relationships"><Relationship Id="rId3" Type="http://schemas.microsoft.com/office/2011/relationships/chartColorStyle" Target="colors28.xml"/><Relationship Id="rId2" Type="http://schemas.openxmlformats.org/officeDocument/2006/relationships/package" Target="../embeddings/Microsoft_Excel_Worksheet28.xlsx"/><Relationship Id="rId1" Type="http://schemas.openxmlformats.org/officeDocument/2006/relationships/themeOverride" Target="../theme/themeOverride1.xml"/><Relationship Id="rId4"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microsoft.com/office/2011/relationships/chartStyle" Target="style29.xml"/><Relationship Id="rId2" Type="http://schemas.microsoft.com/office/2011/relationships/chartColorStyle" Target="colors29.xml"/><Relationship Id="rId1" Type="http://schemas.openxmlformats.org/officeDocument/2006/relationships/package" Target="../embeddings/Microsoft_Excel_Worksheet29.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Microsoft_Excel_Worksheet3.xlsx"/></Relationships>
</file>

<file path=word/charts/_rels/chart30.xml.rels><?xml version="1.0" encoding="UTF-8" standalone="yes"?>
<Relationships xmlns="http://schemas.openxmlformats.org/package/2006/relationships"><Relationship Id="rId3" Type="http://schemas.microsoft.com/office/2011/relationships/chartStyle" Target="style30.xml"/><Relationship Id="rId2" Type="http://schemas.microsoft.com/office/2011/relationships/chartColorStyle" Target="colors30.xml"/><Relationship Id="rId1" Type="http://schemas.openxmlformats.org/officeDocument/2006/relationships/package" Target="../embeddings/Microsoft_Excel_Worksheet30.xlsx"/></Relationships>
</file>

<file path=word/charts/_rels/chart31.xml.rels><?xml version="1.0" encoding="UTF-8" standalone="yes"?>
<Relationships xmlns="http://schemas.openxmlformats.org/package/2006/relationships"><Relationship Id="rId3" Type="http://schemas.microsoft.com/office/2011/relationships/chartStyle" Target="style31.xml"/><Relationship Id="rId2" Type="http://schemas.microsoft.com/office/2011/relationships/chartColorStyle" Target="colors31.xml"/><Relationship Id="rId1" Type="http://schemas.openxmlformats.org/officeDocument/2006/relationships/package" Target="../embeddings/Microsoft_Excel_Worksheet31.xlsx"/></Relationships>
</file>

<file path=word/charts/_rels/chart32.xml.rels><?xml version="1.0" encoding="UTF-8" standalone="yes"?>
<Relationships xmlns="http://schemas.openxmlformats.org/package/2006/relationships"><Relationship Id="rId3" Type="http://schemas.microsoft.com/office/2011/relationships/chartStyle" Target="style32.xml"/><Relationship Id="rId2" Type="http://schemas.microsoft.com/office/2011/relationships/chartColorStyle" Target="colors32.xml"/><Relationship Id="rId1" Type="http://schemas.openxmlformats.org/officeDocument/2006/relationships/package" Target="../embeddings/Microsoft_Excel_Worksheet32.xlsx"/></Relationships>
</file>

<file path=word/charts/_rels/chart33.xml.rels><?xml version="1.0" encoding="UTF-8" standalone="yes"?>
<Relationships xmlns="http://schemas.openxmlformats.org/package/2006/relationships"><Relationship Id="rId3" Type="http://schemas.microsoft.com/office/2011/relationships/chartStyle" Target="style33.xml"/><Relationship Id="rId2" Type="http://schemas.microsoft.com/office/2011/relationships/chartColorStyle" Target="colors33.xml"/><Relationship Id="rId1" Type="http://schemas.openxmlformats.org/officeDocument/2006/relationships/oleObject" Target="../embeddings/oleObject1.bin"/></Relationships>
</file>

<file path=word/charts/_rels/chart34.xml.rels><?xml version="1.0" encoding="UTF-8" standalone="yes"?>
<Relationships xmlns="http://schemas.openxmlformats.org/package/2006/relationships"><Relationship Id="rId3" Type="http://schemas.microsoft.com/office/2011/relationships/chartStyle" Target="style34.xml"/><Relationship Id="rId2" Type="http://schemas.microsoft.com/office/2011/relationships/chartColorStyle" Target="colors34.xml"/><Relationship Id="rId1" Type="http://schemas.openxmlformats.org/officeDocument/2006/relationships/package" Target="../embeddings/Microsoft_Excel_Worksheet33.xlsx"/></Relationships>
</file>

<file path=word/charts/_rels/chart35.xml.rels><?xml version="1.0" encoding="UTF-8" standalone="yes"?>
<Relationships xmlns="http://schemas.openxmlformats.org/package/2006/relationships"><Relationship Id="rId3" Type="http://schemas.microsoft.com/office/2011/relationships/chartStyle" Target="style35.xml"/><Relationship Id="rId2" Type="http://schemas.microsoft.com/office/2011/relationships/chartColorStyle" Target="colors35.xml"/><Relationship Id="rId1" Type="http://schemas.openxmlformats.org/officeDocument/2006/relationships/package" Target="../embeddings/Microsoft_Excel_Worksheet34.xlsx"/></Relationships>
</file>

<file path=word/charts/_rels/chart36.xml.rels><?xml version="1.0" encoding="UTF-8" standalone="yes"?>
<Relationships xmlns="http://schemas.openxmlformats.org/package/2006/relationships"><Relationship Id="rId3" Type="http://schemas.microsoft.com/office/2011/relationships/chartStyle" Target="style36.xml"/><Relationship Id="rId2" Type="http://schemas.microsoft.com/office/2011/relationships/chartColorStyle" Target="colors36.xml"/><Relationship Id="rId1" Type="http://schemas.openxmlformats.org/officeDocument/2006/relationships/package" Target="../embeddings/Microsoft_Excel_Worksheet35.xlsx"/></Relationships>
</file>

<file path=word/charts/_rels/chart37.xml.rels><?xml version="1.0" encoding="UTF-8" standalone="yes"?>
<Relationships xmlns="http://schemas.openxmlformats.org/package/2006/relationships"><Relationship Id="rId3" Type="http://schemas.microsoft.com/office/2011/relationships/chartColorStyle" Target="colors37.xml"/><Relationship Id="rId2" Type="http://schemas.openxmlformats.org/officeDocument/2006/relationships/package" Target="../embeddings/Microsoft_Excel_Worksheet36.xlsx"/><Relationship Id="rId1" Type="http://schemas.openxmlformats.org/officeDocument/2006/relationships/themeOverride" Target="../theme/themeOverride2.xml"/><Relationship Id="rId4"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microsoft.com/office/2011/relationships/chartColorStyle" Target="colors38.xml"/><Relationship Id="rId2" Type="http://schemas.openxmlformats.org/officeDocument/2006/relationships/package" Target="../embeddings/Microsoft_Excel_Worksheet37.xlsx"/><Relationship Id="rId1" Type="http://schemas.openxmlformats.org/officeDocument/2006/relationships/themeOverride" Target="../theme/themeOverride3.xml"/><Relationship Id="rId4"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microsoft.com/office/2011/relationships/chartStyle" Target="style39.xml"/><Relationship Id="rId2" Type="http://schemas.microsoft.com/office/2011/relationships/chartColorStyle" Target="colors39.xml"/><Relationship Id="rId1" Type="http://schemas.openxmlformats.org/officeDocument/2006/relationships/package" Target="../embeddings/Microsoft_Excel_Worksheet38.xlsx"/></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package" Target="../embeddings/Microsoft_Excel_Worksheet4.xlsx"/></Relationships>
</file>

<file path=word/charts/_rels/chart40.xml.rels><?xml version="1.0" encoding="UTF-8" standalone="yes"?>
<Relationships xmlns="http://schemas.openxmlformats.org/package/2006/relationships"><Relationship Id="rId3" Type="http://schemas.microsoft.com/office/2011/relationships/chartStyle" Target="style40.xml"/><Relationship Id="rId2" Type="http://schemas.microsoft.com/office/2011/relationships/chartColorStyle" Target="colors40.xml"/><Relationship Id="rId1" Type="http://schemas.openxmlformats.org/officeDocument/2006/relationships/package" Target="../embeddings/Microsoft_Excel_Worksheet39.xlsx"/></Relationships>
</file>

<file path=word/charts/_rels/chart41.xml.rels><?xml version="1.0" encoding="UTF-8" standalone="yes"?>
<Relationships xmlns="http://schemas.openxmlformats.org/package/2006/relationships"><Relationship Id="rId3" Type="http://schemas.microsoft.com/office/2011/relationships/chartStyle" Target="style41.xml"/><Relationship Id="rId2" Type="http://schemas.microsoft.com/office/2011/relationships/chartColorStyle" Target="colors41.xml"/><Relationship Id="rId1" Type="http://schemas.openxmlformats.org/officeDocument/2006/relationships/package" Target="../embeddings/Microsoft_Excel_Worksheet40.xlsx"/></Relationships>
</file>

<file path=word/charts/_rels/chart42.xml.rels><?xml version="1.0" encoding="UTF-8" standalone="yes"?>
<Relationships xmlns="http://schemas.openxmlformats.org/package/2006/relationships"><Relationship Id="rId3" Type="http://schemas.microsoft.com/office/2011/relationships/chartStyle" Target="style42.xml"/><Relationship Id="rId2" Type="http://schemas.microsoft.com/office/2011/relationships/chartColorStyle" Target="colors42.xml"/><Relationship Id="rId1" Type="http://schemas.openxmlformats.org/officeDocument/2006/relationships/package" Target="../embeddings/Microsoft_Excel_Worksheet41.xlsx"/></Relationships>
</file>

<file path=word/charts/_rels/chart5.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3" Type="http://schemas.microsoft.com/office/2011/relationships/chartStyle" Target="style7.xml"/><Relationship Id="rId2" Type="http://schemas.microsoft.com/office/2011/relationships/chartColorStyle" Target="colors7.xml"/><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3" Type="http://schemas.microsoft.com/office/2011/relationships/chartStyle" Target="style8.xml"/><Relationship Id="rId2" Type="http://schemas.microsoft.com/office/2011/relationships/chartColorStyle" Target="colors8.xml"/><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3" Type="http://schemas.microsoft.com/office/2011/relationships/chartStyle" Target="style9.xml"/><Relationship Id="rId2" Type="http://schemas.microsoft.com/office/2011/relationships/chartColorStyle" Target="colors9.xml"/><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2733114610673665"/>
          <c:y val="3.7037037037037035E-2"/>
          <c:w val="0.82822440944881892"/>
          <c:h val="0.79081802274715662"/>
        </c:manualLayout>
      </c:layout>
      <c:barChart>
        <c:barDir val="col"/>
        <c:grouping val="clustered"/>
        <c:varyColors val="0"/>
        <c:ser>
          <c:idx val="0"/>
          <c:order val="0"/>
          <c:spPr>
            <a:solidFill>
              <a:schemeClr val="accent3"/>
            </a:solidFill>
            <a:ln>
              <a:noFill/>
            </a:ln>
            <a:effectLst/>
          </c:spPr>
          <c:invertIfNegative val="0"/>
          <c:dLbls>
            <c:dLbl>
              <c:idx val="11"/>
              <c:layout>
                <c:manualLayout>
                  <c:x val="2.9082774049217001E-2"/>
                  <c:y val="3.3542976939203356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C6B6-400F-B69B-6FDB2C0EF0A7}"/>
                </c:ext>
              </c:extLst>
            </c:dLbl>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Sheet1!$A$1:$L$1</c:f>
              <c:strCache>
                <c:ptCount val="12"/>
                <c:pt idx="0">
                  <c:v>2018 Q1</c:v>
                </c:pt>
                <c:pt idx="1">
                  <c:v>2018 Q2</c:v>
                </c:pt>
                <c:pt idx="2">
                  <c:v>2018 Q3</c:v>
                </c:pt>
                <c:pt idx="3">
                  <c:v>2018 Q4</c:v>
                </c:pt>
                <c:pt idx="4">
                  <c:v>2019 Q1</c:v>
                </c:pt>
                <c:pt idx="5">
                  <c:v>2019 Q2</c:v>
                </c:pt>
                <c:pt idx="6">
                  <c:v>2019 Q3</c:v>
                </c:pt>
                <c:pt idx="7">
                  <c:v>2019 Q4</c:v>
                </c:pt>
                <c:pt idx="8">
                  <c:v>2020 Q1</c:v>
                </c:pt>
                <c:pt idx="9">
                  <c:v>2020 Q2</c:v>
                </c:pt>
                <c:pt idx="10">
                  <c:v> 2020 Q3</c:v>
                </c:pt>
                <c:pt idx="11">
                  <c:v>2020 Q4</c:v>
                </c:pt>
              </c:strCache>
            </c:strRef>
          </c:cat>
          <c:val>
            <c:numRef>
              <c:f>Sheet1!$A$2:$L$2</c:f>
              <c:numCache>
                <c:formatCode>#,##0</c:formatCode>
                <c:ptCount val="12"/>
                <c:pt idx="0">
                  <c:v>705977</c:v>
                </c:pt>
                <c:pt idx="1">
                  <c:v>810174</c:v>
                </c:pt>
                <c:pt idx="2">
                  <c:v>994810</c:v>
                </c:pt>
                <c:pt idx="3">
                  <c:v>1049635</c:v>
                </c:pt>
                <c:pt idx="4" formatCode="General">
                  <c:v>820251</c:v>
                </c:pt>
                <c:pt idx="5" formatCode="General">
                  <c:v>932806</c:v>
                </c:pt>
                <c:pt idx="6" formatCode="General">
                  <c:v>1112210</c:v>
                </c:pt>
                <c:pt idx="7" formatCode="General">
                  <c:v>1113133</c:v>
                </c:pt>
                <c:pt idx="8" formatCode="General">
                  <c:v>854051</c:v>
                </c:pt>
                <c:pt idx="9" formatCode="General">
                  <c:v>875340</c:v>
                </c:pt>
                <c:pt idx="10" formatCode="General">
                  <c:v>1163172</c:v>
                </c:pt>
                <c:pt idx="11" formatCode="General">
                  <c:v>1301539</c:v>
                </c:pt>
              </c:numCache>
            </c:numRef>
          </c:val>
          <c:extLst xmlns:c16r2="http://schemas.microsoft.com/office/drawing/2015/06/chart">
            <c:ext xmlns:c16="http://schemas.microsoft.com/office/drawing/2014/chart" uri="{C3380CC4-5D6E-409C-BE32-E72D297353CC}">
              <c16:uniqueId val="{00000001-C6B6-400F-B69B-6FDB2C0EF0A7}"/>
            </c:ext>
          </c:extLst>
        </c:ser>
        <c:dLbls>
          <c:dLblPos val="outEnd"/>
          <c:showLegendKey val="0"/>
          <c:showVal val="1"/>
          <c:showCatName val="0"/>
          <c:showSerName val="0"/>
          <c:showPercent val="0"/>
          <c:showBubbleSize val="0"/>
        </c:dLbls>
        <c:gapWidth val="444"/>
        <c:overlap val="-90"/>
        <c:axId val="24530944"/>
        <c:axId val="20506880"/>
      </c:barChart>
      <c:catAx>
        <c:axId val="245309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20506880"/>
        <c:crosses val="autoZero"/>
        <c:auto val="1"/>
        <c:lblAlgn val="ctr"/>
        <c:lblOffset val="100"/>
        <c:noMultiLvlLbl val="0"/>
      </c:catAx>
      <c:valAx>
        <c:axId val="20506880"/>
        <c:scaling>
          <c:orientation val="minMax"/>
        </c:scaling>
        <c:delete val="1"/>
        <c:axPos val="l"/>
        <c:numFmt formatCode="#,##0" sourceLinked="1"/>
        <c:majorTickMark val="none"/>
        <c:minorTickMark val="none"/>
        <c:tickLblPos val="nextTo"/>
        <c:crossAx val="2453094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3.4504004929143559E-2"/>
          <c:y val="9.0965474467645233E-2"/>
          <c:w val="0.9457794208256316"/>
          <c:h val="0.89663014265040319"/>
        </c:manualLayout>
      </c:layout>
      <c:barChart>
        <c:barDir val="col"/>
        <c:grouping val="clustered"/>
        <c:varyColors val="0"/>
        <c:ser>
          <c:idx val="0"/>
          <c:order val="0"/>
          <c:spPr>
            <a:solidFill>
              <a:schemeClr val="accent3"/>
            </a:solidFill>
            <a:ln>
              <a:noFill/>
            </a:ln>
            <a:effectLst/>
          </c:spPr>
          <c:invertIfNegative val="0"/>
          <c:dLbls>
            <c:dLbl>
              <c:idx val="2"/>
              <c:layout>
                <c:manualLayout>
                  <c:x val="0"/>
                  <c:y val="-7.4417941456722786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074-4BA5-ADFF-FCB12BB24F50}"/>
                </c:ext>
              </c:extLst>
            </c:dLbl>
            <c:dLbl>
              <c:idx val="7"/>
              <c:layout>
                <c:manualLayout>
                  <c:x val="-3.6968576709796676E-2"/>
                  <c:y val="0"/>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074-4BA5-ADFF-FCB12BB24F50}"/>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Sheet1!$A$1:$H$2</c:f>
              <c:multiLvlStrCache>
                <c:ptCount val="8"/>
                <c:lvl>
                  <c:pt idx="0">
                    <c:v>I Q</c:v>
                  </c:pt>
                  <c:pt idx="1">
                    <c:v>II Q</c:v>
                  </c:pt>
                  <c:pt idx="2">
                    <c:v>III Q</c:v>
                  </c:pt>
                  <c:pt idx="3">
                    <c:v>IV Q</c:v>
                  </c:pt>
                  <c:pt idx="4">
                    <c:v>I Q</c:v>
                  </c:pt>
                  <c:pt idx="5">
                    <c:v>II Q</c:v>
                  </c:pt>
                  <c:pt idx="6">
                    <c:v>III Q</c:v>
                  </c:pt>
                  <c:pt idx="7">
                    <c:v>IV Q</c:v>
                  </c:pt>
                </c:lvl>
                <c:lvl>
                  <c:pt idx="0">
                    <c:v>2019</c:v>
                  </c:pt>
                  <c:pt idx="4">
                    <c:v>2020</c:v>
                  </c:pt>
                </c:lvl>
              </c:multiLvlStrCache>
            </c:multiLvlStrRef>
          </c:cat>
          <c:val>
            <c:numRef>
              <c:f>Sheet1!$A$3:$H$3</c:f>
              <c:numCache>
                <c:formatCode>General</c:formatCode>
                <c:ptCount val="8"/>
                <c:pt idx="0">
                  <c:v>-4489.8130000000001</c:v>
                </c:pt>
                <c:pt idx="1">
                  <c:v>-5040.4279999999999</c:v>
                </c:pt>
                <c:pt idx="2">
                  <c:v>-1786.319</c:v>
                </c:pt>
                <c:pt idx="3">
                  <c:v>-13737.759</c:v>
                </c:pt>
                <c:pt idx="4">
                  <c:v>-9354.491</c:v>
                </c:pt>
                <c:pt idx="5">
                  <c:v>-17118.39</c:v>
                </c:pt>
                <c:pt idx="6">
                  <c:v>-13754.55</c:v>
                </c:pt>
                <c:pt idx="7">
                  <c:v>-85014.2</c:v>
                </c:pt>
              </c:numCache>
            </c:numRef>
          </c:val>
          <c:extLst xmlns:c16r2="http://schemas.microsoft.com/office/drawing/2015/06/chart">
            <c:ext xmlns:c16="http://schemas.microsoft.com/office/drawing/2014/chart" uri="{C3380CC4-5D6E-409C-BE32-E72D297353CC}">
              <c16:uniqueId val="{00000002-1074-4BA5-ADFF-FCB12BB24F50}"/>
            </c:ext>
          </c:extLst>
        </c:ser>
        <c:dLbls>
          <c:dLblPos val="outEnd"/>
          <c:showLegendKey val="0"/>
          <c:showVal val="1"/>
          <c:showCatName val="0"/>
          <c:showSerName val="0"/>
          <c:showPercent val="0"/>
          <c:showBubbleSize val="0"/>
        </c:dLbls>
        <c:gapWidth val="444"/>
        <c:overlap val="-90"/>
        <c:axId val="80862208"/>
        <c:axId val="80869248"/>
      </c:barChart>
      <c:catAx>
        <c:axId val="808622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cap="all" spc="120" normalizeH="0" baseline="0">
                <a:solidFill>
                  <a:schemeClr val="tx1">
                    <a:lumMod val="65000"/>
                    <a:lumOff val="35000"/>
                  </a:schemeClr>
                </a:solidFill>
                <a:latin typeface="+mn-lt"/>
                <a:ea typeface="+mn-ea"/>
                <a:cs typeface="+mn-cs"/>
              </a:defRPr>
            </a:pPr>
            <a:endParaRPr lang="uk-UA"/>
          </a:p>
        </c:txPr>
        <c:crossAx val="80869248"/>
        <c:crosses val="autoZero"/>
        <c:auto val="1"/>
        <c:lblAlgn val="ctr"/>
        <c:lblOffset val="100"/>
        <c:noMultiLvlLbl val="0"/>
      </c:catAx>
      <c:valAx>
        <c:axId val="80869248"/>
        <c:scaling>
          <c:orientation val="minMax"/>
        </c:scaling>
        <c:delete val="1"/>
        <c:axPos val="l"/>
        <c:numFmt formatCode="General" sourceLinked="1"/>
        <c:majorTickMark val="none"/>
        <c:minorTickMark val="none"/>
        <c:tickLblPos val="nextTo"/>
        <c:crossAx val="80862208"/>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Sheet1!$A$1:$H$2</c:f>
              <c:multiLvlStrCache>
                <c:ptCount val="8"/>
                <c:lvl>
                  <c:pt idx="0">
                    <c:v>I Q</c:v>
                  </c:pt>
                  <c:pt idx="1">
                    <c:v>II Q</c:v>
                  </c:pt>
                  <c:pt idx="2">
                    <c:v> III Q</c:v>
                  </c:pt>
                  <c:pt idx="3">
                    <c:v> IV Q</c:v>
                  </c:pt>
                  <c:pt idx="4">
                    <c:v> I Q</c:v>
                  </c:pt>
                  <c:pt idx="5">
                    <c:v> II Q</c:v>
                  </c:pt>
                  <c:pt idx="6">
                    <c:v>III Q</c:v>
                  </c:pt>
                  <c:pt idx="7">
                    <c:v>IV Q</c:v>
                  </c:pt>
                </c:lvl>
                <c:lvl>
                  <c:pt idx="0">
                    <c:v>2019</c:v>
                  </c:pt>
                  <c:pt idx="4">
                    <c:v>2020</c:v>
                  </c:pt>
                </c:lvl>
              </c:multiLvlStrCache>
            </c:multiLvlStrRef>
          </c:cat>
          <c:val>
            <c:numRef>
              <c:f>Sheet1!$A$3:$H$3</c:f>
              <c:numCache>
                <c:formatCode>General</c:formatCode>
                <c:ptCount val="8"/>
                <c:pt idx="0">
                  <c:v>350496</c:v>
                </c:pt>
                <c:pt idx="1">
                  <c:v>358034</c:v>
                </c:pt>
                <c:pt idx="2">
                  <c:v>344589</c:v>
                </c:pt>
                <c:pt idx="3">
                  <c:v>353962</c:v>
                </c:pt>
                <c:pt idx="4">
                  <c:v>333123</c:v>
                </c:pt>
                <c:pt idx="5">
                  <c:v>336711</c:v>
                </c:pt>
                <c:pt idx="6">
                  <c:v>353138</c:v>
                </c:pt>
                <c:pt idx="7">
                  <c:v>372028</c:v>
                </c:pt>
              </c:numCache>
            </c:numRef>
          </c:val>
          <c:extLst xmlns:c16r2="http://schemas.microsoft.com/office/drawing/2015/06/chart">
            <c:ext xmlns:c16="http://schemas.microsoft.com/office/drawing/2014/chart" uri="{C3380CC4-5D6E-409C-BE32-E72D297353CC}">
              <c16:uniqueId val="{00000000-7CA0-40AB-A726-EAF83CEDAFE0}"/>
            </c:ext>
          </c:extLst>
        </c:ser>
        <c:dLbls>
          <c:dLblPos val="outEnd"/>
          <c:showLegendKey val="0"/>
          <c:showVal val="1"/>
          <c:showCatName val="0"/>
          <c:showSerName val="0"/>
          <c:showPercent val="0"/>
          <c:showBubbleSize val="0"/>
        </c:dLbls>
        <c:gapWidth val="219"/>
        <c:overlap val="-27"/>
        <c:axId val="80933632"/>
        <c:axId val="80936320"/>
      </c:barChart>
      <c:catAx>
        <c:axId val="80933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0936320"/>
        <c:crosses val="autoZero"/>
        <c:auto val="1"/>
        <c:lblAlgn val="ctr"/>
        <c:lblOffset val="100"/>
        <c:noMultiLvlLbl val="0"/>
      </c:catAx>
      <c:valAx>
        <c:axId val="80936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0933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Sheet1!$B$7</c:f>
              <c:strCache>
                <c:ptCount val="1"/>
                <c:pt idx="0">
                  <c:v>Резервні активи Польщі (всього)</c:v>
                </c:pt>
              </c:strCache>
            </c:strRef>
          </c:tx>
          <c:spPr>
            <a:ln w="28575" cap="rnd">
              <a:solidFill>
                <a:schemeClr val="dk1">
                  <a:tint val="88500"/>
                </a:schemeClr>
              </a:solidFill>
              <a:round/>
            </a:ln>
            <a:effectLst/>
          </c:spPr>
          <c:marker>
            <c:symbol val="none"/>
          </c:marker>
          <c:cat>
            <c:strRef>
              <c:f>Sheet1!$A$8:$A$31</c:f>
              <c:strCache>
                <c:ptCount val="24"/>
                <c:pt idx="0">
                  <c:v> 31.01.2019</c:v>
                </c:pt>
                <c:pt idx="1">
                  <c:v> 28.02.2019</c:v>
                </c:pt>
                <c:pt idx="2">
                  <c:v>31.03.2019</c:v>
                </c:pt>
                <c:pt idx="3">
                  <c:v>30.04.2019</c:v>
                </c:pt>
                <c:pt idx="4">
                  <c:v>31.05.2019</c:v>
                </c:pt>
                <c:pt idx="5">
                  <c:v> 30.06.2019</c:v>
                </c:pt>
                <c:pt idx="6">
                  <c:v>31.07.2019</c:v>
                </c:pt>
                <c:pt idx="7">
                  <c:v> 31.08.2019</c:v>
                </c:pt>
                <c:pt idx="8">
                  <c:v>30.09.2019</c:v>
                </c:pt>
                <c:pt idx="9">
                  <c:v> 31.10.2019</c:v>
                </c:pt>
                <c:pt idx="10">
                  <c:v>30.11.2019</c:v>
                </c:pt>
                <c:pt idx="11">
                  <c:v>31.12.2019</c:v>
                </c:pt>
                <c:pt idx="12">
                  <c:v> 31.01.2020</c:v>
                </c:pt>
                <c:pt idx="13">
                  <c:v> 29.02.2020</c:v>
                </c:pt>
                <c:pt idx="14">
                  <c:v> 31.03.2020</c:v>
                </c:pt>
                <c:pt idx="15">
                  <c:v>30.04.2020</c:v>
                </c:pt>
                <c:pt idx="16">
                  <c:v>31.05.2020</c:v>
                </c:pt>
                <c:pt idx="17">
                  <c:v>30.06.2020</c:v>
                </c:pt>
                <c:pt idx="18">
                  <c:v>31.07.2020</c:v>
                </c:pt>
                <c:pt idx="19">
                  <c:v>31.08.2020</c:v>
                </c:pt>
                <c:pt idx="20">
                  <c:v>30.09.2020</c:v>
                </c:pt>
                <c:pt idx="21">
                  <c:v> 31.10.2020</c:v>
                </c:pt>
                <c:pt idx="22">
                  <c:v> 30.11.2020</c:v>
                </c:pt>
                <c:pt idx="23">
                  <c:v> 31.12.2020</c:v>
                </c:pt>
              </c:strCache>
            </c:strRef>
          </c:cat>
          <c:val>
            <c:numRef>
              <c:f>Sheet1!$B$8:$B$31</c:f>
              <c:numCache>
                <c:formatCode>General</c:formatCode>
                <c:ptCount val="24"/>
                <c:pt idx="0">
                  <c:v>423682.7</c:v>
                </c:pt>
                <c:pt idx="1">
                  <c:v>425792.1</c:v>
                </c:pt>
                <c:pt idx="2">
                  <c:v>433306.30000000005</c:v>
                </c:pt>
                <c:pt idx="3">
                  <c:v>448068.7</c:v>
                </c:pt>
                <c:pt idx="4">
                  <c:v>456660</c:v>
                </c:pt>
                <c:pt idx="5">
                  <c:v>439822.30000000005</c:v>
                </c:pt>
                <c:pt idx="6">
                  <c:v>448683</c:v>
                </c:pt>
                <c:pt idx="7">
                  <c:v>463136.1</c:v>
                </c:pt>
                <c:pt idx="8">
                  <c:v>483487.9</c:v>
                </c:pt>
                <c:pt idx="9">
                  <c:v>465343.5</c:v>
                </c:pt>
                <c:pt idx="10">
                  <c:v>470785.8</c:v>
                </c:pt>
                <c:pt idx="11">
                  <c:v>487643.5</c:v>
                </c:pt>
                <c:pt idx="12">
                  <c:v>489270.1</c:v>
                </c:pt>
                <c:pt idx="13">
                  <c:v>503178.69999999995</c:v>
                </c:pt>
                <c:pt idx="14">
                  <c:v>501297</c:v>
                </c:pt>
                <c:pt idx="15">
                  <c:v>493503.39999999997</c:v>
                </c:pt>
                <c:pt idx="16">
                  <c:v>531562.4</c:v>
                </c:pt>
                <c:pt idx="17">
                  <c:v>513847.10000000003</c:v>
                </c:pt>
                <c:pt idx="18">
                  <c:v>511679.45</c:v>
                </c:pt>
                <c:pt idx="19">
                  <c:v>513655.19999999995</c:v>
                </c:pt>
                <c:pt idx="20">
                  <c:v>539263.9</c:v>
                </c:pt>
                <c:pt idx="21">
                  <c:v>566212.15</c:v>
                </c:pt>
                <c:pt idx="22">
                  <c:v>539582.89999999991</c:v>
                </c:pt>
                <c:pt idx="23">
                  <c:v>579718.69999999995</c:v>
                </c:pt>
              </c:numCache>
            </c:numRef>
          </c:val>
          <c:smooth val="0"/>
          <c:extLst xmlns:c16r2="http://schemas.microsoft.com/office/drawing/2015/06/chart">
            <c:ext xmlns:c16="http://schemas.microsoft.com/office/drawing/2014/chart" uri="{C3380CC4-5D6E-409C-BE32-E72D297353CC}">
              <c16:uniqueId val="{00000000-7AE4-4659-9BB2-7BBE43933C09}"/>
            </c:ext>
          </c:extLst>
        </c:ser>
        <c:dLbls>
          <c:showLegendKey val="0"/>
          <c:showVal val="0"/>
          <c:showCatName val="0"/>
          <c:showSerName val="0"/>
          <c:showPercent val="0"/>
          <c:showBubbleSize val="0"/>
        </c:dLbls>
        <c:marker val="1"/>
        <c:smooth val="0"/>
        <c:axId val="80972032"/>
        <c:axId val="80986112"/>
      </c:lineChart>
      <c:lineChart>
        <c:grouping val="standard"/>
        <c:varyColors val="0"/>
        <c:ser>
          <c:idx val="1"/>
          <c:order val="1"/>
          <c:tx>
            <c:strRef>
              <c:f>Sheet1!$C$7</c:f>
              <c:strCache>
                <c:ptCount val="1"/>
                <c:pt idx="0">
                  <c:v>Золоті резерви (по допоміжній осі) </c:v>
                </c:pt>
              </c:strCache>
            </c:strRef>
          </c:tx>
          <c:spPr>
            <a:ln w="28575" cap="rnd">
              <a:solidFill>
                <a:schemeClr val="dk1">
                  <a:tint val="55000"/>
                </a:schemeClr>
              </a:solidFill>
              <a:round/>
            </a:ln>
            <a:effectLst/>
          </c:spPr>
          <c:marker>
            <c:symbol val="none"/>
          </c:marker>
          <c:cat>
            <c:strRef>
              <c:f>Sheet1!$A$8:$A$31</c:f>
              <c:strCache>
                <c:ptCount val="24"/>
                <c:pt idx="0">
                  <c:v> 31.01.2019</c:v>
                </c:pt>
                <c:pt idx="1">
                  <c:v> 28.02.2019</c:v>
                </c:pt>
                <c:pt idx="2">
                  <c:v>31.03.2019</c:v>
                </c:pt>
                <c:pt idx="3">
                  <c:v>30.04.2019</c:v>
                </c:pt>
                <c:pt idx="4">
                  <c:v>31.05.2019</c:v>
                </c:pt>
                <c:pt idx="5">
                  <c:v> 30.06.2019</c:v>
                </c:pt>
                <c:pt idx="6">
                  <c:v>31.07.2019</c:v>
                </c:pt>
                <c:pt idx="7">
                  <c:v> 31.08.2019</c:v>
                </c:pt>
                <c:pt idx="8">
                  <c:v>30.09.2019</c:v>
                </c:pt>
                <c:pt idx="9">
                  <c:v> 31.10.2019</c:v>
                </c:pt>
                <c:pt idx="10">
                  <c:v>30.11.2019</c:v>
                </c:pt>
                <c:pt idx="11">
                  <c:v>31.12.2019</c:v>
                </c:pt>
                <c:pt idx="12">
                  <c:v> 31.01.2020</c:v>
                </c:pt>
                <c:pt idx="13">
                  <c:v> 29.02.2020</c:v>
                </c:pt>
                <c:pt idx="14">
                  <c:v> 31.03.2020</c:v>
                </c:pt>
                <c:pt idx="15">
                  <c:v>30.04.2020</c:v>
                </c:pt>
                <c:pt idx="16">
                  <c:v>31.05.2020</c:v>
                </c:pt>
                <c:pt idx="17">
                  <c:v>30.06.2020</c:v>
                </c:pt>
                <c:pt idx="18">
                  <c:v>31.07.2020</c:v>
                </c:pt>
                <c:pt idx="19">
                  <c:v>31.08.2020</c:v>
                </c:pt>
                <c:pt idx="20">
                  <c:v>30.09.2020</c:v>
                </c:pt>
                <c:pt idx="21">
                  <c:v> 31.10.2020</c:v>
                </c:pt>
                <c:pt idx="22">
                  <c:v> 30.11.2020</c:v>
                </c:pt>
                <c:pt idx="23">
                  <c:v> 31.12.2020</c:v>
                </c:pt>
              </c:strCache>
            </c:strRef>
          </c:cat>
          <c:val>
            <c:numRef>
              <c:f>Sheet1!$C$8:$C$31</c:f>
              <c:numCache>
                <c:formatCode>General</c:formatCode>
                <c:ptCount val="24"/>
                <c:pt idx="0">
                  <c:v>20385.2</c:v>
                </c:pt>
                <c:pt idx="1">
                  <c:v>20749.599999999999</c:v>
                </c:pt>
                <c:pt idx="2">
                  <c:v>20486.400000000001</c:v>
                </c:pt>
                <c:pt idx="3">
                  <c:v>20353.400000000001</c:v>
                </c:pt>
                <c:pt idx="4">
                  <c:v>21384.3</c:v>
                </c:pt>
                <c:pt idx="5">
                  <c:v>38708.400000000001</c:v>
                </c:pt>
                <c:pt idx="6">
                  <c:v>40492</c:v>
                </c:pt>
                <c:pt idx="7">
                  <c:v>44570.5</c:v>
                </c:pt>
                <c:pt idx="8">
                  <c:v>43742.8</c:v>
                </c:pt>
                <c:pt idx="9">
                  <c:v>42273.5</c:v>
                </c:pt>
                <c:pt idx="10">
                  <c:v>42061.599999999999</c:v>
                </c:pt>
                <c:pt idx="11">
                  <c:v>42518.8</c:v>
                </c:pt>
                <c:pt idx="12">
                  <c:v>45321.5</c:v>
                </c:pt>
                <c:pt idx="13">
                  <c:v>46932</c:v>
                </c:pt>
                <c:pt idx="14">
                  <c:v>48913.9</c:v>
                </c:pt>
                <c:pt idx="15">
                  <c:v>52663</c:v>
                </c:pt>
                <c:pt idx="16">
                  <c:v>50782.8</c:v>
                </c:pt>
                <c:pt idx="17">
                  <c:v>51815.6</c:v>
                </c:pt>
                <c:pt idx="18">
                  <c:v>53952.800000000003</c:v>
                </c:pt>
                <c:pt idx="19">
                  <c:v>53132.5</c:v>
                </c:pt>
                <c:pt idx="20">
                  <c:v>53526.1</c:v>
                </c:pt>
                <c:pt idx="21">
                  <c:v>54558.1</c:v>
                </c:pt>
                <c:pt idx="22">
                  <c:v>48673</c:v>
                </c:pt>
                <c:pt idx="23">
                  <c:v>52252.6</c:v>
                </c:pt>
              </c:numCache>
            </c:numRef>
          </c:val>
          <c:smooth val="0"/>
          <c:extLst xmlns:c16r2="http://schemas.microsoft.com/office/drawing/2015/06/chart">
            <c:ext xmlns:c16="http://schemas.microsoft.com/office/drawing/2014/chart" uri="{C3380CC4-5D6E-409C-BE32-E72D297353CC}">
              <c16:uniqueId val="{00000001-7AE4-4659-9BB2-7BBE43933C09}"/>
            </c:ext>
          </c:extLst>
        </c:ser>
        <c:dLbls>
          <c:showLegendKey val="0"/>
          <c:showVal val="0"/>
          <c:showCatName val="0"/>
          <c:showSerName val="0"/>
          <c:showPercent val="0"/>
          <c:showBubbleSize val="0"/>
        </c:dLbls>
        <c:marker val="1"/>
        <c:smooth val="0"/>
        <c:axId val="80989184"/>
        <c:axId val="80987648"/>
      </c:lineChart>
      <c:catAx>
        <c:axId val="80972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0986112"/>
        <c:crosses val="autoZero"/>
        <c:auto val="1"/>
        <c:lblAlgn val="ctr"/>
        <c:lblOffset val="100"/>
        <c:noMultiLvlLbl val="0"/>
      </c:catAx>
      <c:valAx>
        <c:axId val="80986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0972032"/>
        <c:crosses val="autoZero"/>
        <c:crossBetween val="between"/>
      </c:valAx>
      <c:valAx>
        <c:axId val="80987648"/>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0989184"/>
        <c:crosses val="max"/>
        <c:crossBetween val="between"/>
      </c:valAx>
      <c:catAx>
        <c:axId val="80989184"/>
        <c:scaling>
          <c:orientation val="minMax"/>
        </c:scaling>
        <c:delete val="1"/>
        <c:axPos val="b"/>
        <c:numFmt formatCode="General" sourceLinked="1"/>
        <c:majorTickMark val="out"/>
        <c:minorTickMark val="none"/>
        <c:tickLblPos val="nextTo"/>
        <c:crossAx val="8098764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2"/>
          <c:order val="1"/>
          <c:tx>
            <c:strRef>
              <c:f>Sheet1!$H$1</c:f>
              <c:strCache>
                <c:ptCount val="1"/>
                <c:pt idx="0">
                  <c:v>Валютний курс USD/ UAH</c:v>
                </c:pt>
              </c:strCache>
            </c:strRef>
          </c:tx>
          <c:spPr>
            <a:ln w="28575" cap="rnd">
              <a:solidFill>
                <a:schemeClr val="dk1">
                  <a:tint val="75000"/>
                </a:schemeClr>
              </a:solidFill>
              <a:round/>
            </a:ln>
            <a:effectLst/>
          </c:spPr>
          <c:marker>
            <c:symbol val="none"/>
          </c:marker>
          <c:cat>
            <c:numRef>
              <c:f>Sheet1!$A$2:$A$27</c:f>
              <c:numCache>
                <c:formatCode>m/d/yyyy</c:formatCode>
                <c:ptCount val="26"/>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pt idx="22">
                  <c:v>44136</c:v>
                </c:pt>
                <c:pt idx="23">
                  <c:v>44166</c:v>
                </c:pt>
                <c:pt idx="24">
                  <c:v>44197</c:v>
                </c:pt>
                <c:pt idx="25">
                  <c:v>44228</c:v>
                </c:pt>
              </c:numCache>
            </c:numRef>
          </c:cat>
          <c:val>
            <c:numRef>
              <c:f>Sheet1!$H$2:$H$27</c:f>
              <c:numCache>
                <c:formatCode>General</c:formatCode>
                <c:ptCount val="26"/>
                <c:pt idx="0">
                  <c:v>27.756</c:v>
                </c:pt>
                <c:pt idx="1">
                  <c:v>26.992999999999999</c:v>
                </c:pt>
                <c:pt idx="2">
                  <c:v>27.248999999999999</c:v>
                </c:pt>
                <c:pt idx="3">
                  <c:v>26.619</c:v>
                </c:pt>
                <c:pt idx="4">
                  <c:v>26.873000000000001</c:v>
                </c:pt>
                <c:pt idx="5">
                  <c:v>26.166</c:v>
                </c:pt>
                <c:pt idx="6">
                  <c:v>25.085999999999999</c:v>
                </c:pt>
                <c:pt idx="7">
                  <c:v>25.231999999999999</c:v>
                </c:pt>
                <c:pt idx="8">
                  <c:v>24.082999999999998</c:v>
                </c:pt>
                <c:pt idx="9">
                  <c:v>24.995000000000001</c:v>
                </c:pt>
                <c:pt idx="10">
                  <c:v>24.036000000000001</c:v>
                </c:pt>
                <c:pt idx="11">
                  <c:v>23.686</c:v>
                </c:pt>
                <c:pt idx="12">
                  <c:v>24.92</c:v>
                </c:pt>
                <c:pt idx="13">
                  <c:v>24.561</c:v>
                </c:pt>
                <c:pt idx="14">
                  <c:v>28.062000000000001</c:v>
                </c:pt>
                <c:pt idx="15">
                  <c:v>26.971</c:v>
                </c:pt>
                <c:pt idx="16">
                  <c:v>26.905999999999999</c:v>
                </c:pt>
                <c:pt idx="17">
                  <c:v>26.692</c:v>
                </c:pt>
                <c:pt idx="18">
                  <c:v>27.690999999999999</c:v>
                </c:pt>
                <c:pt idx="19">
                  <c:v>27.475999999999999</c:v>
                </c:pt>
                <c:pt idx="20">
                  <c:v>28.298999999999999</c:v>
                </c:pt>
                <c:pt idx="21">
                  <c:v>28.437999999999999</c:v>
                </c:pt>
                <c:pt idx="22">
                  <c:v>28.468</c:v>
                </c:pt>
                <c:pt idx="23">
                  <c:v>28.274999999999999</c:v>
                </c:pt>
                <c:pt idx="24">
                  <c:v>28.193000000000001</c:v>
                </c:pt>
                <c:pt idx="25">
                  <c:v>27.93</c:v>
                </c:pt>
              </c:numCache>
            </c:numRef>
          </c:val>
          <c:smooth val="0"/>
          <c:extLst xmlns:c16r2="http://schemas.microsoft.com/office/drawing/2015/06/chart">
            <c:ext xmlns:c16="http://schemas.microsoft.com/office/drawing/2014/chart" uri="{C3380CC4-5D6E-409C-BE32-E72D297353CC}">
              <c16:uniqueId val="{00000000-7F7F-4489-AD07-3473C18BFF14}"/>
            </c:ext>
          </c:extLst>
        </c:ser>
        <c:dLbls>
          <c:showLegendKey val="0"/>
          <c:showVal val="0"/>
          <c:showCatName val="0"/>
          <c:showSerName val="0"/>
          <c:showPercent val="0"/>
          <c:showBubbleSize val="0"/>
        </c:dLbls>
        <c:marker val="1"/>
        <c:smooth val="0"/>
        <c:axId val="81380480"/>
        <c:axId val="81382016"/>
        <c:extLst xmlns:c16r2="http://schemas.microsoft.com/office/drawing/2015/06/chart">
          <c:ext xmlns:c15="http://schemas.microsoft.com/office/drawing/2012/chart" uri="{02D57815-91ED-43cb-92C2-25804820EDAC}">
            <c15:filteredLineSeries>
              <c15:ser>
                <c:idx val="0"/>
                <c:order val="0"/>
                <c:tx>
                  <c:strRef>
                    <c:extLst>
                      <c:ext uri="{02D57815-91ED-43cb-92C2-25804820EDAC}">
                        <c15:formulaRef>
                          <c15:sqref>Sheet1!$F$1</c15:sqref>
                        </c15:formulaRef>
                      </c:ext>
                    </c:extLst>
                    <c:strCache>
                      <c:ptCount val="1"/>
                      <c:pt idx="0">
                        <c:v>Дата</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cat>
                  <c:numRef>
                    <c:extLst>
                      <c:ext uri="{02D57815-91ED-43cb-92C2-25804820EDAC}">
                        <c15:formulaRef>
                          <c15:sqref>Sheet1!$A$2:$A$27</c15:sqref>
                        </c15:formulaRef>
                      </c:ext>
                    </c:extLst>
                    <c:numCache>
                      <c:formatCode>m/d/yyyy</c:formatCode>
                      <c:ptCount val="26"/>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pt idx="22">
                        <c:v>44136</c:v>
                      </c:pt>
                      <c:pt idx="23">
                        <c:v>44166</c:v>
                      </c:pt>
                      <c:pt idx="24">
                        <c:v>44197</c:v>
                      </c:pt>
                      <c:pt idx="25">
                        <c:v>44228</c:v>
                      </c:pt>
                    </c:numCache>
                  </c:numRef>
                </c:cat>
                <c:val>
                  <c:numRef>
                    <c:extLst>
                      <c:ext uri="{02D57815-91ED-43cb-92C2-25804820EDAC}">
                        <c15:formulaRef>
                          <c15:sqref>Sheet1!$F$2:$F$27</c15:sqref>
                        </c15:formulaRef>
                      </c:ext>
                    </c:extLst>
                    <c:numCache>
                      <c:formatCode>General</c:formatCode>
                      <c:ptCount val="26"/>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pt idx="22">
                        <c:v>44136</c:v>
                      </c:pt>
                      <c:pt idx="23">
                        <c:v>44166</c:v>
                      </c:pt>
                      <c:pt idx="24">
                        <c:v>44197</c:v>
                      </c:pt>
                      <c:pt idx="25">
                        <c:v>44228</c:v>
                      </c:pt>
                    </c:numCache>
                  </c:numRef>
                </c:val>
                <c:smooth val="0"/>
                <c:extLst>
                  <c:ext xmlns:c16="http://schemas.microsoft.com/office/drawing/2014/chart" uri="{C3380CC4-5D6E-409C-BE32-E72D297353CC}">
                    <c16:uniqueId val="{00000002-7F7F-4489-AD07-3473C18BFF14}"/>
                  </c:ext>
                </c:extLst>
              </c15:ser>
            </c15:filteredLineSeries>
          </c:ext>
        </c:extLst>
      </c:lineChart>
      <c:lineChart>
        <c:grouping val="standard"/>
        <c:varyColors val="0"/>
        <c:ser>
          <c:idx val="1"/>
          <c:order val="0"/>
          <c:tx>
            <c:strRef>
              <c:f>Sheet1!$G$1</c:f>
              <c:strCache>
                <c:ptCount val="1"/>
                <c:pt idx="0">
                  <c:v>Абсолютний ППС (по правій осі)</c:v>
                </c:pt>
              </c:strCache>
            </c:strRef>
          </c:tx>
          <c:spPr>
            <a:ln w="28575" cap="rnd">
              <a:solidFill>
                <a:schemeClr val="dk1">
                  <a:tint val="55000"/>
                </a:schemeClr>
              </a:solidFill>
              <a:round/>
            </a:ln>
            <a:effectLst/>
          </c:spPr>
          <c:marker>
            <c:symbol val="none"/>
          </c:marker>
          <c:val>
            <c:numRef>
              <c:f>Sheet1!$G$2:$G$27</c:f>
              <c:numCache>
                <c:formatCode>General</c:formatCode>
                <c:ptCount val="26"/>
                <c:pt idx="0">
                  <c:v>0.40125222476481059</c:v>
                </c:pt>
                <c:pt idx="1">
                  <c:v>0.39758521378611894</c:v>
                </c:pt>
                <c:pt idx="2">
                  <c:v>0.39692842699900083</c:v>
                </c:pt>
                <c:pt idx="3">
                  <c:v>0.3952290763379091</c:v>
                </c:pt>
                <c:pt idx="4">
                  <c:v>0.39321806225887573</c:v>
                </c:pt>
                <c:pt idx="5">
                  <c:v>0.3884548865282284</c:v>
                </c:pt>
                <c:pt idx="6">
                  <c:v>0.38741712820232993</c:v>
                </c:pt>
                <c:pt idx="7">
                  <c:v>0.38860608517372291</c:v>
                </c:pt>
                <c:pt idx="8">
                  <c:v>0.3921965734404636</c:v>
                </c:pt>
                <c:pt idx="9">
                  <c:v>0.39130198254490067</c:v>
                </c:pt>
                <c:pt idx="10">
                  <c:v>0.38917918571739596</c:v>
                </c:pt>
                <c:pt idx="11">
                  <c:v>0.38836613820853472</c:v>
                </c:pt>
                <c:pt idx="12">
                  <c:v>0.38841575215818835</c:v>
                </c:pt>
                <c:pt idx="13">
                  <c:v>0.38542125731604543</c:v>
                </c:pt>
                <c:pt idx="14">
                  <c:v>0.39052360382000267</c:v>
                </c:pt>
                <c:pt idx="15">
                  <c:v>0.39315259234990579</c:v>
                </c:pt>
                <c:pt idx="16">
                  <c:v>0.39119480175043098</c:v>
                </c:pt>
                <c:pt idx="17">
                  <c:v>0.38867791324181428</c:v>
                </c:pt>
                <c:pt idx="18">
                  <c:v>0.38363418126522092</c:v>
                </c:pt>
                <c:pt idx="19">
                  <c:v>0.38396725120999697</c:v>
                </c:pt>
                <c:pt idx="20">
                  <c:v>0.38612263715998157</c:v>
                </c:pt>
                <c:pt idx="21">
                  <c:v>0.38788269812740989</c:v>
                </c:pt>
                <c:pt idx="22">
                  <c:v>0.38927252535267015</c:v>
                </c:pt>
                <c:pt idx="23">
                  <c:v>0.38737071646306354</c:v>
                </c:pt>
                <c:pt idx="24">
                  <c:v>0.38725906216788619</c:v>
                </c:pt>
                <c:pt idx="25">
                  <c:v>0.38400997665523506</c:v>
                </c:pt>
              </c:numCache>
            </c:numRef>
          </c:val>
          <c:smooth val="0"/>
          <c:extLst xmlns:c16r2="http://schemas.microsoft.com/office/drawing/2015/06/chart">
            <c:ext xmlns:c16="http://schemas.microsoft.com/office/drawing/2014/chart" uri="{C3380CC4-5D6E-409C-BE32-E72D297353CC}">
              <c16:uniqueId val="{00000001-7F7F-4489-AD07-3473C18BFF14}"/>
            </c:ext>
          </c:extLst>
        </c:ser>
        <c:dLbls>
          <c:showLegendKey val="0"/>
          <c:showVal val="0"/>
          <c:showCatName val="0"/>
          <c:showSerName val="0"/>
          <c:showPercent val="0"/>
          <c:showBubbleSize val="0"/>
        </c:dLbls>
        <c:marker val="1"/>
        <c:smooth val="0"/>
        <c:axId val="81397632"/>
        <c:axId val="81396096"/>
      </c:lineChart>
      <c:dateAx>
        <c:axId val="81380480"/>
        <c:scaling>
          <c:orientation val="minMax"/>
        </c:scaling>
        <c:delete val="0"/>
        <c:axPos val="b"/>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382016"/>
        <c:crosses val="autoZero"/>
        <c:auto val="1"/>
        <c:lblOffset val="100"/>
        <c:baseTimeUnit val="months"/>
      </c:dateAx>
      <c:valAx>
        <c:axId val="81382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380480"/>
        <c:crosses val="autoZero"/>
        <c:crossBetween val="between"/>
      </c:valAx>
      <c:valAx>
        <c:axId val="8139609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397632"/>
        <c:crosses val="max"/>
        <c:crossBetween val="between"/>
      </c:valAx>
      <c:catAx>
        <c:axId val="81397632"/>
        <c:scaling>
          <c:orientation val="minMax"/>
        </c:scaling>
        <c:delete val="1"/>
        <c:axPos val="b"/>
        <c:majorTickMark val="out"/>
        <c:minorTickMark val="none"/>
        <c:tickLblPos val="nextTo"/>
        <c:crossAx val="8139609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Sheet1!$B$1</c:f>
              <c:strCache>
                <c:ptCount val="1"/>
                <c:pt idx="0">
                  <c:v>Відсоткова ставка %</c:v>
                </c:pt>
              </c:strCache>
            </c:strRef>
          </c:tx>
          <c:spPr>
            <a:ln w="28575" cap="rnd">
              <a:solidFill>
                <a:schemeClr val="dk1">
                  <a:tint val="88500"/>
                </a:schemeClr>
              </a:solidFill>
              <a:round/>
            </a:ln>
            <a:effectLst/>
          </c:spPr>
          <c:marker>
            <c:symbol val="none"/>
          </c:marker>
          <c:cat>
            <c:strRef>
              <c:f>Sheet1!$A$2:$A$27</c:f>
              <c:strCache>
                <c:ptCount val="26"/>
                <c:pt idx="0">
                  <c:v> 26.01.2018</c:v>
                </c:pt>
                <c:pt idx="1">
                  <c:v>02.03.2018</c:v>
                </c:pt>
                <c:pt idx="2">
                  <c:v>13.04.2018</c:v>
                </c:pt>
                <c:pt idx="3">
                  <c:v>25.05.2018</c:v>
                </c:pt>
                <c:pt idx="4">
                  <c:v>13.07.2018</c:v>
                </c:pt>
                <c:pt idx="5">
                  <c:v>07.09.2018</c:v>
                </c:pt>
                <c:pt idx="6">
                  <c:v>26.10.2018</c:v>
                </c:pt>
                <c:pt idx="7">
                  <c:v>14.12.2018</c:v>
                </c:pt>
                <c:pt idx="8">
                  <c:v>01.02.2019</c:v>
                </c:pt>
                <c:pt idx="9">
                  <c:v>15.03.2019</c:v>
                </c:pt>
                <c:pt idx="10">
                  <c:v>26.04.2019</c:v>
                </c:pt>
                <c:pt idx="11">
                  <c:v>07.06.2019</c:v>
                </c:pt>
                <c:pt idx="12">
                  <c:v>19.07.2019</c:v>
                </c:pt>
                <c:pt idx="13">
                  <c:v> 06.09.2019</c:v>
                </c:pt>
                <c:pt idx="14">
                  <c:v>25.10.2019</c:v>
                </c:pt>
                <c:pt idx="15">
                  <c:v>13.12.2019</c:v>
                </c:pt>
                <c:pt idx="16">
                  <c:v>31.01.2020</c:v>
                </c:pt>
                <c:pt idx="17">
                  <c:v>13.03.2020</c:v>
                </c:pt>
                <c:pt idx="18">
                  <c:v>24.04.2020</c:v>
                </c:pt>
                <c:pt idx="19">
                  <c:v>12.06.2020</c:v>
                </c:pt>
                <c:pt idx="20">
                  <c:v>24.07.2020</c:v>
                </c:pt>
                <c:pt idx="21">
                  <c:v>04.09.2020</c:v>
                </c:pt>
                <c:pt idx="22">
                  <c:v>23.10.2020</c:v>
                </c:pt>
                <c:pt idx="23">
                  <c:v>11.12.2020</c:v>
                </c:pt>
                <c:pt idx="24">
                  <c:v>22.01.2021</c:v>
                </c:pt>
                <c:pt idx="25">
                  <c:v>05.03.2021</c:v>
                </c:pt>
              </c:strCache>
            </c:strRef>
          </c:cat>
          <c:val>
            <c:numRef>
              <c:f>Sheet1!$B$2:$B$27</c:f>
              <c:numCache>
                <c:formatCode>General</c:formatCode>
                <c:ptCount val="26"/>
                <c:pt idx="0">
                  <c:v>16</c:v>
                </c:pt>
                <c:pt idx="1">
                  <c:v>17</c:v>
                </c:pt>
                <c:pt idx="2">
                  <c:v>17</c:v>
                </c:pt>
                <c:pt idx="3">
                  <c:v>17</c:v>
                </c:pt>
                <c:pt idx="4" formatCode="0.0">
                  <c:v>17.5</c:v>
                </c:pt>
                <c:pt idx="5">
                  <c:v>18</c:v>
                </c:pt>
                <c:pt idx="6">
                  <c:v>18</c:v>
                </c:pt>
                <c:pt idx="7">
                  <c:v>18</c:v>
                </c:pt>
                <c:pt idx="8">
                  <c:v>18</c:v>
                </c:pt>
                <c:pt idx="9">
                  <c:v>18</c:v>
                </c:pt>
                <c:pt idx="10">
                  <c:v>17.5</c:v>
                </c:pt>
                <c:pt idx="11">
                  <c:v>17.5</c:v>
                </c:pt>
                <c:pt idx="12">
                  <c:v>17</c:v>
                </c:pt>
                <c:pt idx="13">
                  <c:v>16.5</c:v>
                </c:pt>
                <c:pt idx="14">
                  <c:v>15.5</c:v>
                </c:pt>
                <c:pt idx="15">
                  <c:v>13.5</c:v>
                </c:pt>
                <c:pt idx="16">
                  <c:v>11</c:v>
                </c:pt>
                <c:pt idx="17">
                  <c:v>10</c:v>
                </c:pt>
                <c:pt idx="18">
                  <c:v>8</c:v>
                </c:pt>
                <c:pt idx="19">
                  <c:v>6</c:v>
                </c:pt>
                <c:pt idx="20">
                  <c:v>6</c:v>
                </c:pt>
                <c:pt idx="21">
                  <c:v>6</c:v>
                </c:pt>
                <c:pt idx="22">
                  <c:v>6</c:v>
                </c:pt>
                <c:pt idx="23">
                  <c:v>6</c:v>
                </c:pt>
                <c:pt idx="24">
                  <c:v>6</c:v>
                </c:pt>
                <c:pt idx="25">
                  <c:v>6.5</c:v>
                </c:pt>
              </c:numCache>
            </c:numRef>
          </c:val>
          <c:smooth val="0"/>
          <c:extLst xmlns:c16r2="http://schemas.microsoft.com/office/drawing/2015/06/chart">
            <c:ext xmlns:c16="http://schemas.microsoft.com/office/drawing/2014/chart" uri="{C3380CC4-5D6E-409C-BE32-E72D297353CC}">
              <c16:uniqueId val="{00000000-BF7E-4FB0-8AC5-DB5E8F057712}"/>
            </c:ext>
          </c:extLst>
        </c:ser>
        <c:ser>
          <c:idx val="1"/>
          <c:order val="1"/>
          <c:tx>
            <c:strRef>
              <c:f>Sheet1!$C$1</c:f>
              <c:strCache>
                <c:ptCount val="1"/>
                <c:pt idx="0">
                  <c:v>Валютний курс USD/ UAH</c:v>
                </c:pt>
              </c:strCache>
            </c:strRef>
          </c:tx>
          <c:spPr>
            <a:ln w="28575" cap="rnd">
              <a:solidFill>
                <a:schemeClr val="dk1">
                  <a:tint val="55000"/>
                </a:schemeClr>
              </a:solidFill>
              <a:round/>
            </a:ln>
            <a:effectLst/>
          </c:spPr>
          <c:marker>
            <c:symbol val="none"/>
          </c:marker>
          <c:cat>
            <c:strRef>
              <c:f>Sheet1!$A$2:$A$27</c:f>
              <c:strCache>
                <c:ptCount val="26"/>
                <c:pt idx="0">
                  <c:v> 26.01.2018</c:v>
                </c:pt>
                <c:pt idx="1">
                  <c:v>02.03.2018</c:v>
                </c:pt>
                <c:pt idx="2">
                  <c:v>13.04.2018</c:v>
                </c:pt>
                <c:pt idx="3">
                  <c:v>25.05.2018</c:v>
                </c:pt>
                <c:pt idx="4">
                  <c:v>13.07.2018</c:v>
                </c:pt>
                <c:pt idx="5">
                  <c:v>07.09.2018</c:v>
                </c:pt>
                <c:pt idx="6">
                  <c:v>26.10.2018</c:v>
                </c:pt>
                <c:pt idx="7">
                  <c:v>14.12.2018</c:v>
                </c:pt>
                <c:pt idx="8">
                  <c:v>01.02.2019</c:v>
                </c:pt>
                <c:pt idx="9">
                  <c:v>15.03.2019</c:v>
                </c:pt>
                <c:pt idx="10">
                  <c:v>26.04.2019</c:v>
                </c:pt>
                <c:pt idx="11">
                  <c:v>07.06.2019</c:v>
                </c:pt>
                <c:pt idx="12">
                  <c:v>19.07.2019</c:v>
                </c:pt>
                <c:pt idx="13">
                  <c:v> 06.09.2019</c:v>
                </c:pt>
                <c:pt idx="14">
                  <c:v>25.10.2019</c:v>
                </c:pt>
                <c:pt idx="15">
                  <c:v>13.12.2019</c:v>
                </c:pt>
                <c:pt idx="16">
                  <c:v>31.01.2020</c:v>
                </c:pt>
                <c:pt idx="17">
                  <c:v>13.03.2020</c:v>
                </c:pt>
                <c:pt idx="18">
                  <c:v>24.04.2020</c:v>
                </c:pt>
                <c:pt idx="19">
                  <c:v>12.06.2020</c:v>
                </c:pt>
                <c:pt idx="20">
                  <c:v>24.07.2020</c:v>
                </c:pt>
                <c:pt idx="21">
                  <c:v>04.09.2020</c:v>
                </c:pt>
                <c:pt idx="22">
                  <c:v>23.10.2020</c:v>
                </c:pt>
                <c:pt idx="23">
                  <c:v>11.12.2020</c:v>
                </c:pt>
                <c:pt idx="24">
                  <c:v>22.01.2021</c:v>
                </c:pt>
                <c:pt idx="25">
                  <c:v>05.03.2021</c:v>
                </c:pt>
              </c:strCache>
            </c:strRef>
          </c:cat>
          <c:val>
            <c:numRef>
              <c:f>Sheet1!$C$2:$C$27</c:f>
              <c:numCache>
                <c:formatCode>General</c:formatCode>
                <c:ptCount val="26"/>
                <c:pt idx="0">
                  <c:v>28.009</c:v>
                </c:pt>
                <c:pt idx="1">
                  <c:v>26.544</c:v>
                </c:pt>
                <c:pt idx="2">
                  <c:v>26.23</c:v>
                </c:pt>
                <c:pt idx="3">
                  <c:v>26.135999999999999</c:v>
                </c:pt>
                <c:pt idx="4">
                  <c:v>26.754999999999999</c:v>
                </c:pt>
                <c:pt idx="5">
                  <c:v>28.297999999999998</c:v>
                </c:pt>
                <c:pt idx="6">
                  <c:v>28.164000000000001</c:v>
                </c:pt>
                <c:pt idx="7">
                  <c:v>27.687999999999999</c:v>
                </c:pt>
                <c:pt idx="8">
                  <c:v>26.992999999999999</c:v>
                </c:pt>
                <c:pt idx="9">
                  <c:v>27.248999999999999</c:v>
                </c:pt>
                <c:pt idx="10">
                  <c:v>26.619</c:v>
                </c:pt>
                <c:pt idx="11">
                  <c:v>26.166</c:v>
                </c:pt>
                <c:pt idx="12">
                  <c:v>25.085999999999999</c:v>
                </c:pt>
                <c:pt idx="13">
                  <c:v>24.082999999999998</c:v>
                </c:pt>
                <c:pt idx="14">
                  <c:v>24.995000000000001</c:v>
                </c:pt>
                <c:pt idx="15">
                  <c:v>23.686</c:v>
                </c:pt>
                <c:pt idx="16">
                  <c:v>24.92</c:v>
                </c:pt>
                <c:pt idx="17">
                  <c:v>28.062000000000001</c:v>
                </c:pt>
                <c:pt idx="18">
                  <c:v>26.971</c:v>
                </c:pt>
                <c:pt idx="19">
                  <c:v>26.692</c:v>
                </c:pt>
                <c:pt idx="20">
                  <c:v>27.690999999999999</c:v>
                </c:pt>
                <c:pt idx="21">
                  <c:v>28.298999999999999</c:v>
                </c:pt>
                <c:pt idx="22">
                  <c:v>28.437999999999999</c:v>
                </c:pt>
                <c:pt idx="23">
                  <c:v>28.274999999999999</c:v>
                </c:pt>
                <c:pt idx="24">
                  <c:v>28.193000000000001</c:v>
                </c:pt>
                <c:pt idx="25">
                  <c:v>27.93</c:v>
                </c:pt>
              </c:numCache>
            </c:numRef>
          </c:val>
          <c:smooth val="0"/>
          <c:extLst xmlns:c16r2="http://schemas.microsoft.com/office/drawing/2015/06/chart">
            <c:ext xmlns:c16="http://schemas.microsoft.com/office/drawing/2014/chart" uri="{C3380CC4-5D6E-409C-BE32-E72D297353CC}">
              <c16:uniqueId val="{00000001-BF7E-4FB0-8AC5-DB5E8F057712}"/>
            </c:ext>
          </c:extLst>
        </c:ser>
        <c:dLbls>
          <c:showLegendKey val="0"/>
          <c:showVal val="0"/>
          <c:showCatName val="0"/>
          <c:showSerName val="0"/>
          <c:showPercent val="0"/>
          <c:showBubbleSize val="0"/>
        </c:dLbls>
        <c:marker val="1"/>
        <c:smooth val="0"/>
        <c:axId val="81071104"/>
        <c:axId val="81076992"/>
      </c:lineChart>
      <c:catAx>
        <c:axId val="81071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076992"/>
        <c:crosses val="autoZero"/>
        <c:auto val="1"/>
        <c:lblAlgn val="ctr"/>
        <c:lblOffset val="100"/>
        <c:noMultiLvlLbl val="0"/>
      </c:catAx>
      <c:valAx>
        <c:axId val="81076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071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1"/>
          <c:order val="1"/>
          <c:tx>
            <c:strRef>
              <c:f>Sheet1!$C$1</c:f>
              <c:strCache>
                <c:ptCount val="1"/>
                <c:pt idx="0">
                  <c:v>Валютний курс USD/ UAH</c:v>
                </c:pt>
              </c:strCache>
            </c:strRef>
          </c:tx>
          <c:spPr>
            <a:ln w="28575" cap="rnd">
              <a:solidFill>
                <a:schemeClr val="dk1">
                  <a:tint val="55000"/>
                </a:schemeClr>
              </a:solidFill>
              <a:round/>
            </a:ln>
            <a:effectLst/>
          </c:spPr>
          <c:marker>
            <c:symbol val="none"/>
          </c:marker>
          <c:cat>
            <c:numRef>
              <c:f>Sheet1!$A$2:$A$39</c:f>
              <c:numCache>
                <c:formatCode>m/d/yyyy</c:formatCode>
                <c:ptCount val="38"/>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numCache>
            </c:numRef>
          </c:cat>
          <c:val>
            <c:numRef>
              <c:f>Sheet1!$C$2:$C$39</c:f>
              <c:numCache>
                <c:formatCode>General</c:formatCode>
                <c:ptCount val="38"/>
                <c:pt idx="0">
                  <c:v>28.009</c:v>
                </c:pt>
                <c:pt idx="1">
                  <c:v>26.948</c:v>
                </c:pt>
                <c:pt idx="2">
                  <c:v>26.544</c:v>
                </c:pt>
                <c:pt idx="3">
                  <c:v>26.23</c:v>
                </c:pt>
                <c:pt idx="4">
                  <c:v>26.135999999999999</c:v>
                </c:pt>
                <c:pt idx="5">
                  <c:v>26.189</c:v>
                </c:pt>
                <c:pt idx="6">
                  <c:v>26.754999999999999</c:v>
                </c:pt>
                <c:pt idx="7">
                  <c:v>28.279</c:v>
                </c:pt>
                <c:pt idx="8">
                  <c:v>28.297999999999998</c:v>
                </c:pt>
                <c:pt idx="9">
                  <c:v>28.164000000000001</c:v>
                </c:pt>
                <c:pt idx="10">
                  <c:v>28.390999999999998</c:v>
                </c:pt>
                <c:pt idx="11">
                  <c:v>27.687999999999999</c:v>
                </c:pt>
                <c:pt idx="12">
                  <c:v>27.756</c:v>
                </c:pt>
                <c:pt idx="13">
                  <c:v>26.992999999999999</c:v>
                </c:pt>
                <c:pt idx="14">
                  <c:v>27.248999999999999</c:v>
                </c:pt>
                <c:pt idx="15">
                  <c:v>26.619</c:v>
                </c:pt>
                <c:pt idx="16">
                  <c:v>26.873000000000001</c:v>
                </c:pt>
                <c:pt idx="17">
                  <c:v>26.166</c:v>
                </c:pt>
                <c:pt idx="18">
                  <c:v>25.085999999999999</c:v>
                </c:pt>
                <c:pt idx="19">
                  <c:v>25.231999999999999</c:v>
                </c:pt>
                <c:pt idx="20">
                  <c:v>24.082999999999998</c:v>
                </c:pt>
                <c:pt idx="21">
                  <c:v>24.995000000000001</c:v>
                </c:pt>
                <c:pt idx="22">
                  <c:v>24.036000000000001</c:v>
                </c:pt>
                <c:pt idx="23">
                  <c:v>23.686</c:v>
                </c:pt>
                <c:pt idx="24">
                  <c:v>24.92</c:v>
                </c:pt>
                <c:pt idx="25">
                  <c:v>24.561</c:v>
                </c:pt>
                <c:pt idx="26">
                  <c:v>28.062000000000001</c:v>
                </c:pt>
                <c:pt idx="27">
                  <c:v>26.971</c:v>
                </c:pt>
                <c:pt idx="28">
                  <c:v>26.905999999999999</c:v>
                </c:pt>
                <c:pt idx="29">
                  <c:v>26.692</c:v>
                </c:pt>
                <c:pt idx="30">
                  <c:v>27.690999999999999</c:v>
                </c:pt>
                <c:pt idx="31">
                  <c:v>27.475999999999999</c:v>
                </c:pt>
                <c:pt idx="32">
                  <c:v>28.298999999999999</c:v>
                </c:pt>
                <c:pt idx="33">
                  <c:v>28.437999999999999</c:v>
                </c:pt>
                <c:pt idx="34">
                  <c:v>28.468</c:v>
                </c:pt>
                <c:pt idx="35">
                  <c:v>28.274999999999999</c:v>
                </c:pt>
                <c:pt idx="36">
                  <c:v>28.193000000000001</c:v>
                </c:pt>
                <c:pt idx="37">
                  <c:v>27.93</c:v>
                </c:pt>
              </c:numCache>
            </c:numRef>
          </c:val>
          <c:smooth val="0"/>
          <c:extLst xmlns:c16r2="http://schemas.microsoft.com/office/drawing/2015/06/chart">
            <c:ext xmlns:c16="http://schemas.microsoft.com/office/drawing/2014/chart" uri="{C3380CC4-5D6E-409C-BE32-E72D297353CC}">
              <c16:uniqueId val="{00000000-F269-42B3-AF0B-4C18B6E79237}"/>
            </c:ext>
          </c:extLst>
        </c:ser>
        <c:dLbls>
          <c:showLegendKey val="0"/>
          <c:showVal val="0"/>
          <c:showCatName val="0"/>
          <c:showSerName val="0"/>
          <c:showPercent val="0"/>
          <c:showBubbleSize val="0"/>
        </c:dLbls>
        <c:marker val="1"/>
        <c:smooth val="0"/>
        <c:axId val="81116160"/>
        <c:axId val="81117952"/>
      </c:lineChart>
      <c:lineChart>
        <c:grouping val="standard"/>
        <c:varyColors val="0"/>
        <c:ser>
          <c:idx val="0"/>
          <c:order val="0"/>
          <c:tx>
            <c:strRef>
              <c:f>Sheet1!$B$1</c:f>
              <c:strCache>
                <c:ptCount val="1"/>
                <c:pt idx="0">
                  <c:v>Грошовий агрегат М1 млн. грн (по правій осі)</c:v>
                </c:pt>
              </c:strCache>
            </c:strRef>
          </c:tx>
          <c:spPr>
            <a:ln w="28575" cap="rnd">
              <a:solidFill>
                <a:schemeClr val="dk1">
                  <a:tint val="88500"/>
                </a:schemeClr>
              </a:solidFill>
              <a:round/>
            </a:ln>
            <a:effectLst/>
          </c:spPr>
          <c:marker>
            <c:symbol val="none"/>
          </c:marker>
          <c:cat>
            <c:numRef>
              <c:f>Sheet1!$A$2:$A$39</c:f>
              <c:numCache>
                <c:formatCode>m/d/yyyy</c:formatCode>
                <c:ptCount val="38"/>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numCache>
            </c:numRef>
          </c:cat>
          <c:val>
            <c:numRef>
              <c:f>Sheet1!$B$2:$B$39</c:f>
              <c:numCache>
                <c:formatCode>General</c:formatCode>
                <c:ptCount val="38"/>
                <c:pt idx="0">
                  <c:v>578702.24646416004</c:v>
                </c:pt>
                <c:pt idx="1">
                  <c:v>584899.89821874001</c:v>
                </c:pt>
                <c:pt idx="2">
                  <c:v>589280.73522174009</c:v>
                </c:pt>
                <c:pt idx="3">
                  <c:v>608735.84549346007</c:v>
                </c:pt>
                <c:pt idx="4">
                  <c:v>619489.32356912002</c:v>
                </c:pt>
                <c:pt idx="5">
                  <c:v>626586.3963986201</c:v>
                </c:pt>
                <c:pt idx="6">
                  <c:v>639410.23170225008</c:v>
                </c:pt>
                <c:pt idx="7">
                  <c:v>621514.88125119009</c:v>
                </c:pt>
                <c:pt idx="8">
                  <c:v>630845.30410306004</c:v>
                </c:pt>
                <c:pt idx="9">
                  <c:v>631671.96382215992</c:v>
                </c:pt>
                <c:pt idx="10">
                  <c:v>624230.88086944004</c:v>
                </c:pt>
                <c:pt idx="11">
                  <c:v>671284.74054252007</c:v>
                </c:pt>
                <c:pt idx="12">
                  <c:v>654616.02699036</c:v>
                </c:pt>
                <c:pt idx="13">
                  <c:v>654945.21560575999</c:v>
                </c:pt>
                <c:pt idx="14">
                  <c:v>649795.26431152003</c:v>
                </c:pt>
                <c:pt idx="15">
                  <c:v>658894.78371529991</c:v>
                </c:pt>
                <c:pt idx="16">
                  <c:v>654680.91958647012</c:v>
                </c:pt>
                <c:pt idx="17">
                  <c:v>683215.33635691996</c:v>
                </c:pt>
                <c:pt idx="18">
                  <c:v>681251.43149484997</c:v>
                </c:pt>
                <c:pt idx="19">
                  <c:v>673324.44489166001</c:v>
                </c:pt>
                <c:pt idx="20">
                  <c:v>686403.05167812994</c:v>
                </c:pt>
                <c:pt idx="21">
                  <c:v>689259.53905652999</c:v>
                </c:pt>
                <c:pt idx="22">
                  <c:v>697533.48765828006</c:v>
                </c:pt>
                <c:pt idx="23">
                  <c:v>770043.12765064999</c:v>
                </c:pt>
                <c:pt idx="24">
                  <c:v>759774.33775523002</c:v>
                </c:pt>
                <c:pt idx="25">
                  <c:v>769790.22482772998</c:v>
                </c:pt>
                <c:pt idx="26">
                  <c:v>762113.5036305401</c:v>
                </c:pt>
                <c:pt idx="27">
                  <c:v>813728.29438202002</c:v>
                </c:pt>
                <c:pt idx="28">
                  <c:v>838015.26853071002</c:v>
                </c:pt>
                <c:pt idx="29">
                  <c:v>869491.33372177999</c:v>
                </c:pt>
                <c:pt idx="30">
                  <c:v>893583.68458131002</c:v>
                </c:pt>
                <c:pt idx="31">
                  <c:v>908804.43662613002</c:v>
                </c:pt>
                <c:pt idx="32">
                  <c:v>929444.39609009994</c:v>
                </c:pt>
                <c:pt idx="33">
                  <c:v>956095.54652781994</c:v>
                </c:pt>
                <c:pt idx="34">
                  <c:v>971286.58584352001</c:v>
                </c:pt>
                <c:pt idx="35">
                  <c:v>1050057.3150267499</c:v>
                </c:pt>
                <c:pt idx="36">
                  <c:v>1839809.3589242997</c:v>
                </c:pt>
                <c:pt idx="37">
                  <c:v>1838498.1466632001</c:v>
                </c:pt>
              </c:numCache>
            </c:numRef>
          </c:val>
          <c:smooth val="0"/>
          <c:extLst xmlns:c16r2="http://schemas.microsoft.com/office/drawing/2015/06/chart">
            <c:ext xmlns:c16="http://schemas.microsoft.com/office/drawing/2014/chart" uri="{C3380CC4-5D6E-409C-BE32-E72D297353CC}">
              <c16:uniqueId val="{00000001-F269-42B3-AF0B-4C18B6E79237}"/>
            </c:ext>
          </c:extLst>
        </c:ser>
        <c:dLbls>
          <c:showLegendKey val="0"/>
          <c:showVal val="0"/>
          <c:showCatName val="0"/>
          <c:showSerName val="0"/>
          <c:showPercent val="0"/>
          <c:showBubbleSize val="0"/>
        </c:dLbls>
        <c:marker val="1"/>
        <c:smooth val="0"/>
        <c:axId val="81125376"/>
        <c:axId val="81119488"/>
      </c:lineChart>
      <c:dateAx>
        <c:axId val="81116160"/>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117952"/>
        <c:crosses val="autoZero"/>
        <c:auto val="1"/>
        <c:lblOffset val="100"/>
        <c:baseTimeUnit val="months"/>
      </c:dateAx>
      <c:valAx>
        <c:axId val="81117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116160"/>
        <c:crosses val="autoZero"/>
        <c:crossBetween val="between"/>
      </c:valAx>
      <c:valAx>
        <c:axId val="81119488"/>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125376"/>
        <c:crosses val="max"/>
        <c:crossBetween val="between"/>
      </c:valAx>
      <c:dateAx>
        <c:axId val="81125376"/>
        <c:scaling>
          <c:orientation val="minMax"/>
        </c:scaling>
        <c:delete val="1"/>
        <c:axPos val="b"/>
        <c:numFmt formatCode="m/d/yyyy" sourceLinked="1"/>
        <c:majorTickMark val="out"/>
        <c:minorTickMark val="none"/>
        <c:tickLblPos val="nextTo"/>
        <c:crossAx val="81119488"/>
        <c:crosses val="autoZero"/>
        <c:auto val="1"/>
        <c:lblOffset val="100"/>
        <c:baseTimeUnit val="months"/>
        <c:majorUnit val="1"/>
        <c:minorUnit val="1"/>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1"/>
          <c:order val="1"/>
          <c:tx>
            <c:strRef>
              <c:f>Sheet1!$E$2</c:f>
              <c:strCache>
                <c:ptCount val="1"/>
                <c:pt idx="0">
                  <c:v>Валютний курс ( Швейцарських франків за 1 долар США)</c:v>
                </c:pt>
              </c:strCache>
            </c:strRef>
          </c:tx>
          <c:spPr>
            <a:ln w="28575" cap="rnd">
              <a:solidFill>
                <a:schemeClr val="dk1">
                  <a:tint val="55000"/>
                </a:schemeClr>
              </a:solidFill>
              <a:round/>
            </a:ln>
            <a:effectLst/>
          </c:spPr>
          <c:marker>
            <c:symbol val="none"/>
          </c:marker>
          <c:cat>
            <c:numRef>
              <c:f>Sheet1!$A$3:$A$28</c:f>
              <c:numCache>
                <c:formatCode>m/d/yyyy</c:formatCode>
                <c:ptCount val="26"/>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pt idx="22">
                  <c:v>44136</c:v>
                </c:pt>
                <c:pt idx="23">
                  <c:v>44166</c:v>
                </c:pt>
                <c:pt idx="24">
                  <c:v>44197</c:v>
                </c:pt>
                <c:pt idx="25">
                  <c:v>44228</c:v>
                </c:pt>
              </c:numCache>
            </c:numRef>
          </c:cat>
          <c:val>
            <c:numRef>
              <c:f>Sheet1!$E$3:$E$28</c:f>
              <c:numCache>
                <c:formatCode>General</c:formatCode>
                <c:ptCount val="26"/>
                <c:pt idx="0">
                  <c:v>0.99295</c:v>
                </c:pt>
                <c:pt idx="1">
                  <c:v>0.99595</c:v>
                </c:pt>
                <c:pt idx="2">
                  <c:v>0.996</c:v>
                </c:pt>
                <c:pt idx="3">
                  <c:v>1.0182500000000001</c:v>
                </c:pt>
                <c:pt idx="4">
                  <c:v>1.0053000000000001</c:v>
                </c:pt>
                <c:pt idx="5">
                  <c:v>0.97399999999999998</c:v>
                </c:pt>
                <c:pt idx="6">
                  <c:v>0.99055000000000004</c:v>
                </c:pt>
                <c:pt idx="7">
                  <c:v>0.98860000000000003</c:v>
                </c:pt>
                <c:pt idx="8">
                  <c:v>0.99304999999999999</c:v>
                </c:pt>
                <c:pt idx="9">
                  <c:v>0.98685</c:v>
                </c:pt>
                <c:pt idx="10">
                  <c:v>0.99965000000000004</c:v>
                </c:pt>
                <c:pt idx="11">
                  <c:v>0.96825000000000006</c:v>
                </c:pt>
                <c:pt idx="12">
                  <c:v>0.97024999999999995</c:v>
                </c:pt>
                <c:pt idx="13">
                  <c:v>0.9637</c:v>
                </c:pt>
                <c:pt idx="14">
                  <c:v>0.96404999999999996</c:v>
                </c:pt>
                <c:pt idx="15">
                  <c:v>0.97114999999999996</c:v>
                </c:pt>
                <c:pt idx="16">
                  <c:v>0.96174999999999999</c:v>
                </c:pt>
                <c:pt idx="17">
                  <c:v>0.95174999999999998</c:v>
                </c:pt>
                <c:pt idx="18">
                  <c:v>0.90785000000000005</c:v>
                </c:pt>
                <c:pt idx="19">
                  <c:v>0.90310000000000001</c:v>
                </c:pt>
                <c:pt idx="20">
                  <c:v>0.92300000000000004</c:v>
                </c:pt>
                <c:pt idx="21">
                  <c:v>0.91590000000000005</c:v>
                </c:pt>
                <c:pt idx="22">
                  <c:v>0.90310000000000001</c:v>
                </c:pt>
                <c:pt idx="23">
                  <c:v>0.88119999999999998</c:v>
                </c:pt>
                <c:pt idx="24">
                  <c:v>0.88944999999999996</c:v>
                </c:pt>
                <c:pt idx="25">
                  <c:v>0.90415000000000001</c:v>
                </c:pt>
              </c:numCache>
            </c:numRef>
          </c:val>
          <c:smooth val="0"/>
          <c:extLst xmlns:c16r2="http://schemas.microsoft.com/office/drawing/2015/06/chart">
            <c:ext xmlns:c16="http://schemas.microsoft.com/office/drawing/2014/chart" uri="{C3380CC4-5D6E-409C-BE32-E72D297353CC}">
              <c16:uniqueId val="{00000000-85CB-457F-92A7-ABBC6CE0D203}"/>
            </c:ext>
          </c:extLst>
        </c:ser>
        <c:dLbls>
          <c:showLegendKey val="0"/>
          <c:showVal val="0"/>
          <c:showCatName val="0"/>
          <c:showSerName val="0"/>
          <c:showPercent val="0"/>
          <c:showBubbleSize val="0"/>
        </c:dLbls>
        <c:marker val="1"/>
        <c:smooth val="0"/>
        <c:axId val="81271040"/>
        <c:axId val="81276928"/>
      </c:lineChart>
      <c:lineChart>
        <c:grouping val="standard"/>
        <c:varyColors val="0"/>
        <c:ser>
          <c:idx val="0"/>
          <c:order val="0"/>
          <c:tx>
            <c:strRef>
              <c:f>Sheet1!$D$2</c:f>
              <c:strCache>
                <c:ptCount val="1"/>
                <c:pt idx="0">
                  <c:v>Абсолютний ППС (по правій осі) </c:v>
                </c:pt>
              </c:strCache>
            </c:strRef>
          </c:tx>
          <c:spPr>
            <a:ln w="28575" cap="rnd">
              <a:solidFill>
                <a:schemeClr val="dk1">
                  <a:tint val="88500"/>
                </a:schemeClr>
              </a:solidFill>
              <a:round/>
            </a:ln>
            <a:effectLst/>
          </c:spPr>
          <c:marker>
            <c:symbol val="none"/>
          </c:marker>
          <c:cat>
            <c:numRef>
              <c:f>Sheet1!$A$3:$A$28</c:f>
              <c:numCache>
                <c:formatCode>m/d/yyyy</c:formatCode>
                <c:ptCount val="26"/>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pt idx="22">
                  <c:v>44136</c:v>
                </c:pt>
                <c:pt idx="23">
                  <c:v>44166</c:v>
                </c:pt>
                <c:pt idx="24">
                  <c:v>44197</c:v>
                </c:pt>
                <c:pt idx="25">
                  <c:v>44228</c:v>
                </c:pt>
              </c:numCache>
            </c:numRef>
          </c:cat>
          <c:val>
            <c:numRef>
              <c:f>Sheet1!$D$3:$D$28</c:f>
              <c:numCache>
                <c:formatCode>General</c:formatCode>
                <c:ptCount val="26"/>
                <c:pt idx="0">
                  <c:v>0.39886775362318844</c:v>
                </c:pt>
                <c:pt idx="1">
                  <c:v>0.39873326581637497</c:v>
                </c:pt>
                <c:pt idx="2">
                  <c:v>0.39860780009598662</c:v>
                </c:pt>
                <c:pt idx="3">
                  <c:v>0.39725335357741015</c:v>
                </c:pt>
                <c:pt idx="4">
                  <c:v>0.39762702466301175</c:v>
                </c:pt>
                <c:pt idx="5">
                  <c:v>0.39742995123817559</c:v>
                </c:pt>
                <c:pt idx="6">
                  <c:v>0.39471920053318571</c:v>
                </c:pt>
                <c:pt idx="7">
                  <c:v>0.39469905440485192</c:v>
                </c:pt>
                <c:pt idx="8">
                  <c:v>0.39395775805327171</c:v>
                </c:pt>
                <c:pt idx="9">
                  <c:v>0.39217551467673872</c:v>
                </c:pt>
                <c:pt idx="10">
                  <c:v>0.39186339460669961</c:v>
                </c:pt>
                <c:pt idx="11">
                  <c:v>0.39233735708670914</c:v>
                </c:pt>
                <c:pt idx="12">
                  <c:v>0.3899775556167166</c:v>
                </c:pt>
                <c:pt idx="13">
                  <c:v>0.38939337709430261</c:v>
                </c:pt>
                <c:pt idx="14">
                  <c:v>0.39054258760629951</c:v>
                </c:pt>
                <c:pt idx="15">
                  <c:v>0.39174145536664984</c:v>
                </c:pt>
                <c:pt idx="16">
                  <c:v>0.3918980163342356</c:v>
                </c:pt>
                <c:pt idx="17">
                  <c:v>0.38984627439419384</c:v>
                </c:pt>
                <c:pt idx="18">
                  <c:v>0.38726944319010731</c:v>
                </c:pt>
                <c:pt idx="19">
                  <c:v>0.38622219315322526</c:v>
                </c:pt>
                <c:pt idx="20">
                  <c:v>0.38551982480405722</c:v>
                </c:pt>
                <c:pt idx="21">
                  <c:v>0.38538335099927801</c:v>
                </c:pt>
                <c:pt idx="22">
                  <c:v>0.38466197080263925</c:v>
                </c:pt>
                <c:pt idx="23">
                  <c:v>0.38391547716854657</c:v>
                </c:pt>
                <c:pt idx="24">
                  <c:v>0.38250070723520735</c:v>
                </c:pt>
                <c:pt idx="25">
                  <c:v>0.38104359463754783</c:v>
                </c:pt>
              </c:numCache>
            </c:numRef>
          </c:val>
          <c:smooth val="0"/>
          <c:extLst xmlns:c16r2="http://schemas.microsoft.com/office/drawing/2015/06/chart">
            <c:ext xmlns:c16="http://schemas.microsoft.com/office/drawing/2014/chart" uri="{C3380CC4-5D6E-409C-BE32-E72D297353CC}">
              <c16:uniqueId val="{00000001-85CB-457F-92A7-ABBC6CE0D203}"/>
            </c:ext>
          </c:extLst>
        </c:ser>
        <c:dLbls>
          <c:showLegendKey val="0"/>
          <c:showVal val="0"/>
          <c:showCatName val="0"/>
          <c:showSerName val="0"/>
          <c:showPercent val="0"/>
          <c:showBubbleSize val="0"/>
        </c:dLbls>
        <c:marker val="1"/>
        <c:smooth val="0"/>
        <c:axId val="81280000"/>
        <c:axId val="81278464"/>
      </c:lineChart>
      <c:dateAx>
        <c:axId val="81271040"/>
        <c:scaling>
          <c:orientation val="minMax"/>
        </c:scaling>
        <c:delete val="0"/>
        <c:axPos val="b"/>
        <c:numFmt formatCode="m/d/yyyy" sourceLinked="0"/>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276928"/>
        <c:crosses val="autoZero"/>
        <c:auto val="0"/>
        <c:lblOffset val="100"/>
        <c:baseTimeUnit val="days"/>
      </c:dateAx>
      <c:valAx>
        <c:axId val="81276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271040"/>
        <c:crosses val="autoZero"/>
        <c:crossBetween val="between"/>
      </c:valAx>
      <c:valAx>
        <c:axId val="8127846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280000"/>
        <c:crosses val="max"/>
        <c:crossBetween val="between"/>
      </c:valAx>
      <c:dateAx>
        <c:axId val="81280000"/>
        <c:scaling>
          <c:orientation val="minMax"/>
        </c:scaling>
        <c:delete val="1"/>
        <c:axPos val="b"/>
        <c:numFmt formatCode="m/d/yyyy" sourceLinked="1"/>
        <c:majorTickMark val="out"/>
        <c:minorTickMark val="none"/>
        <c:tickLblPos val="nextTo"/>
        <c:crossAx val="81278464"/>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1"/>
          <c:order val="1"/>
          <c:tx>
            <c:strRef>
              <c:f>Sheet1!$E$1</c:f>
              <c:strCache>
                <c:ptCount val="1"/>
                <c:pt idx="0">
                  <c:v>Валютний курс ( Швейцарських франків за 1 долар США)</c:v>
                </c:pt>
              </c:strCache>
            </c:strRef>
          </c:tx>
          <c:spPr>
            <a:ln w="28575" cap="rnd">
              <a:solidFill>
                <a:schemeClr val="accent3">
                  <a:tint val="77000"/>
                </a:schemeClr>
              </a:solidFill>
              <a:round/>
            </a:ln>
            <a:effectLst/>
          </c:spPr>
          <c:marker>
            <c:symbol val="none"/>
          </c:marker>
          <c:cat>
            <c:strRef>
              <c:f>Sheet1!$C$2:$C$22</c:f>
              <c:strCache>
                <c:ptCount val="21"/>
                <c:pt idx="0">
                  <c:v>2019-06</c:v>
                </c:pt>
                <c:pt idx="1">
                  <c:v>2019-07</c:v>
                </c:pt>
                <c:pt idx="2">
                  <c:v>2019-08</c:v>
                </c:pt>
                <c:pt idx="3">
                  <c:v>2019-09</c:v>
                </c:pt>
                <c:pt idx="4">
                  <c:v>2019-10</c:v>
                </c:pt>
                <c:pt idx="5">
                  <c:v>2019-11</c:v>
                </c:pt>
                <c:pt idx="6">
                  <c:v>2019-12</c:v>
                </c:pt>
                <c:pt idx="7">
                  <c:v>2020-01</c:v>
                </c:pt>
                <c:pt idx="8">
                  <c:v>2020-02</c:v>
                </c:pt>
                <c:pt idx="9">
                  <c:v>2020-03</c:v>
                </c:pt>
                <c:pt idx="10">
                  <c:v>2020-04</c:v>
                </c:pt>
                <c:pt idx="11">
                  <c:v>2020-05</c:v>
                </c:pt>
                <c:pt idx="12">
                  <c:v>2020-06</c:v>
                </c:pt>
                <c:pt idx="13">
                  <c:v>2020-07</c:v>
                </c:pt>
                <c:pt idx="14">
                  <c:v>2020-08</c:v>
                </c:pt>
                <c:pt idx="15">
                  <c:v>2020-09</c:v>
                </c:pt>
                <c:pt idx="16">
                  <c:v>2020-10</c:v>
                </c:pt>
                <c:pt idx="17">
                  <c:v>2020-11</c:v>
                </c:pt>
                <c:pt idx="18">
                  <c:v>2020-12</c:v>
                </c:pt>
                <c:pt idx="19">
                  <c:v>2021-01</c:v>
                </c:pt>
                <c:pt idx="20">
                  <c:v>2021-02</c:v>
                </c:pt>
              </c:strCache>
            </c:strRef>
          </c:cat>
          <c:val>
            <c:numRef>
              <c:f>Sheet1!$E$2:$E$22</c:f>
              <c:numCache>
                <c:formatCode>General</c:formatCode>
                <c:ptCount val="21"/>
                <c:pt idx="0">
                  <c:v>0.97399999999999998</c:v>
                </c:pt>
                <c:pt idx="1">
                  <c:v>0.99055000000000004</c:v>
                </c:pt>
                <c:pt idx="2">
                  <c:v>0.98860000000000003</c:v>
                </c:pt>
                <c:pt idx="3">
                  <c:v>0.99304999999999999</c:v>
                </c:pt>
                <c:pt idx="4">
                  <c:v>0.98685</c:v>
                </c:pt>
                <c:pt idx="5">
                  <c:v>0.99965000000000004</c:v>
                </c:pt>
                <c:pt idx="6">
                  <c:v>0.96825000000000006</c:v>
                </c:pt>
                <c:pt idx="7">
                  <c:v>0.97024999999999995</c:v>
                </c:pt>
                <c:pt idx="8">
                  <c:v>0.9637</c:v>
                </c:pt>
                <c:pt idx="9">
                  <c:v>0.96404999999999996</c:v>
                </c:pt>
                <c:pt idx="10">
                  <c:v>0.97114999999999996</c:v>
                </c:pt>
                <c:pt idx="11">
                  <c:v>0.96174999999999999</c:v>
                </c:pt>
                <c:pt idx="12">
                  <c:v>0.95174999999999998</c:v>
                </c:pt>
                <c:pt idx="13">
                  <c:v>0.90785000000000005</c:v>
                </c:pt>
                <c:pt idx="14">
                  <c:v>0.90310000000000001</c:v>
                </c:pt>
                <c:pt idx="15">
                  <c:v>0.92300000000000004</c:v>
                </c:pt>
                <c:pt idx="16">
                  <c:v>0.91590000000000005</c:v>
                </c:pt>
                <c:pt idx="17">
                  <c:v>0.90310000000000001</c:v>
                </c:pt>
                <c:pt idx="18">
                  <c:v>0.88119999999999998</c:v>
                </c:pt>
                <c:pt idx="19">
                  <c:v>0.88944999999999996</c:v>
                </c:pt>
                <c:pt idx="20">
                  <c:v>0.90415000000000001</c:v>
                </c:pt>
              </c:numCache>
            </c:numRef>
          </c:val>
          <c:smooth val="0"/>
          <c:extLst xmlns:c16r2="http://schemas.microsoft.com/office/drawing/2015/06/chart">
            <c:ext xmlns:c16="http://schemas.microsoft.com/office/drawing/2014/chart" uri="{C3380CC4-5D6E-409C-BE32-E72D297353CC}">
              <c16:uniqueId val="{00000000-8D65-4CBA-8025-AD5EFD8DC9AF}"/>
            </c:ext>
          </c:extLst>
        </c:ser>
        <c:dLbls>
          <c:showLegendKey val="0"/>
          <c:showVal val="0"/>
          <c:showCatName val="0"/>
          <c:showSerName val="0"/>
          <c:showPercent val="0"/>
          <c:showBubbleSize val="0"/>
        </c:dLbls>
        <c:marker val="1"/>
        <c:smooth val="0"/>
        <c:axId val="81250560"/>
        <c:axId val="81256448"/>
      </c:lineChart>
      <c:lineChart>
        <c:grouping val="standard"/>
        <c:varyColors val="0"/>
        <c:ser>
          <c:idx val="0"/>
          <c:order val="0"/>
          <c:tx>
            <c:strRef>
              <c:f>Sheet1!$D$1</c:f>
              <c:strCache>
                <c:ptCount val="1"/>
                <c:pt idx="0">
                  <c:v> Відсоткова ставка Швейцарського національного банку % ( по правій осі)</c:v>
                </c:pt>
              </c:strCache>
            </c:strRef>
          </c:tx>
          <c:spPr>
            <a:ln w="28575" cap="rnd">
              <a:solidFill>
                <a:schemeClr val="accent3">
                  <a:shade val="76000"/>
                </a:schemeClr>
              </a:solidFill>
              <a:round/>
            </a:ln>
            <a:effectLst/>
          </c:spPr>
          <c:marker>
            <c:symbol val="none"/>
          </c:marker>
          <c:cat>
            <c:strRef>
              <c:f>Sheet1!$C$2:$C$22</c:f>
              <c:strCache>
                <c:ptCount val="21"/>
                <c:pt idx="0">
                  <c:v>2019-06</c:v>
                </c:pt>
                <c:pt idx="1">
                  <c:v>2019-07</c:v>
                </c:pt>
                <c:pt idx="2">
                  <c:v>2019-08</c:v>
                </c:pt>
                <c:pt idx="3">
                  <c:v>2019-09</c:v>
                </c:pt>
                <c:pt idx="4">
                  <c:v>2019-10</c:v>
                </c:pt>
                <c:pt idx="5">
                  <c:v>2019-11</c:v>
                </c:pt>
                <c:pt idx="6">
                  <c:v>2019-12</c:v>
                </c:pt>
                <c:pt idx="7">
                  <c:v>2020-01</c:v>
                </c:pt>
                <c:pt idx="8">
                  <c:v>2020-02</c:v>
                </c:pt>
                <c:pt idx="9">
                  <c:v>2020-03</c:v>
                </c:pt>
                <c:pt idx="10">
                  <c:v>2020-04</c:v>
                </c:pt>
                <c:pt idx="11">
                  <c:v>2020-05</c:v>
                </c:pt>
                <c:pt idx="12">
                  <c:v>2020-06</c:v>
                </c:pt>
                <c:pt idx="13">
                  <c:v>2020-07</c:v>
                </c:pt>
                <c:pt idx="14">
                  <c:v>2020-08</c:v>
                </c:pt>
                <c:pt idx="15">
                  <c:v>2020-09</c:v>
                </c:pt>
                <c:pt idx="16">
                  <c:v>2020-10</c:v>
                </c:pt>
                <c:pt idx="17">
                  <c:v>2020-11</c:v>
                </c:pt>
                <c:pt idx="18">
                  <c:v>2020-12</c:v>
                </c:pt>
                <c:pt idx="19">
                  <c:v>2021-01</c:v>
                </c:pt>
                <c:pt idx="20">
                  <c:v>2021-02</c:v>
                </c:pt>
              </c:strCache>
            </c:strRef>
          </c:cat>
          <c:val>
            <c:numRef>
              <c:f>Sheet1!$D$2:$D$22</c:f>
              <c:numCache>
                <c:formatCode>General</c:formatCode>
                <c:ptCount val="21"/>
                <c:pt idx="0">
                  <c:v>-0.75</c:v>
                </c:pt>
                <c:pt idx="1">
                  <c:v>-0.75</c:v>
                </c:pt>
                <c:pt idx="2">
                  <c:v>-0.75</c:v>
                </c:pt>
                <c:pt idx="3">
                  <c:v>-0.75</c:v>
                </c:pt>
                <c:pt idx="4">
                  <c:v>-0.75</c:v>
                </c:pt>
                <c:pt idx="5">
                  <c:v>-0.75</c:v>
                </c:pt>
                <c:pt idx="6">
                  <c:v>-0.75</c:v>
                </c:pt>
                <c:pt idx="7">
                  <c:v>-0.75</c:v>
                </c:pt>
                <c:pt idx="8">
                  <c:v>-0.75</c:v>
                </c:pt>
                <c:pt idx="9">
                  <c:v>-0.75</c:v>
                </c:pt>
                <c:pt idx="10">
                  <c:v>-0.75</c:v>
                </c:pt>
                <c:pt idx="11">
                  <c:v>-0.75</c:v>
                </c:pt>
                <c:pt idx="12">
                  <c:v>-0.75</c:v>
                </c:pt>
                <c:pt idx="13">
                  <c:v>-0.75</c:v>
                </c:pt>
                <c:pt idx="14">
                  <c:v>-0.75</c:v>
                </c:pt>
                <c:pt idx="15">
                  <c:v>-0.75</c:v>
                </c:pt>
                <c:pt idx="16">
                  <c:v>-0.75</c:v>
                </c:pt>
                <c:pt idx="17">
                  <c:v>-0.75</c:v>
                </c:pt>
                <c:pt idx="18">
                  <c:v>-0.75</c:v>
                </c:pt>
                <c:pt idx="19">
                  <c:v>-0.75</c:v>
                </c:pt>
                <c:pt idx="20">
                  <c:v>-0.75</c:v>
                </c:pt>
              </c:numCache>
            </c:numRef>
          </c:val>
          <c:smooth val="0"/>
          <c:extLst xmlns:c16r2="http://schemas.microsoft.com/office/drawing/2015/06/chart">
            <c:ext xmlns:c16="http://schemas.microsoft.com/office/drawing/2014/chart" uri="{C3380CC4-5D6E-409C-BE32-E72D297353CC}">
              <c16:uniqueId val="{00000001-8D65-4CBA-8025-AD5EFD8DC9AF}"/>
            </c:ext>
          </c:extLst>
        </c:ser>
        <c:dLbls>
          <c:showLegendKey val="0"/>
          <c:showVal val="0"/>
          <c:showCatName val="0"/>
          <c:showSerName val="0"/>
          <c:showPercent val="0"/>
          <c:showBubbleSize val="0"/>
        </c:dLbls>
        <c:marker val="1"/>
        <c:smooth val="0"/>
        <c:axId val="81259520"/>
        <c:axId val="81257984"/>
      </c:lineChart>
      <c:catAx>
        <c:axId val="81250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256448"/>
        <c:crosses val="autoZero"/>
        <c:auto val="1"/>
        <c:lblAlgn val="ctr"/>
        <c:lblOffset val="100"/>
        <c:noMultiLvlLbl val="0"/>
      </c:catAx>
      <c:valAx>
        <c:axId val="81256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250560"/>
        <c:crosses val="autoZero"/>
        <c:crossBetween val="between"/>
      </c:valAx>
      <c:valAx>
        <c:axId val="8125798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259520"/>
        <c:crosses val="max"/>
        <c:crossBetween val="between"/>
      </c:valAx>
      <c:catAx>
        <c:axId val="81259520"/>
        <c:scaling>
          <c:orientation val="minMax"/>
        </c:scaling>
        <c:delete val="1"/>
        <c:axPos val="b"/>
        <c:numFmt formatCode="General" sourceLinked="1"/>
        <c:majorTickMark val="out"/>
        <c:minorTickMark val="none"/>
        <c:tickLblPos val="nextTo"/>
        <c:crossAx val="812579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1"/>
          <c:order val="1"/>
          <c:tx>
            <c:strRef>
              <c:f>Sheet1!$C$1</c:f>
              <c:strCache>
                <c:ptCount val="1"/>
                <c:pt idx="0">
                  <c:v>Валютний курс ( Швейцарських франків за 1 долар США)</c:v>
                </c:pt>
              </c:strCache>
            </c:strRef>
          </c:tx>
          <c:spPr>
            <a:ln w="28575" cap="rnd">
              <a:solidFill>
                <a:schemeClr val="dk1">
                  <a:tint val="55000"/>
                </a:schemeClr>
              </a:solidFill>
              <a:round/>
            </a:ln>
            <a:effectLst/>
          </c:spPr>
          <c:marker>
            <c:symbol val="none"/>
          </c:marker>
          <c:cat>
            <c:strRef>
              <c:f>Sheet1!$A$2:$A$27</c:f>
              <c:strCache>
                <c:ptCount val="26"/>
                <c:pt idx="0">
                  <c:v>2019-01</c:v>
                </c:pt>
                <c:pt idx="1">
                  <c:v>2019-02</c:v>
                </c:pt>
                <c:pt idx="2">
                  <c:v>2019-03</c:v>
                </c:pt>
                <c:pt idx="3">
                  <c:v>2019-04</c:v>
                </c:pt>
                <c:pt idx="4">
                  <c:v>2019-05</c:v>
                </c:pt>
                <c:pt idx="5">
                  <c:v>2019-06</c:v>
                </c:pt>
                <c:pt idx="6">
                  <c:v>2019-07</c:v>
                </c:pt>
                <c:pt idx="7">
                  <c:v>2019-08</c:v>
                </c:pt>
                <c:pt idx="8">
                  <c:v>2019-09</c:v>
                </c:pt>
                <c:pt idx="9">
                  <c:v>2019-10</c:v>
                </c:pt>
                <c:pt idx="10">
                  <c:v>2019-11</c:v>
                </c:pt>
                <c:pt idx="11">
                  <c:v>2019-12</c:v>
                </c:pt>
                <c:pt idx="12">
                  <c:v>2020-01</c:v>
                </c:pt>
                <c:pt idx="13">
                  <c:v>2020-02</c:v>
                </c:pt>
                <c:pt idx="14">
                  <c:v>2020-03</c:v>
                </c:pt>
                <c:pt idx="15">
                  <c:v>2020-04</c:v>
                </c:pt>
                <c:pt idx="16">
                  <c:v>2020-05</c:v>
                </c:pt>
                <c:pt idx="17">
                  <c:v>2020-06</c:v>
                </c:pt>
                <c:pt idx="18">
                  <c:v>2020-07</c:v>
                </c:pt>
                <c:pt idx="19">
                  <c:v>2020-08</c:v>
                </c:pt>
                <c:pt idx="20">
                  <c:v>2020-09</c:v>
                </c:pt>
                <c:pt idx="21">
                  <c:v>2020-10</c:v>
                </c:pt>
                <c:pt idx="22">
                  <c:v>2020-11</c:v>
                </c:pt>
                <c:pt idx="23">
                  <c:v>2020-12</c:v>
                </c:pt>
                <c:pt idx="24">
                  <c:v>2021-01</c:v>
                </c:pt>
                <c:pt idx="25">
                  <c:v>2021-02</c:v>
                </c:pt>
              </c:strCache>
            </c:strRef>
          </c:cat>
          <c:val>
            <c:numRef>
              <c:f>Sheet1!$C$2:$C$27</c:f>
              <c:numCache>
                <c:formatCode>General</c:formatCode>
                <c:ptCount val="26"/>
                <c:pt idx="0">
                  <c:v>0.99295</c:v>
                </c:pt>
                <c:pt idx="1">
                  <c:v>0.99595</c:v>
                </c:pt>
                <c:pt idx="2">
                  <c:v>0.996</c:v>
                </c:pt>
                <c:pt idx="3">
                  <c:v>1.0182500000000001</c:v>
                </c:pt>
                <c:pt idx="4">
                  <c:v>1.0053000000000001</c:v>
                </c:pt>
                <c:pt idx="5">
                  <c:v>0.97399999999999998</c:v>
                </c:pt>
                <c:pt idx="6">
                  <c:v>0.99055000000000004</c:v>
                </c:pt>
                <c:pt idx="7">
                  <c:v>0.98860000000000003</c:v>
                </c:pt>
                <c:pt idx="8">
                  <c:v>0.99304999999999999</c:v>
                </c:pt>
                <c:pt idx="9">
                  <c:v>0.98685</c:v>
                </c:pt>
                <c:pt idx="10">
                  <c:v>0.99965000000000004</c:v>
                </c:pt>
                <c:pt idx="11">
                  <c:v>0.96825000000000006</c:v>
                </c:pt>
                <c:pt idx="12">
                  <c:v>0.97024999999999995</c:v>
                </c:pt>
                <c:pt idx="13">
                  <c:v>0.9637</c:v>
                </c:pt>
                <c:pt idx="14">
                  <c:v>0.96404999999999996</c:v>
                </c:pt>
                <c:pt idx="15">
                  <c:v>0.97114999999999996</c:v>
                </c:pt>
                <c:pt idx="16">
                  <c:v>0.96174999999999999</c:v>
                </c:pt>
                <c:pt idx="17">
                  <c:v>0.95174999999999998</c:v>
                </c:pt>
                <c:pt idx="18">
                  <c:v>0.90785000000000005</c:v>
                </c:pt>
                <c:pt idx="19">
                  <c:v>0.90310000000000001</c:v>
                </c:pt>
                <c:pt idx="20">
                  <c:v>0.92300000000000004</c:v>
                </c:pt>
                <c:pt idx="21">
                  <c:v>0.91590000000000005</c:v>
                </c:pt>
                <c:pt idx="22">
                  <c:v>0.90310000000000001</c:v>
                </c:pt>
                <c:pt idx="23">
                  <c:v>0.88119999999999998</c:v>
                </c:pt>
                <c:pt idx="24">
                  <c:v>0.88944999999999996</c:v>
                </c:pt>
                <c:pt idx="25">
                  <c:v>0.90415000000000001</c:v>
                </c:pt>
              </c:numCache>
            </c:numRef>
          </c:val>
          <c:smooth val="0"/>
          <c:extLst xmlns:c16r2="http://schemas.microsoft.com/office/drawing/2015/06/chart">
            <c:ext xmlns:c16="http://schemas.microsoft.com/office/drawing/2014/chart" uri="{C3380CC4-5D6E-409C-BE32-E72D297353CC}">
              <c16:uniqueId val="{00000000-5A50-4A7E-A018-AFDCAE7C78CD}"/>
            </c:ext>
          </c:extLst>
        </c:ser>
        <c:dLbls>
          <c:showLegendKey val="0"/>
          <c:showVal val="0"/>
          <c:showCatName val="0"/>
          <c:showSerName val="0"/>
          <c:showPercent val="0"/>
          <c:showBubbleSize val="0"/>
        </c:dLbls>
        <c:marker val="1"/>
        <c:smooth val="0"/>
        <c:axId val="81490688"/>
        <c:axId val="81492224"/>
      </c:lineChart>
      <c:lineChart>
        <c:grouping val="standard"/>
        <c:varyColors val="0"/>
        <c:ser>
          <c:idx val="0"/>
          <c:order val="0"/>
          <c:tx>
            <c:strRef>
              <c:f>Sheet1!$B$1</c:f>
              <c:strCache>
                <c:ptCount val="1"/>
                <c:pt idx="0">
                  <c:v>Грошовий агрегат M1 у млн.CHF  (по правій осі)</c:v>
                </c:pt>
              </c:strCache>
            </c:strRef>
          </c:tx>
          <c:spPr>
            <a:ln w="28575" cap="rnd">
              <a:solidFill>
                <a:schemeClr val="dk1">
                  <a:tint val="88500"/>
                </a:schemeClr>
              </a:solidFill>
              <a:round/>
            </a:ln>
            <a:effectLst/>
          </c:spPr>
          <c:marker>
            <c:symbol val="none"/>
          </c:marker>
          <c:cat>
            <c:strRef>
              <c:f>Sheet1!$A$2:$A$27</c:f>
              <c:strCache>
                <c:ptCount val="26"/>
                <c:pt idx="0">
                  <c:v>2019-01</c:v>
                </c:pt>
                <c:pt idx="1">
                  <c:v>2019-02</c:v>
                </c:pt>
                <c:pt idx="2">
                  <c:v>2019-03</c:v>
                </c:pt>
                <c:pt idx="3">
                  <c:v>2019-04</c:v>
                </c:pt>
                <c:pt idx="4">
                  <c:v>2019-05</c:v>
                </c:pt>
                <c:pt idx="5">
                  <c:v>2019-06</c:v>
                </c:pt>
                <c:pt idx="6">
                  <c:v>2019-07</c:v>
                </c:pt>
                <c:pt idx="7">
                  <c:v>2019-08</c:v>
                </c:pt>
                <c:pt idx="8">
                  <c:v>2019-09</c:v>
                </c:pt>
                <c:pt idx="9">
                  <c:v>2019-10</c:v>
                </c:pt>
                <c:pt idx="10">
                  <c:v>2019-11</c:v>
                </c:pt>
                <c:pt idx="11">
                  <c:v>2019-12</c:v>
                </c:pt>
                <c:pt idx="12">
                  <c:v>2020-01</c:v>
                </c:pt>
                <c:pt idx="13">
                  <c:v>2020-02</c:v>
                </c:pt>
                <c:pt idx="14">
                  <c:v>2020-03</c:v>
                </c:pt>
                <c:pt idx="15">
                  <c:v>2020-04</c:v>
                </c:pt>
                <c:pt idx="16">
                  <c:v>2020-05</c:v>
                </c:pt>
                <c:pt idx="17">
                  <c:v>2020-06</c:v>
                </c:pt>
                <c:pt idx="18">
                  <c:v>2020-07</c:v>
                </c:pt>
                <c:pt idx="19">
                  <c:v>2020-08</c:v>
                </c:pt>
                <c:pt idx="20">
                  <c:v>2020-09</c:v>
                </c:pt>
                <c:pt idx="21">
                  <c:v>2020-10</c:v>
                </c:pt>
                <c:pt idx="22">
                  <c:v>2020-11</c:v>
                </c:pt>
                <c:pt idx="23">
                  <c:v>2020-12</c:v>
                </c:pt>
                <c:pt idx="24">
                  <c:v>2021-01</c:v>
                </c:pt>
                <c:pt idx="25">
                  <c:v>2021-02</c:v>
                </c:pt>
              </c:strCache>
            </c:strRef>
          </c:cat>
          <c:val>
            <c:numRef>
              <c:f>Sheet1!$B$2:$B$27</c:f>
              <c:numCache>
                <c:formatCode>General</c:formatCode>
                <c:ptCount val="26"/>
                <c:pt idx="0">
                  <c:v>672116</c:v>
                </c:pt>
                <c:pt idx="1">
                  <c:v>675990</c:v>
                </c:pt>
                <c:pt idx="2">
                  <c:v>679434</c:v>
                </c:pt>
                <c:pt idx="3">
                  <c:v>680033</c:v>
                </c:pt>
                <c:pt idx="4">
                  <c:v>684210</c:v>
                </c:pt>
                <c:pt idx="5">
                  <c:v>680401</c:v>
                </c:pt>
                <c:pt idx="6">
                  <c:v>682809</c:v>
                </c:pt>
                <c:pt idx="7">
                  <c:v>683920</c:v>
                </c:pt>
                <c:pt idx="8">
                  <c:v>679720</c:v>
                </c:pt>
                <c:pt idx="9">
                  <c:v>678440</c:v>
                </c:pt>
                <c:pt idx="10">
                  <c:v>678065</c:v>
                </c:pt>
                <c:pt idx="11">
                  <c:v>675753</c:v>
                </c:pt>
                <c:pt idx="12">
                  <c:v>671331</c:v>
                </c:pt>
                <c:pt idx="13">
                  <c:v>675264</c:v>
                </c:pt>
                <c:pt idx="14">
                  <c:v>692356</c:v>
                </c:pt>
                <c:pt idx="15">
                  <c:v>699225</c:v>
                </c:pt>
                <c:pt idx="16">
                  <c:v>707156</c:v>
                </c:pt>
                <c:pt idx="17">
                  <c:v>710620</c:v>
                </c:pt>
                <c:pt idx="18">
                  <c:v>714634</c:v>
                </c:pt>
                <c:pt idx="19">
                  <c:v>718870</c:v>
                </c:pt>
                <c:pt idx="20">
                  <c:v>718602</c:v>
                </c:pt>
                <c:pt idx="21">
                  <c:v>727266</c:v>
                </c:pt>
                <c:pt idx="22">
                  <c:v>733303</c:v>
                </c:pt>
                <c:pt idx="23">
                  <c:v>736642</c:v>
                </c:pt>
                <c:pt idx="24">
                  <c:v>738342</c:v>
                </c:pt>
                <c:pt idx="25">
                  <c:v>742594</c:v>
                </c:pt>
              </c:numCache>
            </c:numRef>
          </c:val>
          <c:smooth val="0"/>
          <c:extLst xmlns:c16r2="http://schemas.microsoft.com/office/drawing/2015/06/chart">
            <c:ext xmlns:c16="http://schemas.microsoft.com/office/drawing/2014/chart" uri="{C3380CC4-5D6E-409C-BE32-E72D297353CC}">
              <c16:uniqueId val="{00000001-5A50-4A7E-A018-AFDCAE7C78CD}"/>
            </c:ext>
          </c:extLst>
        </c:ser>
        <c:dLbls>
          <c:showLegendKey val="0"/>
          <c:showVal val="0"/>
          <c:showCatName val="0"/>
          <c:showSerName val="0"/>
          <c:showPercent val="0"/>
          <c:showBubbleSize val="0"/>
        </c:dLbls>
        <c:marker val="1"/>
        <c:smooth val="0"/>
        <c:axId val="81495552"/>
        <c:axId val="81494016"/>
      </c:lineChart>
      <c:catAx>
        <c:axId val="81490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492224"/>
        <c:crosses val="autoZero"/>
        <c:auto val="1"/>
        <c:lblAlgn val="ctr"/>
        <c:lblOffset val="100"/>
        <c:noMultiLvlLbl val="0"/>
      </c:catAx>
      <c:valAx>
        <c:axId val="81492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490688"/>
        <c:crosses val="autoZero"/>
        <c:crossBetween val="between"/>
      </c:valAx>
      <c:valAx>
        <c:axId val="8149401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495552"/>
        <c:crosses val="max"/>
        <c:crossBetween val="between"/>
      </c:valAx>
      <c:catAx>
        <c:axId val="81495552"/>
        <c:scaling>
          <c:orientation val="minMax"/>
        </c:scaling>
        <c:delete val="1"/>
        <c:axPos val="b"/>
        <c:numFmt formatCode="General" sourceLinked="1"/>
        <c:majorTickMark val="out"/>
        <c:minorTickMark val="none"/>
        <c:tickLblPos val="nextTo"/>
        <c:crossAx val="8149401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1"/>
          <c:order val="1"/>
          <c:tx>
            <c:strRef>
              <c:f>Sheet1!$E$1</c:f>
              <c:strCache>
                <c:ptCount val="1"/>
                <c:pt idx="0">
                  <c:v>Валютний курс USD/PLN </c:v>
                </c:pt>
              </c:strCache>
            </c:strRef>
          </c:tx>
          <c:spPr>
            <a:ln w="28575" cap="rnd">
              <a:solidFill>
                <a:schemeClr val="dk1">
                  <a:tint val="55000"/>
                </a:schemeClr>
              </a:solidFill>
              <a:round/>
            </a:ln>
            <a:effectLst/>
          </c:spPr>
          <c:marker>
            <c:symbol val="none"/>
          </c:marker>
          <c:cat>
            <c:numRef>
              <c:f>Sheet1!$A$2:$A$27</c:f>
              <c:numCache>
                <c:formatCode>m/d/yyyy</c:formatCode>
                <c:ptCount val="26"/>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pt idx="22">
                  <c:v>44136</c:v>
                </c:pt>
                <c:pt idx="23">
                  <c:v>44166</c:v>
                </c:pt>
                <c:pt idx="24">
                  <c:v>44197</c:v>
                </c:pt>
                <c:pt idx="25">
                  <c:v>44228</c:v>
                </c:pt>
              </c:numCache>
            </c:numRef>
          </c:cat>
          <c:val>
            <c:numRef>
              <c:f>Sheet1!$E$2:$E$27</c:f>
              <c:numCache>
                <c:formatCode>General</c:formatCode>
                <c:ptCount val="26"/>
                <c:pt idx="0">
                  <c:v>3.7271000000000001</c:v>
                </c:pt>
                <c:pt idx="1">
                  <c:v>3.7852999999999999</c:v>
                </c:pt>
                <c:pt idx="2">
                  <c:v>3.8365</c:v>
                </c:pt>
                <c:pt idx="3">
                  <c:v>3.8290999999999999</c:v>
                </c:pt>
                <c:pt idx="4">
                  <c:v>3.8498000000000001</c:v>
                </c:pt>
                <c:pt idx="5">
                  <c:v>3.7336</c:v>
                </c:pt>
                <c:pt idx="6">
                  <c:v>3.8504</c:v>
                </c:pt>
                <c:pt idx="7">
                  <c:v>3.9716999999999998</c:v>
                </c:pt>
                <c:pt idx="8">
                  <c:v>4</c:v>
                </c:pt>
                <c:pt idx="9">
                  <c:v>3.8174000000000001</c:v>
                </c:pt>
                <c:pt idx="10">
                  <c:v>3.9287999999999998</c:v>
                </c:pt>
                <c:pt idx="11">
                  <c:v>3.7976999999999999</c:v>
                </c:pt>
                <c:pt idx="12">
                  <c:v>3.8999000000000001</c:v>
                </c:pt>
                <c:pt idx="13">
                  <c:v>3.9255</c:v>
                </c:pt>
                <c:pt idx="14">
                  <c:v>4.1466000000000003</c:v>
                </c:pt>
                <c:pt idx="15">
                  <c:v>4.1729000000000003</c:v>
                </c:pt>
                <c:pt idx="16">
                  <c:v>4.0030999999999999</c:v>
                </c:pt>
                <c:pt idx="17">
                  <c:v>3.9805999999999999</c:v>
                </c:pt>
                <c:pt idx="18">
                  <c:v>3.7166000000000001</c:v>
                </c:pt>
                <c:pt idx="19">
                  <c:v>3.6924000000000001</c:v>
                </c:pt>
                <c:pt idx="20">
                  <c:v>3.8658000000000001</c:v>
                </c:pt>
                <c:pt idx="21">
                  <c:v>3.9563000000000001</c:v>
                </c:pt>
                <c:pt idx="22">
                  <c:v>3.7364000000000002</c:v>
                </c:pt>
                <c:pt idx="23">
                  <c:v>3.7584</c:v>
                </c:pt>
                <c:pt idx="24">
                  <c:v>3.746</c:v>
                </c:pt>
                <c:pt idx="25">
                  <c:v>3.7246999999999999</c:v>
                </c:pt>
              </c:numCache>
            </c:numRef>
          </c:val>
          <c:smooth val="0"/>
          <c:extLst xmlns:c16r2="http://schemas.microsoft.com/office/drawing/2015/06/chart">
            <c:ext xmlns:c16="http://schemas.microsoft.com/office/drawing/2014/chart" uri="{C3380CC4-5D6E-409C-BE32-E72D297353CC}">
              <c16:uniqueId val="{00000000-B1D2-480F-9342-1108824CE6D6}"/>
            </c:ext>
          </c:extLst>
        </c:ser>
        <c:dLbls>
          <c:showLegendKey val="0"/>
          <c:showVal val="0"/>
          <c:showCatName val="0"/>
          <c:showSerName val="0"/>
          <c:showPercent val="0"/>
          <c:showBubbleSize val="0"/>
        </c:dLbls>
        <c:marker val="1"/>
        <c:smooth val="0"/>
        <c:axId val="81584128"/>
        <c:axId val="81585664"/>
      </c:lineChart>
      <c:lineChart>
        <c:grouping val="standard"/>
        <c:varyColors val="0"/>
        <c:ser>
          <c:idx val="0"/>
          <c:order val="0"/>
          <c:tx>
            <c:strRef>
              <c:f>Sheet1!$D$1</c:f>
              <c:strCache>
                <c:ptCount val="1"/>
                <c:pt idx="0">
                  <c:v>Абсолютний ППС (по правій осі)</c:v>
                </c:pt>
              </c:strCache>
            </c:strRef>
          </c:tx>
          <c:spPr>
            <a:ln w="28575" cap="rnd">
              <a:solidFill>
                <a:schemeClr val="dk1">
                  <a:tint val="88500"/>
                </a:schemeClr>
              </a:solidFill>
              <a:round/>
            </a:ln>
            <a:effectLst/>
          </c:spPr>
          <c:marker>
            <c:symbol val="none"/>
          </c:marker>
          <c:cat>
            <c:numRef>
              <c:f>Sheet1!$A$2:$A$27</c:f>
              <c:numCache>
                <c:formatCode>m/d/yyyy</c:formatCode>
                <c:ptCount val="26"/>
                <c:pt idx="0">
                  <c:v>43466</c:v>
                </c:pt>
                <c:pt idx="1">
                  <c:v>43497</c:v>
                </c:pt>
                <c:pt idx="2">
                  <c:v>43525</c:v>
                </c:pt>
                <c:pt idx="3">
                  <c:v>43556</c:v>
                </c:pt>
                <c:pt idx="4">
                  <c:v>43586</c:v>
                </c:pt>
                <c:pt idx="5">
                  <c:v>43617</c:v>
                </c:pt>
                <c:pt idx="6">
                  <c:v>43647</c:v>
                </c:pt>
                <c:pt idx="7">
                  <c:v>43678</c:v>
                </c:pt>
                <c:pt idx="8">
                  <c:v>43709</c:v>
                </c:pt>
                <c:pt idx="9">
                  <c:v>43739</c:v>
                </c:pt>
                <c:pt idx="10">
                  <c:v>43770</c:v>
                </c:pt>
                <c:pt idx="11">
                  <c:v>43800</c:v>
                </c:pt>
                <c:pt idx="12">
                  <c:v>43831</c:v>
                </c:pt>
                <c:pt idx="13">
                  <c:v>43862</c:v>
                </c:pt>
                <c:pt idx="14">
                  <c:v>43891</c:v>
                </c:pt>
                <c:pt idx="15">
                  <c:v>43922</c:v>
                </c:pt>
                <c:pt idx="16">
                  <c:v>43952</c:v>
                </c:pt>
                <c:pt idx="17">
                  <c:v>43983</c:v>
                </c:pt>
                <c:pt idx="18">
                  <c:v>44013</c:v>
                </c:pt>
                <c:pt idx="19">
                  <c:v>44044</c:v>
                </c:pt>
                <c:pt idx="20">
                  <c:v>44075</c:v>
                </c:pt>
                <c:pt idx="21">
                  <c:v>44105</c:v>
                </c:pt>
                <c:pt idx="22">
                  <c:v>44136</c:v>
                </c:pt>
                <c:pt idx="23">
                  <c:v>44166</c:v>
                </c:pt>
                <c:pt idx="24">
                  <c:v>44197</c:v>
                </c:pt>
                <c:pt idx="25">
                  <c:v>44228</c:v>
                </c:pt>
              </c:numCache>
            </c:numRef>
          </c:cat>
          <c:val>
            <c:numRef>
              <c:f>Sheet1!$D$2:$D$27</c:f>
              <c:numCache>
                <c:formatCode>General</c:formatCode>
                <c:ptCount val="26"/>
                <c:pt idx="0">
                  <c:v>0.40006038647343001</c:v>
                </c:pt>
                <c:pt idx="1">
                  <c:v>0.40035446403139541</c:v>
                </c:pt>
                <c:pt idx="2">
                  <c:v>0.40007553048363115</c:v>
                </c:pt>
                <c:pt idx="3">
                  <c:v>0.39992486734390409</c:v>
                </c:pt>
                <c:pt idx="4">
                  <c:v>0.39985630164159758</c:v>
                </c:pt>
                <c:pt idx="5">
                  <c:v>0.40055750108337923</c:v>
                </c:pt>
                <c:pt idx="6">
                  <c:v>0.40105857637846831</c:v>
                </c:pt>
                <c:pt idx="7">
                  <c:v>0.40107889833877725</c:v>
                </c:pt>
                <c:pt idx="8">
                  <c:v>0.39959650878839686</c:v>
                </c:pt>
                <c:pt idx="9">
                  <c:v>0.39829645691015209</c:v>
                </c:pt>
                <c:pt idx="10">
                  <c:v>0.39889894560044781</c:v>
                </c:pt>
                <c:pt idx="11">
                  <c:v>0.40237533758279054</c:v>
                </c:pt>
                <c:pt idx="12">
                  <c:v>0.40430901147803433</c:v>
                </c:pt>
                <c:pt idx="13">
                  <c:v>0.40475030733189526</c:v>
                </c:pt>
                <c:pt idx="14">
                  <c:v>0.40524572380528057</c:v>
                </c:pt>
                <c:pt idx="15">
                  <c:v>0.40329343302559784</c:v>
                </c:pt>
                <c:pt idx="16">
                  <c:v>0.4013354446671919</c:v>
                </c:pt>
                <c:pt idx="17">
                  <c:v>0.40070287862155102</c:v>
                </c:pt>
                <c:pt idx="18">
                  <c:v>0.39752837696496734</c:v>
                </c:pt>
                <c:pt idx="19">
                  <c:v>0.39589408967443579</c:v>
                </c:pt>
                <c:pt idx="20">
                  <c:v>0.39649608114338408</c:v>
                </c:pt>
                <c:pt idx="21">
                  <c:v>0.39594758591025703</c:v>
                </c:pt>
                <c:pt idx="22">
                  <c:v>0.39580523308316906</c:v>
                </c:pt>
                <c:pt idx="23">
                  <c:v>0.39312944862059174</c:v>
                </c:pt>
                <c:pt idx="24">
                  <c:v>0.39222882308415713</c:v>
                </c:pt>
                <c:pt idx="25">
                  <c:v>0.3893328872227334</c:v>
                </c:pt>
              </c:numCache>
            </c:numRef>
          </c:val>
          <c:smooth val="0"/>
          <c:extLst xmlns:c16r2="http://schemas.microsoft.com/office/drawing/2015/06/chart">
            <c:ext xmlns:c16="http://schemas.microsoft.com/office/drawing/2014/chart" uri="{C3380CC4-5D6E-409C-BE32-E72D297353CC}">
              <c16:uniqueId val="{00000001-B1D2-480F-9342-1108824CE6D6}"/>
            </c:ext>
          </c:extLst>
        </c:ser>
        <c:dLbls>
          <c:showLegendKey val="0"/>
          <c:showVal val="0"/>
          <c:showCatName val="0"/>
          <c:showSerName val="0"/>
          <c:showPercent val="0"/>
          <c:showBubbleSize val="0"/>
        </c:dLbls>
        <c:marker val="1"/>
        <c:smooth val="0"/>
        <c:axId val="81588992"/>
        <c:axId val="81587200"/>
      </c:lineChart>
      <c:dateAx>
        <c:axId val="81584128"/>
        <c:scaling>
          <c:orientation val="minMax"/>
        </c:scaling>
        <c:delete val="0"/>
        <c:axPos val="b"/>
        <c:numFmt formatCode="m/d/yyyy"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585664"/>
        <c:crosses val="autoZero"/>
        <c:auto val="0"/>
        <c:lblOffset val="100"/>
        <c:baseTimeUnit val="months"/>
      </c:dateAx>
      <c:valAx>
        <c:axId val="81585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584128"/>
        <c:crosses val="autoZero"/>
        <c:crossBetween val="between"/>
      </c:valAx>
      <c:valAx>
        <c:axId val="8158720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588992"/>
        <c:crosses val="max"/>
        <c:crossBetween val="between"/>
      </c:valAx>
      <c:dateAx>
        <c:axId val="81588992"/>
        <c:scaling>
          <c:orientation val="minMax"/>
        </c:scaling>
        <c:delete val="1"/>
        <c:axPos val="b"/>
        <c:numFmt formatCode="m/d/yyyy" sourceLinked="1"/>
        <c:majorTickMark val="out"/>
        <c:minorTickMark val="none"/>
        <c:tickLblPos val="nextTo"/>
        <c:crossAx val="81587200"/>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Sheet1!$A$7</c:f>
              <c:strCache>
                <c:ptCount val="1"/>
                <c:pt idx="0">
                  <c:v>Дефіцит державного бюджету</c:v>
                </c:pt>
              </c:strCache>
            </c:strRef>
          </c:tx>
          <c:spPr>
            <a:ln w="28575" cap="rnd">
              <a:solidFill>
                <a:schemeClr val="accent3"/>
              </a:solidFill>
              <a:round/>
            </a:ln>
            <a:effectLst/>
          </c:spPr>
          <c:marker>
            <c:symbol val="none"/>
          </c:marker>
          <c:cat>
            <c:numRef>
              <c:f>Sheet1!$B$6:$AM$6</c:f>
              <c:numCache>
                <c:formatCode>mm/yyyy</c:formatCode>
                <c:ptCount val="38"/>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pt idx="12">
                  <c:v>43466</c:v>
                </c:pt>
                <c:pt idx="13">
                  <c:v>43497</c:v>
                </c:pt>
                <c:pt idx="14">
                  <c:v>43525</c:v>
                </c:pt>
                <c:pt idx="15">
                  <c:v>43556</c:v>
                </c:pt>
                <c:pt idx="16">
                  <c:v>43586</c:v>
                </c:pt>
                <c:pt idx="17">
                  <c:v>43617</c:v>
                </c:pt>
                <c:pt idx="18">
                  <c:v>43647</c:v>
                </c:pt>
                <c:pt idx="19">
                  <c:v>43678</c:v>
                </c:pt>
                <c:pt idx="20">
                  <c:v>43709</c:v>
                </c:pt>
                <c:pt idx="21">
                  <c:v>43739</c:v>
                </c:pt>
                <c:pt idx="22">
                  <c:v>43770</c:v>
                </c:pt>
                <c:pt idx="23">
                  <c:v>43800</c:v>
                </c:pt>
                <c:pt idx="24">
                  <c:v>43831</c:v>
                </c:pt>
                <c:pt idx="25">
                  <c:v>43862</c:v>
                </c:pt>
                <c:pt idx="26">
                  <c:v>43891</c:v>
                </c:pt>
                <c:pt idx="27">
                  <c:v>43922</c:v>
                </c:pt>
                <c:pt idx="28">
                  <c:v>43952</c:v>
                </c:pt>
                <c:pt idx="29">
                  <c:v>43983</c:v>
                </c:pt>
                <c:pt idx="30">
                  <c:v>44013</c:v>
                </c:pt>
                <c:pt idx="31">
                  <c:v>44044</c:v>
                </c:pt>
                <c:pt idx="32">
                  <c:v>44075</c:v>
                </c:pt>
                <c:pt idx="33">
                  <c:v>44105</c:v>
                </c:pt>
                <c:pt idx="34">
                  <c:v>44136</c:v>
                </c:pt>
                <c:pt idx="35">
                  <c:v>44166</c:v>
                </c:pt>
                <c:pt idx="36">
                  <c:v>44197</c:v>
                </c:pt>
                <c:pt idx="37">
                  <c:v>44228</c:v>
                </c:pt>
              </c:numCache>
            </c:numRef>
          </c:cat>
          <c:val>
            <c:numRef>
              <c:f>Sheet1!$B$7:$AM$7</c:f>
              <c:numCache>
                <c:formatCode>General</c:formatCode>
                <c:ptCount val="38"/>
                <c:pt idx="0">
                  <c:v>8305.5840772699958</c:v>
                </c:pt>
                <c:pt idx="1">
                  <c:v>-1770.6582461700018</c:v>
                </c:pt>
                <c:pt idx="2">
                  <c:v>-20695.34781895997</c:v>
                </c:pt>
                <c:pt idx="3">
                  <c:v>-20557.891000189993</c:v>
                </c:pt>
                <c:pt idx="4">
                  <c:v>-10171.593240729999</c:v>
                </c:pt>
                <c:pt idx="5">
                  <c:v>-9896.2527243799996</c:v>
                </c:pt>
                <c:pt idx="6">
                  <c:v>-12814.410164570028</c:v>
                </c:pt>
                <c:pt idx="7">
                  <c:v>12351.168605189887</c:v>
                </c:pt>
                <c:pt idx="8">
                  <c:v>-6495.5942549202591</c:v>
                </c:pt>
                <c:pt idx="9">
                  <c:v>-5575.4477080103243</c:v>
                </c:pt>
                <c:pt idx="10">
                  <c:v>-63.439558030338958</c:v>
                </c:pt>
                <c:pt idx="11">
                  <c:v>-57736.880068070255</c:v>
                </c:pt>
                <c:pt idx="12">
                  <c:v>-11266.65636054003</c:v>
                </c:pt>
                <c:pt idx="13">
                  <c:v>-13716.721160230081</c:v>
                </c:pt>
                <c:pt idx="14">
                  <c:v>-26761.790781680029</c:v>
                </c:pt>
                <c:pt idx="15">
                  <c:v>-2237.629003080132</c:v>
                </c:pt>
                <c:pt idx="16">
                  <c:v>6284.2887418498867</c:v>
                </c:pt>
                <c:pt idx="17">
                  <c:v>-1715.6190047701239</c:v>
                </c:pt>
                <c:pt idx="18">
                  <c:v>-2353.5003390000202</c:v>
                </c:pt>
                <c:pt idx="19">
                  <c:v>2900.5246875699377</c:v>
                </c:pt>
                <c:pt idx="20">
                  <c:v>-18979.876573079964</c:v>
                </c:pt>
                <c:pt idx="21">
                  <c:v>-28655.054339169641</c:v>
                </c:pt>
                <c:pt idx="22">
                  <c:v>-33743.311350530363</c:v>
                </c:pt>
                <c:pt idx="23">
                  <c:v>-76777.215243470157</c:v>
                </c:pt>
                <c:pt idx="24">
                  <c:v>-15313.554195389988</c:v>
                </c:pt>
                <c:pt idx="25">
                  <c:v>-21965.795064870021</c:v>
                </c:pt>
                <c:pt idx="26">
                  <c:v>-33462.707527980092</c:v>
                </c:pt>
                <c:pt idx="27">
                  <c:v>-25269.144767170015</c:v>
                </c:pt>
                <c:pt idx="28">
                  <c:v>-50115.632783209963</c:v>
                </c:pt>
                <c:pt idx="29">
                  <c:v>-17527.559523260104</c:v>
                </c:pt>
                <c:pt idx="30">
                  <c:v>-48011.048651809921</c:v>
                </c:pt>
                <c:pt idx="31">
                  <c:v>-38309.62568142009</c:v>
                </c:pt>
                <c:pt idx="32">
                  <c:v>-78167.179971130099</c:v>
                </c:pt>
                <c:pt idx="33">
                  <c:v>-108404.49634143012</c:v>
                </c:pt>
                <c:pt idx="34">
                  <c:v>-115944.17569002998</c:v>
                </c:pt>
                <c:pt idx="35">
                  <c:v>-212000.02399189025</c:v>
                </c:pt>
                <c:pt idx="36">
                  <c:v>-5361.2019602299988</c:v>
                </c:pt>
                <c:pt idx="37">
                  <c:v>-20827.043534730037</c:v>
                </c:pt>
              </c:numCache>
            </c:numRef>
          </c:val>
          <c:smooth val="0"/>
          <c:extLst xmlns:c16r2="http://schemas.microsoft.com/office/drawing/2015/06/chart">
            <c:ext xmlns:c16="http://schemas.microsoft.com/office/drawing/2014/chart" uri="{C3380CC4-5D6E-409C-BE32-E72D297353CC}">
              <c16:uniqueId val="{00000000-A590-4A3C-B2FA-6F3B7ACD027E}"/>
            </c:ext>
          </c:extLst>
        </c:ser>
        <c:dLbls>
          <c:showLegendKey val="0"/>
          <c:showVal val="0"/>
          <c:showCatName val="0"/>
          <c:showSerName val="0"/>
          <c:showPercent val="0"/>
          <c:showBubbleSize val="0"/>
        </c:dLbls>
        <c:marker val="1"/>
        <c:smooth val="0"/>
        <c:axId val="79173504"/>
        <c:axId val="79175040"/>
      </c:lineChart>
      <c:dateAx>
        <c:axId val="79173504"/>
        <c:scaling>
          <c:orientation val="minMax"/>
        </c:scaling>
        <c:delete val="0"/>
        <c:axPos val="b"/>
        <c:numFmt formatCode="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uk-UA"/>
          </a:p>
        </c:txPr>
        <c:crossAx val="79175040"/>
        <c:crosses val="autoZero"/>
        <c:auto val="1"/>
        <c:lblOffset val="100"/>
        <c:baseTimeUnit val="months"/>
      </c:dateAx>
      <c:valAx>
        <c:axId val="79175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73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Sheet1!$B$1</c:f>
              <c:strCache>
                <c:ptCount val="1"/>
                <c:pt idx="0">
                  <c:v>Валютний курс USD/PLN </c:v>
                </c:pt>
              </c:strCache>
            </c:strRef>
          </c:tx>
          <c:spPr>
            <a:ln w="28575" cap="rnd">
              <a:solidFill>
                <a:schemeClr val="dk1">
                  <a:tint val="88500"/>
                </a:schemeClr>
              </a:solidFill>
              <a:round/>
            </a:ln>
            <a:effectLst/>
          </c:spPr>
          <c:marker>
            <c:symbol val="none"/>
          </c:marker>
          <c:cat>
            <c:strRef>
              <c:f>Sheet1!$A$2:$A$27</c:f>
              <c:strCache>
                <c:ptCount val="26"/>
                <c:pt idx="0">
                  <c:v> 31.01.2019</c:v>
                </c:pt>
                <c:pt idx="1">
                  <c:v> 28.02.2019</c:v>
                </c:pt>
                <c:pt idx="2">
                  <c:v>31.03.2019</c:v>
                </c:pt>
                <c:pt idx="3">
                  <c:v>30.04.2019</c:v>
                </c:pt>
                <c:pt idx="4">
                  <c:v>31.05.2019</c:v>
                </c:pt>
                <c:pt idx="5">
                  <c:v> 30.06.2019</c:v>
                </c:pt>
                <c:pt idx="6">
                  <c:v>31.07.2019</c:v>
                </c:pt>
                <c:pt idx="7">
                  <c:v> 31.08.2019</c:v>
                </c:pt>
                <c:pt idx="8">
                  <c:v>30.09.2019</c:v>
                </c:pt>
                <c:pt idx="9">
                  <c:v> 31.10.2019</c:v>
                </c:pt>
                <c:pt idx="10">
                  <c:v>30.11.2019</c:v>
                </c:pt>
                <c:pt idx="11">
                  <c:v>31.12.2019</c:v>
                </c:pt>
                <c:pt idx="12">
                  <c:v> 31.01.2020</c:v>
                </c:pt>
                <c:pt idx="13">
                  <c:v> 29.02.2020</c:v>
                </c:pt>
                <c:pt idx="14">
                  <c:v> 31.03.2020</c:v>
                </c:pt>
                <c:pt idx="15">
                  <c:v>30.04.2020</c:v>
                </c:pt>
                <c:pt idx="16">
                  <c:v>31.05.2020</c:v>
                </c:pt>
                <c:pt idx="17">
                  <c:v>30.06.2020</c:v>
                </c:pt>
                <c:pt idx="18">
                  <c:v>31.07.2020</c:v>
                </c:pt>
                <c:pt idx="19">
                  <c:v>31.08.2020</c:v>
                </c:pt>
                <c:pt idx="20">
                  <c:v>30.09.2020</c:v>
                </c:pt>
                <c:pt idx="21">
                  <c:v> 31.10.2020</c:v>
                </c:pt>
                <c:pt idx="22">
                  <c:v> 30.11.2020</c:v>
                </c:pt>
                <c:pt idx="23">
                  <c:v> 31.12.2020</c:v>
                </c:pt>
                <c:pt idx="24">
                  <c:v> 31.01.2021</c:v>
                </c:pt>
                <c:pt idx="25">
                  <c:v> 28.02.2021</c:v>
                </c:pt>
              </c:strCache>
            </c:strRef>
          </c:cat>
          <c:val>
            <c:numRef>
              <c:f>Sheet1!$B$2:$B$27</c:f>
              <c:numCache>
                <c:formatCode>General</c:formatCode>
                <c:ptCount val="26"/>
                <c:pt idx="0">
                  <c:v>3.7271000000000001</c:v>
                </c:pt>
                <c:pt idx="1">
                  <c:v>3.7852999999999999</c:v>
                </c:pt>
                <c:pt idx="2">
                  <c:v>3.8365</c:v>
                </c:pt>
                <c:pt idx="3">
                  <c:v>3.8290999999999999</c:v>
                </c:pt>
                <c:pt idx="4">
                  <c:v>3.8498000000000001</c:v>
                </c:pt>
                <c:pt idx="5">
                  <c:v>3.7336</c:v>
                </c:pt>
                <c:pt idx="6">
                  <c:v>3.8504</c:v>
                </c:pt>
                <c:pt idx="7">
                  <c:v>3.9716999999999998</c:v>
                </c:pt>
                <c:pt idx="8">
                  <c:v>4</c:v>
                </c:pt>
                <c:pt idx="9">
                  <c:v>3.8174000000000001</c:v>
                </c:pt>
                <c:pt idx="10">
                  <c:v>3.9287999999999998</c:v>
                </c:pt>
                <c:pt idx="11">
                  <c:v>3.7976999999999999</c:v>
                </c:pt>
                <c:pt idx="12">
                  <c:v>3.8999000000000001</c:v>
                </c:pt>
                <c:pt idx="13">
                  <c:v>3.9255</c:v>
                </c:pt>
                <c:pt idx="14">
                  <c:v>4.1466000000000003</c:v>
                </c:pt>
                <c:pt idx="15">
                  <c:v>4.1729000000000003</c:v>
                </c:pt>
                <c:pt idx="16">
                  <c:v>4.0030999999999999</c:v>
                </c:pt>
                <c:pt idx="17">
                  <c:v>3.9805999999999999</c:v>
                </c:pt>
                <c:pt idx="18">
                  <c:v>3.7166000000000001</c:v>
                </c:pt>
                <c:pt idx="19">
                  <c:v>3.6924000000000001</c:v>
                </c:pt>
                <c:pt idx="20">
                  <c:v>3.8658000000000001</c:v>
                </c:pt>
                <c:pt idx="21">
                  <c:v>3.9563000000000001</c:v>
                </c:pt>
                <c:pt idx="22">
                  <c:v>3.7364000000000002</c:v>
                </c:pt>
                <c:pt idx="23">
                  <c:v>3.7584</c:v>
                </c:pt>
                <c:pt idx="24">
                  <c:v>3.746</c:v>
                </c:pt>
                <c:pt idx="25">
                  <c:v>3.7246999999999999</c:v>
                </c:pt>
              </c:numCache>
            </c:numRef>
          </c:val>
          <c:smooth val="0"/>
          <c:extLst xmlns:c16r2="http://schemas.microsoft.com/office/drawing/2015/06/chart">
            <c:ext xmlns:c16="http://schemas.microsoft.com/office/drawing/2014/chart" uri="{C3380CC4-5D6E-409C-BE32-E72D297353CC}">
              <c16:uniqueId val="{00000000-A4F7-4F0E-A680-50D861FAE5E5}"/>
            </c:ext>
          </c:extLst>
        </c:ser>
        <c:ser>
          <c:idx val="1"/>
          <c:order val="1"/>
          <c:tx>
            <c:strRef>
              <c:f>Sheet1!$C$1</c:f>
              <c:strCache>
                <c:ptCount val="1"/>
                <c:pt idx="0">
                  <c:v>Відсоткова ставка %</c:v>
                </c:pt>
              </c:strCache>
            </c:strRef>
          </c:tx>
          <c:spPr>
            <a:ln w="28575" cap="rnd">
              <a:solidFill>
                <a:schemeClr val="dk1">
                  <a:tint val="55000"/>
                </a:schemeClr>
              </a:solidFill>
              <a:round/>
            </a:ln>
            <a:effectLst/>
          </c:spPr>
          <c:marker>
            <c:symbol val="none"/>
          </c:marker>
          <c:cat>
            <c:strRef>
              <c:f>Sheet1!$A$2:$A$27</c:f>
              <c:strCache>
                <c:ptCount val="26"/>
                <c:pt idx="0">
                  <c:v> 31.01.2019</c:v>
                </c:pt>
                <c:pt idx="1">
                  <c:v> 28.02.2019</c:v>
                </c:pt>
                <c:pt idx="2">
                  <c:v>31.03.2019</c:v>
                </c:pt>
                <c:pt idx="3">
                  <c:v>30.04.2019</c:v>
                </c:pt>
                <c:pt idx="4">
                  <c:v>31.05.2019</c:v>
                </c:pt>
                <c:pt idx="5">
                  <c:v> 30.06.2019</c:v>
                </c:pt>
                <c:pt idx="6">
                  <c:v>31.07.2019</c:v>
                </c:pt>
                <c:pt idx="7">
                  <c:v> 31.08.2019</c:v>
                </c:pt>
                <c:pt idx="8">
                  <c:v>30.09.2019</c:v>
                </c:pt>
                <c:pt idx="9">
                  <c:v> 31.10.2019</c:v>
                </c:pt>
                <c:pt idx="10">
                  <c:v>30.11.2019</c:v>
                </c:pt>
                <c:pt idx="11">
                  <c:v>31.12.2019</c:v>
                </c:pt>
                <c:pt idx="12">
                  <c:v> 31.01.2020</c:v>
                </c:pt>
                <c:pt idx="13">
                  <c:v> 29.02.2020</c:v>
                </c:pt>
                <c:pt idx="14">
                  <c:v> 31.03.2020</c:v>
                </c:pt>
                <c:pt idx="15">
                  <c:v>30.04.2020</c:v>
                </c:pt>
                <c:pt idx="16">
                  <c:v>31.05.2020</c:v>
                </c:pt>
                <c:pt idx="17">
                  <c:v>30.06.2020</c:v>
                </c:pt>
                <c:pt idx="18">
                  <c:v>31.07.2020</c:v>
                </c:pt>
                <c:pt idx="19">
                  <c:v>31.08.2020</c:v>
                </c:pt>
                <c:pt idx="20">
                  <c:v>30.09.2020</c:v>
                </c:pt>
                <c:pt idx="21">
                  <c:v> 31.10.2020</c:v>
                </c:pt>
                <c:pt idx="22">
                  <c:v> 30.11.2020</c:v>
                </c:pt>
                <c:pt idx="23">
                  <c:v> 31.12.2020</c:v>
                </c:pt>
                <c:pt idx="24">
                  <c:v> 31.01.2021</c:v>
                </c:pt>
                <c:pt idx="25">
                  <c:v> 28.02.2021</c:v>
                </c:pt>
              </c:strCache>
            </c:strRef>
          </c:cat>
          <c:val>
            <c:numRef>
              <c:f>Sheet1!$C$2:$C$27</c:f>
              <c:numCache>
                <c:formatCode>General</c:formatCode>
                <c:ptCount val="26"/>
                <c:pt idx="0">
                  <c:v>3.5</c:v>
                </c:pt>
                <c:pt idx="1">
                  <c:v>3.5</c:v>
                </c:pt>
                <c:pt idx="2">
                  <c:v>3.5</c:v>
                </c:pt>
                <c:pt idx="3">
                  <c:v>3.5</c:v>
                </c:pt>
                <c:pt idx="4">
                  <c:v>3.5</c:v>
                </c:pt>
                <c:pt idx="5">
                  <c:v>3.5</c:v>
                </c:pt>
                <c:pt idx="6">
                  <c:v>3.5</c:v>
                </c:pt>
                <c:pt idx="7">
                  <c:v>3.5</c:v>
                </c:pt>
                <c:pt idx="8">
                  <c:v>3.5</c:v>
                </c:pt>
                <c:pt idx="9">
                  <c:v>3.5</c:v>
                </c:pt>
                <c:pt idx="10">
                  <c:v>3.5</c:v>
                </c:pt>
                <c:pt idx="11">
                  <c:v>3.5</c:v>
                </c:pt>
                <c:pt idx="12">
                  <c:v>3.5</c:v>
                </c:pt>
                <c:pt idx="13">
                  <c:v>3.5</c:v>
                </c:pt>
                <c:pt idx="14">
                  <c:v>2.5</c:v>
                </c:pt>
                <c:pt idx="15">
                  <c:v>2</c:v>
                </c:pt>
                <c:pt idx="16">
                  <c:v>1.5</c:v>
                </c:pt>
                <c:pt idx="17">
                  <c:v>1.5</c:v>
                </c:pt>
                <c:pt idx="18">
                  <c:v>1.5</c:v>
                </c:pt>
                <c:pt idx="19">
                  <c:v>1.5</c:v>
                </c:pt>
                <c:pt idx="20">
                  <c:v>1.5</c:v>
                </c:pt>
                <c:pt idx="21">
                  <c:v>1.5</c:v>
                </c:pt>
                <c:pt idx="22">
                  <c:v>1.5</c:v>
                </c:pt>
                <c:pt idx="23">
                  <c:v>1.5</c:v>
                </c:pt>
                <c:pt idx="24">
                  <c:v>1.5</c:v>
                </c:pt>
                <c:pt idx="25">
                  <c:v>1.5</c:v>
                </c:pt>
              </c:numCache>
            </c:numRef>
          </c:val>
          <c:smooth val="0"/>
          <c:extLst xmlns:c16r2="http://schemas.microsoft.com/office/drawing/2015/06/chart">
            <c:ext xmlns:c16="http://schemas.microsoft.com/office/drawing/2014/chart" uri="{C3380CC4-5D6E-409C-BE32-E72D297353CC}">
              <c16:uniqueId val="{00000001-A4F7-4F0E-A680-50D861FAE5E5}"/>
            </c:ext>
          </c:extLst>
        </c:ser>
        <c:dLbls>
          <c:showLegendKey val="0"/>
          <c:showVal val="0"/>
          <c:showCatName val="0"/>
          <c:showSerName val="0"/>
          <c:showPercent val="0"/>
          <c:showBubbleSize val="0"/>
        </c:dLbls>
        <c:marker val="1"/>
        <c:smooth val="0"/>
        <c:axId val="81840384"/>
        <c:axId val="81846272"/>
      </c:lineChart>
      <c:catAx>
        <c:axId val="81840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846272"/>
        <c:crosses val="autoZero"/>
        <c:auto val="1"/>
        <c:lblAlgn val="ctr"/>
        <c:lblOffset val="100"/>
        <c:noMultiLvlLbl val="0"/>
      </c:catAx>
      <c:valAx>
        <c:axId val="8184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840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3546981627296589"/>
          <c:y val="0.17171296296296298"/>
          <c:w val="0.83953018372703414"/>
          <c:h val="0.46651210265383491"/>
        </c:manualLayout>
      </c:layout>
      <c:lineChart>
        <c:grouping val="standard"/>
        <c:varyColors val="0"/>
        <c:ser>
          <c:idx val="0"/>
          <c:order val="0"/>
          <c:tx>
            <c:strRef>
              <c:f>Sheet1!$B$1</c:f>
              <c:strCache>
                <c:ptCount val="1"/>
                <c:pt idx="0">
                  <c:v>Валютний курс USD/PLN </c:v>
                </c:pt>
              </c:strCache>
            </c:strRef>
          </c:tx>
          <c:spPr>
            <a:ln w="28575" cap="rnd">
              <a:solidFill>
                <a:schemeClr val="dk1">
                  <a:tint val="88500"/>
                </a:schemeClr>
              </a:solidFill>
              <a:round/>
            </a:ln>
            <a:effectLst/>
          </c:spPr>
          <c:marker>
            <c:symbol val="none"/>
          </c:marker>
          <c:cat>
            <c:strRef>
              <c:f>Sheet1!$A$2:$A$27</c:f>
              <c:strCache>
                <c:ptCount val="26"/>
                <c:pt idx="0">
                  <c:v> 31.01.2019</c:v>
                </c:pt>
                <c:pt idx="1">
                  <c:v> 28.02.2019</c:v>
                </c:pt>
                <c:pt idx="2">
                  <c:v>31.03.2019</c:v>
                </c:pt>
                <c:pt idx="3">
                  <c:v>30.04.2019</c:v>
                </c:pt>
                <c:pt idx="4">
                  <c:v>31.05.2019</c:v>
                </c:pt>
                <c:pt idx="5">
                  <c:v> 30.06.2019</c:v>
                </c:pt>
                <c:pt idx="6">
                  <c:v>31.07.2019</c:v>
                </c:pt>
                <c:pt idx="7">
                  <c:v> 31.08.2019</c:v>
                </c:pt>
                <c:pt idx="8">
                  <c:v>30.09.2019</c:v>
                </c:pt>
                <c:pt idx="9">
                  <c:v> 31.10.2019</c:v>
                </c:pt>
                <c:pt idx="10">
                  <c:v>30.11.2019</c:v>
                </c:pt>
                <c:pt idx="11">
                  <c:v>31.12.2019</c:v>
                </c:pt>
                <c:pt idx="12">
                  <c:v> 31.01.2020</c:v>
                </c:pt>
                <c:pt idx="13">
                  <c:v> 29.02.2020</c:v>
                </c:pt>
                <c:pt idx="14">
                  <c:v> 31.03.2020</c:v>
                </c:pt>
                <c:pt idx="15">
                  <c:v>30.04.2020</c:v>
                </c:pt>
                <c:pt idx="16">
                  <c:v>31.05.2020</c:v>
                </c:pt>
                <c:pt idx="17">
                  <c:v>30.06.2020</c:v>
                </c:pt>
                <c:pt idx="18">
                  <c:v>31.07.2020</c:v>
                </c:pt>
                <c:pt idx="19">
                  <c:v>31.08.2020</c:v>
                </c:pt>
                <c:pt idx="20">
                  <c:v>30.09.2020</c:v>
                </c:pt>
                <c:pt idx="21">
                  <c:v> 31.10.2020</c:v>
                </c:pt>
                <c:pt idx="22">
                  <c:v> 30.11.2020</c:v>
                </c:pt>
                <c:pt idx="23">
                  <c:v> 31.12.2020</c:v>
                </c:pt>
                <c:pt idx="24">
                  <c:v> 31.01.2021</c:v>
                </c:pt>
                <c:pt idx="25">
                  <c:v> 28.02.2021</c:v>
                </c:pt>
              </c:strCache>
            </c:strRef>
          </c:cat>
          <c:val>
            <c:numRef>
              <c:f>Sheet1!$B$2:$B$27</c:f>
              <c:numCache>
                <c:formatCode>General</c:formatCode>
                <c:ptCount val="26"/>
                <c:pt idx="0">
                  <c:v>3.7271000000000001</c:v>
                </c:pt>
                <c:pt idx="1">
                  <c:v>3.7852999999999999</c:v>
                </c:pt>
                <c:pt idx="2">
                  <c:v>3.8365</c:v>
                </c:pt>
                <c:pt idx="3">
                  <c:v>3.8290999999999999</c:v>
                </c:pt>
                <c:pt idx="4">
                  <c:v>3.8498000000000001</c:v>
                </c:pt>
                <c:pt idx="5">
                  <c:v>3.7336</c:v>
                </c:pt>
                <c:pt idx="6">
                  <c:v>3.8504</c:v>
                </c:pt>
                <c:pt idx="7">
                  <c:v>3.9716999999999998</c:v>
                </c:pt>
                <c:pt idx="8">
                  <c:v>4</c:v>
                </c:pt>
                <c:pt idx="9">
                  <c:v>3.8174000000000001</c:v>
                </c:pt>
                <c:pt idx="10">
                  <c:v>3.9287999999999998</c:v>
                </c:pt>
                <c:pt idx="11">
                  <c:v>3.7976999999999999</c:v>
                </c:pt>
                <c:pt idx="12">
                  <c:v>3.8999000000000001</c:v>
                </c:pt>
                <c:pt idx="13">
                  <c:v>3.9255</c:v>
                </c:pt>
                <c:pt idx="14">
                  <c:v>4.1466000000000003</c:v>
                </c:pt>
                <c:pt idx="15">
                  <c:v>4.1729000000000003</c:v>
                </c:pt>
                <c:pt idx="16">
                  <c:v>4.0030999999999999</c:v>
                </c:pt>
                <c:pt idx="17">
                  <c:v>3.9805999999999999</c:v>
                </c:pt>
                <c:pt idx="18">
                  <c:v>3.7166000000000001</c:v>
                </c:pt>
                <c:pt idx="19">
                  <c:v>3.6924000000000001</c:v>
                </c:pt>
                <c:pt idx="20">
                  <c:v>3.8658000000000001</c:v>
                </c:pt>
                <c:pt idx="21">
                  <c:v>3.9563000000000001</c:v>
                </c:pt>
                <c:pt idx="22">
                  <c:v>3.7364000000000002</c:v>
                </c:pt>
                <c:pt idx="23">
                  <c:v>3.7584</c:v>
                </c:pt>
                <c:pt idx="24">
                  <c:v>3.746</c:v>
                </c:pt>
                <c:pt idx="25">
                  <c:v>3.7246999999999999</c:v>
                </c:pt>
              </c:numCache>
            </c:numRef>
          </c:val>
          <c:smooth val="0"/>
          <c:extLst xmlns:c16r2="http://schemas.microsoft.com/office/drawing/2015/06/chart">
            <c:ext xmlns:c16="http://schemas.microsoft.com/office/drawing/2014/chart" uri="{C3380CC4-5D6E-409C-BE32-E72D297353CC}">
              <c16:uniqueId val="{00000000-0553-466B-8025-404D011149B9}"/>
            </c:ext>
          </c:extLst>
        </c:ser>
        <c:dLbls>
          <c:showLegendKey val="0"/>
          <c:showVal val="0"/>
          <c:showCatName val="0"/>
          <c:showSerName val="0"/>
          <c:showPercent val="0"/>
          <c:showBubbleSize val="0"/>
        </c:dLbls>
        <c:marker val="1"/>
        <c:smooth val="0"/>
        <c:axId val="81651968"/>
        <c:axId val="81727488"/>
      </c:lineChart>
      <c:lineChart>
        <c:grouping val="standard"/>
        <c:varyColors val="0"/>
        <c:ser>
          <c:idx val="1"/>
          <c:order val="1"/>
          <c:tx>
            <c:strRef>
              <c:f>Sheet1!$C$1</c:f>
              <c:strCache>
                <c:ptCount val="1"/>
                <c:pt idx="0">
                  <c:v>Грошова масса M1 у мільйонах злотих (по правій осі)</c:v>
                </c:pt>
              </c:strCache>
            </c:strRef>
          </c:tx>
          <c:spPr>
            <a:ln w="28575" cap="rnd">
              <a:solidFill>
                <a:schemeClr val="dk1">
                  <a:tint val="55000"/>
                </a:schemeClr>
              </a:solidFill>
              <a:round/>
            </a:ln>
            <a:effectLst/>
          </c:spPr>
          <c:marker>
            <c:symbol val="none"/>
          </c:marker>
          <c:cat>
            <c:strRef>
              <c:f>Sheet1!$A$2:$A$27</c:f>
              <c:strCache>
                <c:ptCount val="26"/>
                <c:pt idx="0">
                  <c:v> 31.01.2019</c:v>
                </c:pt>
                <c:pt idx="1">
                  <c:v> 28.02.2019</c:v>
                </c:pt>
                <c:pt idx="2">
                  <c:v>31.03.2019</c:v>
                </c:pt>
                <c:pt idx="3">
                  <c:v>30.04.2019</c:v>
                </c:pt>
                <c:pt idx="4">
                  <c:v>31.05.2019</c:v>
                </c:pt>
                <c:pt idx="5">
                  <c:v> 30.06.2019</c:v>
                </c:pt>
                <c:pt idx="6">
                  <c:v>31.07.2019</c:v>
                </c:pt>
                <c:pt idx="7">
                  <c:v> 31.08.2019</c:v>
                </c:pt>
                <c:pt idx="8">
                  <c:v>30.09.2019</c:v>
                </c:pt>
                <c:pt idx="9">
                  <c:v> 31.10.2019</c:v>
                </c:pt>
                <c:pt idx="10">
                  <c:v>30.11.2019</c:v>
                </c:pt>
                <c:pt idx="11">
                  <c:v>31.12.2019</c:v>
                </c:pt>
                <c:pt idx="12">
                  <c:v> 31.01.2020</c:v>
                </c:pt>
                <c:pt idx="13">
                  <c:v> 29.02.2020</c:v>
                </c:pt>
                <c:pt idx="14">
                  <c:v> 31.03.2020</c:v>
                </c:pt>
                <c:pt idx="15">
                  <c:v>30.04.2020</c:v>
                </c:pt>
                <c:pt idx="16">
                  <c:v>31.05.2020</c:v>
                </c:pt>
                <c:pt idx="17">
                  <c:v>30.06.2020</c:v>
                </c:pt>
                <c:pt idx="18">
                  <c:v>31.07.2020</c:v>
                </c:pt>
                <c:pt idx="19">
                  <c:v>31.08.2020</c:v>
                </c:pt>
                <c:pt idx="20">
                  <c:v>30.09.2020</c:v>
                </c:pt>
                <c:pt idx="21">
                  <c:v> 31.10.2020</c:v>
                </c:pt>
                <c:pt idx="22">
                  <c:v> 30.11.2020</c:v>
                </c:pt>
                <c:pt idx="23">
                  <c:v> 31.12.2020</c:v>
                </c:pt>
                <c:pt idx="24">
                  <c:v> 31.01.2021</c:v>
                </c:pt>
                <c:pt idx="25">
                  <c:v> 28.02.2021</c:v>
                </c:pt>
              </c:strCache>
            </c:strRef>
          </c:cat>
          <c:val>
            <c:numRef>
              <c:f>Sheet1!$C$2:$C$27</c:f>
              <c:numCache>
                <c:formatCode>General</c:formatCode>
                <c:ptCount val="26"/>
                <c:pt idx="0">
                  <c:v>987020.97499999998</c:v>
                </c:pt>
                <c:pt idx="1">
                  <c:v>1002335.912</c:v>
                </c:pt>
                <c:pt idx="2">
                  <c:v>1010349.268</c:v>
                </c:pt>
                <c:pt idx="3">
                  <c:v>1020811.5060000001</c:v>
                </c:pt>
                <c:pt idx="4">
                  <c:v>1035864.362</c:v>
                </c:pt>
                <c:pt idx="5">
                  <c:v>1046546.986</c:v>
                </c:pt>
                <c:pt idx="6">
                  <c:v>1057089.379</c:v>
                </c:pt>
                <c:pt idx="7">
                  <c:v>1064527.9310000001</c:v>
                </c:pt>
                <c:pt idx="8">
                  <c:v>1082384.4140000001</c:v>
                </c:pt>
                <c:pt idx="9">
                  <c:v>1089792.1100000001</c:v>
                </c:pt>
                <c:pt idx="10">
                  <c:v>1109059.4410000001</c:v>
                </c:pt>
                <c:pt idx="11">
                  <c:v>1154871.5859999999</c:v>
                </c:pt>
                <c:pt idx="12">
                  <c:v>1127700.9620000001</c:v>
                </c:pt>
                <c:pt idx="13">
                  <c:v>1152635.426</c:v>
                </c:pt>
                <c:pt idx="14">
                  <c:v>1224779.7990000001</c:v>
                </c:pt>
                <c:pt idx="15">
                  <c:v>1275591.9469999999</c:v>
                </c:pt>
                <c:pt idx="16">
                  <c:v>1338261.1669999999</c:v>
                </c:pt>
                <c:pt idx="17">
                  <c:v>1395848.3640000001</c:v>
                </c:pt>
                <c:pt idx="18">
                  <c:v>1410037.415</c:v>
                </c:pt>
                <c:pt idx="19">
                  <c:v>1429109.0730000001</c:v>
                </c:pt>
                <c:pt idx="20">
                  <c:v>1454114.652</c:v>
                </c:pt>
                <c:pt idx="21">
                  <c:v>1481052.169</c:v>
                </c:pt>
                <c:pt idx="22">
                  <c:v>1502540.3389999999</c:v>
                </c:pt>
                <c:pt idx="23">
                  <c:v>1531635.956</c:v>
                </c:pt>
                <c:pt idx="24">
                  <c:v>1539598.8019999999</c:v>
                </c:pt>
                <c:pt idx="25">
                  <c:v>1570540.8049999999</c:v>
                </c:pt>
              </c:numCache>
            </c:numRef>
          </c:val>
          <c:smooth val="0"/>
          <c:extLst xmlns:c16r2="http://schemas.microsoft.com/office/drawing/2015/06/chart">
            <c:ext xmlns:c16="http://schemas.microsoft.com/office/drawing/2014/chart" uri="{C3380CC4-5D6E-409C-BE32-E72D297353CC}">
              <c16:uniqueId val="{00000001-0553-466B-8025-404D011149B9}"/>
            </c:ext>
          </c:extLst>
        </c:ser>
        <c:dLbls>
          <c:showLegendKey val="0"/>
          <c:showVal val="0"/>
          <c:showCatName val="0"/>
          <c:showSerName val="0"/>
          <c:showPercent val="0"/>
          <c:showBubbleSize val="0"/>
        </c:dLbls>
        <c:marker val="1"/>
        <c:smooth val="0"/>
        <c:axId val="81730560"/>
        <c:axId val="81729024"/>
      </c:lineChart>
      <c:catAx>
        <c:axId val="81651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727488"/>
        <c:crosses val="autoZero"/>
        <c:auto val="1"/>
        <c:lblAlgn val="ctr"/>
        <c:lblOffset val="100"/>
        <c:noMultiLvlLbl val="0"/>
      </c:catAx>
      <c:valAx>
        <c:axId val="81727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651968"/>
        <c:crosses val="autoZero"/>
        <c:crossBetween val="between"/>
      </c:valAx>
      <c:valAx>
        <c:axId val="8172902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730560"/>
        <c:crosses val="max"/>
        <c:crossBetween val="between"/>
      </c:valAx>
      <c:catAx>
        <c:axId val="81730560"/>
        <c:scaling>
          <c:orientation val="minMax"/>
        </c:scaling>
        <c:delete val="1"/>
        <c:axPos val="b"/>
        <c:numFmt formatCode="General" sourceLinked="1"/>
        <c:majorTickMark val="out"/>
        <c:minorTickMark val="none"/>
        <c:tickLblPos val="nextTo"/>
        <c:crossAx val="8172902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Sheet1!$A$3:$B$3</c:f>
              <c:strCache>
                <c:ptCount val="2"/>
                <c:pt idx="0">
                  <c:v>Кількість зареєстрованих безробітних, всього (на кінець звітного періоду, тис. осіб)</c:v>
                </c:pt>
              </c:strCache>
            </c:strRef>
          </c:tx>
          <c:spPr>
            <a:solidFill>
              <a:schemeClr val="dk1">
                <a:tint val="885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Sheet1!$C$2:$AM$2</c:f>
              <c:numCache>
                <c:formatCode>mm/yyyy</c:formatCode>
                <c:ptCount val="37"/>
                <c:pt idx="0">
                  <c:v>43132</c:v>
                </c:pt>
                <c:pt idx="1">
                  <c:v>43160</c:v>
                </c:pt>
                <c:pt idx="2">
                  <c:v>43191</c:v>
                </c:pt>
                <c:pt idx="3">
                  <c:v>43221</c:v>
                </c:pt>
                <c:pt idx="4">
                  <c:v>43252</c:v>
                </c:pt>
                <c:pt idx="5">
                  <c:v>43282</c:v>
                </c:pt>
                <c:pt idx="6">
                  <c:v>43313</c:v>
                </c:pt>
                <c:pt idx="7">
                  <c:v>43344</c:v>
                </c:pt>
                <c:pt idx="8">
                  <c:v>43374</c:v>
                </c:pt>
                <c:pt idx="9">
                  <c:v>43405</c:v>
                </c:pt>
                <c:pt idx="10">
                  <c:v>43435</c:v>
                </c:pt>
                <c:pt idx="11">
                  <c:v>43466</c:v>
                </c:pt>
                <c:pt idx="12">
                  <c:v>43497</c:v>
                </c:pt>
                <c:pt idx="13">
                  <c:v>43525</c:v>
                </c:pt>
                <c:pt idx="14">
                  <c:v>43556</c:v>
                </c:pt>
                <c:pt idx="15">
                  <c:v>43586</c:v>
                </c:pt>
                <c:pt idx="16">
                  <c:v>43617</c:v>
                </c:pt>
                <c:pt idx="17">
                  <c:v>43647</c:v>
                </c:pt>
                <c:pt idx="18">
                  <c:v>43678</c:v>
                </c:pt>
                <c:pt idx="19">
                  <c:v>43709</c:v>
                </c:pt>
                <c:pt idx="20">
                  <c:v>43739</c:v>
                </c:pt>
                <c:pt idx="21">
                  <c:v>43770</c:v>
                </c:pt>
                <c:pt idx="22">
                  <c:v>43800</c:v>
                </c:pt>
                <c:pt idx="23">
                  <c:v>43831</c:v>
                </c:pt>
                <c:pt idx="24">
                  <c:v>43862</c:v>
                </c:pt>
                <c:pt idx="25">
                  <c:v>43891</c:v>
                </c:pt>
                <c:pt idx="26">
                  <c:v>43922</c:v>
                </c:pt>
                <c:pt idx="27">
                  <c:v>43952</c:v>
                </c:pt>
                <c:pt idx="28">
                  <c:v>43983</c:v>
                </c:pt>
                <c:pt idx="29">
                  <c:v>44013</c:v>
                </c:pt>
                <c:pt idx="30">
                  <c:v>44044</c:v>
                </c:pt>
                <c:pt idx="31">
                  <c:v>44075</c:v>
                </c:pt>
                <c:pt idx="32">
                  <c:v>44105</c:v>
                </c:pt>
                <c:pt idx="33">
                  <c:v>44136</c:v>
                </c:pt>
                <c:pt idx="34">
                  <c:v>44166</c:v>
                </c:pt>
                <c:pt idx="35">
                  <c:v>44197</c:v>
                </c:pt>
                <c:pt idx="36">
                  <c:v>44228</c:v>
                </c:pt>
              </c:numCache>
            </c:numRef>
          </c:cat>
          <c:val>
            <c:numRef>
              <c:f>Sheet1!$C$3:$AM$3</c:f>
              <c:numCache>
                <c:formatCode>0.0</c:formatCode>
                <c:ptCount val="37"/>
                <c:pt idx="0">
                  <c:v>383.73599999999999</c:v>
                </c:pt>
                <c:pt idx="1">
                  <c:v>366.88099999999997</c:v>
                </c:pt>
                <c:pt idx="2">
                  <c:v>326.767</c:v>
                </c:pt>
                <c:pt idx="3">
                  <c:v>316</c:v>
                </c:pt>
                <c:pt idx="4">
                  <c:v>303.89999999999998</c:v>
                </c:pt>
                <c:pt idx="5">
                  <c:v>298</c:v>
                </c:pt>
                <c:pt idx="6">
                  <c:v>292.8</c:v>
                </c:pt>
                <c:pt idx="7">
                  <c:v>287.10000000000002</c:v>
                </c:pt>
                <c:pt idx="8">
                  <c:v>271.39999999999998</c:v>
                </c:pt>
                <c:pt idx="9">
                  <c:v>301.00099999999998</c:v>
                </c:pt>
                <c:pt idx="10">
                  <c:v>341.65199999999999</c:v>
                </c:pt>
                <c:pt idx="11">
                  <c:v>364.3</c:v>
                </c:pt>
                <c:pt idx="12">
                  <c:v>367.01100000000002</c:v>
                </c:pt>
                <c:pt idx="13">
                  <c:v>340.72800000000001</c:v>
                </c:pt>
                <c:pt idx="14">
                  <c:v>311.35199999999998</c:v>
                </c:pt>
                <c:pt idx="15">
                  <c:v>300.875</c:v>
                </c:pt>
                <c:pt idx="16">
                  <c:v>287.08600000000001</c:v>
                </c:pt>
                <c:pt idx="17">
                  <c:v>280.82499999999999</c:v>
                </c:pt>
                <c:pt idx="18">
                  <c:v>274.988</c:v>
                </c:pt>
                <c:pt idx="19">
                  <c:v>268.18799999999999</c:v>
                </c:pt>
                <c:pt idx="20">
                  <c:v>259.33800000000002</c:v>
                </c:pt>
                <c:pt idx="21">
                  <c:v>288.87200000000001</c:v>
                </c:pt>
                <c:pt idx="22">
                  <c:v>338.16300000000001</c:v>
                </c:pt>
                <c:pt idx="23">
                  <c:v>373.17599999999999</c:v>
                </c:pt>
                <c:pt idx="24">
                  <c:v>376.779</c:v>
                </c:pt>
                <c:pt idx="25">
                  <c:v>349.42399999999998</c:v>
                </c:pt>
                <c:pt idx="26">
                  <c:v>457.005</c:v>
                </c:pt>
                <c:pt idx="27">
                  <c:v>511.38799999999998</c:v>
                </c:pt>
                <c:pt idx="28">
                  <c:v>517.70399999999995</c:v>
                </c:pt>
                <c:pt idx="29">
                  <c:v>505.97500000000002</c:v>
                </c:pt>
                <c:pt idx="30">
                  <c:v>473.96100000000001</c:v>
                </c:pt>
                <c:pt idx="31">
                  <c:v>433.38200000000001</c:v>
                </c:pt>
                <c:pt idx="32">
                  <c:v>399.48599999999999</c:v>
                </c:pt>
                <c:pt idx="33">
                  <c:v>408.83699999999999</c:v>
                </c:pt>
                <c:pt idx="34">
                  <c:v>459.2</c:v>
                </c:pt>
                <c:pt idx="35">
                  <c:v>488.03800000000001</c:v>
                </c:pt>
                <c:pt idx="36">
                  <c:v>489.6</c:v>
                </c:pt>
              </c:numCache>
            </c:numRef>
          </c:val>
          <c:extLst xmlns:c16r2="http://schemas.microsoft.com/office/drawing/2015/06/chart">
            <c:ext xmlns:c16="http://schemas.microsoft.com/office/drawing/2014/chart" uri="{C3380CC4-5D6E-409C-BE32-E72D297353CC}">
              <c16:uniqueId val="{00000000-EB5A-4076-B2A3-15C3DC93967D}"/>
            </c:ext>
          </c:extLst>
        </c:ser>
        <c:dLbls>
          <c:dLblPos val="outEnd"/>
          <c:showLegendKey val="0"/>
          <c:showVal val="1"/>
          <c:showCatName val="0"/>
          <c:showSerName val="0"/>
          <c:showPercent val="0"/>
          <c:showBubbleSize val="0"/>
        </c:dLbls>
        <c:gapWidth val="444"/>
        <c:overlap val="-90"/>
        <c:axId val="81754752"/>
        <c:axId val="81757696"/>
      </c:barChart>
      <c:dateAx>
        <c:axId val="81754752"/>
        <c:scaling>
          <c:orientation val="minMax"/>
        </c:scaling>
        <c:delete val="0"/>
        <c:axPos val="b"/>
        <c:numFmt formatCode="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81757696"/>
        <c:crosses val="autoZero"/>
        <c:auto val="1"/>
        <c:lblOffset val="100"/>
        <c:baseTimeUnit val="months"/>
      </c:dateAx>
      <c:valAx>
        <c:axId val="81757696"/>
        <c:scaling>
          <c:orientation val="minMax"/>
        </c:scaling>
        <c:delete val="1"/>
        <c:axPos val="l"/>
        <c:numFmt formatCode="0.0" sourceLinked="1"/>
        <c:majorTickMark val="none"/>
        <c:minorTickMark val="none"/>
        <c:tickLblPos val="nextTo"/>
        <c:crossAx val="81754752"/>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dLbl>
              <c:idx val="24"/>
              <c:layout>
                <c:manualLayout>
                  <c:x val="-8.1958815695114713E-3"/>
                  <c:y val="7.3896175872898576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F8D-4BF0-AB87-BDFF1ECB8DD8}"/>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Sheet1!$A$1:$A$27</c:f>
              <c:strCache>
                <c:ptCount val="27"/>
                <c:pt idx="0">
                  <c:v> 31.01.2019</c:v>
                </c:pt>
                <c:pt idx="1">
                  <c:v> 28.02.2019</c:v>
                </c:pt>
                <c:pt idx="2">
                  <c:v>31.03.2019</c:v>
                </c:pt>
                <c:pt idx="3">
                  <c:v>30.04.2019</c:v>
                </c:pt>
                <c:pt idx="4">
                  <c:v>31.05.2019</c:v>
                </c:pt>
                <c:pt idx="5">
                  <c:v> 30.06.2019</c:v>
                </c:pt>
                <c:pt idx="6">
                  <c:v>31.07.2019</c:v>
                </c:pt>
                <c:pt idx="7">
                  <c:v> 31.08.2019</c:v>
                </c:pt>
                <c:pt idx="8">
                  <c:v>30.09.2019</c:v>
                </c:pt>
                <c:pt idx="9">
                  <c:v> 31.10.2019</c:v>
                </c:pt>
                <c:pt idx="10">
                  <c:v>30.11.2019</c:v>
                </c:pt>
                <c:pt idx="11">
                  <c:v>31.12.2019</c:v>
                </c:pt>
                <c:pt idx="12">
                  <c:v> 31.01.2020</c:v>
                </c:pt>
                <c:pt idx="13">
                  <c:v> 29.02.2020</c:v>
                </c:pt>
                <c:pt idx="14">
                  <c:v> 31.03.2020</c:v>
                </c:pt>
                <c:pt idx="15">
                  <c:v>30.04.2020</c:v>
                </c:pt>
                <c:pt idx="16">
                  <c:v>31.05.2020</c:v>
                </c:pt>
                <c:pt idx="17">
                  <c:v>30.06.2020</c:v>
                </c:pt>
                <c:pt idx="18">
                  <c:v>31.07.2020</c:v>
                </c:pt>
                <c:pt idx="19">
                  <c:v>31.08.2020</c:v>
                </c:pt>
                <c:pt idx="20">
                  <c:v>30.09.2020</c:v>
                </c:pt>
                <c:pt idx="21">
                  <c:v> 31.10.2020</c:v>
                </c:pt>
                <c:pt idx="22">
                  <c:v> 30.11.2020</c:v>
                </c:pt>
                <c:pt idx="23">
                  <c:v> 31.12.2020</c:v>
                </c:pt>
                <c:pt idx="24">
                  <c:v>31.01.2021</c:v>
                </c:pt>
                <c:pt idx="25">
                  <c:v>28.02.2021</c:v>
                </c:pt>
                <c:pt idx="26">
                  <c:v>31.03.2021</c:v>
                </c:pt>
              </c:strCache>
            </c:strRef>
          </c:cat>
          <c:val>
            <c:numRef>
              <c:f>Sheet1!$B$1:$B$27</c:f>
              <c:numCache>
                <c:formatCode>General</c:formatCode>
                <c:ptCount val="27"/>
                <c:pt idx="0">
                  <c:v>123962</c:v>
                </c:pt>
                <c:pt idx="1">
                  <c:v>119473</c:v>
                </c:pt>
                <c:pt idx="2">
                  <c:v>112341</c:v>
                </c:pt>
                <c:pt idx="3">
                  <c:v>107298</c:v>
                </c:pt>
                <c:pt idx="4">
                  <c:v>101370</c:v>
                </c:pt>
                <c:pt idx="5">
                  <c:v>97222</c:v>
                </c:pt>
                <c:pt idx="6">
                  <c:v>97578</c:v>
                </c:pt>
                <c:pt idx="7">
                  <c:v>99522</c:v>
                </c:pt>
                <c:pt idx="8">
                  <c:v>99098</c:v>
                </c:pt>
                <c:pt idx="9">
                  <c:v>101684</c:v>
                </c:pt>
                <c:pt idx="10">
                  <c:v>106330</c:v>
                </c:pt>
                <c:pt idx="11">
                  <c:v>117277</c:v>
                </c:pt>
                <c:pt idx="12">
                  <c:v>121018</c:v>
                </c:pt>
                <c:pt idx="13">
                  <c:v>117822</c:v>
                </c:pt>
                <c:pt idx="14">
                  <c:v>135624</c:v>
                </c:pt>
                <c:pt idx="15">
                  <c:v>153413</c:v>
                </c:pt>
                <c:pt idx="16">
                  <c:v>155998</c:v>
                </c:pt>
                <c:pt idx="17">
                  <c:v>150289</c:v>
                </c:pt>
                <c:pt idx="18">
                  <c:v>148870</c:v>
                </c:pt>
                <c:pt idx="19">
                  <c:v>151111</c:v>
                </c:pt>
                <c:pt idx="20">
                  <c:v>148560</c:v>
                </c:pt>
                <c:pt idx="21">
                  <c:v>149118</c:v>
                </c:pt>
                <c:pt idx="22">
                  <c:v>153270</c:v>
                </c:pt>
                <c:pt idx="23">
                  <c:v>163545</c:v>
                </c:pt>
                <c:pt idx="24">
                  <c:v>169753</c:v>
                </c:pt>
                <c:pt idx="25">
                  <c:v>167953</c:v>
                </c:pt>
                <c:pt idx="26">
                  <c:v>157968</c:v>
                </c:pt>
              </c:numCache>
            </c:numRef>
          </c:val>
          <c:extLst xmlns:c16r2="http://schemas.microsoft.com/office/drawing/2015/06/chart">
            <c:ext xmlns:c16="http://schemas.microsoft.com/office/drawing/2014/chart" uri="{C3380CC4-5D6E-409C-BE32-E72D297353CC}">
              <c16:uniqueId val="{00000001-1F8D-4BF0-AB87-BDFF1ECB8DD8}"/>
            </c:ext>
          </c:extLst>
        </c:ser>
        <c:dLbls>
          <c:dLblPos val="outEnd"/>
          <c:showLegendKey val="0"/>
          <c:showVal val="1"/>
          <c:showCatName val="0"/>
          <c:showSerName val="0"/>
          <c:showPercent val="0"/>
          <c:showBubbleSize val="0"/>
        </c:dLbls>
        <c:gapWidth val="444"/>
        <c:overlap val="-90"/>
        <c:axId val="81998976"/>
        <c:axId val="82001920"/>
      </c:barChart>
      <c:catAx>
        <c:axId val="819989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82001920"/>
        <c:crosses val="autoZero"/>
        <c:auto val="1"/>
        <c:lblAlgn val="ctr"/>
        <c:lblOffset val="100"/>
        <c:noMultiLvlLbl val="0"/>
      </c:catAx>
      <c:valAx>
        <c:axId val="82001920"/>
        <c:scaling>
          <c:orientation val="minMax"/>
        </c:scaling>
        <c:delete val="1"/>
        <c:axPos val="l"/>
        <c:numFmt formatCode="General" sourceLinked="1"/>
        <c:majorTickMark val="none"/>
        <c:minorTickMark val="none"/>
        <c:tickLblPos val="nextTo"/>
        <c:crossAx val="81998976"/>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Sheet1!$A$1:$H$2</c:f>
              <c:multiLvlStrCache>
                <c:ptCount val="8"/>
                <c:lvl>
                  <c:pt idx="0">
                    <c:v>I Q</c:v>
                  </c:pt>
                  <c:pt idx="1">
                    <c:v>II Q</c:v>
                  </c:pt>
                  <c:pt idx="2">
                    <c:v>III Q</c:v>
                  </c:pt>
                  <c:pt idx="3">
                    <c:v>IV Q</c:v>
                  </c:pt>
                  <c:pt idx="4">
                    <c:v>I Q</c:v>
                  </c:pt>
                  <c:pt idx="5">
                    <c:v>II Q</c:v>
                  </c:pt>
                  <c:pt idx="6">
                    <c:v>III Q</c:v>
                  </c:pt>
                  <c:pt idx="7">
                    <c:v>IV Q</c:v>
                  </c:pt>
                </c:lvl>
                <c:lvl>
                  <c:pt idx="0">
                    <c:v>2019</c:v>
                  </c:pt>
                  <c:pt idx="4">
                    <c:v>2020</c:v>
                  </c:pt>
                </c:lvl>
              </c:multiLvlStrCache>
            </c:multiLvlStrRef>
          </c:cat>
          <c:val>
            <c:numRef>
              <c:f>Sheet1!$A$3:$H$3</c:f>
              <c:numCache>
                <c:formatCode>General</c:formatCode>
                <c:ptCount val="8"/>
                <c:pt idx="0">
                  <c:v>984.7</c:v>
                </c:pt>
                <c:pt idx="1">
                  <c:v>877.1</c:v>
                </c:pt>
                <c:pt idx="2">
                  <c:v>851.2</c:v>
                </c:pt>
                <c:pt idx="3">
                  <c:v>866.4</c:v>
                </c:pt>
                <c:pt idx="4">
                  <c:v>909.4</c:v>
                </c:pt>
                <c:pt idx="5">
                  <c:v>1026.5</c:v>
                </c:pt>
                <c:pt idx="6">
                  <c:v>1023.7</c:v>
                </c:pt>
                <c:pt idx="7">
                  <c:v>1046.4000000000001</c:v>
                </c:pt>
              </c:numCache>
            </c:numRef>
          </c:val>
          <c:extLst xmlns:c16r2="http://schemas.microsoft.com/office/drawing/2015/06/chart">
            <c:ext xmlns:c16="http://schemas.microsoft.com/office/drawing/2014/chart" uri="{C3380CC4-5D6E-409C-BE32-E72D297353CC}">
              <c16:uniqueId val="{00000000-43C6-43AB-A348-225259281258}"/>
            </c:ext>
          </c:extLst>
        </c:ser>
        <c:dLbls>
          <c:dLblPos val="outEnd"/>
          <c:showLegendKey val="0"/>
          <c:showVal val="1"/>
          <c:showCatName val="0"/>
          <c:showSerName val="0"/>
          <c:showPercent val="0"/>
          <c:showBubbleSize val="0"/>
        </c:dLbls>
        <c:gapWidth val="219"/>
        <c:overlap val="-27"/>
        <c:axId val="82008320"/>
        <c:axId val="82117760"/>
      </c:barChart>
      <c:catAx>
        <c:axId val="82008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117760"/>
        <c:crosses val="autoZero"/>
        <c:auto val="1"/>
        <c:lblAlgn val="ctr"/>
        <c:lblOffset val="100"/>
        <c:noMultiLvlLbl val="0"/>
      </c:catAx>
      <c:valAx>
        <c:axId val="82117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0083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'торгівельний баланс та балансп '!$A$7</c:f>
              <c:strCache>
                <c:ptCount val="1"/>
                <c:pt idx="0">
                  <c:v>Рахунок з поточних операцій </c:v>
                </c:pt>
              </c:strCache>
            </c:strRef>
          </c:tx>
          <c:spPr>
            <a:solidFill>
              <a:schemeClr val="accent1"/>
            </a:solidFill>
            <a:ln>
              <a:noFill/>
            </a:ln>
            <a:effectLst/>
          </c:spPr>
          <c:invertIfNegative val="0"/>
          <c:cat>
            <c:strRef>
              <c:f>'торгівельний баланс та балансп '!$B$6:$I$6</c:f>
              <c:strCache>
                <c:ptCount val="8"/>
                <c:pt idx="0">
                  <c:v>2019 Q1</c:v>
                </c:pt>
                <c:pt idx="1">
                  <c:v>2019 Q2</c:v>
                </c:pt>
                <c:pt idx="2">
                  <c:v>2019 Q3</c:v>
                </c:pt>
                <c:pt idx="3">
                  <c:v>2019 Q4</c:v>
                </c:pt>
                <c:pt idx="4">
                  <c:v>2020 Q1</c:v>
                </c:pt>
                <c:pt idx="5">
                  <c:v>2020 Q2</c:v>
                </c:pt>
                <c:pt idx="6">
                  <c:v>2020 Q3</c:v>
                </c:pt>
                <c:pt idx="7">
                  <c:v>2020 Q4</c:v>
                </c:pt>
              </c:strCache>
            </c:strRef>
          </c:cat>
          <c:val>
            <c:numRef>
              <c:f>'торгівельний баланс та балансп '!$B$7:$I$7</c:f>
              <c:numCache>
                <c:formatCode>General</c:formatCode>
                <c:ptCount val="8"/>
                <c:pt idx="0">
                  <c:v>-573</c:v>
                </c:pt>
                <c:pt idx="1">
                  <c:v>-1274</c:v>
                </c:pt>
                <c:pt idx="2">
                  <c:v>-3731</c:v>
                </c:pt>
                <c:pt idx="3">
                  <c:v>1454</c:v>
                </c:pt>
                <c:pt idx="4">
                  <c:v>2196</c:v>
                </c:pt>
                <c:pt idx="5">
                  <c:v>2045</c:v>
                </c:pt>
                <c:pt idx="6">
                  <c:v>506</c:v>
                </c:pt>
                <c:pt idx="7">
                  <c:v>1477</c:v>
                </c:pt>
              </c:numCache>
            </c:numRef>
          </c:val>
          <c:extLst xmlns:c16r2="http://schemas.microsoft.com/office/drawing/2015/06/chart">
            <c:ext xmlns:c16="http://schemas.microsoft.com/office/drawing/2014/chart" uri="{C3380CC4-5D6E-409C-BE32-E72D297353CC}">
              <c16:uniqueId val="{00000000-2E15-4797-917A-AC84D59DD2C0}"/>
            </c:ext>
          </c:extLst>
        </c:ser>
        <c:ser>
          <c:idx val="1"/>
          <c:order val="1"/>
          <c:tx>
            <c:strRef>
              <c:f>'торгівельний баланс та балансп '!$A$8</c:f>
              <c:strCache>
                <c:ptCount val="1"/>
                <c:pt idx="0">
                  <c:v>Баланс товарів</c:v>
                </c:pt>
              </c:strCache>
            </c:strRef>
          </c:tx>
          <c:spPr>
            <a:solidFill>
              <a:schemeClr val="accent2"/>
            </a:solidFill>
            <a:ln>
              <a:noFill/>
            </a:ln>
            <a:effectLst/>
          </c:spPr>
          <c:invertIfNegative val="0"/>
          <c:cat>
            <c:strRef>
              <c:f>'торгівельний баланс та балансп '!$B$6:$I$6</c:f>
              <c:strCache>
                <c:ptCount val="8"/>
                <c:pt idx="0">
                  <c:v>2019 Q1</c:v>
                </c:pt>
                <c:pt idx="1">
                  <c:v>2019 Q2</c:v>
                </c:pt>
                <c:pt idx="2">
                  <c:v>2019 Q3</c:v>
                </c:pt>
                <c:pt idx="3">
                  <c:v>2019 Q4</c:v>
                </c:pt>
                <c:pt idx="4">
                  <c:v>2020 Q1</c:v>
                </c:pt>
                <c:pt idx="5">
                  <c:v>2020 Q2</c:v>
                </c:pt>
                <c:pt idx="6">
                  <c:v>2020 Q3</c:v>
                </c:pt>
                <c:pt idx="7">
                  <c:v>2020 Q4</c:v>
                </c:pt>
              </c:strCache>
            </c:strRef>
          </c:cat>
          <c:val>
            <c:numRef>
              <c:f>'торгівельний баланс та балансп '!$B$8:$I$8</c:f>
              <c:numCache>
                <c:formatCode>General</c:formatCode>
                <c:ptCount val="8"/>
                <c:pt idx="0">
                  <c:v>-2245</c:v>
                </c:pt>
                <c:pt idx="1">
                  <c:v>-3232</c:v>
                </c:pt>
                <c:pt idx="2">
                  <c:v>-4455</c:v>
                </c:pt>
                <c:pt idx="3">
                  <c:v>-4329</c:v>
                </c:pt>
                <c:pt idx="4">
                  <c:v>-1626</c:v>
                </c:pt>
                <c:pt idx="5">
                  <c:v>-564</c:v>
                </c:pt>
                <c:pt idx="6">
                  <c:v>-2166</c:v>
                </c:pt>
                <c:pt idx="7">
                  <c:v>-2248</c:v>
                </c:pt>
              </c:numCache>
            </c:numRef>
          </c:val>
          <c:extLst xmlns:c16r2="http://schemas.microsoft.com/office/drawing/2015/06/chart">
            <c:ext xmlns:c16="http://schemas.microsoft.com/office/drawing/2014/chart" uri="{C3380CC4-5D6E-409C-BE32-E72D297353CC}">
              <c16:uniqueId val="{00000001-2E15-4797-917A-AC84D59DD2C0}"/>
            </c:ext>
          </c:extLst>
        </c:ser>
        <c:ser>
          <c:idx val="2"/>
          <c:order val="2"/>
          <c:tx>
            <c:strRef>
              <c:f>'торгівельний баланс та балансп '!$A$9</c:f>
              <c:strCache>
                <c:ptCount val="1"/>
                <c:pt idx="0">
                  <c:v>Баланс послуг</c:v>
                </c:pt>
              </c:strCache>
            </c:strRef>
          </c:tx>
          <c:spPr>
            <a:solidFill>
              <a:schemeClr val="accent3"/>
            </a:solidFill>
            <a:ln>
              <a:noFill/>
            </a:ln>
            <a:effectLst/>
          </c:spPr>
          <c:invertIfNegative val="0"/>
          <c:cat>
            <c:strRef>
              <c:f>'торгівельний баланс та балансп '!$B$6:$I$6</c:f>
              <c:strCache>
                <c:ptCount val="8"/>
                <c:pt idx="0">
                  <c:v>2019 Q1</c:v>
                </c:pt>
                <c:pt idx="1">
                  <c:v>2019 Q2</c:v>
                </c:pt>
                <c:pt idx="2">
                  <c:v>2019 Q3</c:v>
                </c:pt>
                <c:pt idx="3">
                  <c:v>2019 Q4</c:v>
                </c:pt>
                <c:pt idx="4">
                  <c:v>2020 Q1</c:v>
                </c:pt>
                <c:pt idx="5">
                  <c:v>2020 Q2</c:v>
                </c:pt>
                <c:pt idx="6">
                  <c:v>2020 Q3</c:v>
                </c:pt>
                <c:pt idx="7">
                  <c:v>2020 Q4</c:v>
                </c:pt>
              </c:strCache>
            </c:strRef>
          </c:cat>
          <c:val>
            <c:numRef>
              <c:f>'торгівельний баланс та балансп '!$B$9:$I$9</c:f>
              <c:numCache>
                <c:formatCode>General</c:formatCode>
                <c:ptCount val="8"/>
                <c:pt idx="0">
                  <c:v>380</c:v>
                </c:pt>
                <c:pt idx="1">
                  <c:v>309</c:v>
                </c:pt>
                <c:pt idx="2">
                  <c:v>287</c:v>
                </c:pt>
                <c:pt idx="3">
                  <c:v>774</c:v>
                </c:pt>
                <c:pt idx="4">
                  <c:v>682</c:v>
                </c:pt>
                <c:pt idx="5">
                  <c:v>1444</c:v>
                </c:pt>
                <c:pt idx="6">
                  <c:v>1063</c:v>
                </c:pt>
                <c:pt idx="7">
                  <c:v>1625</c:v>
                </c:pt>
              </c:numCache>
            </c:numRef>
          </c:val>
          <c:extLst xmlns:c16r2="http://schemas.microsoft.com/office/drawing/2015/06/chart">
            <c:ext xmlns:c16="http://schemas.microsoft.com/office/drawing/2014/chart" uri="{C3380CC4-5D6E-409C-BE32-E72D297353CC}">
              <c16:uniqueId val="{00000002-2E15-4797-917A-AC84D59DD2C0}"/>
            </c:ext>
          </c:extLst>
        </c:ser>
        <c:dLbls>
          <c:showLegendKey val="0"/>
          <c:showVal val="0"/>
          <c:showCatName val="0"/>
          <c:showSerName val="0"/>
          <c:showPercent val="0"/>
          <c:showBubbleSize val="0"/>
        </c:dLbls>
        <c:gapWidth val="219"/>
        <c:overlap val="-27"/>
        <c:axId val="82148352"/>
        <c:axId val="82158336"/>
      </c:barChart>
      <c:catAx>
        <c:axId val="82148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82158336"/>
        <c:crosses val="autoZero"/>
        <c:auto val="1"/>
        <c:lblAlgn val="ctr"/>
        <c:lblOffset val="100"/>
        <c:noMultiLvlLbl val="0"/>
      </c:catAx>
      <c:valAx>
        <c:axId val="82158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148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'первинний баланс'!$A$6</c:f>
              <c:strCache>
                <c:ptCount val="1"/>
                <c:pt idx="0">
                  <c:v>Баланс первинних доходів</c:v>
                </c:pt>
              </c:strCache>
            </c:strRef>
          </c:tx>
          <c:spPr>
            <a:solidFill>
              <a:schemeClr val="accent1"/>
            </a:solidFill>
            <a:ln>
              <a:noFill/>
            </a:ln>
            <a:effectLst/>
          </c:spPr>
          <c:invertIfNegative val="0"/>
          <c:cat>
            <c:strRef>
              <c:f>'первинний баланс'!$B$5:$I$5</c:f>
              <c:strCache>
                <c:ptCount val="8"/>
                <c:pt idx="0">
                  <c:v>2019 Q1</c:v>
                </c:pt>
                <c:pt idx="1">
                  <c:v>2019 Q2</c:v>
                </c:pt>
                <c:pt idx="2">
                  <c:v>2019 Q3</c:v>
                </c:pt>
                <c:pt idx="3">
                  <c:v>2019 Q4</c:v>
                </c:pt>
                <c:pt idx="4">
                  <c:v>2020 Q1</c:v>
                </c:pt>
                <c:pt idx="5">
                  <c:v>2020 Q2</c:v>
                </c:pt>
                <c:pt idx="6">
                  <c:v>2020 Q3</c:v>
                </c:pt>
                <c:pt idx="7">
                  <c:v>2020 Q4</c:v>
                </c:pt>
              </c:strCache>
            </c:strRef>
          </c:cat>
          <c:val>
            <c:numRef>
              <c:f>'первинний баланс'!$B$6:$I$6</c:f>
              <c:numCache>
                <c:formatCode>General</c:formatCode>
                <c:ptCount val="8"/>
                <c:pt idx="0">
                  <c:v>441</c:v>
                </c:pt>
                <c:pt idx="1">
                  <c:v>801</c:v>
                </c:pt>
                <c:pt idx="2">
                  <c:v>-447</c:v>
                </c:pt>
                <c:pt idx="3">
                  <c:v>1129</c:v>
                </c:pt>
                <c:pt idx="4">
                  <c:v>2298</c:v>
                </c:pt>
                <c:pt idx="5">
                  <c:v>300</c:v>
                </c:pt>
                <c:pt idx="6">
                  <c:v>675</c:v>
                </c:pt>
                <c:pt idx="7">
                  <c:v>979</c:v>
                </c:pt>
              </c:numCache>
            </c:numRef>
          </c:val>
          <c:extLst xmlns:c16r2="http://schemas.microsoft.com/office/drawing/2015/06/chart">
            <c:ext xmlns:c16="http://schemas.microsoft.com/office/drawing/2014/chart" uri="{C3380CC4-5D6E-409C-BE32-E72D297353CC}">
              <c16:uniqueId val="{00000000-DD54-4F76-9A55-8A9B449BDFAF}"/>
            </c:ext>
          </c:extLst>
        </c:ser>
        <c:ser>
          <c:idx val="1"/>
          <c:order val="1"/>
          <c:tx>
            <c:strRef>
              <c:f>'первинний баланс'!$A$7</c:f>
              <c:strCache>
                <c:ptCount val="1"/>
                <c:pt idx="0">
                  <c:v>Оплата праці (баланс)</c:v>
                </c:pt>
              </c:strCache>
            </c:strRef>
          </c:tx>
          <c:spPr>
            <a:solidFill>
              <a:schemeClr val="accent2"/>
            </a:solidFill>
            <a:ln>
              <a:noFill/>
            </a:ln>
            <a:effectLst/>
          </c:spPr>
          <c:invertIfNegative val="0"/>
          <c:cat>
            <c:strRef>
              <c:f>'первинний баланс'!$B$5:$I$5</c:f>
              <c:strCache>
                <c:ptCount val="8"/>
                <c:pt idx="0">
                  <c:v>2019 Q1</c:v>
                </c:pt>
                <c:pt idx="1">
                  <c:v>2019 Q2</c:v>
                </c:pt>
                <c:pt idx="2">
                  <c:v>2019 Q3</c:v>
                </c:pt>
                <c:pt idx="3">
                  <c:v>2019 Q4</c:v>
                </c:pt>
                <c:pt idx="4">
                  <c:v>2020 Q1</c:v>
                </c:pt>
                <c:pt idx="5">
                  <c:v>2020 Q2</c:v>
                </c:pt>
                <c:pt idx="6">
                  <c:v>2020 Q3</c:v>
                </c:pt>
                <c:pt idx="7">
                  <c:v>2020 Q4</c:v>
                </c:pt>
              </c:strCache>
            </c:strRef>
          </c:cat>
          <c:val>
            <c:numRef>
              <c:f>'первинний баланс'!$B$7:$I$7</c:f>
              <c:numCache>
                <c:formatCode>General</c:formatCode>
                <c:ptCount val="8"/>
                <c:pt idx="0">
                  <c:v>2867</c:v>
                </c:pt>
                <c:pt idx="1">
                  <c:v>3091</c:v>
                </c:pt>
                <c:pt idx="2">
                  <c:v>3374</c:v>
                </c:pt>
                <c:pt idx="3">
                  <c:v>3422</c:v>
                </c:pt>
                <c:pt idx="4">
                  <c:v>2983</c:v>
                </c:pt>
                <c:pt idx="5">
                  <c:v>2678</c:v>
                </c:pt>
                <c:pt idx="6">
                  <c:v>2967</c:v>
                </c:pt>
                <c:pt idx="7">
                  <c:v>2959</c:v>
                </c:pt>
              </c:numCache>
            </c:numRef>
          </c:val>
          <c:extLst xmlns:c16r2="http://schemas.microsoft.com/office/drawing/2015/06/chart">
            <c:ext xmlns:c16="http://schemas.microsoft.com/office/drawing/2014/chart" uri="{C3380CC4-5D6E-409C-BE32-E72D297353CC}">
              <c16:uniqueId val="{00000001-DD54-4F76-9A55-8A9B449BDFAF}"/>
            </c:ext>
          </c:extLst>
        </c:ser>
        <c:ser>
          <c:idx val="2"/>
          <c:order val="2"/>
          <c:tx>
            <c:strRef>
              <c:f>'первинний баланс'!$A$8</c:f>
              <c:strCache>
                <c:ptCount val="1"/>
                <c:pt idx="0">
                  <c:v>Доходи від інвестицій (баланс)</c:v>
                </c:pt>
              </c:strCache>
            </c:strRef>
          </c:tx>
          <c:spPr>
            <a:solidFill>
              <a:schemeClr val="accent3"/>
            </a:solidFill>
            <a:ln>
              <a:noFill/>
            </a:ln>
            <a:effectLst/>
          </c:spPr>
          <c:invertIfNegative val="0"/>
          <c:cat>
            <c:strRef>
              <c:f>'первинний баланс'!$B$5:$I$5</c:f>
              <c:strCache>
                <c:ptCount val="8"/>
                <c:pt idx="0">
                  <c:v>2019 Q1</c:v>
                </c:pt>
                <c:pt idx="1">
                  <c:v>2019 Q2</c:v>
                </c:pt>
                <c:pt idx="2">
                  <c:v>2019 Q3</c:v>
                </c:pt>
                <c:pt idx="3">
                  <c:v>2019 Q4</c:v>
                </c:pt>
                <c:pt idx="4">
                  <c:v>2020 Q1</c:v>
                </c:pt>
                <c:pt idx="5">
                  <c:v>2020 Q2</c:v>
                </c:pt>
                <c:pt idx="6">
                  <c:v>2020 Q3</c:v>
                </c:pt>
                <c:pt idx="7">
                  <c:v>2020 Q4</c:v>
                </c:pt>
              </c:strCache>
            </c:strRef>
          </c:cat>
          <c:val>
            <c:numRef>
              <c:f>'первинний баланс'!$B$8:$I$8</c:f>
              <c:numCache>
                <c:formatCode>General</c:formatCode>
                <c:ptCount val="8"/>
                <c:pt idx="0">
                  <c:v>-2426</c:v>
                </c:pt>
                <c:pt idx="1">
                  <c:v>-2290</c:v>
                </c:pt>
                <c:pt idx="2">
                  <c:v>-3821</c:v>
                </c:pt>
                <c:pt idx="3">
                  <c:v>-2293</c:v>
                </c:pt>
                <c:pt idx="4">
                  <c:v>-685</c:v>
                </c:pt>
                <c:pt idx="5">
                  <c:v>-2378</c:v>
                </c:pt>
                <c:pt idx="6">
                  <c:v>-2292</c:v>
                </c:pt>
                <c:pt idx="7">
                  <c:v>-1980</c:v>
                </c:pt>
              </c:numCache>
            </c:numRef>
          </c:val>
          <c:extLst xmlns:c16r2="http://schemas.microsoft.com/office/drawing/2015/06/chart">
            <c:ext xmlns:c16="http://schemas.microsoft.com/office/drawing/2014/chart" uri="{C3380CC4-5D6E-409C-BE32-E72D297353CC}">
              <c16:uniqueId val="{00000002-DD54-4F76-9A55-8A9B449BDFAF}"/>
            </c:ext>
          </c:extLst>
        </c:ser>
        <c:dLbls>
          <c:showLegendKey val="0"/>
          <c:showVal val="0"/>
          <c:showCatName val="0"/>
          <c:showSerName val="0"/>
          <c:showPercent val="0"/>
          <c:showBubbleSize val="0"/>
        </c:dLbls>
        <c:gapWidth val="219"/>
        <c:overlap val="-27"/>
        <c:axId val="82340864"/>
        <c:axId val="82342656"/>
      </c:barChart>
      <c:catAx>
        <c:axId val="82340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82342656"/>
        <c:crosses val="autoZero"/>
        <c:auto val="1"/>
        <c:lblAlgn val="ctr"/>
        <c:lblOffset val="100"/>
        <c:noMultiLvlLbl val="0"/>
      </c:catAx>
      <c:valAx>
        <c:axId val="82342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340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'вторинний баланс'!$A$6</c:f>
              <c:strCache>
                <c:ptCount val="1"/>
                <c:pt idx="0">
                  <c:v>Баланс вторинних доходів</c:v>
                </c:pt>
              </c:strCache>
            </c:strRef>
          </c:tx>
          <c:spPr>
            <a:solidFill>
              <a:schemeClr val="accent1"/>
            </a:solidFill>
            <a:ln>
              <a:noFill/>
            </a:ln>
            <a:effectLst/>
          </c:spPr>
          <c:invertIfNegative val="0"/>
          <c:cat>
            <c:strRef>
              <c:f>'вторинний баланс'!$B$5:$I$5</c:f>
              <c:strCache>
                <c:ptCount val="8"/>
                <c:pt idx="0">
                  <c:v>2019 Q1</c:v>
                </c:pt>
                <c:pt idx="1">
                  <c:v>2019 Q2</c:v>
                </c:pt>
                <c:pt idx="2">
                  <c:v>2019 Q3</c:v>
                </c:pt>
                <c:pt idx="3">
                  <c:v>2019 Q4</c:v>
                </c:pt>
                <c:pt idx="4">
                  <c:v>2020 Q1</c:v>
                </c:pt>
                <c:pt idx="5">
                  <c:v>2020 Q2</c:v>
                </c:pt>
                <c:pt idx="6">
                  <c:v>2020 Q3</c:v>
                </c:pt>
                <c:pt idx="7">
                  <c:v>2020 Q4</c:v>
                </c:pt>
              </c:strCache>
            </c:strRef>
          </c:cat>
          <c:val>
            <c:numRef>
              <c:f>'вторинний баланс'!$B$6:$I$6</c:f>
              <c:numCache>
                <c:formatCode>General</c:formatCode>
                <c:ptCount val="8"/>
                <c:pt idx="0">
                  <c:v>851</c:v>
                </c:pt>
                <c:pt idx="1">
                  <c:v>848</c:v>
                </c:pt>
                <c:pt idx="2">
                  <c:v>884</c:v>
                </c:pt>
                <c:pt idx="3">
                  <c:v>3880</c:v>
                </c:pt>
                <c:pt idx="4">
                  <c:v>842</c:v>
                </c:pt>
                <c:pt idx="5">
                  <c:v>865</c:v>
                </c:pt>
                <c:pt idx="6">
                  <c:v>934</c:v>
                </c:pt>
                <c:pt idx="7">
                  <c:v>1121</c:v>
                </c:pt>
              </c:numCache>
            </c:numRef>
          </c:val>
          <c:extLst xmlns:c16r2="http://schemas.microsoft.com/office/drawing/2015/06/chart">
            <c:ext xmlns:c16="http://schemas.microsoft.com/office/drawing/2014/chart" uri="{C3380CC4-5D6E-409C-BE32-E72D297353CC}">
              <c16:uniqueId val="{00000000-D921-4DD3-8E90-BD58CF811F3C}"/>
            </c:ext>
          </c:extLst>
        </c:ser>
        <c:ser>
          <c:idx val="1"/>
          <c:order val="1"/>
          <c:tx>
            <c:strRef>
              <c:f>'вторинний баланс'!$A$7</c:f>
              <c:strCache>
                <c:ptCount val="1"/>
                <c:pt idx="0">
                  <c:v>Рахунок операцій з капіталом</c:v>
                </c:pt>
              </c:strCache>
            </c:strRef>
          </c:tx>
          <c:spPr>
            <a:solidFill>
              <a:schemeClr val="accent2"/>
            </a:solidFill>
            <a:ln>
              <a:noFill/>
            </a:ln>
            <a:effectLst/>
          </c:spPr>
          <c:invertIfNegative val="0"/>
          <c:cat>
            <c:strRef>
              <c:f>'вторинний баланс'!$B$5:$I$5</c:f>
              <c:strCache>
                <c:ptCount val="8"/>
                <c:pt idx="0">
                  <c:v>2019 Q1</c:v>
                </c:pt>
                <c:pt idx="1">
                  <c:v>2019 Q2</c:v>
                </c:pt>
                <c:pt idx="2">
                  <c:v>2019 Q3</c:v>
                </c:pt>
                <c:pt idx="3">
                  <c:v>2019 Q4</c:v>
                </c:pt>
                <c:pt idx="4">
                  <c:v>2020 Q1</c:v>
                </c:pt>
                <c:pt idx="5">
                  <c:v>2020 Q2</c:v>
                </c:pt>
                <c:pt idx="6">
                  <c:v>2020 Q3</c:v>
                </c:pt>
                <c:pt idx="7">
                  <c:v>2020 Q4</c:v>
                </c:pt>
              </c:strCache>
            </c:strRef>
          </c:cat>
          <c:val>
            <c:numRef>
              <c:f>'вторинний баланс'!$B$7:$I$7</c:f>
              <c:numCache>
                <c:formatCode>General</c:formatCode>
                <c:ptCount val="8"/>
                <c:pt idx="0">
                  <c:v>-11</c:v>
                </c:pt>
                <c:pt idx="1">
                  <c:v>7</c:v>
                </c:pt>
                <c:pt idx="2">
                  <c:v>39</c:v>
                </c:pt>
                <c:pt idx="3">
                  <c:v>3</c:v>
                </c:pt>
                <c:pt idx="4">
                  <c:v>5</c:v>
                </c:pt>
                <c:pt idx="5">
                  <c:v>3</c:v>
                </c:pt>
                <c:pt idx="6">
                  <c:v>4</c:v>
                </c:pt>
                <c:pt idx="7">
                  <c:v>-15</c:v>
                </c:pt>
              </c:numCache>
            </c:numRef>
          </c:val>
          <c:extLst xmlns:c16r2="http://schemas.microsoft.com/office/drawing/2015/06/chart">
            <c:ext xmlns:c16="http://schemas.microsoft.com/office/drawing/2014/chart" uri="{C3380CC4-5D6E-409C-BE32-E72D297353CC}">
              <c16:uniqueId val="{00000001-D921-4DD3-8E90-BD58CF811F3C}"/>
            </c:ext>
          </c:extLst>
        </c:ser>
        <c:dLbls>
          <c:showLegendKey val="0"/>
          <c:showVal val="0"/>
          <c:showCatName val="0"/>
          <c:showSerName val="0"/>
          <c:showPercent val="0"/>
          <c:showBubbleSize val="0"/>
        </c:dLbls>
        <c:gapWidth val="219"/>
        <c:axId val="82446208"/>
        <c:axId val="82447744"/>
      </c:barChart>
      <c:catAx>
        <c:axId val="82446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82447744"/>
        <c:crosses val="autoZero"/>
        <c:auto val="1"/>
        <c:lblAlgn val="ctr"/>
        <c:lblOffset val="100"/>
        <c:noMultiLvlLbl val="0"/>
      </c:catAx>
      <c:valAx>
        <c:axId val="82447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446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2817618227829052E-2"/>
          <c:y val="5.3156146179401995E-2"/>
          <c:w val="0.88806649168853891"/>
          <c:h val="0.75592055566224958"/>
        </c:manualLayout>
      </c:layout>
      <c:barChart>
        <c:barDir val="col"/>
        <c:grouping val="clustered"/>
        <c:varyColors val="0"/>
        <c:ser>
          <c:idx val="0"/>
          <c:order val="0"/>
          <c:tx>
            <c:strRef>
              <c:f>'финансовий рахунок'!$A$9</c:f>
              <c:strCache>
                <c:ptCount val="1"/>
                <c:pt idx="0">
                  <c:v>Фінансовий рахунок</c:v>
                </c:pt>
              </c:strCache>
            </c:strRef>
          </c:tx>
          <c:spPr>
            <a:solidFill>
              <a:schemeClr val="accent1"/>
            </a:solidFill>
            <a:ln>
              <a:noFill/>
            </a:ln>
            <a:effectLst/>
          </c:spPr>
          <c:invertIfNegative val="0"/>
          <c:cat>
            <c:strRef>
              <c:f>'финансовий рахунок'!$B$8:$I$8</c:f>
              <c:strCache>
                <c:ptCount val="8"/>
                <c:pt idx="0">
                  <c:v>2019 Q1</c:v>
                </c:pt>
                <c:pt idx="1">
                  <c:v>2019 Q2</c:v>
                </c:pt>
                <c:pt idx="2">
                  <c:v>2019 Q3</c:v>
                </c:pt>
                <c:pt idx="3">
                  <c:v>2019 Q4</c:v>
                </c:pt>
                <c:pt idx="4">
                  <c:v>2020 Q1</c:v>
                </c:pt>
                <c:pt idx="5">
                  <c:v>2020 Q2</c:v>
                </c:pt>
                <c:pt idx="6">
                  <c:v>2020 Q3</c:v>
                </c:pt>
                <c:pt idx="7">
                  <c:v>2020 Q4</c:v>
                </c:pt>
              </c:strCache>
            </c:strRef>
          </c:cat>
          <c:val>
            <c:numRef>
              <c:f>'финансовий рахунок'!$B$9:$I$9</c:f>
              <c:numCache>
                <c:formatCode>General</c:formatCode>
                <c:ptCount val="8"/>
                <c:pt idx="0">
                  <c:v>-913</c:v>
                </c:pt>
                <c:pt idx="1">
                  <c:v>-1682</c:v>
                </c:pt>
                <c:pt idx="2">
                  <c:v>-5146</c:v>
                </c:pt>
                <c:pt idx="3">
                  <c:v>-2325</c:v>
                </c:pt>
                <c:pt idx="4">
                  <c:v>2340</c:v>
                </c:pt>
                <c:pt idx="5">
                  <c:v>707</c:v>
                </c:pt>
                <c:pt idx="6">
                  <c:v>2202</c:v>
                </c:pt>
                <c:pt idx="7">
                  <c:v>-1018</c:v>
                </c:pt>
              </c:numCache>
            </c:numRef>
          </c:val>
          <c:extLst xmlns:c16r2="http://schemas.microsoft.com/office/drawing/2015/06/chart">
            <c:ext xmlns:c16="http://schemas.microsoft.com/office/drawing/2014/chart" uri="{C3380CC4-5D6E-409C-BE32-E72D297353CC}">
              <c16:uniqueId val="{00000000-B983-4811-9F8A-0A1F25F7E1C1}"/>
            </c:ext>
          </c:extLst>
        </c:ser>
        <c:ser>
          <c:idx val="1"/>
          <c:order val="1"/>
          <c:tx>
            <c:strRef>
              <c:f>'финансовий рахунок'!$A$10</c:f>
              <c:strCache>
                <c:ptCount val="1"/>
                <c:pt idx="0">
                  <c:v>Прямі інвестиції (сальдо)</c:v>
                </c:pt>
              </c:strCache>
            </c:strRef>
          </c:tx>
          <c:spPr>
            <a:solidFill>
              <a:schemeClr val="accent2"/>
            </a:solidFill>
            <a:ln>
              <a:noFill/>
            </a:ln>
            <a:effectLst/>
          </c:spPr>
          <c:invertIfNegative val="0"/>
          <c:cat>
            <c:strRef>
              <c:f>'финансовий рахунок'!$B$8:$I$8</c:f>
              <c:strCache>
                <c:ptCount val="8"/>
                <c:pt idx="0">
                  <c:v>2019 Q1</c:v>
                </c:pt>
                <c:pt idx="1">
                  <c:v>2019 Q2</c:v>
                </c:pt>
                <c:pt idx="2">
                  <c:v>2019 Q3</c:v>
                </c:pt>
                <c:pt idx="3">
                  <c:v>2019 Q4</c:v>
                </c:pt>
                <c:pt idx="4">
                  <c:v>2020 Q1</c:v>
                </c:pt>
                <c:pt idx="5">
                  <c:v>2020 Q2</c:v>
                </c:pt>
                <c:pt idx="6">
                  <c:v>2020 Q3</c:v>
                </c:pt>
                <c:pt idx="7">
                  <c:v>2020 Q4</c:v>
                </c:pt>
              </c:strCache>
            </c:strRef>
          </c:cat>
          <c:val>
            <c:numRef>
              <c:f>'финансовий рахунок'!$B$10:$I$10</c:f>
              <c:numCache>
                <c:formatCode>General</c:formatCode>
                <c:ptCount val="8"/>
                <c:pt idx="0">
                  <c:v>-942</c:v>
                </c:pt>
                <c:pt idx="1">
                  <c:v>-1375</c:v>
                </c:pt>
                <c:pt idx="2">
                  <c:v>-1975</c:v>
                </c:pt>
                <c:pt idx="3">
                  <c:v>-920</c:v>
                </c:pt>
                <c:pt idx="4">
                  <c:v>1560</c:v>
                </c:pt>
                <c:pt idx="5">
                  <c:v>-1252</c:v>
                </c:pt>
                <c:pt idx="6">
                  <c:v>97</c:v>
                </c:pt>
                <c:pt idx="7">
                  <c:v>545</c:v>
                </c:pt>
              </c:numCache>
            </c:numRef>
          </c:val>
          <c:extLst xmlns:c16r2="http://schemas.microsoft.com/office/drawing/2015/06/chart">
            <c:ext xmlns:c16="http://schemas.microsoft.com/office/drawing/2014/chart" uri="{C3380CC4-5D6E-409C-BE32-E72D297353CC}">
              <c16:uniqueId val="{00000001-B983-4811-9F8A-0A1F25F7E1C1}"/>
            </c:ext>
          </c:extLst>
        </c:ser>
        <c:ser>
          <c:idx val="2"/>
          <c:order val="2"/>
          <c:tx>
            <c:strRef>
              <c:f>'финансовий рахунок'!$A$11</c:f>
              <c:strCache>
                <c:ptCount val="1"/>
                <c:pt idx="0">
                  <c:v>Портфельні інвестиції (сальдо)</c:v>
                </c:pt>
              </c:strCache>
            </c:strRef>
          </c:tx>
          <c:spPr>
            <a:solidFill>
              <a:schemeClr val="accent3"/>
            </a:solidFill>
            <a:ln>
              <a:noFill/>
            </a:ln>
            <a:effectLst/>
          </c:spPr>
          <c:invertIfNegative val="0"/>
          <c:cat>
            <c:strRef>
              <c:f>'финансовий рахунок'!$B$8:$I$8</c:f>
              <c:strCache>
                <c:ptCount val="8"/>
                <c:pt idx="0">
                  <c:v>2019 Q1</c:v>
                </c:pt>
                <c:pt idx="1">
                  <c:v>2019 Q2</c:v>
                </c:pt>
                <c:pt idx="2">
                  <c:v>2019 Q3</c:v>
                </c:pt>
                <c:pt idx="3">
                  <c:v>2019 Q4</c:v>
                </c:pt>
                <c:pt idx="4">
                  <c:v>2020 Q1</c:v>
                </c:pt>
                <c:pt idx="5">
                  <c:v>2020 Q2</c:v>
                </c:pt>
                <c:pt idx="6">
                  <c:v>2020 Q3</c:v>
                </c:pt>
                <c:pt idx="7">
                  <c:v>2020 Q4</c:v>
                </c:pt>
              </c:strCache>
            </c:strRef>
          </c:cat>
          <c:val>
            <c:numRef>
              <c:f>'финансовий рахунок'!$B$11:$I$11</c:f>
              <c:numCache>
                <c:formatCode>General</c:formatCode>
                <c:ptCount val="8"/>
                <c:pt idx="0">
                  <c:v>-188</c:v>
                </c:pt>
                <c:pt idx="1">
                  <c:v>-1151</c:v>
                </c:pt>
                <c:pt idx="2">
                  <c:v>-2394</c:v>
                </c:pt>
                <c:pt idx="3">
                  <c:v>-1401</c:v>
                </c:pt>
                <c:pt idx="4">
                  <c:v>-1765</c:v>
                </c:pt>
                <c:pt idx="5">
                  <c:v>1906</c:v>
                </c:pt>
                <c:pt idx="6">
                  <c:v>898</c:v>
                </c:pt>
                <c:pt idx="7">
                  <c:v>-210</c:v>
                </c:pt>
              </c:numCache>
            </c:numRef>
          </c:val>
          <c:extLst xmlns:c16r2="http://schemas.microsoft.com/office/drawing/2015/06/chart">
            <c:ext xmlns:c16="http://schemas.microsoft.com/office/drawing/2014/chart" uri="{C3380CC4-5D6E-409C-BE32-E72D297353CC}">
              <c16:uniqueId val="{00000002-B983-4811-9F8A-0A1F25F7E1C1}"/>
            </c:ext>
          </c:extLst>
        </c:ser>
        <c:ser>
          <c:idx val="3"/>
          <c:order val="3"/>
          <c:tx>
            <c:strRef>
              <c:f>'финансовий рахунок'!$A$12</c:f>
              <c:strCache>
                <c:ptCount val="1"/>
                <c:pt idx="0">
                  <c:v>Інші інвестиції (сальдо)</c:v>
                </c:pt>
              </c:strCache>
            </c:strRef>
          </c:tx>
          <c:spPr>
            <a:solidFill>
              <a:schemeClr val="accent4"/>
            </a:solidFill>
            <a:ln>
              <a:noFill/>
            </a:ln>
            <a:effectLst/>
          </c:spPr>
          <c:invertIfNegative val="0"/>
          <c:cat>
            <c:strRef>
              <c:f>'финансовий рахунок'!$B$8:$I$8</c:f>
              <c:strCache>
                <c:ptCount val="8"/>
                <c:pt idx="0">
                  <c:v>2019 Q1</c:v>
                </c:pt>
                <c:pt idx="1">
                  <c:v>2019 Q2</c:v>
                </c:pt>
                <c:pt idx="2">
                  <c:v>2019 Q3</c:v>
                </c:pt>
                <c:pt idx="3">
                  <c:v>2019 Q4</c:v>
                </c:pt>
                <c:pt idx="4">
                  <c:v>2020 Q1</c:v>
                </c:pt>
                <c:pt idx="5">
                  <c:v>2020 Q2</c:v>
                </c:pt>
                <c:pt idx="6">
                  <c:v>2020 Q3</c:v>
                </c:pt>
                <c:pt idx="7">
                  <c:v>2020 Q4</c:v>
                </c:pt>
              </c:strCache>
            </c:strRef>
          </c:cat>
          <c:val>
            <c:numRef>
              <c:f>'финансовий рахунок'!$B$12:$I$12</c:f>
              <c:numCache>
                <c:formatCode>General</c:formatCode>
                <c:ptCount val="8"/>
                <c:pt idx="0">
                  <c:v>609</c:v>
                </c:pt>
                <c:pt idx="1">
                  <c:v>508</c:v>
                </c:pt>
                <c:pt idx="2">
                  <c:v>-153</c:v>
                </c:pt>
                <c:pt idx="3">
                  <c:v>510</c:v>
                </c:pt>
                <c:pt idx="4">
                  <c:v>2924</c:v>
                </c:pt>
                <c:pt idx="5">
                  <c:v>288</c:v>
                </c:pt>
                <c:pt idx="6">
                  <c:v>1180</c:v>
                </c:pt>
                <c:pt idx="7">
                  <c:v>-1353</c:v>
                </c:pt>
              </c:numCache>
            </c:numRef>
          </c:val>
          <c:extLst xmlns:c16r2="http://schemas.microsoft.com/office/drawing/2015/06/chart">
            <c:ext xmlns:c16="http://schemas.microsoft.com/office/drawing/2014/chart" uri="{C3380CC4-5D6E-409C-BE32-E72D297353CC}">
              <c16:uniqueId val="{00000003-B983-4811-9F8A-0A1F25F7E1C1}"/>
            </c:ext>
          </c:extLst>
        </c:ser>
        <c:ser>
          <c:idx val="4"/>
          <c:order val="4"/>
          <c:tx>
            <c:strRef>
              <c:f>'финансовий рахунок'!$A$13</c:f>
              <c:strCache>
                <c:ptCount val="1"/>
                <c:pt idx="0">
                  <c:v>Резервні активи</c:v>
                </c:pt>
              </c:strCache>
            </c:strRef>
          </c:tx>
          <c:spPr>
            <a:solidFill>
              <a:schemeClr val="accent5"/>
            </a:solidFill>
            <a:ln>
              <a:noFill/>
            </a:ln>
            <a:effectLst/>
          </c:spPr>
          <c:invertIfNegative val="0"/>
          <c:cat>
            <c:strRef>
              <c:f>'финансовий рахунок'!$B$8:$I$8</c:f>
              <c:strCache>
                <c:ptCount val="8"/>
                <c:pt idx="0">
                  <c:v>2019 Q1</c:v>
                </c:pt>
                <c:pt idx="1">
                  <c:v>2019 Q2</c:v>
                </c:pt>
                <c:pt idx="2">
                  <c:v>2019 Q3</c:v>
                </c:pt>
                <c:pt idx="3">
                  <c:v>2019 Q4</c:v>
                </c:pt>
                <c:pt idx="4">
                  <c:v>2020 Q1</c:v>
                </c:pt>
                <c:pt idx="5">
                  <c:v>2020 Q2</c:v>
                </c:pt>
                <c:pt idx="6">
                  <c:v>2020 Q3</c:v>
                </c:pt>
                <c:pt idx="7">
                  <c:v>2020 Q4</c:v>
                </c:pt>
              </c:strCache>
            </c:strRef>
          </c:cat>
          <c:val>
            <c:numRef>
              <c:f>'финансовий рахунок'!$B$13:$I$13</c:f>
              <c:numCache>
                <c:formatCode>General</c:formatCode>
                <c:ptCount val="8"/>
                <c:pt idx="0">
                  <c:v>-190</c:v>
                </c:pt>
                <c:pt idx="1">
                  <c:v>-99</c:v>
                </c:pt>
                <c:pt idx="2">
                  <c:v>893</c:v>
                </c:pt>
                <c:pt idx="3">
                  <c:v>3782</c:v>
                </c:pt>
                <c:pt idx="4">
                  <c:v>-684</c:v>
                </c:pt>
                <c:pt idx="5">
                  <c:v>3417</c:v>
                </c:pt>
                <c:pt idx="6">
                  <c:v>-2248</c:v>
                </c:pt>
                <c:pt idx="7">
                  <c:v>2480</c:v>
                </c:pt>
              </c:numCache>
            </c:numRef>
          </c:val>
          <c:extLst xmlns:c16r2="http://schemas.microsoft.com/office/drawing/2015/06/chart">
            <c:ext xmlns:c16="http://schemas.microsoft.com/office/drawing/2014/chart" uri="{C3380CC4-5D6E-409C-BE32-E72D297353CC}">
              <c16:uniqueId val="{00000004-B983-4811-9F8A-0A1F25F7E1C1}"/>
            </c:ext>
          </c:extLst>
        </c:ser>
        <c:dLbls>
          <c:showLegendKey val="0"/>
          <c:showVal val="0"/>
          <c:showCatName val="0"/>
          <c:showSerName val="0"/>
          <c:showPercent val="0"/>
          <c:showBubbleSize val="0"/>
        </c:dLbls>
        <c:gapWidth val="219"/>
        <c:overlap val="-27"/>
        <c:axId val="82642432"/>
        <c:axId val="82643968"/>
      </c:barChart>
      <c:catAx>
        <c:axId val="82642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82643968"/>
        <c:crosses val="autoZero"/>
        <c:auto val="1"/>
        <c:lblAlgn val="ctr"/>
        <c:lblOffset val="100"/>
        <c:noMultiLvlLbl val="0"/>
      </c:catAx>
      <c:valAx>
        <c:axId val="82643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642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Sheet1!$B$2</c:f>
              <c:strCache>
                <c:ptCount val="1"/>
                <c:pt idx="0">
                  <c:v>Рахунок з поточних операцій </c:v>
                </c:pt>
              </c:strCache>
            </c:strRef>
          </c:tx>
          <c:spPr>
            <a:solidFill>
              <a:schemeClr val="accent1"/>
            </a:solidFill>
            <a:ln>
              <a:noFill/>
            </a:ln>
            <a:effectLst/>
          </c:spPr>
          <c:invertIfNegative val="0"/>
          <c:cat>
            <c:strRef>
              <c:f>Sheet1!$A$3:$A$10</c:f>
              <c:strCache>
                <c:ptCount val="8"/>
                <c:pt idx="0">
                  <c:v>2019-Q1</c:v>
                </c:pt>
                <c:pt idx="1">
                  <c:v>2019-Q2</c:v>
                </c:pt>
                <c:pt idx="2">
                  <c:v>2019-Q3</c:v>
                </c:pt>
                <c:pt idx="3">
                  <c:v>2019-Q4</c:v>
                </c:pt>
                <c:pt idx="4">
                  <c:v>2020-Q1</c:v>
                </c:pt>
                <c:pt idx="5">
                  <c:v>2020-Q2</c:v>
                </c:pt>
                <c:pt idx="6">
                  <c:v>2020-Q3</c:v>
                </c:pt>
                <c:pt idx="7">
                  <c:v>2020-Q4</c:v>
                </c:pt>
              </c:strCache>
            </c:strRef>
          </c:cat>
          <c:val>
            <c:numRef>
              <c:f>Sheet1!$B$3:$B$10</c:f>
              <c:numCache>
                <c:formatCode>General</c:formatCode>
                <c:ptCount val="8"/>
                <c:pt idx="0">
                  <c:v>7377.8844077150361</c:v>
                </c:pt>
                <c:pt idx="1">
                  <c:v>13226.935419056877</c:v>
                </c:pt>
                <c:pt idx="2">
                  <c:v>11915.70384465704</c:v>
                </c:pt>
                <c:pt idx="3">
                  <c:v>16302.719687832619</c:v>
                </c:pt>
                <c:pt idx="4">
                  <c:v>10157.237966246916</c:v>
                </c:pt>
                <c:pt idx="5">
                  <c:v>7951.5344927931346</c:v>
                </c:pt>
                <c:pt idx="6">
                  <c:v>11499.006609527722</c:v>
                </c:pt>
                <c:pt idx="7">
                  <c:v>-2852.761463375457</c:v>
                </c:pt>
              </c:numCache>
            </c:numRef>
          </c:val>
          <c:extLst xmlns:c16r2="http://schemas.microsoft.com/office/drawing/2015/06/chart">
            <c:ext xmlns:c16="http://schemas.microsoft.com/office/drawing/2014/chart" uri="{C3380CC4-5D6E-409C-BE32-E72D297353CC}">
              <c16:uniqueId val="{00000000-D3A1-4D91-9781-C6744A5C0424}"/>
            </c:ext>
          </c:extLst>
        </c:ser>
        <c:ser>
          <c:idx val="1"/>
          <c:order val="1"/>
          <c:tx>
            <c:strRef>
              <c:f>Sheet1!$C$2</c:f>
              <c:strCache>
                <c:ptCount val="1"/>
                <c:pt idx="0">
                  <c:v>Баланс товарів </c:v>
                </c:pt>
              </c:strCache>
            </c:strRef>
          </c:tx>
          <c:spPr>
            <a:solidFill>
              <a:schemeClr val="accent2"/>
            </a:solidFill>
            <a:ln>
              <a:noFill/>
            </a:ln>
            <a:effectLst/>
          </c:spPr>
          <c:invertIfNegative val="0"/>
          <c:cat>
            <c:strRef>
              <c:f>Sheet1!$A$3:$A$10</c:f>
              <c:strCache>
                <c:ptCount val="8"/>
                <c:pt idx="0">
                  <c:v>2019-Q1</c:v>
                </c:pt>
                <c:pt idx="1">
                  <c:v>2019-Q2</c:v>
                </c:pt>
                <c:pt idx="2">
                  <c:v>2019-Q3</c:v>
                </c:pt>
                <c:pt idx="3">
                  <c:v>2019-Q4</c:v>
                </c:pt>
                <c:pt idx="4">
                  <c:v>2020-Q1</c:v>
                </c:pt>
                <c:pt idx="5">
                  <c:v>2020-Q2</c:v>
                </c:pt>
                <c:pt idx="6">
                  <c:v>2020-Q3</c:v>
                </c:pt>
                <c:pt idx="7">
                  <c:v>2020-Q4</c:v>
                </c:pt>
              </c:strCache>
            </c:strRef>
          </c:cat>
          <c:val>
            <c:numRef>
              <c:f>Sheet1!$C$3:$C$10</c:f>
              <c:numCache>
                <c:formatCode>General</c:formatCode>
                <c:ptCount val="8"/>
                <c:pt idx="0">
                  <c:v>23153.293916989765</c:v>
                </c:pt>
                <c:pt idx="1">
                  <c:v>19494.786845301562</c:v>
                </c:pt>
                <c:pt idx="2">
                  <c:v>20960.272394683743</c:v>
                </c:pt>
                <c:pt idx="3">
                  <c:v>20203.613673808974</c:v>
                </c:pt>
                <c:pt idx="4">
                  <c:v>18670.478612090505</c:v>
                </c:pt>
                <c:pt idx="5">
                  <c:v>14669.530879251504</c:v>
                </c:pt>
                <c:pt idx="6">
                  <c:v>13775.839628923371</c:v>
                </c:pt>
                <c:pt idx="7">
                  <c:v>17639.163242114315</c:v>
                </c:pt>
              </c:numCache>
            </c:numRef>
          </c:val>
          <c:extLst xmlns:c16r2="http://schemas.microsoft.com/office/drawing/2015/06/chart">
            <c:ext xmlns:c16="http://schemas.microsoft.com/office/drawing/2014/chart" uri="{C3380CC4-5D6E-409C-BE32-E72D297353CC}">
              <c16:uniqueId val="{00000001-D3A1-4D91-9781-C6744A5C0424}"/>
            </c:ext>
          </c:extLst>
        </c:ser>
        <c:ser>
          <c:idx val="2"/>
          <c:order val="2"/>
          <c:tx>
            <c:strRef>
              <c:f>Sheet1!$D$2</c:f>
              <c:strCache>
                <c:ptCount val="1"/>
                <c:pt idx="0">
                  <c:v>Баланс послуг (по допоміжній осі) </c:v>
                </c:pt>
              </c:strCache>
            </c:strRef>
          </c:tx>
          <c:spPr>
            <a:solidFill>
              <a:schemeClr val="accent3"/>
            </a:solidFill>
            <a:ln>
              <a:noFill/>
            </a:ln>
            <a:effectLst/>
          </c:spPr>
          <c:invertIfNegative val="0"/>
          <c:cat>
            <c:strRef>
              <c:f>Sheet1!$A$3:$A$10</c:f>
              <c:strCache>
                <c:ptCount val="8"/>
                <c:pt idx="0">
                  <c:v>2019-Q1</c:v>
                </c:pt>
                <c:pt idx="1">
                  <c:v>2019-Q2</c:v>
                </c:pt>
                <c:pt idx="2">
                  <c:v>2019-Q3</c:v>
                </c:pt>
                <c:pt idx="3">
                  <c:v>2019-Q4</c:v>
                </c:pt>
                <c:pt idx="4">
                  <c:v>2020-Q1</c:v>
                </c:pt>
                <c:pt idx="5">
                  <c:v>2020-Q2</c:v>
                </c:pt>
                <c:pt idx="6">
                  <c:v>2020-Q3</c:v>
                </c:pt>
                <c:pt idx="7">
                  <c:v>2020-Q4</c:v>
                </c:pt>
              </c:strCache>
            </c:strRef>
          </c:cat>
          <c:val>
            <c:numRef>
              <c:f>Sheet1!$D$3:$D$10</c:f>
              <c:numCache>
                <c:formatCode>General</c:formatCode>
                <c:ptCount val="8"/>
                <c:pt idx="0">
                  <c:v>5228.596293931535</c:v>
                </c:pt>
                <c:pt idx="1">
                  <c:v>1920.3250857562184</c:v>
                </c:pt>
                <c:pt idx="2">
                  <c:v>1819.0602732601183</c:v>
                </c:pt>
                <c:pt idx="3">
                  <c:v>-201.49388864707743</c:v>
                </c:pt>
                <c:pt idx="4">
                  <c:v>589.30496492849488</c:v>
                </c:pt>
                <c:pt idx="5">
                  <c:v>555.52160826933743</c:v>
                </c:pt>
                <c:pt idx="6">
                  <c:v>224.62572549999223</c:v>
                </c:pt>
                <c:pt idx="7">
                  <c:v>-409.41349802911873</c:v>
                </c:pt>
              </c:numCache>
            </c:numRef>
          </c:val>
          <c:extLst xmlns:c16r2="http://schemas.microsoft.com/office/drawing/2015/06/chart">
            <c:ext xmlns:c16="http://schemas.microsoft.com/office/drawing/2014/chart" uri="{C3380CC4-5D6E-409C-BE32-E72D297353CC}">
              <c16:uniqueId val="{00000002-D3A1-4D91-9781-C6744A5C0424}"/>
            </c:ext>
          </c:extLst>
        </c:ser>
        <c:dLbls>
          <c:showLegendKey val="0"/>
          <c:showVal val="0"/>
          <c:showCatName val="0"/>
          <c:showSerName val="0"/>
          <c:showPercent val="0"/>
          <c:showBubbleSize val="0"/>
        </c:dLbls>
        <c:gapWidth val="219"/>
        <c:overlap val="-27"/>
        <c:axId val="82785792"/>
        <c:axId val="82787328"/>
        <c:extLst xmlns:c16r2="http://schemas.microsoft.com/office/drawing/2015/06/chart">
          <c:ext xmlns:c15="http://schemas.microsoft.com/office/drawing/2012/chart" uri="{02D57815-91ED-43cb-92C2-25804820EDAC}">
            <c15:filteredBarSeries>
              <c15:ser>
                <c:idx val="3"/>
                <c:order val="3"/>
                <c:tx>
                  <c:strRef>
                    <c:extLst>
                      <c:ext uri="{02D57815-91ED-43cb-92C2-25804820EDAC}">
                        <c15:formulaRef>
                          <c15:sqref>Sheet1!$E$2</c15:sqref>
                        </c15:formulaRef>
                      </c:ext>
                    </c:extLst>
                    <c:strCache>
                      <c:ptCount val="1"/>
                    </c:strCache>
                  </c:strRef>
                </c:tx>
                <c:spPr>
                  <a:solidFill>
                    <a:schemeClr val="accent4"/>
                  </a:solidFill>
                  <a:ln>
                    <a:noFill/>
                  </a:ln>
                  <a:effectLst/>
                </c:spPr>
                <c:invertIfNegative val="0"/>
                <c:cat>
                  <c:strRef>
                    <c:extLst>
                      <c:ext uri="{02D57815-91ED-43cb-92C2-25804820EDAC}">
                        <c15:formulaRef>
                          <c15:sqref>Sheet1!$A$3:$A$10</c15:sqref>
                        </c15:formulaRef>
                      </c:ext>
                    </c:extLst>
                    <c:strCache>
                      <c:ptCount val="8"/>
                      <c:pt idx="0">
                        <c:v>2019-Q1</c:v>
                      </c:pt>
                      <c:pt idx="1">
                        <c:v>2019-Q2</c:v>
                      </c:pt>
                      <c:pt idx="2">
                        <c:v>2019-Q3</c:v>
                      </c:pt>
                      <c:pt idx="3">
                        <c:v>2019-Q4</c:v>
                      </c:pt>
                      <c:pt idx="4">
                        <c:v>2020-Q1</c:v>
                      </c:pt>
                      <c:pt idx="5">
                        <c:v>2020-Q2</c:v>
                      </c:pt>
                      <c:pt idx="6">
                        <c:v>2020-Q3</c:v>
                      </c:pt>
                      <c:pt idx="7">
                        <c:v>2020-Q4</c:v>
                      </c:pt>
                    </c:strCache>
                  </c:strRef>
                </c:cat>
                <c:val>
                  <c:numRef>
                    <c:extLst>
                      <c:ext uri="{02D57815-91ED-43cb-92C2-25804820EDAC}">
                        <c15:formulaRef>
                          <c15:sqref>Sheet1!$E$3:$E$10</c15:sqref>
                        </c15:formulaRef>
                      </c:ext>
                    </c:extLst>
                    <c:numCache>
                      <c:formatCode>General</c:formatCode>
                      <c:ptCount val="8"/>
                    </c:numCache>
                  </c:numRef>
                </c:val>
                <c:extLst>
                  <c:ext xmlns:c16="http://schemas.microsoft.com/office/drawing/2014/chart" uri="{C3380CC4-5D6E-409C-BE32-E72D297353CC}">
                    <c16:uniqueId val="{00000003-D3A1-4D91-9781-C6744A5C0424}"/>
                  </c:ext>
                </c:extLst>
              </c15:ser>
            </c15:filteredBarSeries>
          </c:ext>
        </c:extLst>
      </c:barChart>
      <c:catAx>
        <c:axId val="82785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82787328"/>
        <c:crosses val="autoZero"/>
        <c:auto val="1"/>
        <c:lblAlgn val="ctr"/>
        <c:lblOffset val="100"/>
        <c:noMultiLvlLbl val="0"/>
      </c:catAx>
      <c:valAx>
        <c:axId val="82787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7857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Лист2!$B$2</c:f>
              <c:strCache>
                <c:ptCount val="1"/>
                <c:pt idx="0">
                  <c:v>Зовнішній борг (грн)</c:v>
                </c:pt>
              </c:strCache>
            </c:strRef>
          </c:tx>
          <c:spPr>
            <a:ln w="28575" cap="rnd">
              <a:solidFill>
                <a:schemeClr val="dk1">
                  <a:tint val="88500"/>
                </a:schemeClr>
              </a:solidFill>
              <a:round/>
            </a:ln>
            <a:effectLst/>
          </c:spPr>
          <c:marker>
            <c:symbol val="none"/>
          </c:marker>
          <c:cat>
            <c:strRef>
              <c:f>Лист2!$A$3:$A$27</c:f>
              <c:strCache>
                <c:ptCount val="25"/>
                <c:pt idx="0">
                  <c:v> 30.04.2019</c:v>
                </c:pt>
                <c:pt idx="1">
                  <c:v> 31.05.2019</c:v>
                </c:pt>
                <c:pt idx="2">
                  <c:v> 30.06.2019</c:v>
                </c:pt>
                <c:pt idx="3">
                  <c:v>31.07.2019</c:v>
                </c:pt>
                <c:pt idx="4">
                  <c:v> 31.08.2019</c:v>
                </c:pt>
                <c:pt idx="5">
                  <c:v> 30.09.2019</c:v>
                </c:pt>
                <c:pt idx="6">
                  <c:v> 31.10.2019</c:v>
                </c:pt>
                <c:pt idx="7">
                  <c:v> 30.11.2019</c:v>
                </c:pt>
                <c:pt idx="8">
                  <c:v> 31.12.2019</c:v>
                </c:pt>
                <c:pt idx="9">
                  <c:v> 31.01.2020</c:v>
                </c:pt>
                <c:pt idx="10">
                  <c:v>29.02.2020</c:v>
                </c:pt>
                <c:pt idx="11">
                  <c:v> 31.03.2020</c:v>
                </c:pt>
                <c:pt idx="12">
                  <c:v>30.04.2020</c:v>
                </c:pt>
                <c:pt idx="13">
                  <c:v>31.05.2020</c:v>
                </c:pt>
                <c:pt idx="14">
                  <c:v>30.06.2020</c:v>
                </c:pt>
                <c:pt idx="15">
                  <c:v>31.07.2020</c:v>
                </c:pt>
                <c:pt idx="16">
                  <c:v> 31.08.2020</c:v>
                </c:pt>
                <c:pt idx="17">
                  <c:v>30.09.2020</c:v>
                </c:pt>
                <c:pt idx="18">
                  <c:v>31.10.2020</c:v>
                </c:pt>
                <c:pt idx="19">
                  <c:v> 30.11.2020</c:v>
                </c:pt>
                <c:pt idx="20">
                  <c:v>31.12.2020</c:v>
                </c:pt>
                <c:pt idx="21">
                  <c:v>31.01.2021</c:v>
                </c:pt>
                <c:pt idx="22">
                  <c:v>28.02.2021</c:v>
                </c:pt>
                <c:pt idx="23">
                  <c:v>31.03.2021</c:v>
                </c:pt>
                <c:pt idx="24">
                  <c:v>30.04.2021</c:v>
                </c:pt>
              </c:strCache>
            </c:strRef>
          </c:cat>
          <c:val>
            <c:numRef>
              <c:f>Лист2!$B$3:$B$27</c:f>
              <c:numCache>
                <c:formatCode>#,##0.00</c:formatCode>
                <c:ptCount val="25"/>
                <c:pt idx="0">
                  <c:v>2124804.9</c:v>
                </c:pt>
                <c:pt idx="1">
                  <c:v>2106493.2000000002</c:v>
                </c:pt>
                <c:pt idx="2">
                  <c:v>2102409.6</c:v>
                </c:pt>
                <c:pt idx="3">
                  <c:v>2066922.5</c:v>
                </c:pt>
                <c:pt idx="4">
                  <c:v>2067125.2</c:v>
                </c:pt>
                <c:pt idx="5">
                  <c:v>1997752.1</c:v>
                </c:pt>
                <c:pt idx="6">
                  <c:v>2045441.8</c:v>
                </c:pt>
                <c:pt idx="7">
                  <c:v>1990775.8</c:v>
                </c:pt>
                <c:pt idx="8">
                  <c:v>1998275.4</c:v>
                </c:pt>
                <c:pt idx="9">
                  <c:v>2079015.4</c:v>
                </c:pt>
                <c:pt idx="10">
                  <c:v>2047804</c:v>
                </c:pt>
                <c:pt idx="11">
                  <c:v>2255552.7999999998</c:v>
                </c:pt>
                <c:pt idx="12">
                  <c:v>2196363.5</c:v>
                </c:pt>
                <c:pt idx="13">
                  <c:v>2209463.6</c:v>
                </c:pt>
                <c:pt idx="14">
                  <c:v>2269174.7000000002</c:v>
                </c:pt>
                <c:pt idx="15">
                  <c:v>2355069.7000000002</c:v>
                </c:pt>
                <c:pt idx="16">
                  <c:v>2338182.2000000002</c:v>
                </c:pt>
                <c:pt idx="17">
                  <c:v>2345608.1</c:v>
                </c:pt>
                <c:pt idx="18">
                  <c:v>2368183.9</c:v>
                </c:pt>
                <c:pt idx="19">
                  <c:v>2398202.6</c:v>
                </c:pt>
                <c:pt idx="20">
                  <c:v>2551935.6</c:v>
                </c:pt>
                <c:pt idx="21">
                  <c:v>2558219.9</c:v>
                </c:pt>
                <c:pt idx="22">
                  <c:v>2552963.1</c:v>
                </c:pt>
                <c:pt idx="23">
                  <c:v>2514279.9</c:v>
                </c:pt>
                <c:pt idx="24">
                  <c:v>2534283.9</c:v>
                </c:pt>
              </c:numCache>
            </c:numRef>
          </c:val>
          <c:smooth val="0"/>
          <c:extLst xmlns:c16r2="http://schemas.microsoft.com/office/drawing/2015/06/chart">
            <c:ext xmlns:c16="http://schemas.microsoft.com/office/drawing/2014/chart" uri="{C3380CC4-5D6E-409C-BE32-E72D297353CC}">
              <c16:uniqueId val="{00000000-22DE-4AFC-8146-ECC748B50EF0}"/>
            </c:ext>
          </c:extLst>
        </c:ser>
        <c:dLbls>
          <c:showLegendKey val="0"/>
          <c:showVal val="0"/>
          <c:showCatName val="0"/>
          <c:showSerName val="0"/>
          <c:showPercent val="0"/>
          <c:showBubbleSize val="0"/>
        </c:dLbls>
        <c:marker val="1"/>
        <c:smooth val="0"/>
        <c:axId val="79191040"/>
        <c:axId val="79209216"/>
      </c:lineChart>
      <c:catAx>
        <c:axId val="79191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209216"/>
        <c:crosses val="autoZero"/>
        <c:auto val="1"/>
        <c:lblAlgn val="ctr"/>
        <c:lblOffset val="100"/>
        <c:noMultiLvlLbl val="0"/>
      </c:catAx>
      <c:valAx>
        <c:axId val="7920921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910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Лист1!$A$2</c:f>
              <c:strCache>
                <c:ptCount val="1"/>
                <c:pt idx="0">
                  <c:v>Баланс первинних доходів</c:v>
                </c:pt>
              </c:strCache>
            </c:strRef>
          </c:tx>
          <c:spPr>
            <a:solidFill>
              <a:schemeClr val="accent1"/>
            </a:solidFill>
            <a:ln>
              <a:noFill/>
            </a:ln>
            <a:effectLst/>
          </c:spPr>
          <c:invertIfNegative val="0"/>
          <c:cat>
            <c:strRef>
              <c:f>Лист1!$B$1:$I$1</c:f>
              <c:strCache>
                <c:ptCount val="8"/>
                <c:pt idx="0">
                  <c:v>2019 Q1</c:v>
                </c:pt>
                <c:pt idx="1">
                  <c:v>2019 Q2</c:v>
                </c:pt>
                <c:pt idx="2">
                  <c:v>2019 Q3</c:v>
                </c:pt>
                <c:pt idx="3">
                  <c:v>2019 Q4</c:v>
                </c:pt>
                <c:pt idx="4">
                  <c:v>2020 Q1</c:v>
                </c:pt>
                <c:pt idx="5">
                  <c:v>2020 Q2</c:v>
                </c:pt>
                <c:pt idx="6">
                  <c:v>2020 Q3</c:v>
                </c:pt>
                <c:pt idx="7">
                  <c:v>2020 Q4</c:v>
                </c:pt>
              </c:strCache>
            </c:strRef>
          </c:cat>
          <c:val>
            <c:numRef>
              <c:f>Лист1!$B$2:$I$2</c:f>
              <c:numCache>
                <c:formatCode>General</c:formatCode>
                <c:ptCount val="8"/>
                <c:pt idx="0">
                  <c:v>-12921.322079275631</c:v>
                </c:pt>
                <c:pt idx="1">
                  <c:v>-3722.6753427481508</c:v>
                </c:pt>
                <c:pt idx="2">
                  <c:v>-5898.0030087927607</c:v>
                </c:pt>
                <c:pt idx="3">
                  <c:v>-668.17210034671803</c:v>
                </c:pt>
                <c:pt idx="4">
                  <c:v>-4580.4486585561954</c:v>
                </c:pt>
                <c:pt idx="5">
                  <c:v>-3731.2382877284053</c:v>
                </c:pt>
                <c:pt idx="6">
                  <c:v>-1660.4345958218551</c:v>
                </c:pt>
                <c:pt idx="7">
                  <c:v>-13669.889809755978</c:v>
                </c:pt>
              </c:numCache>
            </c:numRef>
          </c:val>
          <c:extLst xmlns:c16r2="http://schemas.microsoft.com/office/drawing/2015/06/chart">
            <c:ext xmlns:c16="http://schemas.microsoft.com/office/drawing/2014/chart" uri="{C3380CC4-5D6E-409C-BE32-E72D297353CC}">
              <c16:uniqueId val="{00000000-1DB6-404A-9A13-999A730DD48A}"/>
            </c:ext>
          </c:extLst>
        </c:ser>
        <c:ser>
          <c:idx val="1"/>
          <c:order val="1"/>
          <c:tx>
            <c:strRef>
              <c:f>Лист1!$A$3</c:f>
              <c:strCache>
                <c:ptCount val="1"/>
                <c:pt idx="0">
                  <c:v>Оплата праці (баланс)</c:v>
                </c:pt>
              </c:strCache>
            </c:strRef>
          </c:tx>
          <c:spPr>
            <a:solidFill>
              <a:schemeClr val="accent2"/>
            </a:solidFill>
            <a:ln>
              <a:noFill/>
            </a:ln>
            <a:effectLst/>
          </c:spPr>
          <c:invertIfNegative val="0"/>
          <c:cat>
            <c:strRef>
              <c:f>Лист1!$B$1:$I$1</c:f>
              <c:strCache>
                <c:ptCount val="8"/>
                <c:pt idx="0">
                  <c:v>2019 Q1</c:v>
                </c:pt>
                <c:pt idx="1">
                  <c:v>2019 Q2</c:v>
                </c:pt>
                <c:pt idx="2">
                  <c:v>2019 Q3</c:v>
                </c:pt>
                <c:pt idx="3">
                  <c:v>2019 Q4</c:v>
                </c:pt>
                <c:pt idx="4">
                  <c:v>2020 Q1</c:v>
                </c:pt>
                <c:pt idx="5">
                  <c:v>2020 Q2</c:v>
                </c:pt>
                <c:pt idx="6">
                  <c:v>2020 Q3</c:v>
                </c:pt>
                <c:pt idx="7">
                  <c:v>2020 Q4</c:v>
                </c:pt>
              </c:strCache>
            </c:strRef>
          </c:cat>
          <c:val>
            <c:numRef>
              <c:f>Лист1!$B$3:$I$3</c:f>
              <c:numCache>
                <c:formatCode>General</c:formatCode>
                <c:ptCount val="8"/>
                <c:pt idx="0">
                  <c:v>-6272.2034197571647</c:v>
                </c:pt>
                <c:pt idx="1">
                  <c:v>-6388.5379874138471</c:v>
                </c:pt>
                <c:pt idx="2">
                  <c:v>-6431.9009789980228</c:v>
                </c:pt>
                <c:pt idx="3">
                  <c:v>-6511.2154736414877</c:v>
                </c:pt>
                <c:pt idx="4">
                  <c:v>-6384.2670397733691</c:v>
                </c:pt>
                <c:pt idx="5">
                  <c:v>-5066.6340794489524</c:v>
                </c:pt>
                <c:pt idx="6">
                  <c:v>-6133.1379366060473</c:v>
                </c:pt>
                <c:pt idx="7">
                  <c:v>-6225.1576210836529</c:v>
                </c:pt>
              </c:numCache>
            </c:numRef>
          </c:val>
          <c:extLst xmlns:c16r2="http://schemas.microsoft.com/office/drawing/2015/06/chart">
            <c:ext xmlns:c16="http://schemas.microsoft.com/office/drawing/2014/chart" uri="{C3380CC4-5D6E-409C-BE32-E72D297353CC}">
              <c16:uniqueId val="{00000001-1DB6-404A-9A13-999A730DD48A}"/>
            </c:ext>
          </c:extLst>
        </c:ser>
        <c:ser>
          <c:idx val="2"/>
          <c:order val="2"/>
          <c:tx>
            <c:strRef>
              <c:f>Лист1!$A$4</c:f>
              <c:strCache>
                <c:ptCount val="1"/>
                <c:pt idx="0">
                  <c:v>Доходи від інвестицій (баланс)</c:v>
                </c:pt>
              </c:strCache>
            </c:strRef>
          </c:tx>
          <c:spPr>
            <a:solidFill>
              <a:schemeClr val="accent3"/>
            </a:solidFill>
            <a:ln>
              <a:noFill/>
            </a:ln>
            <a:effectLst/>
          </c:spPr>
          <c:invertIfNegative val="0"/>
          <c:cat>
            <c:strRef>
              <c:f>Лист1!$B$1:$I$1</c:f>
              <c:strCache>
                <c:ptCount val="8"/>
                <c:pt idx="0">
                  <c:v>2019 Q1</c:v>
                </c:pt>
                <c:pt idx="1">
                  <c:v>2019 Q2</c:v>
                </c:pt>
                <c:pt idx="2">
                  <c:v>2019 Q3</c:v>
                </c:pt>
                <c:pt idx="3">
                  <c:v>2019 Q4</c:v>
                </c:pt>
                <c:pt idx="4">
                  <c:v>2020 Q1</c:v>
                </c:pt>
                <c:pt idx="5">
                  <c:v>2020 Q2</c:v>
                </c:pt>
                <c:pt idx="6">
                  <c:v>2020 Q3</c:v>
                </c:pt>
                <c:pt idx="7">
                  <c:v>2020 Q4</c:v>
                </c:pt>
              </c:strCache>
            </c:strRef>
          </c:cat>
          <c:val>
            <c:numRef>
              <c:f>Лист1!$B$4:$I$4</c:f>
              <c:numCache>
                <c:formatCode>General</c:formatCode>
                <c:ptCount val="8"/>
                <c:pt idx="0">
                  <c:v>-6649.1186595184663</c:v>
                </c:pt>
                <c:pt idx="1">
                  <c:v>2665.8626446656963</c:v>
                </c:pt>
                <c:pt idx="2">
                  <c:v>533.89797020526191</c:v>
                </c:pt>
                <c:pt idx="3">
                  <c:v>5843.0433732947704</c:v>
                </c:pt>
                <c:pt idx="4">
                  <c:v>1803.8183812171733</c:v>
                </c:pt>
                <c:pt idx="5">
                  <c:v>1335.3957917205466</c:v>
                </c:pt>
                <c:pt idx="6">
                  <c:v>4472.7033407841918</c:v>
                </c:pt>
                <c:pt idx="7">
                  <c:v>-7444.7321886723248</c:v>
                </c:pt>
              </c:numCache>
            </c:numRef>
          </c:val>
          <c:extLst xmlns:c16r2="http://schemas.microsoft.com/office/drawing/2015/06/chart">
            <c:ext xmlns:c16="http://schemas.microsoft.com/office/drawing/2014/chart" uri="{C3380CC4-5D6E-409C-BE32-E72D297353CC}">
              <c16:uniqueId val="{00000002-1DB6-404A-9A13-999A730DD48A}"/>
            </c:ext>
          </c:extLst>
        </c:ser>
        <c:dLbls>
          <c:showLegendKey val="0"/>
          <c:showVal val="0"/>
          <c:showCatName val="0"/>
          <c:showSerName val="0"/>
          <c:showPercent val="0"/>
          <c:showBubbleSize val="0"/>
        </c:dLbls>
        <c:gapWidth val="219"/>
        <c:overlap val="-27"/>
        <c:axId val="82712448"/>
        <c:axId val="82713984"/>
      </c:barChart>
      <c:catAx>
        <c:axId val="82712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82713984"/>
        <c:crosses val="autoZero"/>
        <c:auto val="1"/>
        <c:lblAlgn val="ctr"/>
        <c:lblOffset val="100"/>
        <c:noMultiLvlLbl val="0"/>
      </c:catAx>
      <c:valAx>
        <c:axId val="82713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712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Лист3!$A$2</c:f>
              <c:strCache>
                <c:ptCount val="1"/>
                <c:pt idx="0">
                  <c:v>Баланс вторинних доходів</c:v>
                </c:pt>
              </c:strCache>
            </c:strRef>
          </c:tx>
          <c:spPr>
            <a:solidFill>
              <a:schemeClr val="accent1"/>
            </a:solidFill>
            <a:ln>
              <a:noFill/>
            </a:ln>
            <a:effectLst/>
          </c:spPr>
          <c:invertIfNegative val="0"/>
          <c:cat>
            <c:strRef>
              <c:f>Лист3!$B$1:$I$1</c:f>
              <c:strCache>
                <c:ptCount val="8"/>
                <c:pt idx="0">
                  <c:v>2019 Q1</c:v>
                </c:pt>
                <c:pt idx="1">
                  <c:v>2019 Q2</c:v>
                </c:pt>
                <c:pt idx="2">
                  <c:v>2019 Q3</c:v>
                </c:pt>
                <c:pt idx="3">
                  <c:v>2019 Q4</c:v>
                </c:pt>
                <c:pt idx="4">
                  <c:v>2020 Q1</c:v>
                </c:pt>
                <c:pt idx="5">
                  <c:v>2020 Q2</c:v>
                </c:pt>
                <c:pt idx="6">
                  <c:v>2020 Q3</c:v>
                </c:pt>
                <c:pt idx="7">
                  <c:v>2020 Q4</c:v>
                </c:pt>
              </c:strCache>
            </c:strRef>
          </c:cat>
          <c:val>
            <c:numRef>
              <c:f>Лист3!$B$2:$I$2</c:f>
              <c:numCache>
                <c:formatCode>General</c:formatCode>
                <c:ptCount val="8"/>
                <c:pt idx="0">
                  <c:v>-2854.0874299990978</c:v>
                </c:pt>
                <c:pt idx="1">
                  <c:v>-2545.1760834965307</c:v>
                </c:pt>
                <c:pt idx="2">
                  <c:v>-3146.5655412339424</c:v>
                </c:pt>
                <c:pt idx="3">
                  <c:v>-3232.7218856296358</c:v>
                </c:pt>
                <c:pt idx="4">
                  <c:v>-3932.7919872873936</c:v>
                </c:pt>
                <c:pt idx="5">
                  <c:v>-2986.7580987299643</c:v>
                </c:pt>
                <c:pt idx="6">
                  <c:v>-616.39842357379541</c:v>
                </c:pt>
                <c:pt idx="7">
                  <c:v>-6822.0348957337937</c:v>
                </c:pt>
              </c:numCache>
            </c:numRef>
          </c:val>
          <c:extLst xmlns:c16r2="http://schemas.microsoft.com/office/drawing/2015/06/chart">
            <c:ext xmlns:c16="http://schemas.microsoft.com/office/drawing/2014/chart" uri="{C3380CC4-5D6E-409C-BE32-E72D297353CC}">
              <c16:uniqueId val="{00000000-BB21-4E9F-AB96-91E4A6A34285}"/>
            </c:ext>
          </c:extLst>
        </c:ser>
        <c:ser>
          <c:idx val="1"/>
          <c:order val="1"/>
          <c:tx>
            <c:strRef>
              <c:f>Лист3!$A$3</c:f>
              <c:strCache>
                <c:ptCount val="1"/>
                <c:pt idx="0">
                  <c:v>Рахунок операцій з капіталом</c:v>
                </c:pt>
              </c:strCache>
            </c:strRef>
          </c:tx>
          <c:spPr>
            <a:solidFill>
              <a:schemeClr val="accent2"/>
            </a:solidFill>
            <a:ln>
              <a:noFill/>
            </a:ln>
            <a:effectLst/>
          </c:spPr>
          <c:invertIfNegative val="0"/>
          <c:cat>
            <c:strRef>
              <c:f>Лист3!$B$1:$I$1</c:f>
              <c:strCache>
                <c:ptCount val="8"/>
                <c:pt idx="0">
                  <c:v>2019 Q1</c:v>
                </c:pt>
                <c:pt idx="1">
                  <c:v>2019 Q2</c:v>
                </c:pt>
                <c:pt idx="2">
                  <c:v>2019 Q3</c:v>
                </c:pt>
                <c:pt idx="3">
                  <c:v>2019 Q4</c:v>
                </c:pt>
                <c:pt idx="4">
                  <c:v>2020 Q1</c:v>
                </c:pt>
                <c:pt idx="5">
                  <c:v>2020 Q2</c:v>
                </c:pt>
                <c:pt idx="6">
                  <c:v>2020 Q3</c:v>
                </c:pt>
                <c:pt idx="7">
                  <c:v>2020 Q4</c:v>
                </c:pt>
              </c:strCache>
            </c:strRef>
          </c:cat>
          <c:val>
            <c:numRef>
              <c:f>Лист3!$B$3:$I$3</c:f>
              <c:numCache>
                <c:formatCode>General</c:formatCode>
                <c:ptCount val="8"/>
                <c:pt idx="0">
                  <c:v>40.118938778564292</c:v>
                </c:pt>
                <c:pt idx="1">
                  <c:v>0.38914290360279002</c:v>
                </c:pt>
                <c:pt idx="2">
                  <c:v>-14669.948973218099</c:v>
                </c:pt>
                <c:pt idx="3">
                  <c:v>12103.13716283497</c:v>
                </c:pt>
                <c:pt idx="4">
                  <c:v>-82.363112007033806</c:v>
                </c:pt>
                <c:pt idx="5">
                  <c:v>379.92374977495768</c:v>
                </c:pt>
                <c:pt idx="6">
                  <c:v>-21.907790453019029</c:v>
                </c:pt>
                <c:pt idx="7">
                  <c:v>-436.63720462946321</c:v>
                </c:pt>
              </c:numCache>
            </c:numRef>
          </c:val>
          <c:extLst xmlns:c16r2="http://schemas.microsoft.com/office/drawing/2015/06/chart">
            <c:ext xmlns:c16="http://schemas.microsoft.com/office/drawing/2014/chart" uri="{C3380CC4-5D6E-409C-BE32-E72D297353CC}">
              <c16:uniqueId val="{00000001-BB21-4E9F-AB96-91E4A6A34285}"/>
            </c:ext>
          </c:extLst>
        </c:ser>
        <c:dLbls>
          <c:showLegendKey val="0"/>
          <c:showVal val="0"/>
          <c:showCatName val="0"/>
          <c:showSerName val="0"/>
          <c:showPercent val="0"/>
          <c:showBubbleSize val="0"/>
        </c:dLbls>
        <c:gapWidth val="219"/>
        <c:axId val="93758208"/>
        <c:axId val="93759744"/>
      </c:barChart>
      <c:catAx>
        <c:axId val="93758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93759744"/>
        <c:crosses val="autoZero"/>
        <c:auto val="1"/>
        <c:lblAlgn val="ctr"/>
        <c:lblOffset val="100"/>
        <c:noMultiLvlLbl val="0"/>
      </c:catAx>
      <c:valAx>
        <c:axId val="93759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375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Лист4!$A$2</c:f>
              <c:strCache>
                <c:ptCount val="1"/>
                <c:pt idx="0">
                  <c:v>Фінансовий рахунок</c:v>
                </c:pt>
              </c:strCache>
            </c:strRef>
          </c:tx>
          <c:spPr>
            <a:solidFill>
              <a:schemeClr val="accent1"/>
            </a:solidFill>
            <a:ln>
              <a:noFill/>
            </a:ln>
            <a:effectLst/>
          </c:spPr>
          <c:invertIfNegative val="0"/>
          <c:cat>
            <c:strRef>
              <c:f>Лист4!$B$1:$I$1</c:f>
              <c:strCache>
                <c:ptCount val="8"/>
                <c:pt idx="0">
                  <c:v>2019 Q1</c:v>
                </c:pt>
                <c:pt idx="1">
                  <c:v>2019 Q2</c:v>
                </c:pt>
                <c:pt idx="2">
                  <c:v>2019 Q3</c:v>
                </c:pt>
                <c:pt idx="3">
                  <c:v>2019 Q4</c:v>
                </c:pt>
                <c:pt idx="4">
                  <c:v>2020 Q1</c:v>
                </c:pt>
                <c:pt idx="5">
                  <c:v>2020 Q2</c:v>
                </c:pt>
                <c:pt idx="6">
                  <c:v>2020 Q3</c:v>
                </c:pt>
                <c:pt idx="7">
                  <c:v>2020 Q4</c:v>
                </c:pt>
              </c:strCache>
            </c:strRef>
          </c:cat>
          <c:val>
            <c:numRef>
              <c:f>Лист4!$B$2:$I$2</c:f>
              <c:numCache>
                <c:formatCode>General</c:formatCode>
                <c:ptCount val="8"/>
                <c:pt idx="0">
                  <c:v>-4451.8520743658883</c:v>
                </c:pt>
                <c:pt idx="1">
                  <c:v>9966.1744492383696</c:v>
                </c:pt>
                <c:pt idx="2">
                  <c:v>8072.2543975593426</c:v>
                </c:pt>
                <c:pt idx="3">
                  <c:v>21993.416752537909</c:v>
                </c:pt>
                <c:pt idx="4">
                  <c:v>220.4758288688754</c:v>
                </c:pt>
                <c:pt idx="5">
                  <c:v>758.11311948217917</c:v>
                </c:pt>
                <c:pt idx="6">
                  <c:v>8919.7880686733661</c:v>
                </c:pt>
                <c:pt idx="7">
                  <c:v>3029.8732572805193</c:v>
                </c:pt>
              </c:numCache>
            </c:numRef>
          </c:val>
          <c:extLst xmlns:c16r2="http://schemas.microsoft.com/office/drawing/2015/06/chart">
            <c:ext xmlns:c16="http://schemas.microsoft.com/office/drawing/2014/chart" uri="{C3380CC4-5D6E-409C-BE32-E72D297353CC}">
              <c16:uniqueId val="{00000000-6E10-474C-A4FD-74BE90CE39D5}"/>
            </c:ext>
          </c:extLst>
        </c:ser>
        <c:ser>
          <c:idx val="1"/>
          <c:order val="1"/>
          <c:tx>
            <c:strRef>
              <c:f>Лист4!$A$3</c:f>
              <c:strCache>
                <c:ptCount val="1"/>
                <c:pt idx="0">
                  <c:v>Прямі інвестиції (сальдо)</c:v>
                </c:pt>
              </c:strCache>
            </c:strRef>
          </c:tx>
          <c:spPr>
            <a:solidFill>
              <a:schemeClr val="accent2"/>
            </a:solidFill>
            <a:ln>
              <a:noFill/>
            </a:ln>
            <a:effectLst/>
          </c:spPr>
          <c:invertIfNegative val="0"/>
          <c:cat>
            <c:strRef>
              <c:f>Лист4!$B$1:$I$1</c:f>
              <c:strCache>
                <c:ptCount val="8"/>
                <c:pt idx="0">
                  <c:v>2019 Q1</c:v>
                </c:pt>
                <c:pt idx="1">
                  <c:v>2019 Q2</c:v>
                </c:pt>
                <c:pt idx="2">
                  <c:v>2019 Q3</c:v>
                </c:pt>
                <c:pt idx="3">
                  <c:v>2019 Q4</c:v>
                </c:pt>
                <c:pt idx="4">
                  <c:v>2020 Q1</c:v>
                </c:pt>
                <c:pt idx="5">
                  <c:v>2020 Q2</c:v>
                </c:pt>
                <c:pt idx="6">
                  <c:v>2020 Q3</c:v>
                </c:pt>
                <c:pt idx="7">
                  <c:v>2020 Q4</c:v>
                </c:pt>
              </c:strCache>
            </c:strRef>
          </c:cat>
          <c:val>
            <c:numRef>
              <c:f>Лист4!$B$3:$I$3</c:f>
              <c:numCache>
                <c:formatCode>General</c:formatCode>
                <c:ptCount val="8"/>
                <c:pt idx="0">
                  <c:v>-3893.327603102839</c:v>
                </c:pt>
                <c:pt idx="1">
                  <c:v>1794.6086070299434</c:v>
                </c:pt>
                <c:pt idx="2">
                  <c:v>8819.0535327397447</c:v>
                </c:pt>
                <c:pt idx="3">
                  <c:v>28414.219819962796</c:v>
                </c:pt>
                <c:pt idx="4">
                  <c:v>8695.616549887447</c:v>
                </c:pt>
                <c:pt idx="5">
                  <c:v>44727.137178300633</c:v>
                </c:pt>
                <c:pt idx="6">
                  <c:v>20599.579663923756</c:v>
                </c:pt>
                <c:pt idx="7">
                  <c:v>-13993.26809441138</c:v>
                </c:pt>
              </c:numCache>
            </c:numRef>
          </c:val>
          <c:extLst xmlns:c16r2="http://schemas.microsoft.com/office/drawing/2015/06/chart">
            <c:ext xmlns:c16="http://schemas.microsoft.com/office/drawing/2014/chart" uri="{C3380CC4-5D6E-409C-BE32-E72D297353CC}">
              <c16:uniqueId val="{00000001-6E10-474C-A4FD-74BE90CE39D5}"/>
            </c:ext>
          </c:extLst>
        </c:ser>
        <c:ser>
          <c:idx val="2"/>
          <c:order val="2"/>
          <c:tx>
            <c:strRef>
              <c:f>Лист4!$A$4</c:f>
              <c:strCache>
                <c:ptCount val="1"/>
                <c:pt idx="0">
                  <c:v>Портфельні інвестиції (сальдо)</c:v>
                </c:pt>
              </c:strCache>
            </c:strRef>
          </c:tx>
          <c:spPr>
            <a:solidFill>
              <a:schemeClr val="accent3"/>
            </a:solidFill>
            <a:ln>
              <a:noFill/>
            </a:ln>
            <a:effectLst/>
          </c:spPr>
          <c:invertIfNegative val="0"/>
          <c:cat>
            <c:strRef>
              <c:f>Лист4!$B$1:$I$1</c:f>
              <c:strCache>
                <c:ptCount val="8"/>
                <c:pt idx="0">
                  <c:v>2019 Q1</c:v>
                </c:pt>
                <c:pt idx="1">
                  <c:v>2019 Q2</c:v>
                </c:pt>
                <c:pt idx="2">
                  <c:v>2019 Q3</c:v>
                </c:pt>
                <c:pt idx="3">
                  <c:v>2019 Q4</c:v>
                </c:pt>
                <c:pt idx="4">
                  <c:v>2020 Q1</c:v>
                </c:pt>
                <c:pt idx="5">
                  <c:v>2020 Q2</c:v>
                </c:pt>
                <c:pt idx="6">
                  <c:v>2020 Q3</c:v>
                </c:pt>
                <c:pt idx="7">
                  <c:v>2020 Q4</c:v>
                </c:pt>
              </c:strCache>
            </c:strRef>
          </c:cat>
          <c:val>
            <c:numRef>
              <c:f>Лист4!$B$4:$I$4</c:f>
              <c:numCache>
                <c:formatCode>General</c:formatCode>
                <c:ptCount val="8"/>
                <c:pt idx="0">
                  <c:v>7757.4783266544273</c:v>
                </c:pt>
                <c:pt idx="1">
                  <c:v>-9736.920413121914</c:v>
                </c:pt>
                <c:pt idx="2">
                  <c:v>6397.2582801144217</c:v>
                </c:pt>
                <c:pt idx="3">
                  <c:v>1305.2971105309898</c:v>
                </c:pt>
                <c:pt idx="4">
                  <c:v>7781.3880997527522</c:v>
                </c:pt>
                <c:pt idx="5">
                  <c:v>1467.181191350197</c:v>
                </c:pt>
                <c:pt idx="6">
                  <c:v>9615.0035835889139</c:v>
                </c:pt>
                <c:pt idx="7">
                  <c:v>11164.422065602565</c:v>
                </c:pt>
              </c:numCache>
            </c:numRef>
          </c:val>
          <c:extLst xmlns:c16r2="http://schemas.microsoft.com/office/drawing/2015/06/chart">
            <c:ext xmlns:c16="http://schemas.microsoft.com/office/drawing/2014/chart" uri="{C3380CC4-5D6E-409C-BE32-E72D297353CC}">
              <c16:uniqueId val="{00000002-6E10-474C-A4FD-74BE90CE39D5}"/>
            </c:ext>
          </c:extLst>
        </c:ser>
        <c:ser>
          <c:idx val="3"/>
          <c:order val="3"/>
          <c:tx>
            <c:strRef>
              <c:f>Лист4!$A$5</c:f>
              <c:strCache>
                <c:ptCount val="1"/>
                <c:pt idx="0">
                  <c:v>Інші інвестиції (сальдо)</c:v>
                </c:pt>
              </c:strCache>
            </c:strRef>
          </c:tx>
          <c:spPr>
            <a:solidFill>
              <a:schemeClr val="accent4"/>
            </a:solidFill>
            <a:ln>
              <a:noFill/>
            </a:ln>
            <a:effectLst/>
          </c:spPr>
          <c:invertIfNegative val="0"/>
          <c:cat>
            <c:strRef>
              <c:f>Лист4!$B$1:$I$1</c:f>
              <c:strCache>
                <c:ptCount val="8"/>
                <c:pt idx="0">
                  <c:v>2019 Q1</c:v>
                </c:pt>
                <c:pt idx="1">
                  <c:v>2019 Q2</c:v>
                </c:pt>
                <c:pt idx="2">
                  <c:v>2019 Q3</c:v>
                </c:pt>
                <c:pt idx="3">
                  <c:v>2019 Q4</c:v>
                </c:pt>
                <c:pt idx="4">
                  <c:v>2020 Q1</c:v>
                </c:pt>
                <c:pt idx="5">
                  <c:v>2020 Q2</c:v>
                </c:pt>
                <c:pt idx="6">
                  <c:v>2020 Q3</c:v>
                </c:pt>
                <c:pt idx="7">
                  <c:v>2020 Q4</c:v>
                </c:pt>
              </c:strCache>
            </c:strRef>
          </c:cat>
          <c:val>
            <c:numRef>
              <c:f>Лист4!$B$5:$I$5</c:f>
              <c:numCache>
                <c:formatCode>General</c:formatCode>
                <c:ptCount val="8"/>
                <c:pt idx="0">
                  <c:v>-10597.120104155401</c:v>
                </c:pt>
                <c:pt idx="1">
                  <c:v>15287.174386486933</c:v>
                </c:pt>
                <c:pt idx="2">
                  <c:v>-18853.956733090017</c:v>
                </c:pt>
                <c:pt idx="3">
                  <c:v>-7125.6368132217412</c:v>
                </c:pt>
                <c:pt idx="4">
                  <c:v>-50780.967152954887</c:v>
                </c:pt>
                <c:pt idx="5">
                  <c:v>-102651.03687217191</c:v>
                </c:pt>
                <c:pt idx="6">
                  <c:v>-33995.808709353558</c:v>
                </c:pt>
                <c:pt idx="7">
                  <c:v>-6433.1018486578068</c:v>
                </c:pt>
              </c:numCache>
            </c:numRef>
          </c:val>
          <c:extLst xmlns:c16r2="http://schemas.microsoft.com/office/drawing/2015/06/chart">
            <c:ext xmlns:c16="http://schemas.microsoft.com/office/drawing/2014/chart" uri="{C3380CC4-5D6E-409C-BE32-E72D297353CC}">
              <c16:uniqueId val="{00000003-6E10-474C-A4FD-74BE90CE39D5}"/>
            </c:ext>
          </c:extLst>
        </c:ser>
        <c:ser>
          <c:idx val="4"/>
          <c:order val="4"/>
          <c:tx>
            <c:strRef>
              <c:f>Лист4!$A$6</c:f>
              <c:strCache>
                <c:ptCount val="1"/>
                <c:pt idx="0">
                  <c:v>Резервні активи</c:v>
                </c:pt>
              </c:strCache>
            </c:strRef>
          </c:tx>
          <c:spPr>
            <a:solidFill>
              <a:schemeClr val="accent5"/>
            </a:solidFill>
            <a:ln>
              <a:noFill/>
            </a:ln>
            <a:effectLst/>
          </c:spPr>
          <c:invertIfNegative val="0"/>
          <c:cat>
            <c:strRef>
              <c:f>Лист4!$B$1:$I$1</c:f>
              <c:strCache>
                <c:ptCount val="8"/>
                <c:pt idx="0">
                  <c:v>2019 Q1</c:v>
                </c:pt>
                <c:pt idx="1">
                  <c:v>2019 Q2</c:v>
                </c:pt>
                <c:pt idx="2">
                  <c:v>2019 Q3</c:v>
                </c:pt>
                <c:pt idx="3">
                  <c:v>2019 Q4</c:v>
                </c:pt>
                <c:pt idx="4">
                  <c:v>2020 Q1</c:v>
                </c:pt>
                <c:pt idx="5">
                  <c:v>2020 Q2</c:v>
                </c:pt>
                <c:pt idx="6">
                  <c:v>2020 Q3</c:v>
                </c:pt>
                <c:pt idx="7">
                  <c:v>2020 Q4</c:v>
                </c:pt>
              </c:strCache>
            </c:strRef>
          </c:cat>
          <c:val>
            <c:numRef>
              <c:f>Лист4!$B$6:$I$6</c:f>
              <c:numCache>
                <c:formatCode>General</c:formatCode>
                <c:ptCount val="8"/>
                <c:pt idx="0">
                  <c:v>2281.1173062379239</c:v>
                </c:pt>
                <c:pt idx="1">
                  <c:v>2621.3118688434092</c:v>
                </c:pt>
                <c:pt idx="2">
                  <c:v>11709.899317795192</c:v>
                </c:pt>
                <c:pt idx="3">
                  <c:v>-600.46336473414226</c:v>
                </c:pt>
                <c:pt idx="4">
                  <c:v>34524.438332183563</c:v>
                </c:pt>
                <c:pt idx="5">
                  <c:v>57214.831622003272</c:v>
                </c:pt>
                <c:pt idx="6">
                  <c:v>12701.013530514259</c:v>
                </c:pt>
                <c:pt idx="7">
                  <c:v>12291.821134747142</c:v>
                </c:pt>
              </c:numCache>
            </c:numRef>
          </c:val>
          <c:extLst xmlns:c16r2="http://schemas.microsoft.com/office/drawing/2015/06/chart">
            <c:ext xmlns:c16="http://schemas.microsoft.com/office/drawing/2014/chart" uri="{C3380CC4-5D6E-409C-BE32-E72D297353CC}">
              <c16:uniqueId val="{00000004-6E10-474C-A4FD-74BE90CE39D5}"/>
            </c:ext>
          </c:extLst>
        </c:ser>
        <c:dLbls>
          <c:showLegendKey val="0"/>
          <c:showVal val="0"/>
          <c:showCatName val="0"/>
          <c:showSerName val="0"/>
          <c:showPercent val="0"/>
          <c:showBubbleSize val="0"/>
        </c:dLbls>
        <c:gapWidth val="219"/>
        <c:overlap val="-27"/>
        <c:axId val="81878016"/>
        <c:axId val="81883904"/>
      </c:barChart>
      <c:catAx>
        <c:axId val="81878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883904"/>
        <c:crosses val="autoZero"/>
        <c:auto val="1"/>
        <c:lblAlgn val="ctr"/>
        <c:lblOffset val="100"/>
        <c:noMultiLvlLbl val="0"/>
      </c:catAx>
      <c:valAx>
        <c:axId val="81883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878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'[плат баланс польша.xlsx]Sheet1'!$B$1</c:f>
              <c:strCache>
                <c:ptCount val="1"/>
                <c:pt idx="0">
                  <c:v>Рахунок з поточних операцій </c:v>
                </c:pt>
              </c:strCache>
            </c:strRef>
          </c:tx>
          <c:spPr>
            <a:solidFill>
              <a:schemeClr val="accent1"/>
            </a:solidFill>
            <a:ln>
              <a:noFill/>
            </a:ln>
            <a:effectLst/>
          </c:spPr>
          <c:invertIfNegative val="0"/>
          <c:cat>
            <c:strRef>
              <c:f>'[плат баланс польша.xlsx]Sheet1'!$A$2:$A$9</c:f>
              <c:strCache>
                <c:ptCount val="8"/>
                <c:pt idx="0">
                  <c:v>2019 Q1</c:v>
                </c:pt>
                <c:pt idx="1">
                  <c:v>2019 Q2</c:v>
                </c:pt>
                <c:pt idx="2">
                  <c:v>2019 Q3</c:v>
                </c:pt>
                <c:pt idx="3">
                  <c:v>2019 Q4</c:v>
                </c:pt>
                <c:pt idx="4">
                  <c:v>2020 Q1</c:v>
                </c:pt>
                <c:pt idx="5">
                  <c:v>2020 Q2</c:v>
                </c:pt>
                <c:pt idx="6">
                  <c:v>2020 Q3</c:v>
                </c:pt>
                <c:pt idx="7">
                  <c:v>2020 Q4</c:v>
                </c:pt>
              </c:strCache>
            </c:strRef>
          </c:cat>
          <c:val>
            <c:numRef>
              <c:f>'[плат баланс польша.xlsx]Sheet1'!$B$2:$B$9</c:f>
              <c:numCache>
                <c:formatCode>#,##0</c:formatCode>
                <c:ptCount val="8"/>
                <c:pt idx="0">
                  <c:v>1812</c:v>
                </c:pt>
                <c:pt idx="1">
                  <c:v>219</c:v>
                </c:pt>
                <c:pt idx="2">
                  <c:v>-755</c:v>
                </c:pt>
                <c:pt idx="3">
                  <c:v>1655</c:v>
                </c:pt>
                <c:pt idx="4">
                  <c:v>5471</c:v>
                </c:pt>
                <c:pt idx="5">
                  <c:v>6129</c:v>
                </c:pt>
                <c:pt idx="6">
                  <c:v>3801</c:v>
                </c:pt>
                <c:pt idx="7">
                  <c:v>5666</c:v>
                </c:pt>
              </c:numCache>
            </c:numRef>
          </c:val>
          <c:extLst xmlns:c16r2="http://schemas.microsoft.com/office/drawing/2015/06/chart">
            <c:ext xmlns:c16="http://schemas.microsoft.com/office/drawing/2014/chart" uri="{C3380CC4-5D6E-409C-BE32-E72D297353CC}">
              <c16:uniqueId val="{00000000-16AB-4E02-980A-65054B4FE3AE}"/>
            </c:ext>
          </c:extLst>
        </c:ser>
        <c:ser>
          <c:idx val="1"/>
          <c:order val="1"/>
          <c:tx>
            <c:strRef>
              <c:f>'[плат баланс польша.xlsx]Sheet1'!$C$1</c:f>
              <c:strCache>
                <c:ptCount val="1"/>
                <c:pt idx="0">
                  <c:v>Баланс товарів </c:v>
                </c:pt>
              </c:strCache>
            </c:strRef>
          </c:tx>
          <c:spPr>
            <a:solidFill>
              <a:schemeClr val="accent2"/>
            </a:solidFill>
            <a:ln>
              <a:noFill/>
            </a:ln>
            <a:effectLst/>
          </c:spPr>
          <c:invertIfNegative val="0"/>
          <c:cat>
            <c:strRef>
              <c:f>'[плат баланс польша.xlsx]Sheet1'!$A$2:$A$9</c:f>
              <c:strCache>
                <c:ptCount val="8"/>
                <c:pt idx="0">
                  <c:v>2019 Q1</c:v>
                </c:pt>
                <c:pt idx="1">
                  <c:v>2019 Q2</c:v>
                </c:pt>
                <c:pt idx="2">
                  <c:v>2019 Q3</c:v>
                </c:pt>
                <c:pt idx="3">
                  <c:v>2019 Q4</c:v>
                </c:pt>
                <c:pt idx="4">
                  <c:v>2020 Q1</c:v>
                </c:pt>
                <c:pt idx="5">
                  <c:v>2020 Q2</c:v>
                </c:pt>
                <c:pt idx="6">
                  <c:v>2020 Q3</c:v>
                </c:pt>
                <c:pt idx="7">
                  <c:v>2020 Q4</c:v>
                </c:pt>
              </c:strCache>
            </c:strRef>
          </c:cat>
          <c:val>
            <c:numRef>
              <c:f>'[плат баланс польша.xlsx]Sheet1'!$C$2:$C$9</c:f>
              <c:numCache>
                <c:formatCode>#,##0</c:formatCode>
                <c:ptCount val="8"/>
                <c:pt idx="0">
                  <c:v>200</c:v>
                </c:pt>
                <c:pt idx="1">
                  <c:v>20</c:v>
                </c:pt>
                <c:pt idx="2">
                  <c:v>-83</c:v>
                </c:pt>
                <c:pt idx="3">
                  <c:v>1202</c:v>
                </c:pt>
                <c:pt idx="4">
                  <c:v>1279</c:v>
                </c:pt>
                <c:pt idx="5">
                  <c:v>3988</c:v>
                </c:pt>
                <c:pt idx="6">
                  <c:v>3634</c:v>
                </c:pt>
                <c:pt idx="7">
                  <c:v>5361</c:v>
                </c:pt>
              </c:numCache>
            </c:numRef>
          </c:val>
          <c:extLst xmlns:c16r2="http://schemas.microsoft.com/office/drawing/2015/06/chart">
            <c:ext xmlns:c16="http://schemas.microsoft.com/office/drawing/2014/chart" uri="{C3380CC4-5D6E-409C-BE32-E72D297353CC}">
              <c16:uniqueId val="{00000001-16AB-4E02-980A-65054B4FE3AE}"/>
            </c:ext>
          </c:extLst>
        </c:ser>
        <c:ser>
          <c:idx val="2"/>
          <c:order val="2"/>
          <c:tx>
            <c:strRef>
              <c:f>'[плат баланс польша.xlsx]Sheet1'!$D$1</c:f>
              <c:strCache>
                <c:ptCount val="1"/>
                <c:pt idx="0">
                  <c:v>Баланс послуг </c:v>
                </c:pt>
              </c:strCache>
            </c:strRef>
          </c:tx>
          <c:spPr>
            <a:solidFill>
              <a:schemeClr val="accent3"/>
            </a:solidFill>
            <a:ln>
              <a:noFill/>
            </a:ln>
            <a:effectLst/>
          </c:spPr>
          <c:invertIfNegative val="0"/>
          <c:cat>
            <c:strRef>
              <c:f>'[плат баланс польша.xlsx]Sheet1'!$A$2:$A$9</c:f>
              <c:strCache>
                <c:ptCount val="8"/>
                <c:pt idx="0">
                  <c:v>2019 Q1</c:v>
                </c:pt>
                <c:pt idx="1">
                  <c:v>2019 Q2</c:v>
                </c:pt>
                <c:pt idx="2">
                  <c:v>2019 Q3</c:v>
                </c:pt>
                <c:pt idx="3">
                  <c:v>2019 Q4</c:v>
                </c:pt>
                <c:pt idx="4">
                  <c:v>2020 Q1</c:v>
                </c:pt>
                <c:pt idx="5">
                  <c:v>2020 Q2</c:v>
                </c:pt>
                <c:pt idx="6">
                  <c:v>2020 Q3</c:v>
                </c:pt>
                <c:pt idx="7">
                  <c:v>2020 Q4</c:v>
                </c:pt>
              </c:strCache>
            </c:strRef>
          </c:cat>
          <c:val>
            <c:numRef>
              <c:f>'[плат баланс польша.xlsx]Sheet1'!$D$2:$D$9</c:f>
              <c:numCache>
                <c:formatCode>#,##0</c:formatCode>
                <c:ptCount val="8"/>
                <c:pt idx="0">
                  <c:v>6476</c:v>
                </c:pt>
                <c:pt idx="1">
                  <c:v>6690</c:v>
                </c:pt>
                <c:pt idx="2">
                  <c:v>6513</c:v>
                </c:pt>
                <c:pt idx="3">
                  <c:v>6790</c:v>
                </c:pt>
                <c:pt idx="4">
                  <c:v>7247</c:v>
                </c:pt>
                <c:pt idx="5">
                  <c:v>5719</c:v>
                </c:pt>
                <c:pt idx="6">
                  <c:v>6757</c:v>
                </c:pt>
                <c:pt idx="7">
                  <c:v>7114</c:v>
                </c:pt>
              </c:numCache>
            </c:numRef>
          </c:val>
          <c:extLst xmlns:c16r2="http://schemas.microsoft.com/office/drawing/2015/06/chart">
            <c:ext xmlns:c16="http://schemas.microsoft.com/office/drawing/2014/chart" uri="{C3380CC4-5D6E-409C-BE32-E72D297353CC}">
              <c16:uniqueId val="{00000002-16AB-4E02-980A-65054B4FE3AE}"/>
            </c:ext>
          </c:extLst>
        </c:ser>
        <c:dLbls>
          <c:showLegendKey val="0"/>
          <c:showVal val="0"/>
          <c:showCatName val="0"/>
          <c:showSerName val="0"/>
          <c:showPercent val="0"/>
          <c:showBubbleSize val="0"/>
        </c:dLbls>
        <c:gapWidth val="219"/>
        <c:overlap val="-27"/>
        <c:axId val="94014464"/>
        <c:axId val="94028544"/>
      </c:barChart>
      <c:catAx>
        <c:axId val="94014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028544"/>
        <c:crosses val="autoZero"/>
        <c:auto val="1"/>
        <c:lblAlgn val="ctr"/>
        <c:lblOffset val="100"/>
        <c:noMultiLvlLbl val="0"/>
      </c:catAx>
      <c:valAx>
        <c:axId val="940285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014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Лист1!$A$2</c:f>
              <c:strCache>
                <c:ptCount val="1"/>
                <c:pt idx="0">
                  <c:v>Баланс первинних доходів</c:v>
                </c:pt>
              </c:strCache>
            </c:strRef>
          </c:tx>
          <c:spPr>
            <a:solidFill>
              <a:schemeClr val="accent1"/>
            </a:solidFill>
            <a:ln>
              <a:noFill/>
            </a:ln>
            <a:effectLst/>
          </c:spPr>
          <c:invertIfNegative val="0"/>
          <c:cat>
            <c:strRef>
              <c:f>Лист1!$B$1:$I$1</c:f>
              <c:strCache>
                <c:ptCount val="8"/>
                <c:pt idx="0">
                  <c:v>2019 Q1</c:v>
                </c:pt>
                <c:pt idx="1">
                  <c:v>2019 Q2</c:v>
                </c:pt>
                <c:pt idx="2">
                  <c:v>2019 Q3</c:v>
                </c:pt>
                <c:pt idx="3">
                  <c:v>2019 Q4</c:v>
                </c:pt>
                <c:pt idx="4">
                  <c:v>2020 Q1</c:v>
                </c:pt>
                <c:pt idx="5">
                  <c:v>2020 Q2</c:v>
                </c:pt>
                <c:pt idx="6">
                  <c:v>2020 Q3</c:v>
                </c:pt>
                <c:pt idx="7">
                  <c:v>2020 Q4</c:v>
                </c:pt>
              </c:strCache>
            </c:strRef>
          </c:cat>
          <c:val>
            <c:numRef>
              <c:f>Лист1!$B$2:$I$2</c:f>
              <c:numCache>
                <c:formatCode>#,##0</c:formatCode>
                <c:ptCount val="8"/>
                <c:pt idx="0">
                  <c:v>-3630</c:v>
                </c:pt>
                <c:pt idx="1">
                  <c:v>-6256</c:v>
                </c:pt>
                <c:pt idx="2">
                  <c:v>-6699</c:v>
                </c:pt>
                <c:pt idx="3">
                  <c:v>-6243</c:v>
                </c:pt>
                <c:pt idx="4">
                  <c:v>-2177</c:v>
                </c:pt>
                <c:pt idx="5">
                  <c:v>-4143</c:v>
                </c:pt>
                <c:pt idx="6">
                  <c:v>-6324</c:v>
                </c:pt>
                <c:pt idx="7">
                  <c:v>-5527</c:v>
                </c:pt>
              </c:numCache>
            </c:numRef>
          </c:val>
          <c:extLst xmlns:c16r2="http://schemas.microsoft.com/office/drawing/2015/06/chart">
            <c:ext xmlns:c16="http://schemas.microsoft.com/office/drawing/2014/chart" uri="{C3380CC4-5D6E-409C-BE32-E72D297353CC}">
              <c16:uniqueId val="{00000000-F90E-4771-A226-8DECD6A10C7D}"/>
            </c:ext>
          </c:extLst>
        </c:ser>
        <c:ser>
          <c:idx val="1"/>
          <c:order val="1"/>
          <c:tx>
            <c:strRef>
              <c:f>Лист1!$A$3</c:f>
              <c:strCache>
                <c:ptCount val="1"/>
                <c:pt idx="0">
                  <c:v>Баланс вторинних доходів</c:v>
                </c:pt>
              </c:strCache>
            </c:strRef>
          </c:tx>
          <c:spPr>
            <a:solidFill>
              <a:schemeClr val="accent2"/>
            </a:solidFill>
            <a:ln>
              <a:noFill/>
            </a:ln>
            <a:effectLst/>
          </c:spPr>
          <c:invertIfNegative val="0"/>
          <c:cat>
            <c:strRef>
              <c:f>Лист1!$B$1:$I$1</c:f>
              <c:strCache>
                <c:ptCount val="8"/>
                <c:pt idx="0">
                  <c:v>2019 Q1</c:v>
                </c:pt>
                <c:pt idx="1">
                  <c:v>2019 Q2</c:v>
                </c:pt>
                <c:pt idx="2">
                  <c:v>2019 Q3</c:v>
                </c:pt>
                <c:pt idx="3">
                  <c:v>2019 Q4</c:v>
                </c:pt>
                <c:pt idx="4">
                  <c:v>2020 Q1</c:v>
                </c:pt>
                <c:pt idx="5">
                  <c:v>2020 Q2</c:v>
                </c:pt>
                <c:pt idx="6">
                  <c:v>2020 Q3</c:v>
                </c:pt>
                <c:pt idx="7">
                  <c:v>2020 Q4</c:v>
                </c:pt>
              </c:strCache>
            </c:strRef>
          </c:cat>
          <c:val>
            <c:numRef>
              <c:f>Лист1!$B$3:$I$3</c:f>
              <c:numCache>
                <c:formatCode>#,##0</c:formatCode>
                <c:ptCount val="8"/>
                <c:pt idx="0">
                  <c:v>-1234</c:v>
                </c:pt>
                <c:pt idx="1">
                  <c:v>-235</c:v>
                </c:pt>
                <c:pt idx="2">
                  <c:v>-486</c:v>
                </c:pt>
                <c:pt idx="3">
                  <c:v>-94</c:v>
                </c:pt>
                <c:pt idx="4">
                  <c:v>-878</c:v>
                </c:pt>
                <c:pt idx="5">
                  <c:v>565</c:v>
                </c:pt>
                <c:pt idx="6">
                  <c:v>-266</c:v>
                </c:pt>
                <c:pt idx="7">
                  <c:v>-1282</c:v>
                </c:pt>
              </c:numCache>
            </c:numRef>
          </c:val>
          <c:extLst xmlns:c16r2="http://schemas.microsoft.com/office/drawing/2015/06/chart">
            <c:ext xmlns:c16="http://schemas.microsoft.com/office/drawing/2014/chart" uri="{C3380CC4-5D6E-409C-BE32-E72D297353CC}">
              <c16:uniqueId val="{00000001-F90E-4771-A226-8DECD6A10C7D}"/>
            </c:ext>
          </c:extLst>
        </c:ser>
        <c:ser>
          <c:idx val="2"/>
          <c:order val="2"/>
          <c:tx>
            <c:strRef>
              <c:f>Лист1!$A$4</c:f>
              <c:strCache>
                <c:ptCount val="1"/>
                <c:pt idx="0">
                  <c:v>Рахунок операцій з капіталом </c:v>
                </c:pt>
              </c:strCache>
            </c:strRef>
          </c:tx>
          <c:spPr>
            <a:solidFill>
              <a:schemeClr val="accent3"/>
            </a:solidFill>
            <a:ln>
              <a:noFill/>
            </a:ln>
            <a:effectLst/>
          </c:spPr>
          <c:invertIfNegative val="0"/>
          <c:cat>
            <c:strRef>
              <c:f>Лист1!$B$1:$I$1</c:f>
              <c:strCache>
                <c:ptCount val="8"/>
                <c:pt idx="0">
                  <c:v>2019 Q1</c:v>
                </c:pt>
                <c:pt idx="1">
                  <c:v>2019 Q2</c:v>
                </c:pt>
                <c:pt idx="2">
                  <c:v>2019 Q3</c:v>
                </c:pt>
                <c:pt idx="3">
                  <c:v>2019 Q4</c:v>
                </c:pt>
                <c:pt idx="4">
                  <c:v>2020 Q1</c:v>
                </c:pt>
                <c:pt idx="5">
                  <c:v>2020 Q2</c:v>
                </c:pt>
                <c:pt idx="6">
                  <c:v>2020 Q3</c:v>
                </c:pt>
                <c:pt idx="7">
                  <c:v>2020 Q4</c:v>
                </c:pt>
              </c:strCache>
            </c:strRef>
          </c:cat>
          <c:val>
            <c:numRef>
              <c:f>Лист1!$B$4:$I$4</c:f>
              <c:numCache>
                <c:formatCode>#,##0</c:formatCode>
                <c:ptCount val="8"/>
                <c:pt idx="0">
                  <c:v>910</c:v>
                </c:pt>
                <c:pt idx="1">
                  <c:v>3174</c:v>
                </c:pt>
                <c:pt idx="2">
                  <c:v>2729</c:v>
                </c:pt>
                <c:pt idx="3">
                  <c:v>4944</c:v>
                </c:pt>
                <c:pt idx="4">
                  <c:v>2501</c:v>
                </c:pt>
                <c:pt idx="5">
                  <c:v>3821</c:v>
                </c:pt>
                <c:pt idx="6">
                  <c:v>2198</c:v>
                </c:pt>
                <c:pt idx="7">
                  <c:v>5958</c:v>
                </c:pt>
              </c:numCache>
            </c:numRef>
          </c:val>
          <c:extLst xmlns:c16r2="http://schemas.microsoft.com/office/drawing/2015/06/chart">
            <c:ext xmlns:c16="http://schemas.microsoft.com/office/drawing/2014/chart" uri="{C3380CC4-5D6E-409C-BE32-E72D297353CC}">
              <c16:uniqueId val="{00000002-F90E-4771-A226-8DECD6A10C7D}"/>
            </c:ext>
          </c:extLst>
        </c:ser>
        <c:dLbls>
          <c:showLegendKey val="0"/>
          <c:showVal val="0"/>
          <c:showCatName val="0"/>
          <c:showSerName val="0"/>
          <c:showPercent val="0"/>
          <c:showBubbleSize val="0"/>
        </c:dLbls>
        <c:gapWidth val="219"/>
        <c:overlap val="-27"/>
        <c:axId val="93924352"/>
        <c:axId val="93934336"/>
      </c:barChart>
      <c:catAx>
        <c:axId val="93924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uk-UA"/>
          </a:p>
        </c:txPr>
        <c:crossAx val="93934336"/>
        <c:crosses val="autoZero"/>
        <c:auto val="1"/>
        <c:lblAlgn val="ctr"/>
        <c:lblOffset val="100"/>
        <c:noMultiLvlLbl val="0"/>
      </c:catAx>
      <c:valAx>
        <c:axId val="939343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3924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Лист4!$A$2</c:f>
              <c:strCache>
                <c:ptCount val="1"/>
                <c:pt idx="0">
                  <c:v>Фінансовий рахунок</c:v>
                </c:pt>
              </c:strCache>
            </c:strRef>
          </c:tx>
          <c:spPr>
            <a:solidFill>
              <a:schemeClr val="accent1"/>
            </a:solidFill>
            <a:ln>
              <a:noFill/>
            </a:ln>
            <a:effectLst/>
          </c:spPr>
          <c:invertIfNegative val="0"/>
          <c:cat>
            <c:strRef>
              <c:f>Лист4!$B$1:$I$1</c:f>
              <c:strCache>
                <c:ptCount val="8"/>
                <c:pt idx="0">
                  <c:v>2019 Q1</c:v>
                </c:pt>
                <c:pt idx="1">
                  <c:v>2019 Q2</c:v>
                </c:pt>
                <c:pt idx="2">
                  <c:v>2019 Q3</c:v>
                </c:pt>
                <c:pt idx="3">
                  <c:v>2019 Q4</c:v>
                </c:pt>
                <c:pt idx="4">
                  <c:v>2020 Q1</c:v>
                </c:pt>
                <c:pt idx="5">
                  <c:v>2020 Q2</c:v>
                </c:pt>
                <c:pt idx="6">
                  <c:v>2020 Q3</c:v>
                </c:pt>
                <c:pt idx="7">
                  <c:v>2020 Q4</c:v>
                </c:pt>
              </c:strCache>
            </c:strRef>
          </c:cat>
          <c:val>
            <c:numRef>
              <c:f>Лист4!$B$2:$I$2</c:f>
              <c:numCache>
                <c:formatCode>General</c:formatCode>
                <c:ptCount val="8"/>
                <c:pt idx="0">
                  <c:v>442</c:v>
                </c:pt>
                <c:pt idx="1">
                  <c:v>2615</c:v>
                </c:pt>
                <c:pt idx="2">
                  <c:v>2682</c:v>
                </c:pt>
                <c:pt idx="3">
                  <c:v>3015</c:v>
                </c:pt>
                <c:pt idx="4">
                  <c:v>6672</c:v>
                </c:pt>
                <c:pt idx="5">
                  <c:v>7472</c:v>
                </c:pt>
                <c:pt idx="6">
                  <c:v>2546</c:v>
                </c:pt>
                <c:pt idx="7">
                  <c:v>8805</c:v>
                </c:pt>
              </c:numCache>
            </c:numRef>
          </c:val>
          <c:extLst xmlns:c16r2="http://schemas.microsoft.com/office/drawing/2015/06/chart">
            <c:ext xmlns:c16="http://schemas.microsoft.com/office/drawing/2014/chart" uri="{C3380CC4-5D6E-409C-BE32-E72D297353CC}">
              <c16:uniqueId val="{00000000-1123-43FD-9D70-E6EDDCE1D0CA}"/>
            </c:ext>
          </c:extLst>
        </c:ser>
        <c:ser>
          <c:idx val="1"/>
          <c:order val="1"/>
          <c:tx>
            <c:strRef>
              <c:f>Лист4!$A$3</c:f>
              <c:strCache>
                <c:ptCount val="1"/>
                <c:pt idx="0">
                  <c:v>Прямі інвестиції (сальдо)</c:v>
                </c:pt>
              </c:strCache>
            </c:strRef>
          </c:tx>
          <c:spPr>
            <a:solidFill>
              <a:schemeClr val="accent2"/>
            </a:solidFill>
            <a:ln>
              <a:noFill/>
            </a:ln>
            <a:effectLst/>
          </c:spPr>
          <c:invertIfNegative val="0"/>
          <c:cat>
            <c:strRef>
              <c:f>Лист4!$B$1:$I$1</c:f>
              <c:strCache>
                <c:ptCount val="8"/>
                <c:pt idx="0">
                  <c:v>2019 Q1</c:v>
                </c:pt>
                <c:pt idx="1">
                  <c:v>2019 Q2</c:v>
                </c:pt>
                <c:pt idx="2">
                  <c:v>2019 Q3</c:v>
                </c:pt>
                <c:pt idx="3">
                  <c:v>2019 Q4</c:v>
                </c:pt>
                <c:pt idx="4">
                  <c:v>2020 Q1</c:v>
                </c:pt>
                <c:pt idx="5">
                  <c:v>2020 Q2</c:v>
                </c:pt>
                <c:pt idx="6">
                  <c:v>2020 Q3</c:v>
                </c:pt>
                <c:pt idx="7">
                  <c:v>2020 Q4</c:v>
                </c:pt>
              </c:strCache>
            </c:strRef>
          </c:cat>
          <c:val>
            <c:numRef>
              <c:f>Лист4!$B$3:$I$3</c:f>
              <c:numCache>
                <c:formatCode>General</c:formatCode>
                <c:ptCount val="8"/>
                <c:pt idx="0">
                  <c:v>-6630</c:v>
                </c:pt>
                <c:pt idx="1">
                  <c:v>693</c:v>
                </c:pt>
                <c:pt idx="2">
                  <c:v>-3753</c:v>
                </c:pt>
                <c:pt idx="3">
                  <c:v>63</c:v>
                </c:pt>
                <c:pt idx="4">
                  <c:v>-5813</c:v>
                </c:pt>
                <c:pt idx="5">
                  <c:v>-1787</c:v>
                </c:pt>
                <c:pt idx="6">
                  <c:v>-2005</c:v>
                </c:pt>
                <c:pt idx="7">
                  <c:v>1463</c:v>
                </c:pt>
              </c:numCache>
            </c:numRef>
          </c:val>
          <c:extLst xmlns:c16r2="http://schemas.microsoft.com/office/drawing/2015/06/chart">
            <c:ext xmlns:c16="http://schemas.microsoft.com/office/drawing/2014/chart" uri="{C3380CC4-5D6E-409C-BE32-E72D297353CC}">
              <c16:uniqueId val="{00000001-1123-43FD-9D70-E6EDDCE1D0CA}"/>
            </c:ext>
          </c:extLst>
        </c:ser>
        <c:ser>
          <c:idx val="2"/>
          <c:order val="2"/>
          <c:tx>
            <c:strRef>
              <c:f>Лист4!$A$4</c:f>
              <c:strCache>
                <c:ptCount val="1"/>
                <c:pt idx="0">
                  <c:v>Портфельні інвестиції (сальдо)</c:v>
                </c:pt>
              </c:strCache>
            </c:strRef>
          </c:tx>
          <c:spPr>
            <a:solidFill>
              <a:schemeClr val="accent3"/>
            </a:solidFill>
            <a:ln>
              <a:noFill/>
            </a:ln>
            <a:effectLst/>
          </c:spPr>
          <c:invertIfNegative val="0"/>
          <c:cat>
            <c:strRef>
              <c:f>Лист4!$B$1:$I$1</c:f>
              <c:strCache>
                <c:ptCount val="8"/>
                <c:pt idx="0">
                  <c:v>2019 Q1</c:v>
                </c:pt>
                <c:pt idx="1">
                  <c:v>2019 Q2</c:v>
                </c:pt>
                <c:pt idx="2">
                  <c:v>2019 Q3</c:v>
                </c:pt>
                <c:pt idx="3">
                  <c:v>2019 Q4</c:v>
                </c:pt>
                <c:pt idx="4">
                  <c:v>2020 Q1</c:v>
                </c:pt>
                <c:pt idx="5">
                  <c:v>2020 Q2</c:v>
                </c:pt>
                <c:pt idx="6">
                  <c:v>2020 Q3</c:v>
                </c:pt>
                <c:pt idx="7">
                  <c:v>2020 Q4</c:v>
                </c:pt>
              </c:strCache>
            </c:strRef>
          </c:cat>
          <c:val>
            <c:numRef>
              <c:f>Лист4!$B$4:$I$4</c:f>
              <c:numCache>
                <c:formatCode>General</c:formatCode>
                <c:ptCount val="8"/>
                <c:pt idx="0">
                  <c:v>3778</c:v>
                </c:pt>
                <c:pt idx="1">
                  <c:v>1127</c:v>
                </c:pt>
                <c:pt idx="2">
                  <c:v>3623</c:v>
                </c:pt>
                <c:pt idx="3">
                  <c:v>3738</c:v>
                </c:pt>
                <c:pt idx="4">
                  <c:v>539</c:v>
                </c:pt>
                <c:pt idx="5">
                  <c:v>11246</c:v>
                </c:pt>
                <c:pt idx="6">
                  <c:v>759</c:v>
                </c:pt>
                <c:pt idx="7">
                  <c:v>-5044</c:v>
                </c:pt>
              </c:numCache>
            </c:numRef>
          </c:val>
          <c:extLst xmlns:c16r2="http://schemas.microsoft.com/office/drawing/2015/06/chart">
            <c:ext xmlns:c16="http://schemas.microsoft.com/office/drawing/2014/chart" uri="{C3380CC4-5D6E-409C-BE32-E72D297353CC}">
              <c16:uniqueId val="{00000002-1123-43FD-9D70-E6EDDCE1D0CA}"/>
            </c:ext>
          </c:extLst>
        </c:ser>
        <c:ser>
          <c:idx val="3"/>
          <c:order val="3"/>
          <c:tx>
            <c:strRef>
              <c:f>Лист4!$A$5</c:f>
              <c:strCache>
                <c:ptCount val="1"/>
                <c:pt idx="0">
                  <c:v>Інші інвестиції (сальдо)</c:v>
                </c:pt>
              </c:strCache>
            </c:strRef>
          </c:tx>
          <c:spPr>
            <a:solidFill>
              <a:schemeClr val="accent4"/>
            </a:solidFill>
            <a:ln>
              <a:noFill/>
            </a:ln>
            <a:effectLst/>
          </c:spPr>
          <c:invertIfNegative val="0"/>
          <c:cat>
            <c:strRef>
              <c:f>Лист4!$B$1:$I$1</c:f>
              <c:strCache>
                <c:ptCount val="8"/>
                <c:pt idx="0">
                  <c:v>2019 Q1</c:v>
                </c:pt>
                <c:pt idx="1">
                  <c:v>2019 Q2</c:v>
                </c:pt>
                <c:pt idx="2">
                  <c:v>2019 Q3</c:v>
                </c:pt>
                <c:pt idx="3">
                  <c:v>2019 Q4</c:v>
                </c:pt>
                <c:pt idx="4">
                  <c:v>2020 Q1</c:v>
                </c:pt>
                <c:pt idx="5">
                  <c:v>2020 Q2</c:v>
                </c:pt>
                <c:pt idx="6">
                  <c:v>2020 Q3</c:v>
                </c:pt>
                <c:pt idx="7">
                  <c:v>2020 Q4</c:v>
                </c:pt>
              </c:strCache>
            </c:strRef>
          </c:cat>
          <c:val>
            <c:numRef>
              <c:f>Лист4!$B$5:$I$5</c:f>
              <c:numCache>
                <c:formatCode>#,##0</c:formatCode>
                <c:ptCount val="8"/>
                <c:pt idx="0">
                  <c:v>7422</c:v>
                </c:pt>
                <c:pt idx="1">
                  <c:v>-2847</c:v>
                </c:pt>
                <c:pt idx="2">
                  <c:v>-1936</c:v>
                </c:pt>
                <c:pt idx="3">
                  <c:v>-5627</c:v>
                </c:pt>
                <c:pt idx="4">
                  <c:v>16583</c:v>
                </c:pt>
                <c:pt idx="5">
                  <c:v>-7170</c:v>
                </c:pt>
                <c:pt idx="6">
                  <c:v>-3022</c:v>
                </c:pt>
                <c:pt idx="7">
                  <c:v>2104</c:v>
                </c:pt>
              </c:numCache>
            </c:numRef>
          </c:val>
          <c:extLst xmlns:c16r2="http://schemas.microsoft.com/office/drawing/2015/06/chart">
            <c:ext xmlns:c16="http://schemas.microsoft.com/office/drawing/2014/chart" uri="{C3380CC4-5D6E-409C-BE32-E72D297353CC}">
              <c16:uniqueId val="{00000003-1123-43FD-9D70-E6EDDCE1D0CA}"/>
            </c:ext>
          </c:extLst>
        </c:ser>
        <c:ser>
          <c:idx val="4"/>
          <c:order val="4"/>
          <c:tx>
            <c:strRef>
              <c:f>Лист4!$A$6</c:f>
              <c:strCache>
                <c:ptCount val="1"/>
                <c:pt idx="0">
                  <c:v>Резервні активи</c:v>
                </c:pt>
              </c:strCache>
            </c:strRef>
          </c:tx>
          <c:spPr>
            <a:solidFill>
              <a:schemeClr val="accent5"/>
            </a:solidFill>
            <a:ln>
              <a:noFill/>
            </a:ln>
            <a:effectLst/>
          </c:spPr>
          <c:invertIfNegative val="0"/>
          <c:cat>
            <c:strRef>
              <c:f>Лист4!$B$1:$I$1</c:f>
              <c:strCache>
                <c:ptCount val="8"/>
                <c:pt idx="0">
                  <c:v>2019 Q1</c:v>
                </c:pt>
                <c:pt idx="1">
                  <c:v>2019 Q2</c:v>
                </c:pt>
                <c:pt idx="2">
                  <c:v>2019 Q3</c:v>
                </c:pt>
                <c:pt idx="3">
                  <c:v>2019 Q4</c:v>
                </c:pt>
                <c:pt idx="4">
                  <c:v>2020 Q1</c:v>
                </c:pt>
                <c:pt idx="5">
                  <c:v>2020 Q2</c:v>
                </c:pt>
                <c:pt idx="6">
                  <c:v>2020 Q3</c:v>
                </c:pt>
                <c:pt idx="7">
                  <c:v>2020 Q4</c:v>
                </c:pt>
              </c:strCache>
            </c:strRef>
          </c:cat>
          <c:val>
            <c:numRef>
              <c:f>Лист4!$B$6:$I$6</c:f>
              <c:numCache>
                <c:formatCode>General</c:formatCode>
                <c:ptCount val="8"/>
                <c:pt idx="0">
                  <c:v>-4103</c:v>
                </c:pt>
                <c:pt idx="1">
                  <c:v>3850</c:v>
                </c:pt>
                <c:pt idx="2">
                  <c:v>4973</c:v>
                </c:pt>
                <c:pt idx="3">
                  <c:v>5455</c:v>
                </c:pt>
                <c:pt idx="4">
                  <c:v>-5309</c:v>
                </c:pt>
                <c:pt idx="5">
                  <c:v>6153</c:v>
                </c:pt>
                <c:pt idx="6">
                  <c:v>7244</c:v>
                </c:pt>
                <c:pt idx="7">
                  <c:v>10655</c:v>
                </c:pt>
              </c:numCache>
            </c:numRef>
          </c:val>
          <c:extLst xmlns:c16r2="http://schemas.microsoft.com/office/drawing/2015/06/chart">
            <c:ext xmlns:c16="http://schemas.microsoft.com/office/drawing/2014/chart" uri="{C3380CC4-5D6E-409C-BE32-E72D297353CC}">
              <c16:uniqueId val="{00000004-1123-43FD-9D70-E6EDDCE1D0CA}"/>
            </c:ext>
          </c:extLst>
        </c:ser>
        <c:dLbls>
          <c:showLegendKey val="0"/>
          <c:showVal val="0"/>
          <c:showCatName val="0"/>
          <c:showSerName val="0"/>
          <c:showPercent val="0"/>
          <c:showBubbleSize val="0"/>
        </c:dLbls>
        <c:gapWidth val="219"/>
        <c:overlap val="-27"/>
        <c:axId val="94103040"/>
        <c:axId val="94104576"/>
      </c:barChart>
      <c:catAx>
        <c:axId val="94103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104576"/>
        <c:crosses val="autoZero"/>
        <c:auto val="1"/>
        <c:lblAlgn val="ctr"/>
        <c:lblOffset val="100"/>
        <c:noMultiLvlLbl val="0"/>
      </c:catAx>
      <c:valAx>
        <c:axId val="94104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103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PFTS Індекс</c:v>
                </c:pt>
              </c:strCache>
            </c:strRef>
          </c:tx>
          <c:spPr>
            <a:ln w="28575" cap="rnd">
              <a:solidFill>
                <a:schemeClr val="dk1">
                  <a:tint val="88500"/>
                </a:schemeClr>
              </a:solidFill>
              <a:round/>
            </a:ln>
            <a:effectLst/>
          </c:spPr>
          <c:marker>
            <c:symbol val="none"/>
          </c:marker>
          <c:cat>
            <c:numRef>
              <c:f>Лист1!$A$2:$A$30</c:f>
              <c:numCache>
                <c:formatCode>m/d/yyyy</c:formatCode>
                <c:ptCount val="29"/>
                <c:pt idx="0">
                  <c:v>43466</c:v>
                </c:pt>
                <c:pt idx="1">
                  <c:v>43497</c:v>
                </c:pt>
                <c:pt idx="2">
                  <c:v>43525</c:v>
                </c:pt>
                <c:pt idx="3">
                  <c:v>43556</c:v>
                </c:pt>
                <c:pt idx="4">
                  <c:v>43587</c:v>
                </c:pt>
                <c:pt idx="5">
                  <c:v>43619</c:v>
                </c:pt>
                <c:pt idx="6">
                  <c:v>43647</c:v>
                </c:pt>
                <c:pt idx="7">
                  <c:v>43678</c:v>
                </c:pt>
                <c:pt idx="8">
                  <c:v>43710</c:v>
                </c:pt>
                <c:pt idx="9">
                  <c:v>43739</c:v>
                </c:pt>
                <c:pt idx="10">
                  <c:v>43770</c:v>
                </c:pt>
                <c:pt idx="11">
                  <c:v>43801</c:v>
                </c:pt>
                <c:pt idx="12">
                  <c:v>43833</c:v>
                </c:pt>
                <c:pt idx="13">
                  <c:v>43864</c:v>
                </c:pt>
                <c:pt idx="14">
                  <c:v>43892</c:v>
                </c:pt>
                <c:pt idx="15">
                  <c:v>43893</c:v>
                </c:pt>
                <c:pt idx="16">
                  <c:v>43922</c:v>
                </c:pt>
                <c:pt idx="17">
                  <c:v>43955</c:v>
                </c:pt>
                <c:pt idx="18">
                  <c:v>43983</c:v>
                </c:pt>
                <c:pt idx="19">
                  <c:v>44013</c:v>
                </c:pt>
                <c:pt idx="20">
                  <c:v>44046</c:v>
                </c:pt>
                <c:pt idx="21">
                  <c:v>44075</c:v>
                </c:pt>
                <c:pt idx="22">
                  <c:v>44105</c:v>
                </c:pt>
                <c:pt idx="23">
                  <c:v>44137</c:v>
                </c:pt>
                <c:pt idx="24">
                  <c:v>44166</c:v>
                </c:pt>
                <c:pt idx="25">
                  <c:v>44200</c:v>
                </c:pt>
                <c:pt idx="26">
                  <c:v>44228</c:v>
                </c:pt>
                <c:pt idx="27">
                  <c:v>44256</c:v>
                </c:pt>
                <c:pt idx="28">
                  <c:v>44287</c:v>
                </c:pt>
              </c:numCache>
            </c:numRef>
          </c:cat>
          <c:val>
            <c:numRef>
              <c:f>Лист1!$B$2:$B$30</c:f>
              <c:numCache>
                <c:formatCode>General</c:formatCode>
                <c:ptCount val="29"/>
                <c:pt idx="0">
                  <c:v>556.70190000000002</c:v>
                </c:pt>
                <c:pt idx="1">
                  <c:v>552.98220000000003</c:v>
                </c:pt>
                <c:pt idx="2">
                  <c:v>555.4067</c:v>
                </c:pt>
                <c:pt idx="3">
                  <c:v>562.9941</c:v>
                </c:pt>
                <c:pt idx="4">
                  <c:v>559.40239999999994</c:v>
                </c:pt>
                <c:pt idx="5">
                  <c:v>564.74400000000003</c:v>
                </c:pt>
                <c:pt idx="6">
                  <c:v>549.51559999999995</c:v>
                </c:pt>
                <c:pt idx="7">
                  <c:v>540.59500000000003</c:v>
                </c:pt>
                <c:pt idx="8">
                  <c:v>528.46900000000005</c:v>
                </c:pt>
                <c:pt idx="9">
                  <c:v>524.85109999999997</c:v>
                </c:pt>
                <c:pt idx="10">
                  <c:v>521.85709999999995</c:v>
                </c:pt>
                <c:pt idx="11">
                  <c:v>509.81659999999999</c:v>
                </c:pt>
                <c:pt idx="12">
                  <c:v>509.64830000000001</c:v>
                </c:pt>
                <c:pt idx="13">
                  <c:v>509.24770000000001</c:v>
                </c:pt>
                <c:pt idx="14">
                  <c:v>532.91010000000006</c:v>
                </c:pt>
                <c:pt idx="15">
                  <c:v>536.16290000000004</c:v>
                </c:pt>
                <c:pt idx="16">
                  <c:v>509.85329999999999</c:v>
                </c:pt>
                <c:pt idx="17">
                  <c:v>500.38389999999998</c:v>
                </c:pt>
                <c:pt idx="18">
                  <c:v>500.1377</c:v>
                </c:pt>
                <c:pt idx="19">
                  <c:v>499.45909999999998</c:v>
                </c:pt>
                <c:pt idx="20">
                  <c:v>500.2133</c:v>
                </c:pt>
                <c:pt idx="21">
                  <c:v>500.21789999999999</c:v>
                </c:pt>
                <c:pt idx="22">
                  <c:v>500.21789999999999</c:v>
                </c:pt>
                <c:pt idx="23">
                  <c:v>500.4889</c:v>
                </c:pt>
                <c:pt idx="24">
                  <c:v>507.53320000000002</c:v>
                </c:pt>
                <c:pt idx="25">
                  <c:v>499.64859999999999</c:v>
                </c:pt>
                <c:pt idx="26">
                  <c:v>520.80070000000001</c:v>
                </c:pt>
                <c:pt idx="27">
                  <c:v>524.49919999999997</c:v>
                </c:pt>
                <c:pt idx="28">
                  <c:v>517.27700000000004</c:v>
                </c:pt>
              </c:numCache>
            </c:numRef>
          </c:val>
          <c:smooth val="0"/>
          <c:extLst xmlns:c16r2="http://schemas.microsoft.com/office/drawing/2015/06/chart">
            <c:ext xmlns:c16="http://schemas.microsoft.com/office/drawing/2014/chart" uri="{C3380CC4-5D6E-409C-BE32-E72D297353CC}">
              <c16:uniqueId val="{00000000-19C2-43A2-BF8F-B512503911E1}"/>
            </c:ext>
          </c:extLst>
        </c:ser>
        <c:dLbls>
          <c:showLegendKey val="0"/>
          <c:showVal val="0"/>
          <c:showCatName val="0"/>
          <c:showSerName val="0"/>
          <c:showPercent val="0"/>
          <c:showBubbleSize val="0"/>
        </c:dLbls>
        <c:marker val="1"/>
        <c:smooth val="0"/>
        <c:axId val="94168576"/>
        <c:axId val="94170112"/>
      </c:lineChart>
      <c:lineChart>
        <c:grouping val="standard"/>
        <c:varyColors val="0"/>
        <c:ser>
          <c:idx val="1"/>
          <c:order val="1"/>
          <c:tx>
            <c:strRef>
              <c:f>Лист1!$C$1</c:f>
              <c:strCache>
                <c:ptCount val="1"/>
                <c:pt idx="0">
                  <c:v>Індекс UX (по допоміжній осі) </c:v>
                </c:pt>
              </c:strCache>
            </c:strRef>
          </c:tx>
          <c:spPr>
            <a:ln w="28575" cap="rnd">
              <a:solidFill>
                <a:schemeClr val="dk1">
                  <a:tint val="55000"/>
                </a:schemeClr>
              </a:solidFill>
              <a:round/>
            </a:ln>
            <a:effectLst/>
          </c:spPr>
          <c:marker>
            <c:symbol val="none"/>
          </c:marker>
          <c:cat>
            <c:numRef>
              <c:f>Лист1!$A$2:$A$30</c:f>
              <c:numCache>
                <c:formatCode>m/d/yyyy</c:formatCode>
                <c:ptCount val="29"/>
                <c:pt idx="0">
                  <c:v>43466</c:v>
                </c:pt>
                <c:pt idx="1">
                  <c:v>43497</c:v>
                </c:pt>
                <c:pt idx="2">
                  <c:v>43525</c:v>
                </c:pt>
                <c:pt idx="3">
                  <c:v>43556</c:v>
                </c:pt>
                <c:pt idx="4">
                  <c:v>43587</c:v>
                </c:pt>
                <c:pt idx="5">
                  <c:v>43619</c:v>
                </c:pt>
                <c:pt idx="6">
                  <c:v>43647</c:v>
                </c:pt>
                <c:pt idx="7">
                  <c:v>43678</c:v>
                </c:pt>
                <c:pt idx="8">
                  <c:v>43710</c:v>
                </c:pt>
                <c:pt idx="9">
                  <c:v>43739</c:v>
                </c:pt>
                <c:pt idx="10">
                  <c:v>43770</c:v>
                </c:pt>
                <c:pt idx="11">
                  <c:v>43801</c:v>
                </c:pt>
                <c:pt idx="12">
                  <c:v>43833</c:v>
                </c:pt>
                <c:pt idx="13">
                  <c:v>43864</c:v>
                </c:pt>
                <c:pt idx="14">
                  <c:v>43892</c:v>
                </c:pt>
                <c:pt idx="15">
                  <c:v>43893</c:v>
                </c:pt>
                <c:pt idx="16">
                  <c:v>43922</c:v>
                </c:pt>
                <c:pt idx="17">
                  <c:v>43955</c:v>
                </c:pt>
                <c:pt idx="18">
                  <c:v>43983</c:v>
                </c:pt>
                <c:pt idx="19">
                  <c:v>44013</c:v>
                </c:pt>
                <c:pt idx="20">
                  <c:v>44046</c:v>
                </c:pt>
                <c:pt idx="21">
                  <c:v>44075</c:v>
                </c:pt>
                <c:pt idx="22">
                  <c:v>44105</c:v>
                </c:pt>
                <c:pt idx="23">
                  <c:v>44137</c:v>
                </c:pt>
                <c:pt idx="24">
                  <c:v>44166</c:v>
                </c:pt>
                <c:pt idx="25">
                  <c:v>44200</c:v>
                </c:pt>
                <c:pt idx="26">
                  <c:v>44228</c:v>
                </c:pt>
                <c:pt idx="27">
                  <c:v>44256</c:v>
                </c:pt>
                <c:pt idx="28">
                  <c:v>44287</c:v>
                </c:pt>
              </c:numCache>
            </c:numRef>
          </c:cat>
          <c:val>
            <c:numRef>
              <c:f>Лист1!$C$2:$C$30</c:f>
              <c:numCache>
                <c:formatCode>General</c:formatCode>
                <c:ptCount val="29"/>
                <c:pt idx="0">
                  <c:v>1710.65</c:v>
                </c:pt>
                <c:pt idx="1">
                  <c:v>1710.65</c:v>
                </c:pt>
                <c:pt idx="2">
                  <c:v>1704.66</c:v>
                </c:pt>
                <c:pt idx="3">
                  <c:v>1723.59</c:v>
                </c:pt>
                <c:pt idx="4">
                  <c:v>1679.29</c:v>
                </c:pt>
                <c:pt idx="5">
                  <c:v>1731.75</c:v>
                </c:pt>
                <c:pt idx="6">
                  <c:v>1734.04</c:v>
                </c:pt>
                <c:pt idx="7">
                  <c:v>1652.31</c:v>
                </c:pt>
                <c:pt idx="8">
                  <c:v>1601.91</c:v>
                </c:pt>
                <c:pt idx="9">
                  <c:v>1537.71</c:v>
                </c:pt>
                <c:pt idx="10">
                  <c:v>1561.74</c:v>
                </c:pt>
                <c:pt idx="11">
                  <c:v>1517.17</c:v>
                </c:pt>
                <c:pt idx="12">
                  <c:v>1492.59</c:v>
                </c:pt>
                <c:pt idx="13">
                  <c:v>1518.72</c:v>
                </c:pt>
                <c:pt idx="14">
                  <c:v>1512.59</c:v>
                </c:pt>
                <c:pt idx="15">
                  <c:v>1586.46</c:v>
                </c:pt>
                <c:pt idx="16">
                  <c:v>1404.13</c:v>
                </c:pt>
                <c:pt idx="17">
                  <c:v>1280.93</c:v>
                </c:pt>
                <c:pt idx="18">
                  <c:v>1367.8</c:v>
                </c:pt>
                <c:pt idx="19">
                  <c:v>1363.22</c:v>
                </c:pt>
                <c:pt idx="20">
                  <c:v>1293.97</c:v>
                </c:pt>
                <c:pt idx="21">
                  <c:v>1319.73</c:v>
                </c:pt>
                <c:pt idx="22">
                  <c:v>1308.33</c:v>
                </c:pt>
                <c:pt idx="23">
                  <c:v>1311.45</c:v>
                </c:pt>
                <c:pt idx="24">
                  <c:v>1490.07</c:v>
                </c:pt>
                <c:pt idx="25">
                  <c:v>1617.08</c:v>
                </c:pt>
                <c:pt idx="26">
                  <c:v>1665.46</c:v>
                </c:pt>
                <c:pt idx="27">
                  <c:v>1776.88</c:v>
                </c:pt>
                <c:pt idx="28">
                  <c:v>1874.58</c:v>
                </c:pt>
              </c:numCache>
            </c:numRef>
          </c:val>
          <c:smooth val="0"/>
          <c:extLst xmlns:c16r2="http://schemas.microsoft.com/office/drawing/2015/06/chart">
            <c:ext xmlns:c16="http://schemas.microsoft.com/office/drawing/2014/chart" uri="{C3380CC4-5D6E-409C-BE32-E72D297353CC}">
              <c16:uniqueId val="{00000001-19C2-43A2-BF8F-B512503911E1}"/>
            </c:ext>
          </c:extLst>
        </c:ser>
        <c:dLbls>
          <c:showLegendKey val="0"/>
          <c:showVal val="0"/>
          <c:showCatName val="0"/>
          <c:showSerName val="0"/>
          <c:showPercent val="0"/>
          <c:showBubbleSize val="0"/>
        </c:dLbls>
        <c:marker val="1"/>
        <c:smooth val="0"/>
        <c:axId val="94177536"/>
        <c:axId val="94176000"/>
      </c:lineChart>
      <c:dateAx>
        <c:axId val="94168576"/>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170112"/>
        <c:crosses val="autoZero"/>
        <c:auto val="1"/>
        <c:lblOffset val="100"/>
        <c:baseTimeUnit val="days"/>
      </c:dateAx>
      <c:valAx>
        <c:axId val="94170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168576"/>
        <c:crosses val="autoZero"/>
        <c:crossBetween val="between"/>
      </c:valAx>
      <c:valAx>
        <c:axId val="9417600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177536"/>
        <c:crosses val="max"/>
        <c:crossBetween val="between"/>
      </c:valAx>
      <c:dateAx>
        <c:axId val="94177536"/>
        <c:scaling>
          <c:orientation val="minMax"/>
        </c:scaling>
        <c:delete val="1"/>
        <c:axPos val="b"/>
        <c:numFmt formatCode="m/d/yyyy" sourceLinked="1"/>
        <c:majorTickMark val="out"/>
        <c:minorTickMark val="none"/>
        <c:tickLblPos val="nextTo"/>
        <c:crossAx val="94176000"/>
        <c:crosses val="autoZero"/>
        <c:auto val="1"/>
        <c:lblOffset val="100"/>
        <c:baseTimeUnit val="day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chemeClr val="dk1">
                  <a:tint val="88500"/>
                </a:schemeClr>
              </a:solidFill>
              <a:round/>
            </a:ln>
            <a:effectLst/>
          </c:spPr>
          <c:marker>
            <c:symbol val="none"/>
          </c:marker>
          <c:cat>
            <c:numRef>
              <c:f>historical_values_CH0009980894!$A$4:$A$32</c:f>
              <c:numCache>
                <c:formatCode>m/d/yyyy</c:formatCode>
                <c:ptCount val="29"/>
                <c:pt idx="0">
                  <c:v>43468</c:v>
                </c:pt>
                <c:pt idx="1">
                  <c:v>43497</c:v>
                </c:pt>
                <c:pt idx="2">
                  <c:v>43525</c:v>
                </c:pt>
                <c:pt idx="3">
                  <c:v>43556</c:v>
                </c:pt>
                <c:pt idx="4">
                  <c:v>43587</c:v>
                </c:pt>
                <c:pt idx="5">
                  <c:v>43619</c:v>
                </c:pt>
                <c:pt idx="6">
                  <c:v>43648</c:v>
                </c:pt>
                <c:pt idx="7">
                  <c:v>43649</c:v>
                </c:pt>
                <c:pt idx="8">
                  <c:v>43679</c:v>
                </c:pt>
                <c:pt idx="9">
                  <c:v>43710</c:v>
                </c:pt>
                <c:pt idx="10">
                  <c:v>43739</c:v>
                </c:pt>
                <c:pt idx="11">
                  <c:v>43770</c:v>
                </c:pt>
                <c:pt idx="12">
                  <c:v>43801</c:v>
                </c:pt>
                <c:pt idx="13">
                  <c:v>43833</c:v>
                </c:pt>
                <c:pt idx="14">
                  <c:v>43864</c:v>
                </c:pt>
                <c:pt idx="15">
                  <c:v>43892</c:v>
                </c:pt>
                <c:pt idx="16">
                  <c:v>43922</c:v>
                </c:pt>
                <c:pt idx="17">
                  <c:v>43955</c:v>
                </c:pt>
                <c:pt idx="18">
                  <c:v>43984</c:v>
                </c:pt>
                <c:pt idx="19">
                  <c:v>44013</c:v>
                </c:pt>
                <c:pt idx="20">
                  <c:v>44046</c:v>
                </c:pt>
                <c:pt idx="21">
                  <c:v>44075</c:v>
                </c:pt>
                <c:pt idx="22">
                  <c:v>44105</c:v>
                </c:pt>
                <c:pt idx="23">
                  <c:v>44137</c:v>
                </c:pt>
                <c:pt idx="24">
                  <c:v>44166</c:v>
                </c:pt>
                <c:pt idx="25">
                  <c:v>44200</c:v>
                </c:pt>
                <c:pt idx="26">
                  <c:v>44228</c:v>
                </c:pt>
                <c:pt idx="27">
                  <c:v>44256</c:v>
                </c:pt>
                <c:pt idx="28">
                  <c:v>44287</c:v>
                </c:pt>
              </c:numCache>
            </c:numRef>
          </c:cat>
          <c:val>
            <c:numRef>
              <c:f>historical_values_CH0009980894!$B$4:$B$32</c:f>
              <c:numCache>
                <c:formatCode>General</c:formatCode>
                <c:ptCount val="29"/>
                <c:pt idx="0">
                  <c:v>8466.01</c:v>
                </c:pt>
                <c:pt idx="1">
                  <c:v>8996.36</c:v>
                </c:pt>
                <c:pt idx="2">
                  <c:v>9412.02</c:v>
                </c:pt>
                <c:pt idx="3">
                  <c:v>9538.11</c:v>
                </c:pt>
                <c:pt idx="4">
                  <c:v>9746.06</c:v>
                </c:pt>
                <c:pt idx="5">
                  <c:v>9602.73</c:v>
                </c:pt>
                <c:pt idx="6">
                  <c:v>10020.93</c:v>
                </c:pt>
                <c:pt idx="7">
                  <c:v>10066.530000000001</c:v>
                </c:pt>
                <c:pt idx="8">
                  <c:v>9803.69</c:v>
                </c:pt>
                <c:pt idx="9">
                  <c:v>9924.5400000000009</c:v>
                </c:pt>
                <c:pt idx="10">
                  <c:v>9952.5</c:v>
                </c:pt>
                <c:pt idx="11">
                  <c:v>10252.24</c:v>
                </c:pt>
                <c:pt idx="12">
                  <c:v>10348.44</c:v>
                </c:pt>
                <c:pt idx="13">
                  <c:v>10699.82</c:v>
                </c:pt>
                <c:pt idx="14">
                  <c:v>10664.95</c:v>
                </c:pt>
                <c:pt idx="15">
                  <c:v>9950.83</c:v>
                </c:pt>
                <c:pt idx="16">
                  <c:v>9168.98</c:v>
                </c:pt>
                <c:pt idx="17">
                  <c:v>9390.27</c:v>
                </c:pt>
                <c:pt idx="18">
                  <c:v>9951.4500000000007</c:v>
                </c:pt>
                <c:pt idx="19">
                  <c:v>10089.67</c:v>
                </c:pt>
                <c:pt idx="20">
                  <c:v>10229.67</c:v>
                </c:pt>
                <c:pt idx="21">
                  <c:v>10188.85</c:v>
                </c:pt>
                <c:pt idx="22">
                  <c:v>10238.120000000001</c:v>
                </c:pt>
                <c:pt idx="23">
                  <c:v>9791.68</c:v>
                </c:pt>
                <c:pt idx="24">
                  <c:v>10449.209999999999</c:v>
                </c:pt>
                <c:pt idx="25">
                  <c:v>10738.39</c:v>
                </c:pt>
                <c:pt idx="26">
                  <c:v>10740.22</c:v>
                </c:pt>
                <c:pt idx="27">
                  <c:v>10706.59</c:v>
                </c:pt>
                <c:pt idx="28">
                  <c:v>11118.03</c:v>
                </c:pt>
              </c:numCache>
            </c:numRef>
          </c:val>
          <c:smooth val="0"/>
          <c:extLst xmlns:c16r2="http://schemas.microsoft.com/office/drawing/2015/06/chart">
            <c:ext xmlns:c16="http://schemas.microsoft.com/office/drawing/2014/chart" uri="{C3380CC4-5D6E-409C-BE32-E72D297353CC}">
              <c16:uniqueId val="{00000000-2E08-46AF-AF8C-C7815DBD54EB}"/>
            </c:ext>
          </c:extLst>
        </c:ser>
        <c:dLbls>
          <c:showLegendKey val="0"/>
          <c:showVal val="0"/>
          <c:showCatName val="0"/>
          <c:showSerName val="0"/>
          <c:showPercent val="0"/>
          <c:showBubbleSize val="0"/>
        </c:dLbls>
        <c:marker val="1"/>
        <c:smooth val="0"/>
        <c:axId val="94223360"/>
        <c:axId val="94229248"/>
      </c:lineChart>
      <c:dateAx>
        <c:axId val="94223360"/>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229248"/>
        <c:crosses val="autoZero"/>
        <c:auto val="1"/>
        <c:lblOffset val="100"/>
        <c:baseTimeUnit val="days"/>
      </c:dateAx>
      <c:valAx>
        <c:axId val="94229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223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chemeClr val="dk1">
                  <a:tint val="88500"/>
                </a:schemeClr>
              </a:solidFill>
              <a:round/>
            </a:ln>
            <a:effectLst/>
          </c:spPr>
          <c:marker>
            <c:symbol val="none"/>
          </c:marker>
          <c:cat>
            <c:numRef>
              <c:f>Sheet1!$A$1:$A$28</c:f>
              <c:numCache>
                <c:formatCode>m/d/yyyy</c:formatCode>
                <c:ptCount val="28"/>
                <c:pt idx="0">
                  <c:v>44287</c:v>
                </c:pt>
                <c:pt idx="1">
                  <c:v>44256</c:v>
                </c:pt>
                <c:pt idx="2">
                  <c:v>44228</c:v>
                </c:pt>
                <c:pt idx="3">
                  <c:v>44200</c:v>
                </c:pt>
                <c:pt idx="4">
                  <c:v>44166</c:v>
                </c:pt>
                <c:pt idx="5">
                  <c:v>44137</c:v>
                </c:pt>
                <c:pt idx="6">
                  <c:v>44105</c:v>
                </c:pt>
                <c:pt idx="7">
                  <c:v>44075</c:v>
                </c:pt>
                <c:pt idx="8">
                  <c:v>44046</c:v>
                </c:pt>
                <c:pt idx="9">
                  <c:v>44013</c:v>
                </c:pt>
                <c:pt idx="10">
                  <c:v>43983</c:v>
                </c:pt>
                <c:pt idx="11">
                  <c:v>43955</c:v>
                </c:pt>
                <c:pt idx="12">
                  <c:v>43922</c:v>
                </c:pt>
                <c:pt idx="13">
                  <c:v>43892</c:v>
                </c:pt>
                <c:pt idx="14">
                  <c:v>43864</c:v>
                </c:pt>
                <c:pt idx="15">
                  <c:v>43832</c:v>
                </c:pt>
                <c:pt idx="16">
                  <c:v>43801</c:v>
                </c:pt>
                <c:pt idx="17">
                  <c:v>43773</c:v>
                </c:pt>
                <c:pt idx="18">
                  <c:v>43739</c:v>
                </c:pt>
                <c:pt idx="19">
                  <c:v>43710</c:v>
                </c:pt>
                <c:pt idx="20">
                  <c:v>43678</c:v>
                </c:pt>
                <c:pt idx="21">
                  <c:v>43647</c:v>
                </c:pt>
                <c:pt idx="22">
                  <c:v>43619</c:v>
                </c:pt>
                <c:pt idx="23">
                  <c:v>43587</c:v>
                </c:pt>
                <c:pt idx="24">
                  <c:v>43556</c:v>
                </c:pt>
                <c:pt idx="25">
                  <c:v>43525</c:v>
                </c:pt>
                <c:pt idx="26">
                  <c:v>43497</c:v>
                </c:pt>
                <c:pt idx="27">
                  <c:v>43467</c:v>
                </c:pt>
              </c:numCache>
            </c:numRef>
          </c:cat>
          <c:val>
            <c:numRef>
              <c:f>Sheet1!$B$1:$B$28</c:f>
              <c:numCache>
                <c:formatCode>General</c:formatCode>
                <c:ptCount val="28"/>
                <c:pt idx="0">
                  <c:v>58512.71</c:v>
                </c:pt>
                <c:pt idx="1">
                  <c:v>58012.31</c:v>
                </c:pt>
                <c:pt idx="2">
                  <c:v>57465.45</c:v>
                </c:pt>
                <c:pt idx="3">
                  <c:v>57954.68</c:v>
                </c:pt>
                <c:pt idx="4">
                  <c:v>52932.37</c:v>
                </c:pt>
                <c:pt idx="5">
                  <c:v>45177.16</c:v>
                </c:pt>
                <c:pt idx="6">
                  <c:v>49035.41</c:v>
                </c:pt>
                <c:pt idx="7">
                  <c:v>50937.27</c:v>
                </c:pt>
                <c:pt idx="8">
                  <c:v>51534.26</c:v>
                </c:pt>
                <c:pt idx="9">
                  <c:v>50104.2</c:v>
                </c:pt>
                <c:pt idx="10">
                  <c:v>48647.15</c:v>
                </c:pt>
                <c:pt idx="11">
                  <c:v>45023.6</c:v>
                </c:pt>
                <c:pt idx="12">
                  <c:v>41028.82</c:v>
                </c:pt>
                <c:pt idx="13">
                  <c:v>50150.48</c:v>
                </c:pt>
                <c:pt idx="14">
                  <c:v>56795.27</c:v>
                </c:pt>
                <c:pt idx="15">
                  <c:v>59048.28</c:v>
                </c:pt>
                <c:pt idx="16">
                  <c:v>56868.74</c:v>
                </c:pt>
                <c:pt idx="17">
                  <c:v>59326.13</c:v>
                </c:pt>
                <c:pt idx="18">
                  <c:v>56847.98</c:v>
                </c:pt>
                <c:pt idx="19">
                  <c:v>56965.68</c:v>
                </c:pt>
                <c:pt idx="20">
                  <c:v>58863.73</c:v>
                </c:pt>
                <c:pt idx="21">
                  <c:v>60323.79</c:v>
                </c:pt>
                <c:pt idx="22">
                  <c:v>57857.73</c:v>
                </c:pt>
                <c:pt idx="23">
                  <c:v>59744.3</c:v>
                </c:pt>
                <c:pt idx="24">
                  <c:v>60342.05</c:v>
                </c:pt>
                <c:pt idx="25">
                  <c:v>60076.61</c:v>
                </c:pt>
                <c:pt idx="26">
                  <c:v>60660.31</c:v>
                </c:pt>
                <c:pt idx="27">
                  <c:v>58290.21</c:v>
                </c:pt>
              </c:numCache>
            </c:numRef>
          </c:val>
          <c:smooth val="0"/>
          <c:extLst xmlns:c16r2="http://schemas.microsoft.com/office/drawing/2015/06/chart">
            <c:ext xmlns:c16="http://schemas.microsoft.com/office/drawing/2014/chart" uri="{C3380CC4-5D6E-409C-BE32-E72D297353CC}">
              <c16:uniqueId val="{00000000-7B58-46EF-8A76-DA8B1CC72C96}"/>
            </c:ext>
          </c:extLst>
        </c:ser>
        <c:dLbls>
          <c:showLegendKey val="0"/>
          <c:showVal val="0"/>
          <c:showCatName val="0"/>
          <c:showSerName val="0"/>
          <c:showPercent val="0"/>
          <c:showBubbleSize val="0"/>
        </c:dLbls>
        <c:marker val="1"/>
        <c:smooth val="0"/>
        <c:axId val="95478912"/>
        <c:axId val="95480448"/>
      </c:lineChart>
      <c:dateAx>
        <c:axId val="95478912"/>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5480448"/>
        <c:crosses val="autoZero"/>
        <c:auto val="1"/>
        <c:lblOffset val="100"/>
        <c:baseTimeUnit val="months"/>
      </c:dateAx>
      <c:valAx>
        <c:axId val="954804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5478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'пии Швейцария '!$B$7</c:f>
              <c:strCache>
                <c:ptCount val="1"/>
                <c:pt idx="0">
                  <c:v>Прямі інвестиції (млн дол. США) </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'пии Швейцария '!$A$8:$A$10</c:f>
              <c:numCache>
                <c:formatCode>General</c:formatCode>
                <c:ptCount val="3"/>
                <c:pt idx="0">
                  <c:v>2018</c:v>
                </c:pt>
                <c:pt idx="1">
                  <c:v>2019</c:v>
                </c:pt>
                <c:pt idx="2">
                  <c:v>2020</c:v>
                </c:pt>
              </c:numCache>
            </c:numRef>
          </c:cat>
          <c:val>
            <c:numRef>
              <c:f>'пии Швейцария '!$B$8:$B$10</c:f>
              <c:numCache>
                <c:formatCode>General</c:formatCode>
                <c:ptCount val="3"/>
                <c:pt idx="0">
                  <c:v>2052.0969259365647</c:v>
                </c:pt>
                <c:pt idx="1">
                  <c:v>3190.0787369203308</c:v>
                </c:pt>
                <c:pt idx="2">
                  <c:v>2758.3956128114992</c:v>
                </c:pt>
              </c:numCache>
            </c:numRef>
          </c:val>
          <c:extLst xmlns:c16r2="http://schemas.microsoft.com/office/drawing/2015/06/chart">
            <c:ext xmlns:c16="http://schemas.microsoft.com/office/drawing/2014/chart" uri="{C3380CC4-5D6E-409C-BE32-E72D297353CC}">
              <c16:uniqueId val="{00000000-7582-4702-8F29-8689F76BAA56}"/>
            </c:ext>
          </c:extLst>
        </c:ser>
        <c:dLbls>
          <c:dLblPos val="outEnd"/>
          <c:showLegendKey val="0"/>
          <c:showVal val="1"/>
          <c:showCatName val="0"/>
          <c:showSerName val="0"/>
          <c:showPercent val="0"/>
          <c:showBubbleSize val="0"/>
        </c:dLbls>
        <c:gapWidth val="219"/>
        <c:overlap val="-27"/>
        <c:axId val="94365568"/>
        <c:axId val="94368512"/>
      </c:barChart>
      <c:catAx>
        <c:axId val="94365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368512"/>
        <c:crosses val="autoZero"/>
        <c:auto val="1"/>
        <c:lblAlgn val="ctr"/>
        <c:lblOffset val="100"/>
        <c:noMultiLvlLbl val="0"/>
      </c:catAx>
      <c:valAx>
        <c:axId val="94368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4365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spPr>
            <a:ln w="28575" cap="rnd">
              <a:solidFill>
                <a:schemeClr val="dk1">
                  <a:tint val="88500"/>
                </a:schemeClr>
              </a:solidFill>
              <a:round/>
            </a:ln>
            <a:effectLst/>
          </c:spPr>
          <c:marker>
            <c:symbol val="none"/>
          </c:marker>
          <c:cat>
            <c:strRef>
              <c:f>Sheet1!$A$2:$A$28</c:f>
              <c:strCache>
                <c:ptCount val="27"/>
                <c:pt idx="0">
                  <c:v> 31.01.2019</c:v>
                </c:pt>
                <c:pt idx="1">
                  <c:v> 28.02.2019</c:v>
                </c:pt>
                <c:pt idx="2">
                  <c:v>31.03.2019</c:v>
                </c:pt>
                <c:pt idx="3">
                  <c:v>30.04.2019</c:v>
                </c:pt>
                <c:pt idx="4">
                  <c:v>31.05.2019</c:v>
                </c:pt>
                <c:pt idx="5">
                  <c:v> 30.06.2019</c:v>
                </c:pt>
                <c:pt idx="6">
                  <c:v>31.07.2019</c:v>
                </c:pt>
                <c:pt idx="7">
                  <c:v> 31.08.2019</c:v>
                </c:pt>
                <c:pt idx="8">
                  <c:v>30.09.2019</c:v>
                </c:pt>
                <c:pt idx="9">
                  <c:v> 31.10.2019</c:v>
                </c:pt>
                <c:pt idx="10">
                  <c:v>30.11.2019</c:v>
                </c:pt>
                <c:pt idx="11">
                  <c:v>31.12.2019</c:v>
                </c:pt>
                <c:pt idx="12">
                  <c:v> 31.01.2020</c:v>
                </c:pt>
                <c:pt idx="13">
                  <c:v> 29.02.2020</c:v>
                </c:pt>
                <c:pt idx="14">
                  <c:v> 31.03.2020</c:v>
                </c:pt>
                <c:pt idx="15">
                  <c:v>30.04.2020</c:v>
                </c:pt>
                <c:pt idx="16">
                  <c:v>31.05.2020</c:v>
                </c:pt>
                <c:pt idx="17">
                  <c:v>30.06.2020</c:v>
                </c:pt>
                <c:pt idx="18">
                  <c:v>31.07.2020</c:v>
                </c:pt>
                <c:pt idx="19">
                  <c:v>31.08.2020</c:v>
                </c:pt>
                <c:pt idx="20">
                  <c:v>30.09.2020</c:v>
                </c:pt>
                <c:pt idx="21">
                  <c:v> 31.10.2020</c:v>
                </c:pt>
                <c:pt idx="22">
                  <c:v> 30.11.2020</c:v>
                </c:pt>
                <c:pt idx="23">
                  <c:v> 31.12.2020</c:v>
                </c:pt>
                <c:pt idx="24">
                  <c:v>31.01.2021</c:v>
                </c:pt>
                <c:pt idx="25">
                  <c:v>28.02.2021</c:v>
                </c:pt>
                <c:pt idx="26">
                  <c:v>31.03.2021</c:v>
                </c:pt>
              </c:strCache>
            </c:strRef>
          </c:cat>
          <c:val>
            <c:numRef>
              <c:f>Sheet1!$B$2:$B$28</c:f>
              <c:numCache>
                <c:formatCode>#,##0.00</c:formatCode>
                <c:ptCount val="27"/>
                <c:pt idx="0">
                  <c:v>20819.71</c:v>
                </c:pt>
                <c:pt idx="1">
                  <c:v>20220.46</c:v>
                </c:pt>
                <c:pt idx="2">
                  <c:v>20639.87</c:v>
                </c:pt>
                <c:pt idx="3">
                  <c:v>20524.72</c:v>
                </c:pt>
                <c:pt idx="4">
                  <c:v>19402.080000000002</c:v>
                </c:pt>
                <c:pt idx="5">
                  <c:v>20638.97</c:v>
                </c:pt>
                <c:pt idx="6">
                  <c:v>21840.17</c:v>
                </c:pt>
                <c:pt idx="7">
                  <c:v>22015.18</c:v>
                </c:pt>
                <c:pt idx="8">
                  <c:v>21437.81</c:v>
                </c:pt>
                <c:pt idx="9">
                  <c:v>21403.32</c:v>
                </c:pt>
                <c:pt idx="10">
                  <c:v>21931.62</c:v>
                </c:pt>
                <c:pt idx="11">
                  <c:v>25302.16</c:v>
                </c:pt>
                <c:pt idx="12">
                  <c:v>26293.07</c:v>
                </c:pt>
                <c:pt idx="13">
                  <c:v>27042.41</c:v>
                </c:pt>
                <c:pt idx="14">
                  <c:v>24923.75</c:v>
                </c:pt>
                <c:pt idx="15">
                  <c:v>25695.05</c:v>
                </c:pt>
                <c:pt idx="16">
                  <c:v>25373.81</c:v>
                </c:pt>
                <c:pt idx="17">
                  <c:v>28515.200000000001</c:v>
                </c:pt>
                <c:pt idx="18">
                  <c:v>28802.49</c:v>
                </c:pt>
                <c:pt idx="19">
                  <c:v>29048.75</c:v>
                </c:pt>
                <c:pt idx="20">
                  <c:v>26525.75</c:v>
                </c:pt>
                <c:pt idx="21">
                  <c:v>26140.39</c:v>
                </c:pt>
                <c:pt idx="22">
                  <c:v>26137.11</c:v>
                </c:pt>
                <c:pt idx="23">
                  <c:v>29132.89</c:v>
                </c:pt>
                <c:pt idx="24">
                  <c:v>28820.91</c:v>
                </c:pt>
                <c:pt idx="25">
                  <c:v>28543.18</c:v>
                </c:pt>
                <c:pt idx="26">
                  <c:v>27034.76</c:v>
                </c:pt>
              </c:numCache>
            </c:numRef>
          </c:val>
          <c:smooth val="0"/>
          <c:extLst xmlns:c16r2="http://schemas.microsoft.com/office/drawing/2015/06/chart">
            <c:ext xmlns:c16="http://schemas.microsoft.com/office/drawing/2014/chart" uri="{C3380CC4-5D6E-409C-BE32-E72D297353CC}">
              <c16:uniqueId val="{00000000-BB4F-43DB-B248-F26EDEE0D8A3}"/>
            </c:ext>
          </c:extLst>
        </c:ser>
        <c:dLbls>
          <c:showLegendKey val="0"/>
          <c:showVal val="0"/>
          <c:showCatName val="0"/>
          <c:showSerName val="0"/>
          <c:showPercent val="0"/>
          <c:showBubbleSize val="0"/>
        </c:dLbls>
        <c:marker val="1"/>
        <c:smooth val="0"/>
        <c:axId val="79536896"/>
        <c:axId val="79538432"/>
      </c:lineChart>
      <c:catAx>
        <c:axId val="79536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538432"/>
        <c:crosses val="autoZero"/>
        <c:auto val="1"/>
        <c:lblAlgn val="ctr"/>
        <c:lblOffset val="100"/>
        <c:noMultiLvlLbl val="0"/>
      </c:catAx>
      <c:valAx>
        <c:axId val="795384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5368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'пии с укр в швейцарию'!$B$1</c:f>
              <c:strCache>
                <c:ptCount val="1"/>
                <c:pt idx="0">
                  <c:v>Прямі інвестиції з України (млн дол. США) </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'пии с укр в швейцарию'!$A$2:$A$4</c:f>
              <c:numCache>
                <c:formatCode>General</c:formatCode>
                <c:ptCount val="3"/>
                <c:pt idx="0">
                  <c:v>2018</c:v>
                </c:pt>
                <c:pt idx="1">
                  <c:v>2019</c:v>
                </c:pt>
                <c:pt idx="2">
                  <c:v>2020</c:v>
                </c:pt>
              </c:numCache>
            </c:numRef>
          </c:cat>
          <c:val>
            <c:numRef>
              <c:f>'пии с укр в швейцарию'!$B$2:$B$4</c:f>
              <c:numCache>
                <c:formatCode>0.0</c:formatCode>
                <c:ptCount val="3"/>
                <c:pt idx="0" formatCode="General">
                  <c:v>13.5</c:v>
                </c:pt>
                <c:pt idx="1">
                  <c:v>13.4</c:v>
                </c:pt>
                <c:pt idx="2" formatCode="General">
                  <c:v>7.7</c:v>
                </c:pt>
              </c:numCache>
            </c:numRef>
          </c:val>
          <c:extLst xmlns:c16r2="http://schemas.microsoft.com/office/drawing/2015/06/chart">
            <c:ext xmlns:c16="http://schemas.microsoft.com/office/drawing/2014/chart" uri="{C3380CC4-5D6E-409C-BE32-E72D297353CC}">
              <c16:uniqueId val="{00000000-4F32-436A-8769-4A0196A7EBFC}"/>
            </c:ext>
          </c:extLst>
        </c:ser>
        <c:dLbls>
          <c:dLblPos val="outEnd"/>
          <c:showLegendKey val="0"/>
          <c:showVal val="1"/>
          <c:showCatName val="0"/>
          <c:showSerName val="0"/>
          <c:showPercent val="0"/>
          <c:showBubbleSize val="0"/>
        </c:dLbls>
        <c:gapWidth val="219"/>
        <c:overlap val="-27"/>
        <c:axId val="95551488"/>
        <c:axId val="95554176"/>
      </c:barChart>
      <c:catAx>
        <c:axId val="95551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5554176"/>
        <c:crosses val="autoZero"/>
        <c:auto val="1"/>
        <c:lblAlgn val="ctr"/>
        <c:lblOffset val="100"/>
        <c:noMultiLvlLbl val="0"/>
      </c:catAx>
      <c:valAx>
        <c:axId val="95554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5551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'пии польша'!$B$12</c:f>
              <c:strCache>
                <c:ptCount val="1"/>
                <c:pt idx="0">
                  <c:v>Прямі інвестиції (млн дол. США) </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'пии польша'!$A$13:$A$15</c:f>
              <c:numCache>
                <c:formatCode>General</c:formatCode>
                <c:ptCount val="3"/>
                <c:pt idx="0">
                  <c:v>2018</c:v>
                </c:pt>
                <c:pt idx="1">
                  <c:v>2019</c:v>
                </c:pt>
                <c:pt idx="2">
                  <c:v>2020</c:v>
                </c:pt>
              </c:numCache>
            </c:numRef>
          </c:cat>
          <c:val>
            <c:numRef>
              <c:f>'пии польша'!$B$13:$B$15</c:f>
              <c:numCache>
                <c:formatCode>General</c:formatCode>
                <c:ptCount val="3"/>
                <c:pt idx="0">
                  <c:v>847.52043139900877</c:v>
                </c:pt>
                <c:pt idx="1">
                  <c:v>895.44334767368593</c:v>
                </c:pt>
                <c:pt idx="2">
                  <c:v>880.53903428320325</c:v>
                </c:pt>
              </c:numCache>
            </c:numRef>
          </c:val>
          <c:extLst xmlns:c16r2="http://schemas.microsoft.com/office/drawing/2015/06/chart">
            <c:ext xmlns:c16="http://schemas.microsoft.com/office/drawing/2014/chart" uri="{C3380CC4-5D6E-409C-BE32-E72D297353CC}">
              <c16:uniqueId val="{00000000-10EA-48BB-9F6D-61DF1FE2CE62}"/>
            </c:ext>
          </c:extLst>
        </c:ser>
        <c:dLbls>
          <c:dLblPos val="outEnd"/>
          <c:showLegendKey val="0"/>
          <c:showVal val="1"/>
          <c:showCatName val="0"/>
          <c:showSerName val="0"/>
          <c:showPercent val="0"/>
          <c:showBubbleSize val="0"/>
        </c:dLbls>
        <c:gapWidth val="219"/>
        <c:overlap val="-27"/>
        <c:axId val="95720960"/>
        <c:axId val="95723904"/>
      </c:barChart>
      <c:catAx>
        <c:axId val="95720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5723904"/>
        <c:crosses val="autoZero"/>
        <c:auto val="1"/>
        <c:lblAlgn val="ctr"/>
        <c:lblOffset val="100"/>
        <c:noMultiLvlLbl val="0"/>
      </c:catAx>
      <c:valAx>
        <c:axId val="95723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5720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'пии с укр в польшу'!$B$1</c:f>
              <c:strCache>
                <c:ptCount val="1"/>
                <c:pt idx="0">
                  <c:v>Прямі інвестиції з України (млн дол. США) </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'пии с укр в польшу'!$A$2:$A$4</c:f>
              <c:numCache>
                <c:formatCode>General</c:formatCode>
                <c:ptCount val="3"/>
                <c:pt idx="0">
                  <c:v>2018</c:v>
                </c:pt>
                <c:pt idx="1">
                  <c:v>2019</c:v>
                </c:pt>
                <c:pt idx="2">
                  <c:v>2020</c:v>
                </c:pt>
              </c:numCache>
            </c:numRef>
          </c:cat>
          <c:val>
            <c:numRef>
              <c:f>'пии с укр в польшу'!$B$2:$B$4</c:f>
              <c:numCache>
                <c:formatCode>General</c:formatCode>
                <c:ptCount val="3"/>
                <c:pt idx="0">
                  <c:v>6.7</c:v>
                </c:pt>
                <c:pt idx="1">
                  <c:v>8.1</c:v>
                </c:pt>
                <c:pt idx="2">
                  <c:v>7.508986864535661</c:v>
                </c:pt>
              </c:numCache>
            </c:numRef>
          </c:val>
          <c:extLst xmlns:c16r2="http://schemas.microsoft.com/office/drawing/2015/06/chart">
            <c:ext xmlns:c16="http://schemas.microsoft.com/office/drawing/2014/chart" uri="{C3380CC4-5D6E-409C-BE32-E72D297353CC}">
              <c16:uniqueId val="{00000000-992A-4203-94CB-EE7E72A61D21}"/>
            </c:ext>
          </c:extLst>
        </c:ser>
        <c:dLbls>
          <c:dLblPos val="outEnd"/>
          <c:showLegendKey val="0"/>
          <c:showVal val="1"/>
          <c:showCatName val="0"/>
          <c:showSerName val="0"/>
          <c:showPercent val="0"/>
          <c:showBubbleSize val="0"/>
        </c:dLbls>
        <c:gapWidth val="219"/>
        <c:overlap val="-27"/>
        <c:axId val="82639488"/>
        <c:axId val="95622656"/>
      </c:barChart>
      <c:catAx>
        <c:axId val="8263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5622656"/>
        <c:crosses val="autoZero"/>
        <c:auto val="1"/>
        <c:lblAlgn val="ctr"/>
        <c:lblOffset val="100"/>
        <c:noMultiLvlLbl val="0"/>
      </c:catAx>
      <c:valAx>
        <c:axId val="95622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2639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spPr>
            <a:solidFill>
              <a:schemeClr val="dk1">
                <a:tint val="88500"/>
              </a:schemeClr>
            </a:solidFill>
            <a:ln>
              <a:noFill/>
            </a:ln>
            <a:effectLst/>
          </c:spPr>
          <c:invertIfNegative val="0"/>
          <c:dLbls>
            <c:dLbl>
              <c:idx val="3"/>
              <c:layout>
                <c:manualLayout>
                  <c:x val="2.2944550669216062E-2"/>
                  <c:y val="4.4077127337432626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8E33-4784-80A8-176E405D402C}"/>
                </c:ext>
              </c:extLst>
            </c:dLbl>
            <c:dLbl>
              <c:idx val="7"/>
              <c:layout>
                <c:manualLayout>
                  <c:x val="2.5493945188017845E-2"/>
                  <c:y val="0"/>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8E33-4784-80A8-176E405D402C}"/>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Sheet1!$A$1:$A$12</c:f>
              <c:strCache>
                <c:ptCount val="12"/>
                <c:pt idx="0">
                  <c:v>2018 Q1</c:v>
                </c:pt>
                <c:pt idx="1">
                  <c:v>2018 Q2</c:v>
                </c:pt>
                <c:pt idx="2">
                  <c:v>2018 Q3</c:v>
                </c:pt>
                <c:pt idx="3">
                  <c:v>2018 Q4</c:v>
                </c:pt>
                <c:pt idx="4">
                  <c:v>2019 Q1</c:v>
                </c:pt>
                <c:pt idx="5">
                  <c:v>2019 Q2</c:v>
                </c:pt>
                <c:pt idx="6">
                  <c:v>2019 Q3</c:v>
                </c:pt>
                <c:pt idx="7">
                  <c:v>2019 Q4</c:v>
                </c:pt>
                <c:pt idx="8">
                  <c:v>2020 Q1</c:v>
                </c:pt>
                <c:pt idx="9">
                  <c:v>2020 Q2</c:v>
                </c:pt>
                <c:pt idx="10">
                  <c:v>2020 Q3 </c:v>
                </c:pt>
                <c:pt idx="11">
                  <c:v>2020 Q4</c:v>
                </c:pt>
              </c:strCache>
            </c:strRef>
          </c:cat>
          <c:val>
            <c:numRef>
              <c:f>Sheet1!$B$1:$B$12</c:f>
              <c:numCache>
                <c:formatCode>General</c:formatCode>
                <c:ptCount val="12"/>
                <c:pt idx="0">
                  <c:v>174321.76850367099</c:v>
                </c:pt>
                <c:pt idx="1">
                  <c:v>181118.65844503901</c:v>
                </c:pt>
                <c:pt idx="2">
                  <c:v>179741.768406174</c:v>
                </c:pt>
                <c:pt idx="3">
                  <c:v>184431.593196117</c:v>
                </c:pt>
                <c:pt idx="4">
                  <c:v>177765.190490259</c:v>
                </c:pt>
                <c:pt idx="5">
                  <c:v>181848.202554788</c:v>
                </c:pt>
                <c:pt idx="6">
                  <c:v>181516.16961426899</c:v>
                </c:pt>
                <c:pt idx="7">
                  <c:v>185791.37728222299</c:v>
                </c:pt>
                <c:pt idx="8">
                  <c:v>175904.27388609899</c:v>
                </c:pt>
                <c:pt idx="9">
                  <c:v>166508.07287239601</c:v>
                </c:pt>
                <c:pt idx="10">
                  <c:v>178008.00379948699</c:v>
                </c:pt>
                <c:pt idx="11">
                  <c:v>181803.77065830099</c:v>
                </c:pt>
              </c:numCache>
            </c:numRef>
          </c:val>
          <c:extLst xmlns:c16r2="http://schemas.microsoft.com/office/drawing/2015/06/chart">
            <c:ext xmlns:c16="http://schemas.microsoft.com/office/drawing/2014/chart" uri="{C3380CC4-5D6E-409C-BE32-E72D297353CC}">
              <c16:uniqueId val="{00000002-8E33-4784-80A8-176E405D402C}"/>
            </c:ext>
          </c:extLst>
        </c:ser>
        <c:dLbls>
          <c:dLblPos val="outEnd"/>
          <c:showLegendKey val="0"/>
          <c:showVal val="1"/>
          <c:showCatName val="0"/>
          <c:showSerName val="0"/>
          <c:showPercent val="0"/>
          <c:showBubbleSize val="0"/>
        </c:dLbls>
        <c:gapWidth val="444"/>
        <c:overlap val="-90"/>
        <c:axId val="79136256"/>
        <c:axId val="79147392"/>
      </c:barChart>
      <c:catAx>
        <c:axId val="791362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79147392"/>
        <c:crosses val="autoZero"/>
        <c:auto val="1"/>
        <c:lblAlgn val="ctr"/>
        <c:lblOffset val="100"/>
        <c:noMultiLvlLbl val="0"/>
      </c:catAx>
      <c:valAx>
        <c:axId val="79147392"/>
        <c:scaling>
          <c:orientation val="minMax"/>
        </c:scaling>
        <c:delete val="1"/>
        <c:axPos val="l"/>
        <c:numFmt formatCode="General" sourceLinked="1"/>
        <c:majorTickMark val="none"/>
        <c:minorTickMark val="none"/>
        <c:tickLblPos val="nextTo"/>
        <c:crossAx val="79136256"/>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6.6581146106736669E-2"/>
          <c:y val="4.6296296296296294E-2"/>
          <c:w val="0.93888888888888888"/>
          <c:h val="0.89814814814814814"/>
        </c:manualLayout>
      </c:layout>
      <c:lineChart>
        <c:grouping val="standard"/>
        <c:varyColors val="0"/>
        <c:ser>
          <c:idx val="0"/>
          <c:order val="0"/>
          <c:spPr>
            <a:ln w="28575" cap="rnd">
              <a:solidFill>
                <a:schemeClr val="accent3"/>
              </a:solidFill>
              <a:round/>
            </a:ln>
            <a:effectLst/>
          </c:spPr>
          <c:marker>
            <c:symbol val="none"/>
          </c:marker>
          <c:dLbls>
            <c:dLbl>
              <c:idx val="0"/>
              <c:layout>
                <c:manualLayout>
                  <c:x val="-4.3034776902887165E-2"/>
                  <c:y val="-6.9444444444444461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5874-49D1-A272-3CEACBFA0B04}"/>
                </c:ext>
              </c:extLst>
            </c:dLbl>
            <c:dLbl>
              <c:idx val="1"/>
              <c:layout>
                <c:manualLayout>
                  <c:x val="-4.3034776902887137E-2"/>
                  <c:y val="-5.555555555555558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5874-49D1-A272-3CEACBFA0B04}"/>
                </c:ext>
              </c:extLst>
            </c:dLbl>
            <c:dLbl>
              <c:idx val="2"/>
              <c:layout>
                <c:manualLayout>
                  <c:x val="-4.7715441819772525E-2"/>
                  <c:y val="5.5555555555555552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2-5874-49D1-A272-3CEACBFA0B04}"/>
                </c:ext>
              </c:extLst>
            </c:dLbl>
            <c:dLbl>
              <c:idx val="3"/>
              <c:layout>
                <c:manualLayout>
                  <c:x val="-4.493766404199475E-2"/>
                  <c:y val="-6.9444444444444448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5874-49D1-A272-3CEACBFA0B04}"/>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Sheet1!$A$1:$A$4</c:f>
              <c:numCache>
                <c:formatCode>General</c:formatCode>
                <c:ptCount val="4"/>
                <c:pt idx="0">
                  <c:v>2018</c:v>
                </c:pt>
                <c:pt idx="1">
                  <c:v>2019</c:v>
                </c:pt>
                <c:pt idx="2">
                  <c:v>2020</c:v>
                </c:pt>
                <c:pt idx="3">
                  <c:v>2021</c:v>
                </c:pt>
              </c:numCache>
            </c:numRef>
          </c:cat>
          <c:val>
            <c:numRef>
              <c:f>Sheet1!$B$1:$B$4</c:f>
              <c:numCache>
                <c:formatCode>General</c:formatCode>
                <c:ptCount val="4"/>
                <c:pt idx="0">
                  <c:v>0.4</c:v>
                </c:pt>
                <c:pt idx="1">
                  <c:v>0.5</c:v>
                </c:pt>
                <c:pt idx="2">
                  <c:v>-2.2000000000000002</c:v>
                </c:pt>
                <c:pt idx="3">
                  <c:v>-0.9</c:v>
                </c:pt>
              </c:numCache>
            </c:numRef>
          </c:val>
          <c:smooth val="0"/>
          <c:extLst xmlns:c16r2="http://schemas.microsoft.com/office/drawing/2015/06/chart">
            <c:ext xmlns:c16="http://schemas.microsoft.com/office/drawing/2014/chart" uri="{C3380CC4-5D6E-409C-BE32-E72D297353CC}">
              <c16:uniqueId val="{00000004-5874-49D1-A272-3CEACBFA0B04}"/>
            </c:ext>
          </c:extLst>
        </c:ser>
        <c:dLbls>
          <c:dLblPos val="ctr"/>
          <c:showLegendKey val="0"/>
          <c:showVal val="1"/>
          <c:showCatName val="0"/>
          <c:showSerName val="0"/>
          <c:showPercent val="0"/>
          <c:showBubbleSize val="0"/>
        </c:dLbls>
        <c:marker val="1"/>
        <c:smooth val="0"/>
        <c:axId val="79594240"/>
        <c:axId val="79596928"/>
      </c:lineChart>
      <c:catAx>
        <c:axId val="7959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596928"/>
        <c:crosses val="autoZero"/>
        <c:auto val="1"/>
        <c:lblAlgn val="ctr"/>
        <c:lblOffset val="100"/>
        <c:noMultiLvlLbl val="0"/>
      </c:catAx>
      <c:valAx>
        <c:axId val="79596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5942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dLbls>
            <c:dLbl>
              <c:idx val="5"/>
              <c:layout>
                <c:manualLayout>
                  <c:x val="-2.2831050228310501E-3"/>
                  <c:y val="-2.7777777777777776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682D-421C-A07D-2DE0B1548759}"/>
                </c:ext>
              </c:extLst>
            </c:dLbl>
            <c:dLbl>
              <c:idx val="7"/>
              <c:layout>
                <c:manualLayout>
                  <c:x val="1.1415525114155251E-2"/>
                  <c:y val="-2.1218890680033321E-17"/>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682D-421C-A07D-2DE0B154875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Sheet1!$A$1:$A$8</c:f>
              <c:strCache>
                <c:ptCount val="8"/>
                <c:pt idx="0">
                  <c:v>2019-Q1</c:v>
                </c:pt>
                <c:pt idx="1">
                  <c:v>2019-Q2</c:v>
                </c:pt>
                <c:pt idx="2">
                  <c:v>2019-Q3</c:v>
                </c:pt>
                <c:pt idx="3">
                  <c:v>2019-Q4</c:v>
                </c:pt>
                <c:pt idx="4">
                  <c:v>2020-Q1</c:v>
                </c:pt>
                <c:pt idx="5">
                  <c:v>2020-Q2</c:v>
                </c:pt>
                <c:pt idx="6">
                  <c:v>2020-Q3</c:v>
                </c:pt>
                <c:pt idx="7">
                  <c:v>2020-Q4</c:v>
                </c:pt>
              </c:strCache>
            </c:strRef>
          </c:cat>
          <c:val>
            <c:numRef>
              <c:f>Sheet1!$B$1:$B$8</c:f>
              <c:numCache>
                <c:formatCode>General</c:formatCode>
                <c:ptCount val="8"/>
                <c:pt idx="0">
                  <c:v>1843665.7409999999</c:v>
                </c:pt>
                <c:pt idx="1">
                  <c:v>1858218.2919999999</c:v>
                </c:pt>
                <c:pt idx="2">
                  <c:v>1892797.4180000001</c:v>
                </c:pt>
                <c:pt idx="3">
                  <c:v>1921861.5589999999</c:v>
                </c:pt>
                <c:pt idx="4">
                  <c:v>1978533.49</c:v>
                </c:pt>
                <c:pt idx="5">
                  <c:v>2010271.7690000001</c:v>
                </c:pt>
                <c:pt idx="6">
                  <c:v>2006273.1159999999</c:v>
                </c:pt>
                <c:pt idx="7">
                  <c:v>2000982.6529999999</c:v>
                </c:pt>
              </c:numCache>
            </c:numRef>
          </c:val>
          <c:extLst xmlns:c16r2="http://schemas.microsoft.com/office/drawing/2015/06/chart">
            <c:ext xmlns:c16="http://schemas.microsoft.com/office/drawing/2014/chart" uri="{C3380CC4-5D6E-409C-BE32-E72D297353CC}">
              <c16:uniqueId val="{00000002-682D-421C-A07D-2DE0B1548759}"/>
            </c:ext>
          </c:extLst>
        </c:ser>
        <c:dLbls>
          <c:dLblPos val="outEnd"/>
          <c:showLegendKey val="0"/>
          <c:showVal val="1"/>
          <c:showCatName val="0"/>
          <c:showSerName val="0"/>
          <c:showPercent val="0"/>
          <c:showBubbleSize val="0"/>
        </c:dLbls>
        <c:gapWidth val="219"/>
        <c:overlap val="-27"/>
        <c:axId val="79625216"/>
        <c:axId val="79636352"/>
      </c:barChart>
      <c:catAx>
        <c:axId val="79625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636352"/>
        <c:crosses val="autoZero"/>
        <c:auto val="1"/>
        <c:lblAlgn val="ctr"/>
        <c:lblOffset val="100"/>
        <c:noMultiLvlLbl val="0"/>
      </c:catAx>
      <c:valAx>
        <c:axId val="79636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625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1"/>
          <c:order val="1"/>
          <c:tx>
            <c:strRef>
              <c:f>Sheet1!$C$1</c:f>
              <c:strCache>
                <c:ptCount val="1"/>
                <c:pt idx="0">
                  <c:v>Золоті резерви</c:v>
                </c:pt>
              </c:strCache>
            </c:strRef>
          </c:tx>
          <c:spPr>
            <a:ln w="28575" cap="rnd">
              <a:solidFill>
                <a:schemeClr val="dk1">
                  <a:tint val="55000"/>
                </a:schemeClr>
              </a:solidFill>
              <a:round/>
            </a:ln>
            <a:effectLst/>
          </c:spPr>
          <c:marker>
            <c:symbol val="none"/>
          </c:marker>
          <c:cat>
            <c:strRef>
              <c:f>Sheet1!$A$2:$A$28</c:f>
              <c:strCache>
                <c:ptCount val="27"/>
                <c:pt idx="0">
                  <c:v>2019-01</c:v>
                </c:pt>
                <c:pt idx="1">
                  <c:v>2019-02</c:v>
                </c:pt>
                <c:pt idx="2">
                  <c:v>2019-03</c:v>
                </c:pt>
                <c:pt idx="3">
                  <c:v>2019-04</c:v>
                </c:pt>
                <c:pt idx="4">
                  <c:v>2019-05</c:v>
                </c:pt>
                <c:pt idx="5">
                  <c:v>2019-06</c:v>
                </c:pt>
                <c:pt idx="6">
                  <c:v>2019-07</c:v>
                </c:pt>
                <c:pt idx="7">
                  <c:v>2019-08</c:v>
                </c:pt>
                <c:pt idx="8">
                  <c:v>2019-09</c:v>
                </c:pt>
                <c:pt idx="9">
                  <c:v>2019-10</c:v>
                </c:pt>
                <c:pt idx="10">
                  <c:v>2019-11</c:v>
                </c:pt>
                <c:pt idx="11">
                  <c:v>2019-12</c:v>
                </c:pt>
                <c:pt idx="12">
                  <c:v>2020-01</c:v>
                </c:pt>
                <c:pt idx="13">
                  <c:v>2020-02</c:v>
                </c:pt>
                <c:pt idx="14">
                  <c:v>2020-03</c:v>
                </c:pt>
                <c:pt idx="15">
                  <c:v>2020-04</c:v>
                </c:pt>
                <c:pt idx="16">
                  <c:v>2020-05</c:v>
                </c:pt>
                <c:pt idx="17">
                  <c:v>2020-06</c:v>
                </c:pt>
                <c:pt idx="18">
                  <c:v>2020-07</c:v>
                </c:pt>
                <c:pt idx="19">
                  <c:v>2020-08</c:v>
                </c:pt>
                <c:pt idx="20">
                  <c:v>2020-09</c:v>
                </c:pt>
                <c:pt idx="21">
                  <c:v>2020-10</c:v>
                </c:pt>
                <c:pt idx="22">
                  <c:v>2020-11</c:v>
                </c:pt>
                <c:pt idx="23">
                  <c:v>2020-12</c:v>
                </c:pt>
                <c:pt idx="24">
                  <c:v>2021-01</c:v>
                </c:pt>
                <c:pt idx="25">
                  <c:v>2021-02</c:v>
                </c:pt>
                <c:pt idx="26">
                  <c:v>2021-03</c:v>
                </c:pt>
              </c:strCache>
            </c:strRef>
          </c:cat>
          <c:val>
            <c:numRef>
              <c:f>Sheet1!$C$2:$C$28</c:f>
              <c:numCache>
                <c:formatCode>General</c:formatCode>
                <c:ptCount val="27"/>
                <c:pt idx="0">
                  <c:v>44024.519816790002</c:v>
                </c:pt>
                <c:pt idx="1">
                  <c:v>43900.091347679998</c:v>
                </c:pt>
                <c:pt idx="2">
                  <c:v>43117.820464889999</c:v>
                </c:pt>
                <c:pt idx="3">
                  <c:v>43716.371178529997</c:v>
                </c:pt>
                <c:pt idx="4">
                  <c:v>43608.714079899997</c:v>
                </c:pt>
                <c:pt idx="5">
                  <c:v>46015.315871699997</c:v>
                </c:pt>
                <c:pt idx="6">
                  <c:v>47327.541934000001</c:v>
                </c:pt>
                <c:pt idx="7">
                  <c:v>50471.59746931</c:v>
                </c:pt>
                <c:pt idx="8">
                  <c:v>49524.923269209998</c:v>
                </c:pt>
                <c:pt idx="9">
                  <c:v>49923.705954669997</c:v>
                </c:pt>
                <c:pt idx="10">
                  <c:v>48788.151926350001</c:v>
                </c:pt>
                <c:pt idx="11">
                  <c:v>49110.853936599997</c:v>
                </c:pt>
                <c:pt idx="12">
                  <c:v>51119.631901339999</c:v>
                </c:pt>
                <c:pt idx="13">
                  <c:v>52291.986411999998</c:v>
                </c:pt>
                <c:pt idx="14">
                  <c:v>51920.2608444</c:v>
                </c:pt>
                <c:pt idx="15">
                  <c:v>55331.257110589999</c:v>
                </c:pt>
                <c:pt idx="16">
                  <c:v>55658.784459310002</c:v>
                </c:pt>
                <c:pt idx="17">
                  <c:v>56231.985803770003</c:v>
                </c:pt>
                <c:pt idx="18">
                  <c:v>59949.04737755</c:v>
                </c:pt>
                <c:pt idx="19">
                  <c:v>59468.902697019999</c:v>
                </c:pt>
                <c:pt idx="20">
                  <c:v>58229.245179329897</c:v>
                </c:pt>
                <c:pt idx="21">
                  <c:v>57556.263258400002</c:v>
                </c:pt>
                <c:pt idx="22">
                  <c:v>53685.179126080002</c:v>
                </c:pt>
                <c:pt idx="23">
                  <c:v>55747.120794249997</c:v>
                </c:pt>
                <c:pt idx="24">
                  <c:v>55389.175516399999</c:v>
                </c:pt>
                <c:pt idx="25">
                  <c:v>52895.895184100002</c:v>
                </c:pt>
                <c:pt idx="26">
                  <c:v>53421.075013909998</c:v>
                </c:pt>
              </c:numCache>
            </c:numRef>
          </c:val>
          <c:smooth val="0"/>
          <c:extLst xmlns:c16r2="http://schemas.microsoft.com/office/drawing/2015/06/chart">
            <c:ext xmlns:c16="http://schemas.microsoft.com/office/drawing/2014/chart" uri="{C3380CC4-5D6E-409C-BE32-E72D297353CC}">
              <c16:uniqueId val="{00000000-A5A6-4C90-99BE-3738BBA916AE}"/>
            </c:ext>
          </c:extLst>
        </c:ser>
        <c:dLbls>
          <c:showLegendKey val="0"/>
          <c:showVal val="0"/>
          <c:showCatName val="0"/>
          <c:showSerName val="0"/>
          <c:showPercent val="0"/>
          <c:showBubbleSize val="0"/>
        </c:dLbls>
        <c:marker val="1"/>
        <c:smooth val="0"/>
        <c:axId val="81028224"/>
        <c:axId val="81029760"/>
      </c:lineChart>
      <c:lineChart>
        <c:grouping val="standard"/>
        <c:varyColors val="0"/>
        <c:ser>
          <c:idx val="0"/>
          <c:order val="0"/>
          <c:tx>
            <c:strRef>
              <c:f>Sheet1!$B$1</c:f>
              <c:strCache>
                <c:ptCount val="1"/>
                <c:pt idx="0">
                  <c:v>Резерви іноземної валюти (по правій осі)</c:v>
                </c:pt>
              </c:strCache>
            </c:strRef>
          </c:tx>
          <c:spPr>
            <a:ln w="28575" cap="rnd">
              <a:solidFill>
                <a:schemeClr val="dk1">
                  <a:tint val="88500"/>
                </a:schemeClr>
              </a:solidFill>
              <a:round/>
            </a:ln>
            <a:effectLst/>
          </c:spPr>
          <c:marker>
            <c:symbol val="none"/>
          </c:marker>
          <c:cat>
            <c:strRef>
              <c:f>Sheet1!$A$2:$A$28</c:f>
              <c:strCache>
                <c:ptCount val="27"/>
                <c:pt idx="0">
                  <c:v>2019-01</c:v>
                </c:pt>
                <c:pt idx="1">
                  <c:v>2019-02</c:v>
                </c:pt>
                <c:pt idx="2">
                  <c:v>2019-03</c:v>
                </c:pt>
                <c:pt idx="3">
                  <c:v>2019-04</c:v>
                </c:pt>
                <c:pt idx="4">
                  <c:v>2019-05</c:v>
                </c:pt>
                <c:pt idx="5">
                  <c:v>2019-06</c:v>
                </c:pt>
                <c:pt idx="6">
                  <c:v>2019-07</c:v>
                </c:pt>
                <c:pt idx="7">
                  <c:v>2019-08</c:v>
                </c:pt>
                <c:pt idx="8">
                  <c:v>2019-09</c:v>
                </c:pt>
                <c:pt idx="9">
                  <c:v>2019-10</c:v>
                </c:pt>
                <c:pt idx="10">
                  <c:v>2019-11</c:v>
                </c:pt>
                <c:pt idx="11">
                  <c:v>2019-12</c:v>
                </c:pt>
                <c:pt idx="12">
                  <c:v>2020-01</c:v>
                </c:pt>
                <c:pt idx="13">
                  <c:v>2020-02</c:v>
                </c:pt>
                <c:pt idx="14">
                  <c:v>2020-03</c:v>
                </c:pt>
                <c:pt idx="15">
                  <c:v>2020-04</c:v>
                </c:pt>
                <c:pt idx="16">
                  <c:v>2020-05</c:v>
                </c:pt>
                <c:pt idx="17">
                  <c:v>2020-06</c:v>
                </c:pt>
                <c:pt idx="18">
                  <c:v>2020-07</c:v>
                </c:pt>
                <c:pt idx="19">
                  <c:v>2020-08</c:v>
                </c:pt>
                <c:pt idx="20">
                  <c:v>2020-09</c:v>
                </c:pt>
                <c:pt idx="21">
                  <c:v>2020-10</c:v>
                </c:pt>
                <c:pt idx="22">
                  <c:v>2020-11</c:v>
                </c:pt>
                <c:pt idx="23">
                  <c:v>2020-12</c:v>
                </c:pt>
                <c:pt idx="24">
                  <c:v>2021-01</c:v>
                </c:pt>
                <c:pt idx="25">
                  <c:v>2021-02</c:v>
                </c:pt>
                <c:pt idx="26">
                  <c:v>2021-03</c:v>
                </c:pt>
              </c:strCache>
            </c:strRef>
          </c:cat>
          <c:val>
            <c:numRef>
              <c:f>Sheet1!$B$2:$B$28</c:f>
              <c:numCache>
                <c:formatCode>General</c:formatCode>
                <c:ptCount val="27"/>
                <c:pt idx="0">
                  <c:v>747947.35822652001</c:v>
                </c:pt>
                <c:pt idx="1">
                  <c:v>744485.02271008305</c:v>
                </c:pt>
                <c:pt idx="2">
                  <c:v>762250.97747491696</c:v>
                </c:pt>
                <c:pt idx="3">
                  <c:v>777905.61690774001</c:v>
                </c:pt>
                <c:pt idx="4">
                  <c:v>764857.31942879001</c:v>
                </c:pt>
                <c:pt idx="5">
                  <c:v>765349.50707436597</c:v>
                </c:pt>
                <c:pt idx="6">
                  <c:v>773686.58408695005</c:v>
                </c:pt>
                <c:pt idx="7">
                  <c:v>772682.6234484897</c:v>
                </c:pt>
                <c:pt idx="8">
                  <c:v>782739.026231847</c:v>
                </c:pt>
                <c:pt idx="9">
                  <c:v>785319.00818839006</c:v>
                </c:pt>
                <c:pt idx="10">
                  <c:v>788763.12561388104</c:v>
                </c:pt>
                <c:pt idx="11">
                  <c:v>777301.74038656102</c:v>
                </c:pt>
                <c:pt idx="12">
                  <c:v>769629.42435574997</c:v>
                </c:pt>
                <c:pt idx="13">
                  <c:v>774274.36717867001</c:v>
                </c:pt>
                <c:pt idx="14">
                  <c:v>768895.18545372004</c:v>
                </c:pt>
                <c:pt idx="15">
                  <c:v>807009.49237047997</c:v>
                </c:pt>
                <c:pt idx="16">
                  <c:v>822808.31866207998</c:v>
                </c:pt>
                <c:pt idx="17">
                  <c:v>857261.84070417902</c:v>
                </c:pt>
                <c:pt idx="18">
                  <c:v>853154.40984817001</c:v>
                </c:pt>
                <c:pt idx="19">
                  <c:v>854733.85292944999</c:v>
                </c:pt>
                <c:pt idx="20">
                  <c:v>879775.48184813</c:v>
                </c:pt>
                <c:pt idx="21">
                  <c:v>877999.25378612999</c:v>
                </c:pt>
                <c:pt idx="22">
                  <c:v>883338.85259515001</c:v>
                </c:pt>
                <c:pt idx="23">
                  <c:v>898377.36675998801</c:v>
                </c:pt>
                <c:pt idx="24">
                  <c:v>903008.80916573305</c:v>
                </c:pt>
                <c:pt idx="25">
                  <c:v>920547.23562681396</c:v>
                </c:pt>
                <c:pt idx="26">
                  <c:v>937395.50969148299</c:v>
                </c:pt>
              </c:numCache>
            </c:numRef>
          </c:val>
          <c:smooth val="0"/>
          <c:extLst xmlns:c16r2="http://schemas.microsoft.com/office/drawing/2015/06/chart">
            <c:ext xmlns:c16="http://schemas.microsoft.com/office/drawing/2014/chart" uri="{C3380CC4-5D6E-409C-BE32-E72D297353CC}">
              <c16:uniqueId val="{00000001-A5A6-4C90-99BE-3738BBA916AE}"/>
            </c:ext>
          </c:extLst>
        </c:ser>
        <c:dLbls>
          <c:showLegendKey val="0"/>
          <c:showVal val="0"/>
          <c:showCatName val="0"/>
          <c:showSerName val="0"/>
          <c:showPercent val="0"/>
          <c:showBubbleSize val="0"/>
        </c:dLbls>
        <c:marker val="1"/>
        <c:smooth val="0"/>
        <c:axId val="81033088"/>
        <c:axId val="81031552"/>
      </c:lineChart>
      <c:catAx>
        <c:axId val="81028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029760"/>
        <c:crosses val="autoZero"/>
        <c:auto val="1"/>
        <c:lblAlgn val="ctr"/>
        <c:lblOffset val="100"/>
        <c:noMultiLvlLbl val="0"/>
      </c:catAx>
      <c:valAx>
        <c:axId val="81029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028224"/>
        <c:crosses val="autoZero"/>
        <c:crossBetween val="between"/>
      </c:valAx>
      <c:valAx>
        <c:axId val="8103155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033088"/>
        <c:crosses val="max"/>
        <c:crossBetween val="between"/>
      </c:valAx>
      <c:catAx>
        <c:axId val="81033088"/>
        <c:scaling>
          <c:orientation val="minMax"/>
        </c:scaling>
        <c:delete val="1"/>
        <c:axPos val="b"/>
        <c:numFmt formatCode="General" sourceLinked="1"/>
        <c:majorTickMark val="out"/>
        <c:minorTickMark val="none"/>
        <c:tickLblPos val="nextTo"/>
        <c:crossAx val="8103155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spPr>
            <a:solidFill>
              <a:schemeClr val="dk1">
                <a:tint val="885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multiLvlStrRef>
              <c:f>Sheet1!$A$1:$G$2</c:f>
              <c:multiLvlStrCache>
                <c:ptCount val="7"/>
                <c:lvl>
                  <c:pt idx="0">
                    <c:v>I qtr</c:v>
                  </c:pt>
                  <c:pt idx="1">
                    <c:v>II qtr </c:v>
                  </c:pt>
                  <c:pt idx="2">
                    <c:v>III qtr </c:v>
                  </c:pt>
                  <c:pt idx="3">
                    <c:v>IV qtr</c:v>
                  </c:pt>
                  <c:pt idx="4">
                    <c:v>I qtr</c:v>
                  </c:pt>
                  <c:pt idx="5">
                    <c:v>II qtr </c:v>
                  </c:pt>
                  <c:pt idx="6">
                    <c:v>III qtr </c:v>
                  </c:pt>
                </c:lvl>
                <c:lvl>
                  <c:pt idx="0">
                    <c:v>2019</c:v>
                  </c:pt>
                  <c:pt idx="4">
                    <c:v>2020</c:v>
                  </c:pt>
                </c:lvl>
              </c:multiLvlStrCache>
            </c:multiLvlStrRef>
          </c:cat>
          <c:val>
            <c:numRef>
              <c:f>Sheet1!$A$3:$G$3</c:f>
              <c:numCache>
                <c:formatCode>General</c:formatCode>
                <c:ptCount val="7"/>
                <c:pt idx="0">
                  <c:v>105.3</c:v>
                </c:pt>
                <c:pt idx="1">
                  <c:v>104.7</c:v>
                </c:pt>
                <c:pt idx="2">
                  <c:v>104.4</c:v>
                </c:pt>
                <c:pt idx="3">
                  <c:v>103.9</c:v>
                </c:pt>
                <c:pt idx="4">
                  <c:v>101.9</c:v>
                </c:pt>
                <c:pt idx="5">
                  <c:v>92</c:v>
                </c:pt>
                <c:pt idx="6">
                  <c:v>98.2</c:v>
                </c:pt>
              </c:numCache>
            </c:numRef>
          </c:val>
          <c:extLst xmlns:c16r2="http://schemas.microsoft.com/office/drawing/2015/06/chart">
            <c:ext xmlns:c16="http://schemas.microsoft.com/office/drawing/2014/chart" uri="{C3380CC4-5D6E-409C-BE32-E72D297353CC}">
              <c16:uniqueId val="{00000000-7D9E-4DF0-B081-013D42969DDC}"/>
            </c:ext>
          </c:extLst>
        </c:ser>
        <c:dLbls>
          <c:dLblPos val="outEnd"/>
          <c:showLegendKey val="0"/>
          <c:showVal val="1"/>
          <c:showCatName val="0"/>
          <c:showSerName val="0"/>
          <c:showPercent val="0"/>
          <c:showBubbleSize val="0"/>
        </c:dLbls>
        <c:gapWidth val="444"/>
        <c:overlap val="-90"/>
        <c:axId val="81060224"/>
        <c:axId val="81062912"/>
      </c:barChart>
      <c:catAx>
        <c:axId val="810602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81062912"/>
        <c:crosses val="autoZero"/>
        <c:auto val="1"/>
        <c:lblAlgn val="ctr"/>
        <c:lblOffset val="100"/>
        <c:noMultiLvlLbl val="0"/>
      </c:catAx>
      <c:valAx>
        <c:axId val="81062912"/>
        <c:scaling>
          <c:orientation val="minMax"/>
        </c:scaling>
        <c:delete val="1"/>
        <c:axPos val="l"/>
        <c:numFmt formatCode="General" sourceLinked="1"/>
        <c:majorTickMark val="none"/>
        <c:minorTickMark val="none"/>
        <c:tickLblPos val="nextTo"/>
        <c:crossAx val="8106022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10.xml><?xml version="1.0" encoding="utf-8"?>
<cs:colorStyle xmlns:cs="http://schemas.microsoft.com/office/drawing/2012/chartStyle" xmlns:a="http://schemas.openxmlformats.org/drawingml/2006/main" meth="withinLinear" id="16">
  <a:schemeClr val="accent3"/>
</cs:colorStyle>
</file>

<file path=word/charts/colors11.xml><?xml version="1.0" encoding="utf-8"?>
<cs:colorStyle xmlns:cs="http://schemas.microsoft.com/office/drawing/2012/chartStyle" xmlns:a="http://schemas.openxmlformats.org/drawingml/2006/main" meth="withinLinearReversed" id="23">
  <a:schemeClr val="accent3"/>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7.xml><?xml version="1.0" encoding="utf-8"?>
<cs:colorStyle xmlns:cs="http://schemas.microsoft.com/office/drawing/2012/chartStyle" xmlns:a="http://schemas.openxmlformats.org/drawingml/2006/main" meth="withinLinear" id="16">
  <a:schemeClr val="accent3"/>
</cs:colorStyle>
</file>

<file path=word/charts/colors1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2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3.xml><?xml version="1.0" encoding="utf-8"?>
<cs:colorStyle xmlns:cs="http://schemas.microsoft.com/office/drawing/2012/chartStyle" xmlns:a="http://schemas.openxmlformats.org/drawingml/2006/main" meth="withinLinearReversed" id="23">
  <a:schemeClr val="accent3"/>
</cs:colorStyle>
</file>

<file path=word/charts/colors2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withinLinearReversed" id="23">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78FB19-1389-4812-9729-C52492FE6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86</Pages>
  <Words>77924</Words>
  <Characters>44418</Characters>
  <Application>Microsoft Office Word</Application>
  <DocSecurity>0</DocSecurity>
  <Lines>370</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122098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Dasha</dc:creator>
  <cp:lastModifiedBy>admin</cp:lastModifiedBy>
  <cp:revision>2</cp:revision>
  <cp:lastPrinted>2021-06-23T07:21:00Z</cp:lastPrinted>
  <dcterms:created xsi:type="dcterms:W3CDTF">2022-02-23T11:52:00Z</dcterms:created>
  <dcterms:modified xsi:type="dcterms:W3CDTF">2022-02-23T11:52:00Z</dcterms:modified>
</cp:coreProperties>
</file>