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A45" w:rsidRPr="00FA7197" w:rsidRDefault="000F1A45" w:rsidP="000F1A45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ru-RU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ru-RU"/>
        </w:rPr>
        <w:t>ОДЕCЬКИЙ НАЦІОНАЛЬНИЙ УНІВЕРCИТЕТ імені І. І. МЕЧНИКОВА</w:t>
      </w:r>
    </w:p>
    <w:p w:rsidR="000F1A45" w:rsidRPr="00FA7197" w:rsidRDefault="000F1A45" w:rsidP="000F1A45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ru-RU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ru-RU"/>
        </w:rPr>
        <w:t>Біологічний факультет</w:t>
      </w:r>
    </w:p>
    <w:p w:rsidR="000F1A45" w:rsidRPr="00FA7197" w:rsidRDefault="000F1A45" w:rsidP="000F1A45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ru-RU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ru-RU"/>
        </w:rPr>
        <w:t xml:space="preserve">Кафедра </w:t>
      </w:r>
      <w:r w:rsidR="004650BF" w:rsidRPr="00FA7197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ru-RU"/>
        </w:rPr>
        <w:t>фізіології людини та тварин</w:t>
      </w:r>
    </w:p>
    <w:p w:rsidR="000F1A45" w:rsidRPr="00FA7197" w:rsidRDefault="000F1A45" w:rsidP="000F1A45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ru-RU"/>
        </w:rPr>
      </w:pPr>
    </w:p>
    <w:p w:rsidR="000F1A45" w:rsidRPr="00FA7197" w:rsidRDefault="000F1A45" w:rsidP="000F1A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FA7197">
        <w:rPr>
          <w:rFonts w:ascii="Times New Roman" w:eastAsia="Times New Roman" w:hAnsi="Times New Roman" w:cs="Times New Roman"/>
          <w:b/>
          <w:color w:val="000000" w:themeColor="text1"/>
          <w:spacing w:val="60"/>
          <w:sz w:val="32"/>
          <w:szCs w:val="24"/>
          <w:lang w:eastAsia="ru-RU"/>
        </w:rPr>
        <w:t>Дипломна робота</w:t>
      </w:r>
    </w:p>
    <w:p w:rsidR="000F1A45" w:rsidRPr="00FA7197" w:rsidRDefault="000F1A45" w:rsidP="000F1A45">
      <w:pPr>
        <w:pBdr>
          <w:bottom w:val="single" w:sz="4" w:space="1" w:color="auto"/>
        </w:pBdr>
        <w:tabs>
          <w:tab w:val="center" w:pos="4819"/>
          <w:tab w:val="right" w:pos="8505"/>
        </w:tabs>
        <w:spacing w:before="240" w:after="0" w:line="360" w:lineRule="auto"/>
        <w:ind w:right="85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здобуття ступеня вищої освіти «магістр»</w:t>
      </w:r>
    </w:p>
    <w:p w:rsidR="00A00530" w:rsidRPr="00FA7197" w:rsidRDefault="000F1A45" w:rsidP="00711326">
      <w:pPr>
        <w:autoSpaceDE w:val="0"/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kern w:val="1"/>
          <w:sz w:val="28"/>
          <w:szCs w:val="28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ru-RU"/>
        </w:rPr>
        <w:t>на тему</w:t>
      </w:r>
      <w:r w:rsidRPr="00FA7197">
        <w:rPr>
          <w:rFonts w:ascii="Times New Roman" w:eastAsia="Times New Roman" w:hAnsi="Times New Roman" w:cs="Times New Roman"/>
          <w:b/>
          <w:color w:val="000000" w:themeColor="text1"/>
          <w:kern w:val="1"/>
          <w:sz w:val="28"/>
          <w:szCs w:val="28"/>
          <w:lang w:eastAsia="ru-RU"/>
        </w:rPr>
        <w:t xml:space="preserve"> </w:t>
      </w:r>
      <w:r w:rsidRPr="00FA71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r w:rsidR="0056336B" w:rsidRPr="00FA71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Гематологічні та біохімічні показники крові у хворих з сечокам</w:t>
      </w:r>
      <w:r w:rsidR="003E57C9" w:rsidRPr="00FA71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’</w:t>
      </w:r>
      <w:r w:rsidR="0056336B" w:rsidRPr="00FA71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яною хворобою на тлі протирецидивної терапії</w:t>
      </w:r>
      <w:r w:rsidR="00A00530" w:rsidRPr="00FA7197">
        <w:rPr>
          <w:rFonts w:ascii="Times New Roman" w:hAnsi="Times New Roman" w:cs="Times New Roman"/>
          <w:b/>
          <w:color w:val="000000" w:themeColor="text1"/>
          <w:kern w:val="1"/>
          <w:sz w:val="28"/>
          <w:szCs w:val="28"/>
        </w:rPr>
        <w:t>»</w:t>
      </w:r>
    </w:p>
    <w:p w:rsidR="00EC3879" w:rsidRPr="00FA7197" w:rsidRDefault="0056336B" w:rsidP="00711326">
      <w:pPr>
        <w:autoSpaceDE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</w:pPr>
      <w:r w:rsidRPr="00FA7197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>Hematological and biochemical parameters of blood in patients with urolithiasis on the background of antirelapse therapy</w:t>
      </w:r>
    </w:p>
    <w:p w:rsidR="00EC3879" w:rsidRPr="00FA7197" w:rsidRDefault="00EC3879" w:rsidP="000F1A45">
      <w:pPr>
        <w:widowControl w:val="0"/>
        <w:autoSpaceDE w:val="0"/>
        <w:spacing w:after="0" w:line="240" w:lineRule="auto"/>
        <w:ind w:left="4678"/>
        <w:rPr>
          <w:rFonts w:ascii="Times New Roman" w:eastAsia="Times New Roman" w:hAnsi="Times New Roman" w:cs="Times New Roman"/>
          <w:b/>
          <w:color w:val="000000" w:themeColor="text1"/>
          <w:kern w:val="1"/>
          <w:sz w:val="28"/>
          <w:szCs w:val="28"/>
          <w:lang w:eastAsia="ru-RU"/>
        </w:rPr>
      </w:pPr>
    </w:p>
    <w:p w:rsidR="000F1A45" w:rsidRPr="00FA7197" w:rsidRDefault="000F1A45" w:rsidP="000F1A45">
      <w:pPr>
        <w:widowControl w:val="0"/>
        <w:autoSpaceDE w:val="0"/>
        <w:spacing w:after="0" w:line="240" w:lineRule="auto"/>
        <w:ind w:left="467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FA7197">
        <w:rPr>
          <w:rFonts w:ascii="Times New Roman" w:eastAsia="Times New Roman" w:hAnsi="Times New Roman" w:cs="Times New Roman"/>
          <w:b/>
          <w:color w:val="000000" w:themeColor="text1"/>
          <w:kern w:val="1"/>
          <w:sz w:val="28"/>
          <w:szCs w:val="28"/>
          <w:lang w:eastAsia="ru-RU"/>
        </w:rPr>
        <w:t>Викона</w:t>
      </w:r>
      <w:r w:rsidR="00730C21" w:rsidRPr="00FA7197">
        <w:rPr>
          <w:rFonts w:ascii="Times New Roman" w:eastAsia="Times New Roman" w:hAnsi="Times New Roman" w:cs="Times New Roman"/>
          <w:b/>
          <w:color w:val="000000" w:themeColor="text1"/>
          <w:kern w:val="1"/>
          <w:sz w:val="28"/>
          <w:szCs w:val="28"/>
          <w:lang w:eastAsia="ru-RU"/>
        </w:rPr>
        <w:t>ла</w:t>
      </w:r>
      <w:r w:rsidRPr="00FA7197">
        <w:rPr>
          <w:rFonts w:ascii="Times New Roman" w:eastAsia="Times New Roman" w:hAnsi="Times New Roman" w:cs="Times New Roman"/>
          <w:b/>
          <w:color w:val="000000" w:themeColor="text1"/>
          <w:kern w:val="1"/>
          <w:sz w:val="28"/>
          <w:szCs w:val="28"/>
          <w:lang w:eastAsia="ru-RU"/>
        </w:rPr>
        <w:t>:</w:t>
      </w:r>
      <w:r w:rsidRPr="00FA7197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ru-RU"/>
        </w:rPr>
        <w:t xml:space="preserve"> студент</w:t>
      </w:r>
      <w:r w:rsidR="00730C21" w:rsidRPr="00FA7197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ru-RU"/>
        </w:rPr>
        <w:t>ка</w:t>
      </w:r>
      <w:r w:rsidRPr="00FA7197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ru-RU"/>
        </w:rPr>
        <w:t xml:space="preserve"> </w:t>
      </w:r>
      <w:r w:rsidR="00EC3879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заочної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 навчання</w:t>
      </w:r>
    </w:p>
    <w:p w:rsidR="000F1A45" w:rsidRPr="00FA7197" w:rsidRDefault="000F1A45" w:rsidP="000F1A45">
      <w:pPr>
        <w:widowControl w:val="0"/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ru-RU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ru-RU"/>
        </w:rPr>
        <w:t xml:space="preserve">Спеціальність 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091 Біологія</w:t>
      </w:r>
      <w:r w:rsidRPr="00FA7197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ru-RU"/>
        </w:rPr>
        <w:t xml:space="preserve"> </w:t>
      </w:r>
    </w:p>
    <w:p w:rsidR="008B4EAE" w:rsidRPr="00FA7197" w:rsidRDefault="008B4EAE" w:rsidP="000F1A45">
      <w:pPr>
        <w:widowControl w:val="0"/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8"/>
          <w:szCs w:val="28"/>
          <w:lang w:eastAsia="ru-RU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ru-RU"/>
        </w:rPr>
        <w:t>ОП Біологія</w:t>
      </w:r>
    </w:p>
    <w:p w:rsidR="00730C21" w:rsidRPr="00FA7197" w:rsidRDefault="0056336B" w:rsidP="00EC3879">
      <w:pPr>
        <w:autoSpaceDE w:val="0"/>
        <w:spacing w:after="0"/>
        <w:ind w:left="3828" w:firstLine="850"/>
        <w:rPr>
          <w:rFonts w:ascii="Times New Roman" w:eastAsia="Times New Roman" w:hAnsi="Times New Roman" w:cs="Times New Roman"/>
          <w:b/>
          <w:color w:val="000000" w:themeColor="text1"/>
          <w:kern w:val="1"/>
          <w:sz w:val="28"/>
          <w:szCs w:val="28"/>
          <w:lang w:eastAsia="ru-RU"/>
        </w:rPr>
      </w:pPr>
      <w:r w:rsidRPr="00FA7197">
        <w:rPr>
          <w:rFonts w:ascii="Times New Roman" w:hAnsi="Times New Roman" w:cs="Times New Roman"/>
          <w:b/>
          <w:bCs/>
          <w:color w:val="000000" w:themeColor="text1"/>
          <w:kern w:val="1"/>
          <w:sz w:val="28"/>
          <w:szCs w:val="28"/>
        </w:rPr>
        <w:t xml:space="preserve">Платонова Катерина </w:t>
      </w:r>
      <w:r w:rsidRPr="00FA7197">
        <w:rPr>
          <w:rFonts w:ascii="Times New Roman" w:hAnsi="Times New Roman" w:cs="Times New Roman"/>
          <w:b/>
          <w:color w:val="000000" w:themeColor="text1"/>
          <w:kern w:val="28"/>
          <w:sz w:val="28"/>
          <w:szCs w:val="28"/>
        </w:rPr>
        <w:t>Володимирівна</w:t>
      </w:r>
    </w:p>
    <w:p w:rsidR="000F1A45" w:rsidRPr="00FA7197" w:rsidRDefault="000F1A45" w:rsidP="000F1A45">
      <w:pPr>
        <w:widowControl w:val="0"/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8"/>
          <w:lang w:eastAsia="ru-RU"/>
        </w:rPr>
      </w:pPr>
    </w:p>
    <w:p w:rsidR="000F1A45" w:rsidRPr="00FA7197" w:rsidRDefault="000F1A45" w:rsidP="000F1A45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/>
          <w:color w:val="000000" w:themeColor="text1"/>
          <w:kern w:val="28"/>
          <w:sz w:val="28"/>
          <w:szCs w:val="28"/>
          <w:lang w:eastAsia="ru-RU"/>
        </w:rPr>
      </w:pPr>
      <w:r w:rsidRPr="00FA7197">
        <w:rPr>
          <w:rFonts w:ascii="Times New Roman" w:eastAsia="Times New Roman" w:hAnsi="Times New Roman" w:cs="Times New Roman"/>
          <w:b/>
          <w:color w:val="000000" w:themeColor="text1"/>
          <w:kern w:val="28"/>
          <w:sz w:val="28"/>
          <w:szCs w:val="28"/>
          <w:lang w:eastAsia="ru-RU"/>
        </w:rPr>
        <w:t xml:space="preserve">Науковий керівник: </w:t>
      </w:r>
    </w:p>
    <w:p w:rsidR="000F1A45" w:rsidRPr="00FA7197" w:rsidRDefault="000F1A45" w:rsidP="000F1A45">
      <w:pPr>
        <w:widowControl w:val="0"/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color w:val="000000" w:themeColor="text1"/>
          <w:kern w:val="28"/>
          <w:sz w:val="28"/>
          <w:szCs w:val="28"/>
          <w:lang w:eastAsia="ru-RU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kern w:val="28"/>
          <w:sz w:val="28"/>
          <w:szCs w:val="28"/>
          <w:lang w:eastAsia="ru-RU"/>
        </w:rPr>
        <w:t>кандидат біологічних наук, доцент</w:t>
      </w:r>
    </w:p>
    <w:p w:rsidR="0056336B" w:rsidRPr="00FA7197" w:rsidRDefault="0056336B" w:rsidP="00730C21">
      <w:pPr>
        <w:widowControl w:val="0"/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color w:val="000000" w:themeColor="text1"/>
          <w:kern w:val="28"/>
          <w:sz w:val="28"/>
          <w:szCs w:val="28"/>
          <w:lang w:eastAsia="ru-RU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kern w:val="28"/>
          <w:sz w:val="28"/>
          <w:szCs w:val="28"/>
          <w:lang w:eastAsia="ru-RU"/>
        </w:rPr>
        <w:t>Майкова Ганна Вікторівна</w:t>
      </w:r>
    </w:p>
    <w:p w:rsidR="000F1A45" w:rsidRPr="00FA7197" w:rsidRDefault="000F1A45" w:rsidP="000F1A45">
      <w:pPr>
        <w:widowControl w:val="0"/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color w:val="000000" w:themeColor="text1"/>
          <w:kern w:val="28"/>
          <w:sz w:val="28"/>
          <w:szCs w:val="28"/>
          <w:lang w:eastAsia="ru-RU"/>
        </w:rPr>
      </w:pPr>
    </w:p>
    <w:p w:rsidR="000F1A45" w:rsidRPr="00FA7197" w:rsidRDefault="000F1A45" w:rsidP="000F1A45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color w:val="000000" w:themeColor="text1"/>
          <w:kern w:val="28"/>
          <w:sz w:val="28"/>
          <w:szCs w:val="28"/>
          <w:lang w:eastAsia="ru-RU"/>
        </w:rPr>
      </w:pPr>
      <w:r w:rsidRPr="00FA7197">
        <w:rPr>
          <w:rFonts w:ascii="Times New Roman" w:eastAsia="Times New Roman" w:hAnsi="Times New Roman" w:cs="Times New Roman"/>
          <w:b/>
          <w:color w:val="000000" w:themeColor="text1"/>
          <w:kern w:val="28"/>
          <w:sz w:val="28"/>
          <w:szCs w:val="28"/>
          <w:lang w:eastAsia="ru-RU"/>
        </w:rPr>
        <w:t>Рецензен</w:t>
      </w:r>
      <w:r w:rsidRPr="00FA7197">
        <w:rPr>
          <w:rFonts w:ascii="Times New Roman" w:eastAsia="Times New Roman" w:hAnsi="Times New Roman" w:cs="Times New Roman"/>
          <w:color w:val="000000" w:themeColor="text1"/>
          <w:kern w:val="28"/>
          <w:sz w:val="28"/>
          <w:szCs w:val="28"/>
          <w:lang w:eastAsia="ru-RU"/>
        </w:rPr>
        <w:t>т:</w:t>
      </w:r>
    </w:p>
    <w:p w:rsidR="000F1A45" w:rsidRPr="00FA7197" w:rsidRDefault="000F1A45" w:rsidP="000F1A45">
      <w:pPr>
        <w:widowControl w:val="0"/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color w:val="000000" w:themeColor="text1"/>
          <w:kern w:val="28"/>
          <w:sz w:val="28"/>
          <w:szCs w:val="28"/>
          <w:lang w:eastAsia="ru-RU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kern w:val="28"/>
          <w:sz w:val="28"/>
          <w:szCs w:val="28"/>
          <w:lang w:eastAsia="ru-RU"/>
        </w:rPr>
        <w:t>кандидат біологічних наук, доцент</w:t>
      </w:r>
    </w:p>
    <w:p w:rsidR="00730C21" w:rsidRPr="00FA7197" w:rsidRDefault="007D5CCF" w:rsidP="007D5CCF">
      <w:pPr>
        <w:spacing w:after="0" w:line="240" w:lineRule="auto"/>
        <w:ind w:firstLine="4678"/>
        <w:rPr>
          <w:rFonts w:ascii="Times New Roman" w:eastAsia="Times New Roman" w:hAnsi="Times New Roman" w:cs="Times New Roman"/>
          <w:color w:val="000000" w:themeColor="text1"/>
          <w:kern w:val="28"/>
          <w:sz w:val="28"/>
          <w:szCs w:val="28"/>
          <w:lang w:eastAsia="ru-RU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Білоконь Світлана Василівна</w:t>
      </w:r>
    </w:p>
    <w:p w:rsidR="00730C21" w:rsidRDefault="00730C21" w:rsidP="000F1A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4"/>
          <w:lang w:eastAsia="ru-RU"/>
        </w:rPr>
      </w:pPr>
    </w:p>
    <w:p w:rsidR="00F34615" w:rsidRDefault="00F34615" w:rsidP="000F1A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4"/>
          <w:lang w:eastAsia="ru-RU"/>
        </w:rPr>
      </w:pPr>
    </w:p>
    <w:p w:rsidR="00F34615" w:rsidRDefault="00F34615" w:rsidP="000F1A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4"/>
          <w:lang w:eastAsia="ru-RU"/>
        </w:rPr>
      </w:pPr>
    </w:p>
    <w:p w:rsidR="00F34615" w:rsidRPr="00FA7197" w:rsidRDefault="00F34615" w:rsidP="000F1A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F1A45" w:rsidRPr="00FA7197" w:rsidTr="00006BD1">
        <w:tc>
          <w:tcPr>
            <w:tcW w:w="4785" w:type="dxa"/>
          </w:tcPr>
          <w:p w:rsidR="000F1A45" w:rsidRPr="00FA7197" w:rsidRDefault="000F1A45" w:rsidP="000F1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4"/>
                <w:lang w:eastAsia="ru-RU"/>
              </w:rPr>
            </w:pPr>
            <w:r w:rsidRPr="00FA719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4"/>
                <w:lang w:eastAsia="ru-RU"/>
              </w:rPr>
              <w:t>Рекомендовано до захисту:</w:t>
            </w:r>
          </w:p>
        </w:tc>
        <w:tc>
          <w:tcPr>
            <w:tcW w:w="4785" w:type="dxa"/>
          </w:tcPr>
          <w:p w:rsidR="000F1A45" w:rsidRPr="00FA7197" w:rsidRDefault="000F1A45" w:rsidP="000F1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4"/>
                <w:lang w:eastAsia="ru-RU"/>
              </w:rPr>
            </w:pPr>
            <w:r w:rsidRPr="00FA719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ru-RU"/>
              </w:rPr>
              <w:t>Захищено на засіданні ЕК № 1</w:t>
            </w:r>
          </w:p>
        </w:tc>
      </w:tr>
      <w:tr w:rsidR="000F1A45" w:rsidRPr="00FA7197" w:rsidTr="00006BD1">
        <w:tc>
          <w:tcPr>
            <w:tcW w:w="4785" w:type="dxa"/>
          </w:tcPr>
          <w:p w:rsidR="000F1A45" w:rsidRPr="00FA7197" w:rsidRDefault="000F1A45" w:rsidP="000F1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4"/>
                <w:lang w:eastAsia="ru-RU"/>
              </w:rPr>
            </w:pPr>
            <w:r w:rsidRPr="00FA719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4"/>
                <w:lang w:eastAsia="ru-RU"/>
              </w:rPr>
              <w:t>Протокол засідання кафедри</w:t>
            </w:r>
          </w:p>
        </w:tc>
        <w:tc>
          <w:tcPr>
            <w:tcW w:w="4785" w:type="dxa"/>
          </w:tcPr>
          <w:p w:rsidR="000F1A45" w:rsidRPr="00FA7197" w:rsidRDefault="000F1A45" w:rsidP="00730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4"/>
                <w:lang w:eastAsia="ru-RU"/>
              </w:rPr>
            </w:pPr>
            <w:r w:rsidRPr="00FA719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ru-RU"/>
              </w:rPr>
              <w:t xml:space="preserve">Протокол №_____від «___» </w:t>
            </w:r>
            <w:r w:rsidR="00730C21" w:rsidRPr="00FA719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ru-RU"/>
              </w:rPr>
              <w:t xml:space="preserve"> 2020 </w:t>
            </w:r>
            <w:r w:rsidRPr="00FA719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ru-RU"/>
              </w:rPr>
              <w:t>р.</w:t>
            </w:r>
          </w:p>
        </w:tc>
      </w:tr>
      <w:tr w:rsidR="000F1A45" w:rsidRPr="00FA7197" w:rsidTr="00006BD1">
        <w:tc>
          <w:tcPr>
            <w:tcW w:w="4785" w:type="dxa"/>
          </w:tcPr>
          <w:p w:rsidR="000F1A45" w:rsidRPr="00FA7197" w:rsidRDefault="000F1A45" w:rsidP="00730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4"/>
                <w:lang w:eastAsia="ru-RU"/>
              </w:rPr>
            </w:pPr>
            <w:r w:rsidRPr="00FA719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ru-RU"/>
              </w:rPr>
              <w:t xml:space="preserve">№_____від «___» </w:t>
            </w:r>
            <w:r w:rsidR="00730C21" w:rsidRPr="00FA719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ru-RU"/>
              </w:rPr>
              <w:t xml:space="preserve"> 2020 </w:t>
            </w:r>
            <w:r w:rsidRPr="00FA719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4785" w:type="dxa"/>
          </w:tcPr>
          <w:p w:rsidR="000F1A45" w:rsidRPr="00FA7197" w:rsidRDefault="000F1A45" w:rsidP="000F1A45">
            <w:pPr>
              <w:widowControl w:val="0"/>
              <w:tabs>
                <w:tab w:val="left" w:pos="467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ru-RU"/>
              </w:rPr>
            </w:pPr>
            <w:r w:rsidRPr="00FA719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ru-RU"/>
              </w:rPr>
              <w:t>Оцінка_____/________/__________</w:t>
            </w:r>
          </w:p>
          <w:p w:rsidR="000F1A45" w:rsidRPr="00FA7197" w:rsidRDefault="000F1A45" w:rsidP="000F1A45">
            <w:pPr>
              <w:widowControl w:val="0"/>
              <w:tabs>
                <w:tab w:val="left" w:pos="467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ru-RU"/>
              </w:rPr>
            </w:pPr>
            <w:r w:rsidRPr="00FA719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4"/>
                <w:lang w:eastAsia="ru-RU"/>
              </w:rPr>
              <w:t xml:space="preserve">            </w:t>
            </w:r>
            <w:r w:rsidRPr="00FA719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vertAlign w:val="superscript"/>
                <w:lang w:eastAsia="ru-RU"/>
              </w:rPr>
              <w:t>(за національною шкалою, шкалою ЕCТS, бал)</w:t>
            </w:r>
          </w:p>
        </w:tc>
      </w:tr>
      <w:tr w:rsidR="000F1A45" w:rsidRPr="00FA7197" w:rsidTr="00006BD1">
        <w:tc>
          <w:tcPr>
            <w:tcW w:w="4785" w:type="dxa"/>
          </w:tcPr>
          <w:p w:rsidR="000F1A45" w:rsidRPr="00FA7197" w:rsidRDefault="000F1A45" w:rsidP="000F1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4"/>
                <w:lang w:eastAsia="ru-RU"/>
              </w:rPr>
            </w:pPr>
            <w:r w:rsidRPr="00FA719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4"/>
                <w:lang w:eastAsia="ru-RU"/>
              </w:rPr>
              <w:t>Завідувач кафедри</w:t>
            </w:r>
          </w:p>
          <w:p w:rsidR="000F1A45" w:rsidRPr="00FA7197" w:rsidRDefault="000F1A45" w:rsidP="000F1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F1A45" w:rsidRPr="00FA7197" w:rsidRDefault="000F1A45" w:rsidP="000F1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4"/>
                <w:lang w:eastAsia="ru-RU"/>
              </w:rPr>
            </w:pPr>
            <w:r w:rsidRPr="00FA719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4"/>
                <w:lang w:eastAsia="ru-RU"/>
              </w:rPr>
              <w:t>Голова ЕК</w:t>
            </w:r>
          </w:p>
        </w:tc>
      </w:tr>
      <w:tr w:rsidR="000F1A45" w:rsidRPr="00FA7197" w:rsidTr="00006BD1">
        <w:tc>
          <w:tcPr>
            <w:tcW w:w="4785" w:type="dxa"/>
          </w:tcPr>
          <w:p w:rsidR="000F1A45" w:rsidRPr="00FA7197" w:rsidRDefault="000F1A45" w:rsidP="000F1A45">
            <w:pPr>
              <w:widowControl w:val="0"/>
              <w:tabs>
                <w:tab w:val="left" w:pos="467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ru-RU"/>
              </w:rPr>
            </w:pPr>
            <w:r w:rsidRPr="00FA719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ru-RU"/>
              </w:rPr>
              <w:t xml:space="preserve">_______               </w:t>
            </w:r>
            <w:r w:rsidR="00730C21" w:rsidRPr="00FA719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ru-RU"/>
              </w:rPr>
              <w:t xml:space="preserve"> Макаренко О. А.</w:t>
            </w:r>
          </w:p>
        </w:tc>
        <w:tc>
          <w:tcPr>
            <w:tcW w:w="4785" w:type="dxa"/>
          </w:tcPr>
          <w:p w:rsidR="000F1A45" w:rsidRPr="00FA7197" w:rsidRDefault="000F1A45" w:rsidP="00A00530">
            <w:pPr>
              <w:widowControl w:val="0"/>
              <w:tabs>
                <w:tab w:val="left" w:pos="467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vertAlign w:val="superscript"/>
                <w:lang w:eastAsia="ru-RU"/>
              </w:rPr>
            </w:pPr>
            <w:r w:rsidRPr="00FA719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ru-RU"/>
              </w:rPr>
              <w:t xml:space="preserve">_______                          </w:t>
            </w:r>
            <w:r w:rsidR="00A00530" w:rsidRPr="00FA719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ru-RU"/>
              </w:rPr>
              <w:t>Філіпова Т. О.</w:t>
            </w:r>
          </w:p>
        </w:tc>
      </w:tr>
      <w:tr w:rsidR="000F1A45" w:rsidRPr="00FA7197" w:rsidTr="00006BD1">
        <w:tc>
          <w:tcPr>
            <w:tcW w:w="4785" w:type="dxa"/>
          </w:tcPr>
          <w:p w:rsidR="000F1A45" w:rsidRPr="00FA7197" w:rsidRDefault="000F1A45" w:rsidP="000F1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4"/>
                <w:lang w:eastAsia="ru-RU"/>
              </w:rPr>
            </w:pPr>
            <w:r w:rsidRPr="00FA719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vertAlign w:val="superscript"/>
                <w:lang w:eastAsia="ru-RU"/>
              </w:rPr>
              <w:t xml:space="preserve">   (підпиc)                                    (прізвище та ініціали)</w:t>
            </w:r>
          </w:p>
        </w:tc>
        <w:tc>
          <w:tcPr>
            <w:tcW w:w="4785" w:type="dxa"/>
          </w:tcPr>
          <w:p w:rsidR="000F1A45" w:rsidRPr="00FA7197" w:rsidRDefault="000F1A45" w:rsidP="000F1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4"/>
                <w:lang w:eastAsia="ru-RU"/>
              </w:rPr>
            </w:pPr>
            <w:r w:rsidRPr="00FA719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vertAlign w:val="superscript"/>
                <w:lang w:eastAsia="ru-RU"/>
              </w:rPr>
              <w:t xml:space="preserve">     (підпиc)                                          (прізвище та ініціали)</w:t>
            </w:r>
          </w:p>
        </w:tc>
      </w:tr>
    </w:tbl>
    <w:p w:rsidR="000F1A45" w:rsidRPr="00FA7197" w:rsidRDefault="000F1A45" w:rsidP="000F1A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4"/>
          <w:lang w:eastAsia="ru-RU"/>
        </w:rPr>
      </w:pPr>
    </w:p>
    <w:p w:rsidR="000F1A45" w:rsidRPr="00FA7197" w:rsidRDefault="000F1A45" w:rsidP="000F1A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4"/>
          <w:lang w:eastAsia="ru-RU"/>
        </w:rPr>
      </w:pPr>
    </w:p>
    <w:p w:rsidR="003C4D2C" w:rsidRPr="00FA7197" w:rsidRDefault="003C4D2C" w:rsidP="000F1A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8"/>
          <w:szCs w:val="24"/>
          <w:lang w:eastAsia="ru-RU"/>
        </w:rPr>
      </w:pPr>
    </w:p>
    <w:p w:rsidR="00A00530" w:rsidRPr="00FA7197" w:rsidRDefault="000F1A45" w:rsidP="00F34615">
      <w:pPr>
        <w:spacing w:after="24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7197">
        <w:rPr>
          <w:rFonts w:ascii="Times New Roman" w:eastAsia="Times New Roman" w:hAnsi="Times New Roman" w:cs="Times New Roman"/>
          <w:b/>
          <w:color w:val="000000" w:themeColor="text1"/>
          <w:kern w:val="1"/>
          <w:sz w:val="28"/>
          <w:szCs w:val="24"/>
          <w:lang w:eastAsia="ru-RU"/>
        </w:rPr>
        <w:t>Одеcа – 2020</w:t>
      </w:r>
      <w:r w:rsidR="00A00530" w:rsidRPr="00FA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DB67A9" w:rsidRPr="00FA7197" w:rsidRDefault="00DB67A9" w:rsidP="004650BF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АНОТАЦІЯ</w:t>
      </w:r>
    </w:p>
    <w:p w:rsidR="000A4498" w:rsidRPr="00FA7197" w:rsidRDefault="000A4498" w:rsidP="00BE232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Проведено дослідження деяких гематологічних та біохімічних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показників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83781">
        <w:rPr>
          <w:rFonts w:ascii="Times New Roman" w:hAnsi="Times New Roman" w:cs="Times New Roman"/>
          <w:color w:val="000000" w:themeColor="text1"/>
          <w:sz w:val="28"/>
          <w:szCs w:val="28"/>
        </w:rPr>
        <w:t>крові</w:t>
      </w:r>
      <w:r w:rsidR="00D555B8" w:rsidRPr="0048378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483781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хворих на сечокам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'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яну хворобу.</w:t>
      </w:r>
    </w:p>
    <w:p w:rsidR="000A4498" w:rsidRPr="00FA7197" w:rsidRDefault="000A4498" w:rsidP="00BE232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В загальному аналізі крові виявлені зміни кількості лейкоцитів з зсувом</w:t>
      </w:r>
      <w:r w:rsidR="007A04EA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вліво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, лейкоцитарного індексу інтоксикації та швидкості осідання еритроцитів. Також у хворих в крові до лікування спосте</w:t>
      </w:r>
      <w:r w:rsidR="00A8474D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рігалось підвищення креатиніну,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сечової кислоти, паратгормону та іонізованого</w:t>
      </w:r>
      <w:r w:rsidR="00A8474D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кальцію. Проведення інтенсивної терапії та протирецидивної терапії впродовж  року призводило до нормалізації показників. </w:t>
      </w:r>
    </w:p>
    <w:p w:rsidR="00DB67A9" w:rsidRPr="00FA7197" w:rsidRDefault="00BE232C" w:rsidP="00BE232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Роботу викладено на 4</w:t>
      </w:r>
      <w:r w:rsidR="00A8474D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DB67A9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сторінках др</w:t>
      </w:r>
      <w:r w:rsidR="00997933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укованого тексту, вона включає </w:t>
      </w:r>
      <w:r w:rsidR="000A113D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3 таблиці</w:t>
      </w:r>
      <w:r w:rsidR="00997933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8474D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DB67A9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рисунків. </w:t>
      </w:r>
      <w:r w:rsidR="00997933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F4F10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</w:t>
      </w:r>
      <w:r w:rsidR="00A8474D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ті наведено посилання на 60 публікацій </w:t>
      </w:r>
      <w:r w:rsidR="000C40BC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(3</w:t>
      </w:r>
      <w:r w:rsidR="00A8474D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2 кирилицею, 2</w:t>
      </w:r>
      <w:r w:rsidR="000C40BC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DB67A9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латиницею).</w:t>
      </w:r>
    </w:p>
    <w:p w:rsidR="00DB67A9" w:rsidRPr="00FA7197" w:rsidRDefault="00DB67A9" w:rsidP="004650BF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Ключові слова:</w:t>
      </w:r>
      <w:r w:rsidRPr="00FA71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BE232C" w:rsidRPr="00FA71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інсульт, коагулограма, ЕКГ</w:t>
      </w:r>
    </w:p>
    <w:p w:rsidR="00997933" w:rsidRPr="00FA7197" w:rsidRDefault="00997933" w:rsidP="004650B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6BD1" w:rsidRPr="00FA7197" w:rsidRDefault="00006BD1" w:rsidP="00D555B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474D" w:rsidRPr="00FA7197" w:rsidRDefault="00A8474D" w:rsidP="00A8474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A study of some hematological and biochemical parameters of blood in patients with urolithiasis.</w:t>
      </w:r>
    </w:p>
    <w:p w:rsidR="00A8474D" w:rsidRPr="00FA7197" w:rsidRDefault="00A8474D" w:rsidP="00A8474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The general analysis of blood revealed changes in the number of leukocytes with a shift, leukocyte intoxication index and erythrocyte sedimentation rate. Increased creatinine, uric acid, parathyroid hormone and ionized calcium were also observed in patients' blood before treatment. Carrying out intensive care and anti-relapse therapy during the year led to the normalization of indicators.</w:t>
      </w:r>
    </w:p>
    <w:p w:rsidR="00006BD1" w:rsidRPr="00FA7197" w:rsidRDefault="000A113D" w:rsidP="000A113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 The work is presented on 4</w:t>
      </w:r>
      <w:r w:rsidR="00A8474D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006BD1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pages of printed text, it includes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8474D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tables, 10</w:t>
      </w:r>
      <w:r w:rsidR="00006BD1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0206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f</w:t>
      </w:r>
      <w:r w:rsidR="000C40BC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igures.  The paper refers to </w:t>
      </w:r>
      <w:r w:rsidR="00A8474D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60 publications (32 in Cyrillic, 2</w:t>
      </w:r>
      <w:r w:rsidR="000C40BC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006BD1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Latin).</w:t>
      </w:r>
    </w:p>
    <w:p w:rsidR="004650BF" w:rsidRPr="00FA7197" w:rsidRDefault="00006BD1" w:rsidP="000C40BC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Key words: </w:t>
      </w:r>
      <w:r w:rsidR="00BE232C" w:rsidRPr="00FA71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stroke, coagulogram, ECG </w:t>
      </w:r>
      <w:r w:rsidR="004650BF" w:rsidRPr="00FA71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2"/>
          <w:szCs w:val="22"/>
          <w:lang w:val="uk-UA" w:eastAsia="en-US"/>
        </w:rPr>
        <w:id w:val="311295183"/>
        <w:docPartObj>
          <w:docPartGallery w:val="Table of Contents"/>
          <w:docPartUnique/>
        </w:docPartObj>
      </w:sdtPr>
      <w:sdtEndPr/>
      <w:sdtContent>
        <w:p w:rsidR="00CB2B48" w:rsidRPr="00221E75" w:rsidRDefault="00CB2B48" w:rsidP="00221E75">
          <w:pPr>
            <w:pStyle w:val="af7"/>
            <w:spacing w:before="0" w:line="360" w:lineRule="auto"/>
            <w:jc w:val="center"/>
            <w:rPr>
              <w:rFonts w:ascii="Times New Roman" w:hAnsi="Times New Roman" w:cs="Times New Roman"/>
              <w:b w:val="0"/>
              <w:color w:val="000000" w:themeColor="text1"/>
              <w:lang w:val="uk-UA"/>
            </w:rPr>
          </w:pPr>
          <w:r w:rsidRPr="00221E75">
            <w:rPr>
              <w:rFonts w:ascii="Times New Roman" w:hAnsi="Times New Roman" w:cs="Times New Roman"/>
              <w:b w:val="0"/>
              <w:color w:val="000000" w:themeColor="text1"/>
              <w:lang w:val="uk-UA"/>
            </w:rPr>
            <w:t>ЗМІСТ</w:t>
          </w:r>
        </w:p>
        <w:p w:rsidR="00221E75" w:rsidRPr="00221E75" w:rsidRDefault="00CB2B48" w:rsidP="00221E75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r w:rsidRPr="00221E75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Pr="00221E75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221E75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  <w:hyperlink w:anchor="_Toc57480324" w:history="1">
            <w:r w:rsidR="00221E75" w:rsidRPr="00221E7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ВСТУП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_Toc57480324 \h </w:instrTex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E75" w:rsidRPr="00221E75" w:rsidRDefault="002906BF" w:rsidP="00221E75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7480325" w:history="1">
            <w:r w:rsidR="00221E75" w:rsidRPr="00221E7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1.  ОГЛЯД ЛІТЕРАТУРИ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_Toc57480325 \h </w:instrTex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E75" w:rsidRPr="00221E75" w:rsidRDefault="002906BF" w:rsidP="00221E75">
          <w:pPr>
            <w:pStyle w:val="21"/>
            <w:tabs>
              <w:tab w:val="left" w:pos="6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7480326" w:history="1">
            <w:r w:rsidR="00221E75" w:rsidRPr="00221E7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  <w:r w:rsidR="00221E75" w:rsidRPr="00221E7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ru-RU" w:eastAsia="ru-RU"/>
              </w:rPr>
              <w:tab/>
            </w:r>
            <w:r w:rsidR="00221E75" w:rsidRPr="00221E7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Сечокам’яна хвороба, класифікація та етіологія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_Toc57480326 \h </w:instrTex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E75" w:rsidRPr="00221E75" w:rsidRDefault="002906BF" w:rsidP="00221E75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7480327" w:history="1">
            <w:r w:rsidR="00221E75" w:rsidRPr="00221E7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1.2. Патогенез сечокам’яної хвороби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_Toc57480327 \h </w:instrTex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E75" w:rsidRPr="00221E75" w:rsidRDefault="002906BF" w:rsidP="00221E75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7480328" w:history="1">
            <w:r w:rsidR="00221E75" w:rsidRPr="00221E7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1.3. Симптоми і клінічні прояви уролітіазу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_Toc57480328 \h </w:instrTex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E75" w:rsidRPr="00221E75" w:rsidRDefault="002906BF" w:rsidP="00221E75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7480329" w:history="1">
            <w:r w:rsidR="00221E75" w:rsidRPr="00221E7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1.4. Діагностика, лікування та профілактика уролітіазу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_Toc57480329 \h </w:instrTex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E75" w:rsidRPr="00221E75" w:rsidRDefault="002906BF" w:rsidP="00221E75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7480330" w:history="1">
            <w:r w:rsidR="00221E75" w:rsidRPr="00221E7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 МАТЕРІАЛИ ТА МЕТОДИ ДОСЛІДЖЕНЬ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_Toc57480330 \h </w:instrTex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E75" w:rsidRPr="00221E75" w:rsidRDefault="002906BF" w:rsidP="00221E75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7480331" w:history="1">
            <w:r w:rsidR="00221E75" w:rsidRPr="00221E7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2.1. Підрахунок кількості еритроцитів та лейкоцитів за методом Ніколаєва,  підрахунок лейкоцитарної формули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_Toc57480331 \h </w:instrTex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E75" w:rsidRPr="00221E75" w:rsidRDefault="002906BF" w:rsidP="00221E75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7480332" w:history="1">
            <w:r w:rsidR="00221E75" w:rsidRPr="00221E7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2.2. Визначення сечової кислоти та креатиніна в </w:t>
            </w:r>
            <w:r w:rsidR="00221E75" w:rsidRPr="00221E75">
              <w:rPr>
                <w:rStyle w:val="a3"/>
                <w:rFonts w:ascii="Times New Roman" w:hAnsi="Times New Roman" w:cs="Times New Roman"/>
                <w:bCs/>
                <w:noProof/>
                <w:sz w:val="28"/>
                <w:szCs w:val="28"/>
              </w:rPr>
              <w:t>крові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_Toc57480332 \h </w:instrTex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E75" w:rsidRPr="00221E75" w:rsidRDefault="002906BF" w:rsidP="00221E75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7480333" w:history="1">
            <w:r w:rsidR="00221E75" w:rsidRPr="00221E7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2.3. Методика визначення загального білка  та альбуміну у сироватці крові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_Toc57480333 \h </w:instrTex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E75" w:rsidRPr="00221E75" w:rsidRDefault="002906BF" w:rsidP="00221E75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7480334" w:history="1">
            <w:r w:rsidR="00221E75" w:rsidRPr="00221E7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2.4. Визачення паратгормону, кальцитоніну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_Toc57480334 \h </w:instrTex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E75" w:rsidRPr="00221E75" w:rsidRDefault="002906BF" w:rsidP="00221E75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7480335" w:history="1">
            <w:r w:rsidR="00221E75" w:rsidRPr="00221E7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2.5. Статистична обробка результатів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_Toc57480335 \h </w:instrTex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E75" w:rsidRPr="00221E75" w:rsidRDefault="002906BF" w:rsidP="00221E75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7480336" w:history="1">
            <w:r w:rsidR="00221E75" w:rsidRPr="00221E75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3. РЕЗУЛЬТАТИ ДОСЛІДЖЕНЬ ТА ЇХ ОБГОВОРЕННЯ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_Toc57480336 \h </w:instrTex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E75" w:rsidRPr="00221E75" w:rsidRDefault="002906BF" w:rsidP="00221E75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7480337" w:history="1">
            <w:r w:rsidR="00221E75" w:rsidRPr="00221E75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3.1. Гематологічні показники у хворих з сечокам’яною хворобою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_Toc57480337 \h </w:instrTex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E75" w:rsidRPr="00221E75" w:rsidRDefault="002906BF" w:rsidP="00221E75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7480338" w:history="1">
            <w:r w:rsidR="00221E75" w:rsidRPr="00221E7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3.2. </w:t>
            </w:r>
            <w:r w:rsidR="00221E75" w:rsidRPr="00221E75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Показники білка, креатиніну та сечової кислоти в крові хворих з сечокам’яною хворобою на тлі протирецидивної терапії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_Toc57480338 \h </w:instrTex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E75" w:rsidRPr="00221E75" w:rsidRDefault="002906BF" w:rsidP="00221E75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7480339" w:history="1">
            <w:r w:rsidR="00221E75" w:rsidRPr="00221E75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3.3. Показники паратгормону та кальцитоніну в крові хворих з сечокам’яною хворобою на тлі протирецидивної терапії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_Toc57480339 \h </w:instrTex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E75" w:rsidRPr="00221E75" w:rsidRDefault="002906BF" w:rsidP="00221E75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7480340" w:history="1">
            <w:r w:rsidR="00221E75" w:rsidRPr="00221E7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УЗАГАЛЬНЕННЯ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_Toc57480340 \h </w:instrTex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39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E75" w:rsidRPr="00221E75" w:rsidRDefault="002906BF" w:rsidP="00221E75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7480341" w:history="1">
            <w:r w:rsidR="00221E75" w:rsidRPr="00221E7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ВИСНОВКИ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_Toc57480341 \h </w:instrTex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21E75" w:rsidRPr="00221E75" w:rsidRDefault="002906BF" w:rsidP="00221E75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7480342" w:history="1">
            <w:r w:rsidR="00221E75" w:rsidRPr="00221E75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СПИСОК ЛІТЕРАТУРИ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_Toc57480342 \h </w:instrTex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="00221E75" w:rsidRPr="00221E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B2B48" w:rsidRPr="00FA7197" w:rsidRDefault="00CB2B48" w:rsidP="00221E75">
          <w:pPr>
            <w:spacing w:line="360" w:lineRule="auto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221E75">
            <w:rPr>
              <w:rFonts w:ascii="Times New Roman" w:hAnsi="Times New Roman" w:cs="Times New Roman"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4650BF" w:rsidRPr="00FA7197" w:rsidRDefault="004650BF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A71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5B6CD8" w:rsidRPr="00FA7197" w:rsidRDefault="005B6CD8" w:rsidP="005C08D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A71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ПРИЙНЯТІ СКОРОЧЕННЯ ТА АБРЕВІАТУРИ</w:t>
      </w:r>
    </w:p>
    <w:p w:rsidR="000147CE" w:rsidRPr="00FA7197" w:rsidRDefault="000147CE" w:rsidP="005B6CD8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A04EA" w:rsidRPr="00FA7197" w:rsidRDefault="007A04EA" w:rsidP="00F840A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ДУХЛт</w:t>
      </w:r>
      <w:r w:rsidR="007B677B" w:rsidRPr="00D555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дистанційна ударно-хвильова літотрипсія</w:t>
      </w:r>
    </w:p>
    <w:p w:rsidR="007A04EA" w:rsidRPr="00FA7197" w:rsidRDefault="007A04EA" w:rsidP="00F840A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ЄАУ – Європейська асоціація урологів</w:t>
      </w:r>
    </w:p>
    <w:p w:rsidR="007A04EA" w:rsidRPr="00FA7197" w:rsidRDefault="007A04EA" w:rsidP="00F840A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КЛТ - контактна літотрипсія </w:t>
      </w:r>
    </w:p>
    <w:p w:rsidR="007A04EA" w:rsidRPr="00FA7197" w:rsidRDefault="007A04EA" w:rsidP="00F840A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ЛІІ – лейкоцитарний індекс інтоксикації</w:t>
      </w:r>
    </w:p>
    <w:p w:rsidR="007B677B" w:rsidRPr="00D555B8" w:rsidRDefault="007B677B" w:rsidP="00F840A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ПНЛ </w:t>
      </w:r>
      <w:r w:rsidRPr="00D555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перкутанна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нефролітотрипсія </w:t>
      </w:r>
    </w:p>
    <w:p w:rsidR="007A04EA" w:rsidRPr="00FA7197" w:rsidRDefault="007A04EA" w:rsidP="00F840A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ПР – протирецидивна терапія</w:t>
      </w:r>
    </w:p>
    <w:p w:rsidR="007A04EA" w:rsidRPr="00FA7197" w:rsidRDefault="007A04EA" w:rsidP="00F840A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СКХ – сечокам’яна хвороба</w:t>
      </w:r>
    </w:p>
    <w:p w:rsidR="007A04EA" w:rsidRPr="00FA7197" w:rsidRDefault="007A04EA" w:rsidP="00F840A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ШОЕ – швидкість осідання еритроцитів</w:t>
      </w:r>
    </w:p>
    <w:p w:rsidR="00BF67BA" w:rsidRPr="00FA7197" w:rsidRDefault="00BF67BA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A71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A00530" w:rsidRPr="00FA7197" w:rsidRDefault="00A00530" w:rsidP="00A00530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0" w:name="_Toc57480324"/>
      <w:r w:rsidRPr="00FA7197">
        <w:rPr>
          <w:rFonts w:ascii="Times New Roman" w:hAnsi="Times New Roman" w:cs="Times New Roman"/>
          <w:color w:val="000000" w:themeColor="text1"/>
        </w:rPr>
        <w:lastRenderedPageBreak/>
        <w:t>ВСТУП</w:t>
      </w:r>
      <w:bookmarkEnd w:id="0"/>
    </w:p>
    <w:p w:rsidR="00A20013" w:rsidRPr="00FA7197" w:rsidRDefault="00A20013" w:rsidP="00A20013">
      <w:pPr>
        <w:rPr>
          <w:rFonts w:ascii="Times New Roman" w:hAnsi="Times New Roman" w:cs="Times New Roman"/>
          <w:color w:val="000000" w:themeColor="text1"/>
        </w:rPr>
      </w:pPr>
    </w:p>
    <w:p w:rsidR="00C34DB2" w:rsidRPr="00FA7197" w:rsidRDefault="005C4B53" w:rsidP="009D218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Сечокам'яна хвороба (С</w:t>
      </w:r>
      <w:r w:rsidR="00C34DB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C34DB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яку називають уролітіаз, є одним з найпоширеніших і частих захворювань в світі (5-10%), зустрічається найчастіше у пацієнтів працездатного віку. Поняття «сечокам'яна хвороба» </w:t>
      </w:r>
      <w:r w:rsidR="00F47778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включає </w:t>
      </w:r>
      <w:r w:rsidR="00C34DB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порушення обміну речовин,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яке </w:t>
      </w:r>
      <w:r w:rsidR="00C34DB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викликане різними ендогенними або екзогенними причинами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34DB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включаючи спадковий характер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34DB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характеризується</w:t>
      </w:r>
      <w:r w:rsidR="003E57C9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4DB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наявністю камен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ів</w:t>
      </w:r>
      <w:r w:rsidR="00F47778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нирках і сечових шляхах </w:t>
      </w:r>
      <w:r w:rsidR="00C34DB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Бе</w:t>
      </w:r>
      <w:r w:rsidR="00C34DB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лай и др, 2016</w:t>
      </w:r>
      <w:r w:rsidR="00550844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; Leanez et al., 2017</w:t>
      </w:r>
      <w:r w:rsidR="00C34DB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]. </w:t>
      </w:r>
    </w:p>
    <w:p w:rsidR="008B49E3" w:rsidRPr="00FA7197" w:rsidRDefault="008B49E3" w:rsidP="008B49E3">
      <w:pPr>
        <w:tabs>
          <w:tab w:val="left" w:pos="5538"/>
        </w:tabs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даними Європейської асоціації урологів (European Association of Urology), в країнах Європи поширеність </w:t>
      </w:r>
      <w:r w:rsidR="003E57C9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СКХ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досягає 3-5 </w:t>
      </w:r>
      <w:r w:rsidR="00F47778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="00D51D2B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Trinchieri</w:t>
      </w:r>
      <w:r w:rsidR="00D51D2B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2006; Türk  et al., </w:t>
      </w:r>
      <w:r w:rsidR="006315E0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2014, 2016</w:t>
      </w:r>
      <w:r w:rsidR="00D51D2B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. Малорухливий спосіб життя, нездорові харчові звички, епідемія ожиріння в економічно розвинених державах привели до стрім</w:t>
      </w:r>
      <w:r w:rsidR="0011018F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кого зростання розповсюдження СКХ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протягом останніх 10-15 років, причому як серед дорослого, </w:t>
      </w:r>
      <w:r w:rsidR="00D51D2B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так і серед дитячого населення [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Straub M. </w:t>
      </w:r>
      <w:r w:rsidR="00D51D2B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et al., 2005]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4DB2" w:rsidRPr="00FA7197" w:rsidRDefault="009D218E" w:rsidP="009D218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Поряд з ростом захворюваності СКХ</w:t>
      </w:r>
      <w:r w:rsidR="00C83451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виявляється висока частота рецидивування захворювання, що досягає 50-75% в інтервалі 5-10 років [Т</w:t>
      </w:r>
      <w:r w:rsidR="00C83451"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urney et al., 2012</w:t>
      </w:r>
      <w:r w:rsidR="00C83451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46B5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Причина цього полягає в тому, що фактори каменеутворення зберігаються, а метафілактика не дозволяє повністю попередити рецидиви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жаль, діагноз «уролітіаз» </w:t>
      </w:r>
      <w:r w:rsidR="008C46B5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в переважній більшості випадків захворювання залишається на все життя і проблема попередження повторного каменеутворення стає провідною</w:t>
      </w:r>
      <w:r w:rsidR="002C4E27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46B5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E27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пацієнтів </w:t>
      </w:r>
      <w:r w:rsidR="008C46B5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8C46B5" w:rsidRPr="00FA719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Гайбуллаев и др., 2013</w:t>
      </w:r>
      <w:r w:rsidR="00526785" w:rsidRPr="00FA719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; </w:t>
      </w:r>
      <w:r w:rsidR="00526785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Straub et al., 2005; Hesse al., 2009</w:t>
      </w:r>
      <w:r w:rsidR="008C46B5" w:rsidRPr="00FA719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]</w:t>
      </w:r>
      <w:r w:rsidR="004875DC" w:rsidRPr="00FA719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.</w:t>
      </w:r>
    </w:p>
    <w:p w:rsidR="0029057B" w:rsidRPr="00FA7197" w:rsidRDefault="00CA601A" w:rsidP="0029057B">
      <w:pPr>
        <w:spacing w:after="0" w:line="360" w:lineRule="auto"/>
        <w:ind w:firstLine="708"/>
        <w:jc w:val="both"/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Метафілактика</w:t>
      </w:r>
      <w:r w:rsidR="002C4E27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передбачає не тільки систематичне обстеження, а й комплексне лікування, що включає дієтичні рекомендації і періодичне призначення певних медикаментозних засобів</w:t>
      </w:r>
      <w:r w:rsidR="00344B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тобто </w:t>
      </w:r>
      <w:r w:rsidR="00344BD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</w:t>
      </w:r>
      <w:r w:rsidR="00F47778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тирецидивну терапію.</w:t>
      </w:r>
      <w:r w:rsidR="002C4E27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7778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цього </w:t>
      </w:r>
      <w:r w:rsidR="002C4E27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особливо</w:t>
      </w:r>
      <w:r w:rsidR="004875DC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широко використовують препарати </w:t>
      </w:r>
      <w:r w:rsidR="002C4E27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рослинного походження</w:t>
      </w:r>
      <w:r w:rsidR="00CE19C5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CE19C5"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Аляев и др., 2016]</w:t>
      </w:r>
      <w:r w:rsidR="002C4E27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E57C9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875DC" w:rsidRPr="00FA7197" w:rsidRDefault="004875DC" w:rsidP="004875D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75DC" w:rsidRPr="00FA7197" w:rsidRDefault="004875DC" w:rsidP="004875D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875DC" w:rsidRPr="00FA7197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3750" w:rsidRPr="00FA7197" w:rsidRDefault="00852308" w:rsidP="0080375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Такі препарати мають переваги комплексним складом з безліччю ефектів</w:t>
      </w:r>
      <w:r w:rsidR="00F47778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F47778" w:rsidRPr="00FA719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діуретичним, спазмолітичним, протизапальним, нефропротекторним)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r w:rsidR="00CA601A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мінімальним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спектром побічних дій і протипоказань [</w:t>
      </w:r>
      <w:r w:rsidR="00F47778" w:rsidRPr="00FA719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Зубаренко и др., 2009; Butterweck et al, 2009;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Жигунова и др., 2013; </w:t>
      </w:r>
      <w:r w:rsidRPr="00FA719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Константинова и др., 2018].</w:t>
      </w:r>
      <w:r w:rsidR="00F47778" w:rsidRPr="00FA719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B6CD8" w:rsidRPr="00FA7197" w:rsidRDefault="005B6CD8" w:rsidP="00347F2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зв’язку з цим </w:t>
      </w:r>
      <w:r w:rsidRPr="00FA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метою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дослідження </w:t>
      </w:r>
      <w:r w:rsidR="009D0ED3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було визначення </w:t>
      </w:r>
      <w:r w:rsidR="009203BA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гематологічних та біохімічних </w:t>
      </w:r>
      <w:r w:rsidR="00CA601A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показників</w:t>
      </w:r>
      <w:r w:rsidR="009203BA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крові </w:t>
      </w:r>
      <w:r w:rsidR="003F5F24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хворих на </w:t>
      </w:r>
      <w:r w:rsidR="009203BA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сечокам</w:t>
      </w:r>
      <w:r w:rsidR="00274BFA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="009203BA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яну хворобу на тлі </w:t>
      </w:r>
      <w:r w:rsidR="00CA601A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протирецидивної</w:t>
      </w:r>
      <w:r w:rsidR="009203BA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терапії.</w:t>
      </w:r>
    </w:p>
    <w:p w:rsidR="005B6CD8" w:rsidRPr="00FA7197" w:rsidRDefault="005B6CD8" w:rsidP="000B4A2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Для досягнення мети бу</w:t>
      </w:r>
      <w:r w:rsidR="000B4A20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3F5F24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и поставлені наступні завдання:</w:t>
      </w:r>
    </w:p>
    <w:p w:rsidR="008234D5" w:rsidRPr="00FA7197" w:rsidRDefault="005B6CD8" w:rsidP="003F5F2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274BFA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Дослідити</w:t>
      </w:r>
      <w:r w:rsidR="003F5F24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4BFA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показники </w:t>
      </w:r>
      <w:r w:rsidR="00AD09D7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розгорнутого </w:t>
      </w:r>
      <w:r w:rsidR="00274BFA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аналізу крові у хворих з </w:t>
      </w:r>
      <w:r w:rsidR="00E8306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сечокам</w:t>
      </w:r>
      <w:r w:rsidR="00793937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="00E8306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яною хворобою</w:t>
      </w:r>
      <w:r w:rsidR="00274BFA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лікування та після </w:t>
      </w:r>
      <w:r w:rsidR="00AD09D7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терапії</w:t>
      </w:r>
      <w:r w:rsidR="00274BFA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різних  підходів.</w:t>
      </w:r>
    </w:p>
    <w:p w:rsidR="00274BFA" w:rsidRPr="00FA7197" w:rsidRDefault="005B6CD8" w:rsidP="00274BF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3F5F24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Дослідити </w:t>
      </w:r>
      <w:r w:rsidR="00274BFA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показники загального білка, креатиніну та сечової кислоти в крові у хворих з СКХ до лікування та після </w:t>
      </w:r>
      <w:r w:rsidR="00AD09D7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терапії</w:t>
      </w:r>
      <w:r w:rsidR="00274BFA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різних  підходів.</w:t>
      </w:r>
    </w:p>
    <w:p w:rsidR="00274BFA" w:rsidRPr="00FA7197" w:rsidRDefault="005B6CD8" w:rsidP="00274BF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8674E9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Проаналізувати </w:t>
      </w:r>
      <w:r w:rsidR="00274BFA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показники паратгормону, кальцитоніну та іонізованого кальцію в крові у хворих з СКХ до лікування та після </w:t>
      </w:r>
      <w:r w:rsidR="00AD09D7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терапії</w:t>
      </w:r>
      <w:r w:rsidR="00274BFA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різних  підходів.</w:t>
      </w:r>
    </w:p>
    <w:p w:rsidR="003F5F24" w:rsidRPr="00FA7197" w:rsidRDefault="003F5F24" w:rsidP="003F5F2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5F24" w:rsidRPr="00FA7197" w:rsidRDefault="008E0161" w:rsidP="005B6CD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5B6CD8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б’єкт дослідження –</w:t>
      </w:r>
      <w:r w:rsidR="003F5F24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перебіг </w:t>
      </w:r>
      <w:r w:rsidR="008234D5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уролітіазу на тлі </w:t>
      </w:r>
      <w:r w:rsidR="00CA601A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протирецидивної</w:t>
      </w:r>
      <w:r w:rsidR="008234D5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терапії</w:t>
      </w:r>
      <w:r w:rsidR="003F5F24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B6CD8" w:rsidRPr="00FA7197" w:rsidRDefault="005B6CD8" w:rsidP="005B6CD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Предмет дослідження –</w:t>
      </w:r>
      <w:r w:rsidR="003F5F24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34D5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гемато</w:t>
      </w:r>
      <w:r w:rsidR="00A66467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логічні та біохімічні показники у хворих з </w:t>
      </w:r>
      <w:r w:rsidR="00AD09D7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СКХ.</w:t>
      </w:r>
      <w:r w:rsidR="008234D5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00530" w:rsidRPr="00FA7197" w:rsidRDefault="00A0053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DB67A9" w:rsidRPr="00FA7197" w:rsidRDefault="00DB67A9" w:rsidP="007B682B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1" w:name="_Toc57480340"/>
      <w:bookmarkStart w:id="2" w:name="_GoBack"/>
      <w:bookmarkEnd w:id="2"/>
      <w:r w:rsidRPr="00FA7197">
        <w:rPr>
          <w:rFonts w:ascii="Times New Roman" w:hAnsi="Times New Roman" w:cs="Times New Roman"/>
          <w:color w:val="000000" w:themeColor="text1"/>
        </w:rPr>
        <w:lastRenderedPageBreak/>
        <w:t>УЗАГАЛЬНЕННЯ</w:t>
      </w:r>
      <w:bookmarkEnd w:id="1"/>
    </w:p>
    <w:p w:rsidR="00B81D8B" w:rsidRPr="00FA7197" w:rsidRDefault="000B68C1" w:rsidP="00B81D8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 кожним десятиліттям поширеність </w:t>
      </w:r>
      <w:r w:rsidR="00B81D8B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СКХ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захворювання збільшується</w:t>
      </w:r>
      <w:r w:rsidR="00B81D8B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B81D8B" w:rsidRPr="00FA7197">
        <w:t xml:space="preserve"> </w:t>
      </w:r>
      <w:r w:rsidR="00B81D8B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Тенденція до зростання захворюваності спостерігається незалежно від статі, віку і расової приналежності. Поряд з ростом захворюваності СКХ виявляється висока частота рецидивування захворювання [Гаджиев и др, 2014]. </w:t>
      </w:r>
    </w:p>
    <w:p w:rsidR="0083506C" w:rsidRPr="00FA7197" w:rsidRDefault="00B81D8B" w:rsidP="0011018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Розвиток захворювання пов'язано з низкою складних фізико-хімічних процесів, що відбуваються як в організмі в цілому, так і в нирці і сечовивідних шляхах. </w:t>
      </w:r>
      <w:r w:rsidR="00671677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даний час уролітіаз розглядається як мультіетіологічне  захворювання, що є наслідком перенасичення сечі каменеутворюючими компонентами; коливання кислотності сечі і діурезу; інфекції сечовивідних шляхів; анатомічні зміни сечовидільної системи; судинні та метаболічні порушення, прийом препаратів, що сприяють каменеутворенню (препарати кальцію, вітамін D, ацетазоламід, триамтерен і ін.) </w:t>
      </w:r>
      <w:r w:rsidR="0011018F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[Шамраєв та ін., 2006].</w:t>
      </w:r>
      <w:r w:rsidR="0011018F" w:rsidRPr="00FA71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472DE4" w:rsidRPr="00FA7197" w:rsidRDefault="00671677" w:rsidP="00472DE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Лікування</w:t>
      </w:r>
      <w:r w:rsidR="00676106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терапія після зняття загострення складається з немедикаментозної та медикаментозної профілактики. Немедикаментозна профілактика включає активно-рухливій спосіб життя, достатній питний режим та дієтичне харчування.</w:t>
      </w:r>
      <w:r w:rsidR="00B81D8B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6106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Медикаментозна профілактика</w:t>
      </w:r>
      <w:r w:rsidR="000B68C1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необхідн</w:t>
      </w:r>
      <w:r w:rsidR="00676106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0B68C1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перш за все для попередження повторного утворення нових каменів або зменшення тих включень, які вже присутні в органах. 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цього широко використовують препарати рослинного походження: цистон, фітолізін, канефрон та ін.</w:t>
      </w:r>
    </w:p>
    <w:p w:rsidR="00472DE4" w:rsidRPr="00FA7197" w:rsidRDefault="00472DE4" w:rsidP="00472DE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Окрім літолітичної ці препарати володіють ще</w:t>
      </w:r>
      <w:r w:rsidRPr="00FA719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 діуретичною, спазмолітичною, протизапальною, нефро</w:t>
      </w:r>
      <w:r w:rsidR="00676106" w:rsidRPr="00FA719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протекторною діями</w:t>
      </w:r>
      <w:r w:rsidRPr="00FA719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 [Зубаренко и др., 2009; Butterweck et al, 2009]</w:t>
      </w:r>
      <w:r w:rsidRPr="00FA7197">
        <w:rPr>
          <w:color w:val="000000" w:themeColor="text1"/>
        </w:rPr>
        <w:t>.</w:t>
      </w:r>
    </w:p>
    <w:p w:rsidR="0092073F" w:rsidRPr="00FA7197" w:rsidRDefault="00676106" w:rsidP="009207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пацієнтів з </w:t>
      </w:r>
      <w:r w:rsidR="00671677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сечокам’яною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хворобою, які надійшли до лікарні з «нирковою </w:t>
      </w:r>
      <w:r w:rsidR="00671677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колікою» спостерігались</w:t>
      </w:r>
      <w:r w:rsidR="00FA3DCC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зміни загального аналізу крові, які свідчили про наявність інтоксикації та розвитку запального процесу. Визначення в них показників білкового обміну виявило збільшення в крові </w:t>
      </w:r>
      <w:r w:rsidR="00FA3DCC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рівня креатиніну на</w:t>
      </w:r>
      <w:r w:rsidR="0092073F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11 % </w:t>
      </w:r>
      <w:r w:rsidR="00FA3DCC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сечової кислоти на </w:t>
      </w:r>
      <w:r w:rsidR="0092073F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16 %.  Відомо, що </w:t>
      </w:r>
      <w:r w:rsidR="0092073F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надлишок сечової кислоти відкладається в нирках у вигляді нерозчинних кристалів, які формують уратних камені. Якщо концентрація сечової кислоти в сечі не настільки висока, щоб сформувати камені, то вона викликає закислення сечі, що полегшує зростання кристалів оксалату кальцію. Таким чином, сечова кислота винна в розвитку відразу двох форм сечокам'яної хвороби: уратної оксалатнокальцієвої.</w:t>
      </w:r>
    </w:p>
    <w:p w:rsidR="0083506C" w:rsidRPr="00FA7197" w:rsidRDefault="0092073F" w:rsidP="0011018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Також слід відмітити, що у хворих, хоч і незначно, но був </w:t>
      </w:r>
      <w:r w:rsidR="00671677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підвищений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рівень паратгормону та іонізованого кальцію, що також могло спричиняти розвиток каменів в нирках.</w:t>
      </w:r>
    </w:p>
    <w:p w:rsidR="0083506C" w:rsidRPr="00FA7197" w:rsidRDefault="0092073F" w:rsidP="00427F4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Інтенсивна терапія у лікарні призводила до покращення </w:t>
      </w:r>
      <w:r w:rsidR="00671677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досліджуваних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показників. Подальша профілактична терапія проводилась не </w:t>
      </w:r>
      <w:r w:rsidR="00671677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всіма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пацієнтами, тому через рік про профілактичному огляді у деяких з них спостерігалось погіршення показників </w:t>
      </w:r>
      <w:r w:rsidR="00427F47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деяких та загального стану пацієнтів з сечокам</w:t>
      </w:r>
      <w:r w:rsidR="00427F47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r w:rsidR="00427F47"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яною хворобою. В той же час пацієнти які дотримувалися протирецидивної терапії гематологічні і біохімічні показники залишались в межах норми и</w:t>
      </w:r>
      <w:r w:rsidR="0083506C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впродовж року не спостерігалось рецидив</w:t>
      </w:r>
      <w:r w:rsidR="002F59B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</w:t>
      </w:r>
      <w:r w:rsidR="00E15B0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r w:rsidR="0083506C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сечокам’яної хвороби. </w:t>
      </w:r>
    </w:p>
    <w:p w:rsidR="00650064" w:rsidRPr="00FA7197" w:rsidRDefault="00650064" w:rsidP="00835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326" w:rsidRPr="00FA7197" w:rsidRDefault="00711326" w:rsidP="008350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67A9" w:rsidRPr="00FA7197" w:rsidRDefault="00DB67A9" w:rsidP="0011018F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DB67A9" w:rsidRPr="00FA7197" w:rsidRDefault="00C80DE7" w:rsidP="007B682B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3" w:name="_Toc57480341"/>
      <w:r w:rsidRPr="00FA7197">
        <w:rPr>
          <w:rFonts w:ascii="Times New Roman" w:hAnsi="Times New Roman" w:cs="Times New Roman"/>
          <w:color w:val="000000" w:themeColor="text1"/>
        </w:rPr>
        <w:lastRenderedPageBreak/>
        <w:t>ВИСНОВКИ</w:t>
      </w:r>
      <w:bookmarkEnd w:id="3"/>
    </w:p>
    <w:p w:rsidR="00C80DE7" w:rsidRPr="00FA7197" w:rsidRDefault="00C80DE7" w:rsidP="00033E30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72538" w:rsidRPr="00FA7197" w:rsidRDefault="00772538" w:rsidP="00790A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До лікування у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пацієнтів з сечокам’яною хворобою спостерігалось підвищення кількості лейкоцитів з нейтрофільним зсувом вліво, збільшення лейкоцитарного індексу інтоксикації та ШОЕ. У пацієнтів, що після інтенсивної терапії дотримувалися протирецидивної терапії впродовж року загальний аналіз крові  був кращім, ніж у хворих, які не дотримувалися терапії і рекомендацій.</w:t>
      </w:r>
    </w:p>
    <w:p w:rsidR="00772538" w:rsidRPr="00FA7197" w:rsidRDefault="00772538" w:rsidP="007725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538" w:rsidRPr="00FA7197" w:rsidRDefault="00772538" w:rsidP="00772538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У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хворих з сечокам’яною хворобою до лікування спостерігалось </w:t>
      </w:r>
      <w:r w:rsidR="00616CA7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підвищення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креатиніну на 11 % та сечової кислоти на 16 %. Після інтенсивної терапії ці показники нормалізувались та тримались на постійному рівні у пацієнтів з протирецидивною терапією </w:t>
      </w:r>
      <w:r w:rsidR="00616CA7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підвищувались у пацієнтів, які  її  не дотримувалися.</w:t>
      </w:r>
    </w:p>
    <w:p w:rsidR="00772538" w:rsidRPr="00FA7197" w:rsidRDefault="00772538" w:rsidP="00772538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538" w:rsidRPr="00FA7197" w:rsidRDefault="00772538" w:rsidP="00772538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У хворих на 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сечокам’яну хворобу спостерігалось в крові незначне підвищення рівня паратгормону та іонізованого кальцію. Протирецидивна терапія призводила до нормалізації цих показників.</w:t>
      </w:r>
    </w:p>
    <w:p w:rsidR="00772538" w:rsidRPr="00FA7197" w:rsidRDefault="00772538" w:rsidP="00772538"/>
    <w:p w:rsidR="004455F0" w:rsidRPr="00FA7197" w:rsidRDefault="004455F0" w:rsidP="004455F0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80D8A" w:rsidRPr="00FA7197" w:rsidRDefault="00880D8A" w:rsidP="00EC3879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80D8A" w:rsidRPr="00FA7197" w:rsidRDefault="00880D8A" w:rsidP="00EC3879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67BA" w:rsidRPr="00FA7197" w:rsidRDefault="00BF67BA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A71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057558" w:rsidRPr="00FA7197" w:rsidRDefault="00057558" w:rsidP="007B682B">
      <w:pPr>
        <w:pStyle w:val="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4" w:name="_Toc57480342"/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СПИСОК ЛІТЕРАТУРИ</w:t>
      </w:r>
      <w:bookmarkEnd w:id="4"/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Аль-Шукри С. Х. Новые патогенетические подходы в понимании механизмов литогенеза при билатеральном рецидивирующем нефролитиаза / С. Х. Аль-Шукри, Е. Т. Голощапов, Ю. В. Эмануэль, М. И. Горбачев // Бюллетень медицинских интернет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noBreakHyphen/>
        <w:t>конференций. – 2011. – Т. 1, № 4. – С. 66–75.</w:t>
      </w:r>
      <w:r w:rsidR="00F035EA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Аль-Шукри С. Х. Современные подходы к патогенезу, лечению и метафилактике уратного уролитиаза /  С. Х. Аль-Шукри, М. Н. Слесаревская, И. В.Кузьмин // Эффективная фармакотерапия.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2019.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Т. 15.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16.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 46–50. doi 10.33978/2307-3586-2019-15-16-46-50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Аль-Шукри С.Х. Литолитическая терапия уратного нефролитиаза / С.Х. Аль-Шукри, М. Н. Слесаревская, И. В.  Кузьмин // Урология.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2016.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2.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 23–27.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Аляев Ю. Г. Современные аспекты медикаментозного лечения пациентов с мочекаменной болезнью / Ю. Г. Аляев, В. И. Руденко // Эффективная фармакотерапия. –  2016. – № 41. – С. 23–27.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Базарнова М. А. Руководство по клинической лабораторной диагностике / М. А.  Базарнова. – К.: Вища школа, 1982. – 175 с.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Батюшин М. М. Избранные вопросы хемолитиаза при уратном нефролитиазе  / М. М. Батюшин // Клиническая нефрология.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2015.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№ 1.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С. 39–42.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Белай С. И. Мочекаменная болезнь: актуальность вопроса и перспективы его развития / С. И. Белай, М. А. Довбыш, И. М. Белай // Вестник ВГМУ. – 2016. – Том 15, №5. – С. 19-26.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Вощула В. И. Мочекаменная болезнь: этиотропное и патогенетическое лечение, профилактика / В. И.  Вощула. –  Минск: ВЭВЭР, 2006. – 268 с.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A4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Гаджиев Н. К.</w:t>
      </w:r>
      <w:r w:rsidRPr="00FA7197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Мочекаменная болезнь и метаболический синдром. Патофизиология камнеобразования / </w:t>
      </w:r>
      <w:r w:rsidRPr="00FA719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Н. К. Гаджиев, В. А. Малхасян, Д. А. Мазуренко, М. А. Гусейнов, Н. С. Тагиров </w:t>
      </w:r>
      <w:hyperlink r:id="rId10" w:history="1">
        <w:r w:rsidRPr="00FA719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 // Экспериментальная и </w:t>
        </w:r>
        <w:r w:rsidRPr="00FA719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lastRenderedPageBreak/>
          <w:t xml:space="preserve">клиническая урология. – 2018. – №1 </w:t>
        </w:r>
      </w:hyperlink>
      <w:r w:rsidRPr="00FA7197">
        <w:rPr>
          <w:rStyle w:val="pag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 С. 66-7.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doi 10.29188/2222-8543-2018-9-1-66-75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</w:pPr>
      <w:r w:rsidRPr="00FA719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Гайбуллаев А.А.</w:t>
      </w:r>
      <w:r w:rsidRPr="00FA719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Применение комбинированных растительных мочегонных препаратов при уролитиазе /</w:t>
      </w:r>
      <w:r w:rsidRPr="00FA719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 Гайбуллаев А.А., Кариев С.С., Турсунов Б.Ш. // Эксперементальная и клиническая урология. – 2013. - № 4. – С. 76-81.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Глыбочко П. В. Уратный нефролитиаз: литолиз и метафилактика. Учебное пособие / П. В. Глыбочко, Ю. Г. Аляев, Л. М. Рапопорт и др. – М.: Литтерра, 2016. – 213 с.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Голощапов Е. Т. Инфекционный фактор в генезе мочевого камнеобразования / Е. Т. Голощапов, А. В. Четвериков, Е. С. Белозеров // Урологические ведомости. – 2016. – Т. 6, № 4. – С. 21–27.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Горячковский А. М. Клиническая биохимия в лабораторной диагностике / А. М.Горячковский. – О.: Астропринт, 2005. – 607 с.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Гусакова Д. А. Факторы риска развития мочекаменной болезни у больных с метаболическим синдромом / Д. А. Гусакова, С. Ю. Калинченко, А. А. Камалов, Ю. А. Тишова // Экспериментальная и клиническая урология.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2013.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№ 2. – Р. 61-64.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Дутов В.В. Растворение камней почек: кому? когда? как? / В. В. Дутов // Медицинский совет.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2016.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№ 9.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С. 84–90.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Жигунова А. К.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Комплексная терапия при дисметаболической нефропатии различного генеза. Роль фитотерапии / </w:t>
      </w:r>
      <w:r w:rsidRPr="00FA719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А. К. Жигунова //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Укр. мед. Часопис. – 2013. – Вип. 4 (96) – C. 36-44. 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Кальф-Калиф Я. Я. О лейкоцитарном индексе интоксикации и его практическом значении  / Я. Я. Кальф-Калиф // Врачебное дело.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1941.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№ 1.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С. 31–35.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Колпаков И. С. Мочекаменная болезнь / И. С. Колпаков. – М.: Academia, 2006. – 224 с.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Константинова О. В. Ожирение и мочекаменная болезнь / О. В. Константинова, М. И. Катибов, Э. К. Яненко, Д. Н. Калиниченко, Т. К. 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Гецаев // Экспериментальная и клиническая урология. – 2013. – Вып. (2). – С. 65-67.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Константинова О.В. Опыт применения фитотерапии при мочевых камнях инфекционного генеза / О. В. Константинова, Э. К. Яненко, М. Ю. Просянников, М. И. Катибов // Медицинский Совет. – 2018. – № 13. – С. 170-173.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Костєв Ф. І. Застосування рослинного препарату Канефрон® Н в амбулаторній метафілактиці уратного літіазу / Ф. І. Костєв, Л. И. Красилюк, Р. В. Бахчієв, Є. Л. Лісак, М. В. Новиков // Здоровье мужчины. – 2018. - №2 (65). – С. 99-103.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Лакин Г. Ф.</w:t>
      </w:r>
      <w:r w:rsidRPr="00FA71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Биометрия / Г. Ф. Лакин. – М.: Высшая школа, 1990. – 312 c. 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Лопаткин H. A. Мочекаменная болезнь / H. A. Лопаткин, Э. К. Яненко // Русский медицинский журнал. –2000.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Т. 8, № 3.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С. 117–120.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Надеева Р. А. Гиперпаратиреоз и мочекаменная болезнь: ошибки диагностики  / Р. А. Надеева, Г. Р. Камашева, Н. Б. Амиров // Вестник современной клинической медицины.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2016.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Т. 9, вып. 6.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С. 163-168.</w:t>
      </w:r>
    </w:p>
    <w:p w:rsidR="00946172" w:rsidRPr="00FA7197" w:rsidRDefault="00946172" w:rsidP="00CE19C5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Назаров Т. Х. Современные аспекты этиологии и патогенеза мочек</w:t>
      </w:r>
      <w:r w:rsidR="00CE19C5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аменной болезни / Т. Х. Назаров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Н. С. Тагиров, А. Г. Васильев, С. А. Маджидов, М. </w:t>
      </w:r>
      <w:r w:rsidR="00CE19C5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А.Ахмедов // Педиатр. – 2014. –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 V, № 3. – С 101-110.</w:t>
      </w:r>
    </w:p>
    <w:p w:rsidR="00946172" w:rsidRPr="00FA7197" w:rsidRDefault="00CE19C5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46172"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Неймарк А. И. Использование минеральных вод в реабилитационной терапии больных мочекаменной болезнью / А. И. Неймарк, И. П. Салдан, А. В. Давыдов  // Урологические ведомости. – 2018. – Т. 8, № 2. – С. 18–23.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Переверзев A. C. Камни почек и мочеточников / A. C. Переверзев, В. В. Россихин, Ю. А. Илюхин, В. Л. Ярославский.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Харьков: Харьков, 2004.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224 с.</w:t>
      </w:r>
    </w:p>
    <w:p w:rsidR="00946172" w:rsidRPr="00FA7197" w:rsidRDefault="002906BF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1" w:history="1">
        <w:r w:rsidR="00946172" w:rsidRPr="00FA719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Пушкарь Д. Ю.</w:t>
        </w:r>
      </w:hyperlink>
      <w:r w:rsidR="0094617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6172" w:rsidRPr="00FA719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Мочекаменная болезнь / Д. Ю. </w:t>
      </w:r>
      <w:hyperlink r:id="rId12" w:history="1">
        <w:r w:rsidR="00946172" w:rsidRPr="00FA719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Пушкарь</w:t>
        </w:r>
      </w:hyperlink>
      <w:r w:rsidR="0094617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П. И. </w:t>
      </w:r>
      <w:hyperlink r:id="rId13" w:history="1">
        <w:r w:rsidR="00946172" w:rsidRPr="00FA719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Раснер</w:t>
        </w:r>
      </w:hyperlink>
      <w:r w:rsidR="0094617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Ю. А. </w:t>
      </w:r>
      <w:hyperlink r:id="rId14" w:history="1">
        <w:r w:rsidR="00946172" w:rsidRPr="00FA719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Куприянов</w:t>
        </w:r>
      </w:hyperlink>
      <w:r w:rsidR="0094617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Е.Г. </w:t>
      </w:r>
      <w:hyperlink r:id="rId15" w:history="1">
        <w:r w:rsidR="00946172" w:rsidRPr="00FA719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Мальцев</w:t>
        </w:r>
      </w:hyperlink>
      <w:r w:rsidR="0094617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Е. Ю. </w:t>
      </w:r>
      <w:hyperlink r:id="rId16" w:history="1">
        <w:r w:rsidR="00946172" w:rsidRPr="00FA719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Гуров</w:t>
        </w:r>
      </w:hyperlink>
      <w:r w:rsidR="0094617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М. С. </w:t>
      </w:r>
      <w:hyperlink r:id="rId17" w:history="1">
        <w:r w:rsidR="00946172" w:rsidRPr="00FA719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Умяров</w:t>
        </w:r>
      </w:hyperlink>
      <w:r w:rsidR="0094617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А. В. </w:t>
      </w:r>
      <w:hyperlink r:id="rId18" w:history="1">
        <w:r w:rsidR="00946172" w:rsidRPr="00FA719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Сидоренков</w:t>
        </w:r>
      </w:hyperlink>
      <w:r w:rsidR="0094617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РМЖ. – 2014. – №17. – С. 14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Тиктинский</w:t>
      </w:r>
      <w:r w:rsidR="002B7E10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Л. Мочекаменная болезнь / О. Л.Тиктинский, В. П.  Александров.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– СПб.: Питер; 2000. – 346 с.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Шамраєв С. М. Урологія : навчальний посібник / С. М. Шамраєв [та ін.]. – Донецьк : Каштан, 2010. – 144 с.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Шкодкін С. В. Сучасні уявлення про епідеміології та патогенезі уролітіазу / С. В. Шкодкін [и др.] // Науковий результат. Медицина та фармація. – 2016. –Т. 2, № 4. – С. 4-12. doi: 10.18413 / 2313- 8955-2016-2-4-4-12, URL: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Юрьева Э. А. Ринальные и экстраренальные факторы риска мочекаменной болезни у детей / Э. А. Юрьева, Е. С. Воздвиженская, Н. Н. Новикова, М. В. Кушнарева, С. Л.  Морозов // Рос вестн перинатол и педиатр.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2018.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Т.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63(2).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С.42–47. doi: 10.21508/1027–4065– 2018–63–2–42–47.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Basiri A. Familial relations and recurrence pattern in nephrolithiasis: new words about old subjects / A. Basiri, N. Shakhssalim, A.  R.Khoshdel // Urol J. – 2010. –  Vol. 7(2). –  P. 81-87. 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Ciudin A. Validation of Randall’s plaque theory by using the unenhanced abdominal CT / A. Ciudin, M. P. Luque, R.Salvador // 27th Annual EAU Congress. –  Paris, 2012. –  Abstracts. –  № 943. – P. 126.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Cupisti A. Insulin resistance and low urinary citrate excretion in calcium stone formers / A. Cupisti, M. Meola, C. D'Alessandro, G. Bernabini et al.   // Biomed Pharmacother.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2007.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Vol. 61(1).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P. 86-90.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Daudon M. Randall’s plaque: an increasingly frequent and complex process in calcium stone formation / M. Daudon, X. Carpentier, O. Traxer et al.  // Urol Res.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2008.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Vol. 36, № 3–4. – P. 162.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Fisang C. Urolithiasis--an interdisciplinary diagnostic, therapeutic and secondary preventive challenge / C. Fisang, R. Anding, S. C. Müller, S. Latz, N. Laube // Dtsch Arztebl Int.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2015.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Vol.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112.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P. 83-91.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Gaybullaev A. A. Effects of the herbal combination Canephron N on urinary risk factors of idiopathic calcium urolithiasis in an open study /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A. A. Gaybullaev, S. S. Kariev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Zeitschrifur Phytotherapie – 2012. –  Vol. 33. – P. 2-6.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Gaybullaev A. A. The features of medicinal plants' choice in the management of urolithiasis / A. A. Gaybullaev, S. S. Kariev, B. Sh.Tursunov  // Euro Urol Suppl 2011. 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Vol. 10, №9. 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P. 504-506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Grases  F. Phytate acts as an inhibitor in formation of renal calculi / F. Grases, P. Sanchis., J. Perello, J.J. Torres, A. Costa-Bauza // Front Biosci.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2007. Vol. 12.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P. 2580-2587. 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Grases F. Immune system, crystallization inhibitors and tissue calcification / F. Grases, R. M. Prieto, P. Sanchis, A. Costa-Bauza // Urol Res.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2008.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Vol. 36, № 3–4.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P. 204–205.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Hesse A. Study on the prevalence and incidence of Urolithiasis in Germany comparing the years 1979 vs. 2000 / A. Hesse, E. Brändle,  Wilbert, K-U.Köhrmann, P. Alken // Eur Urol.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2003.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Vol. 44.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P. 70913. 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Hesse A. Urinary Stones/ A. Hesse, H. G., R.T. Siener, B. Hoppe //Diagnosis, treatment, and Prevention of Recurrence 3rd revised and enlarged edition. – 2009. 232 p.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Jutabha P. Apical voltage-driven urate efflux transporter npt4 in renal proximal tubule  / P. Jutabha, N. Anzai, M. F. Wempe et al // Nucleosides Nucleotides Nucleic Acids.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2011.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Vol. 30.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№ 12.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P. 1302–1311.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Kamel K.S., Cheema-Dhadli S., Halperin M.L. Studies on the pathophysiology of the low urine pH in patients with uric acid stones / K.S. Kamel, S. Cheema-Dhadli, M. L. Halperin // Kidney Int.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2002.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Vol. 61.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3.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P. 988–994.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Kwak C. et al. Urinaiy Oxalate level and the enteric bacterium Oxalobacter formingenes in patients with calcium oxalate urolithiasis / C. Kwak et al // European Urology.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2003.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Vol. 44.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Р. 475–481.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Leanez J. M. Urinary lithiasis as a systemic disease / J. M. Leanez, V-Z. F. Candau, R. C. Reina // Arch Esp Urol. – 2017.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Vol. 70(1). – P. 28-39.</w:t>
      </w:r>
    </w:p>
    <w:p w:rsidR="00946172" w:rsidRPr="00FA7197" w:rsidRDefault="00CE19C5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617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Romero V. Kidney stones: a global picture of prevalence, incidence, and associated risk factors / V. Romero, H. Akpinar, D. G. Assimos // Rev Urol. – 2010. – Vol.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4617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, №2-3</w:t>
      </w:r>
      <w:r w:rsidR="00946172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. – P. 86–96.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Sakhaee K. Epidemiology and clinical pathophysiology of uric acid kidney stones / K. Sakhaee // J Nephrol.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2014.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Vol. 27. (3).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 241-245. doi: 10.1007/ s40620-013-0034-z.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Sidhu H. Direct correlations between hyperoxaluria/oxalate stone disease and the absence of the gastrointestinal tract-dwelling bacterium Oxalobacter formigenes: possible prevention by gut recolonization or enzymereplaccment therapy / H. Sidhu, M. E. Schmidt, J. G. Cornelius et al.  // J. Am: Soc. Nephrol.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1999.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Vol. 10, Suppl. 4.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P. S334–340.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Straub M.  Diagnosis and metaphylaxis of stone disease.  Consensus concept of the National Working Committee on Stone Disease for the upcoming German Urolithiasis Guideline / M. Straub, W. L. Strohmaier, W. Berg et al // World J. Urol. – 2005. –Vol. 23(5). –P. 309–323.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Straub M. Diagnosis and metaphylaxis of stone disease. Consensus concept of the National Working Committee on Stone Disease for the Upcoming German Urolithiasis Guideline / M. Straub, W. L. Strohmaier, W. Berg // World J Urol.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2005.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Vol.23, № 5.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FA7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P. 309–323.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Taylor E. N. Association of prevalent hypertension with 24-hour urinary excretion of calcium, citrate, and other factors / E. N.  Taylor, D. B. Mount, J. P. Forman, G. C. Curhan // Am J Kidney Dis.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2006.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Vol.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47(5)/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780-789.</w:t>
      </w:r>
    </w:p>
    <w:p w:rsidR="00946172" w:rsidRPr="00FA7197" w:rsidRDefault="00946172" w:rsidP="006315E0">
      <w:pPr>
        <w:pStyle w:val="a4"/>
        <w:numPr>
          <w:ilvl w:val="0"/>
          <w:numId w:val="3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Traynor J.  How to measure renal function in clinical practice / J. Traynor, R. Mactier, C. G. Geddes, J. G. Fox // BMJ. – 2006. – No.7571. – P. 733-737.</w:t>
      </w:r>
    </w:p>
    <w:p w:rsidR="00946172" w:rsidRPr="00FA7197" w:rsidRDefault="00946172" w:rsidP="006315E0">
      <w:pPr>
        <w:pStyle w:val="a4"/>
        <w:numPr>
          <w:ilvl w:val="0"/>
          <w:numId w:val="3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Trinchieri A.  Epidemiological trends in urolithiasis: impact on our health care systems / A. Trinchieri // Urol. Res. – 2006. – Vol. 34(2). – P. 151–156. </w:t>
      </w:r>
    </w:p>
    <w:p w:rsidR="00946172" w:rsidRPr="00FA7197" w:rsidRDefault="00946172" w:rsidP="006315E0">
      <w:pPr>
        <w:pStyle w:val="a4"/>
        <w:numPr>
          <w:ilvl w:val="0"/>
          <w:numId w:val="3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Türk C. Guidelines on Urolithiasis / C. Türk, T. Knoll, A. Petrik et al. </w:t>
      </w:r>
      <w:r w:rsidR="006315E0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European Association of Urology, </w:t>
      </w:r>
      <w:r w:rsidR="006315E0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2016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r w:rsidR="006315E0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54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 </w:t>
      </w:r>
    </w:p>
    <w:p w:rsidR="00946172" w:rsidRPr="00FA7197" w:rsidRDefault="00946172" w:rsidP="006315E0">
      <w:pPr>
        <w:pStyle w:val="a4"/>
        <w:numPr>
          <w:ilvl w:val="0"/>
          <w:numId w:val="3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Türk C. Guidelines on Urolithiasis: Eur Urol / C. Türk, T. Knoll, Petrik A</w:t>
      </w:r>
      <w:r w:rsidR="006315E0"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Sarica K., Skolarikos A.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Straub M., Seitz C, 2014.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71p. 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Turney B. W. Trends in urological stone disease / B. W. Turney, J. M. Reynard, J. G. Noble, S. R. Keoghane // BJU Int.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2012.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–Vol.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109(7).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–P.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1082–1087. doi: 10.1111/ j.1464-410X.2011.10495.x.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Viswanathan P. Proteomic analysis of stone former urine / P. Viswanathan, A. M. Beshensky, M. J. Lutz et al. // Urol Res.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2008.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Vol. 36, № 3–4. 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>P. 190–191.</w:t>
      </w:r>
    </w:p>
    <w:p w:rsidR="00946172" w:rsidRPr="00FA7197" w:rsidRDefault="00946172" w:rsidP="0094617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Wong Y. Metabolic Syndrome and Kidney Stone Disease: A Systematic Review of Literature / Y. Wong, P. Cook, P. Roderick, B. K. Somani // J Endourol. 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2016.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Vol. 30(3).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FA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P. 246-53. doi: 10.1089/end.2015.0567</w:t>
      </w:r>
    </w:p>
    <w:p w:rsidR="00946172" w:rsidRPr="00AC726A" w:rsidRDefault="00946172" w:rsidP="00946172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46172" w:rsidRPr="00AC726A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BD0" w:rsidRDefault="00344BD0" w:rsidP="00DB67A9">
      <w:pPr>
        <w:spacing w:after="0" w:line="240" w:lineRule="auto"/>
      </w:pPr>
      <w:r>
        <w:separator/>
      </w:r>
    </w:p>
  </w:endnote>
  <w:endnote w:type="continuationSeparator" w:id="0">
    <w:p w:rsidR="00344BD0" w:rsidRDefault="00344BD0" w:rsidP="00DB6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BD0" w:rsidRDefault="00344BD0" w:rsidP="00DB67A9">
      <w:pPr>
        <w:spacing w:after="0" w:line="240" w:lineRule="auto"/>
      </w:pPr>
      <w:r>
        <w:separator/>
      </w:r>
    </w:p>
  </w:footnote>
  <w:footnote w:type="continuationSeparator" w:id="0">
    <w:p w:rsidR="00344BD0" w:rsidRDefault="00344BD0" w:rsidP="00DB6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BD0" w:rsidRPr="005D0C15" w:rsidRDefault="00344BD0">
    <w:pPr>
      <w:pStyle w:val="a7"/>
      <w:jc w:val="right"/>
      <w:rPr>
        <w:rFonts w:ascii="Times New Roman" w:hAnsi="Times New Roman" w:cs="Times New Roman"/>
      </w:rPr>
    </w:pPr>
  </w:p>
  <w:p w:rsidR="00344BD0" w:rsidRDefault="00344BD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1656912"/>
      <w:docPartObj>
        <w:docPartGallery w:val="Page Numbers (Top of Page)"/>
        <w:docPartUnique/>
      </w:docPartObj>
    </w:sdtPr>
    <w:sdtEndPr/>
    <w:sdtContent>
      <w:p w:rsidR="00344BD0" w:rsidRDefault="00344BD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6BF" w:rsidRPr="002906BF">
          <w:rPr>
            <w:noProof/>
            <w:lang w:val="ru-RU"/>
          </w:rPr>
          <w:t>7</w:t>
        </w:r>
        <w:r>
          <w:fldChar w:fldCharType="end"/>
        </w:r>
      </w:p>
    </w:sdtContent>
  </w:sdt>
  <w:p w:rsidR="00344BD0" w:rsidRDefault="00344BD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3.8pt;height:16.9pt;visibility:visible" o:bullet="t">
        <v:imagedata r:id="rId1" o:title=""/>
      </v:shape>
    </w:pict>
  </w:numPicBullet>
  <w:abstractNum w:abstractNumId="0">
    <w:nsid w:val="08F716A7"/>
    <w:multiLevelType w:val="multilevel"/>
    <w:tmpl w:val="37F0767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0D646349"/>
    <w:multiLevelType w:val="multilevel"/>
    <w:tmpl w:val="62C8F778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124E69E6"/>
    <w:multiLevelType w:val="hybridMultilevel"/>
    <w:tmpl w:val="F8208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6699C"/>
    <w:multiLevelType w:val="hybridMultilevel"/>
    <w:tmpl w:val="CA98CCB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75A65"/>
    <w:multiLevelType w:val="hybridMultilevel"/>
    <w:tmpl w:val="2A6CD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A1A6F"/>
    <w:multiLevelType w:val="multilevel"/>
    <w:tmpl w:val="37F0767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2433687D"/>
    <w:multiLevelType w:val="hybridMultilevel"/>
    <w:tmpl w:val="5E766B3E"/>
    <w:lvl w:ilvl="0" w:tplc="89560D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6715A"/>
    <w:multiLevelType w:val="multilevel"/>
    <w:tmpl w:val="2C96DE24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0" w:hanging="2160"/>
      </w:pPr>
      <w:rPr>
        <w:rFonts w:hint="default"/>
      </w:rPr>
    </w:lvl>
  </w:abstractNum>
  <w:abstractNum w:abstractNumId="8">
    <w:nsid w:val="29891964"/>
    <w:multiLevelType w:val="hybridMultilevel"/>
    <w:tmpl w:val="AE4C0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4A36E7"/>
    <w:multiLevelType w:val="multilevel"/>
    <w:tmpl w:val="F7040C76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20" w:hanging="2160"/>
      </w:pPr>
      <w:rPr>
        <w:rFonts w:hint="default"/>
      </w:rPr>
    </w:lvl>
  </w:abstractNum>
  <w:abstractNum w:abstractNumId="10">
    <w:nsid w:val="38444598"/>
    <w:multiLevelType w:val="multilevel"/>
    <w:tmpl w:val="340E4B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hint="default"/>
      </w:rPr>
    </w:lvl>
  </w:abstractNum>
  <w:abstractNum w:abstractNumId="11">
    <w:nsid w:val="3B351382"/>
    <w:multiLevelType w:val="hybridMultilevel"/>
    <w:tmpl w:val="2FF8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92DDE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85B0CC4"/>
    <w:multiLevelType w:val="multilevel"/>
    <w:tmpl w:val="D7C40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77209C"/>
    <w:multiLevelType w:val="multilevel"/>
    <w:tmpl w:val="7B56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F617C7"/>
    <w:multiLevelType w:val="hybridMultilevel"/>
    <w:tmpl w:val="E7EE5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61F43"/>
    <w:multiLevelType w:val="multilevel"/>
    <w:tmpl w:val="B4AA8E6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7">
    <w:nsid w:val="52F0131B"/>
    <w:multiLevelType w:val="hybridMultilevel"/>
    <w:tmpl w:val="4998D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BD2879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C24262B"/>
    <w:multiLevelType w:val="multilevel"/>
    <w:tmpl w:val="0BAE74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20" w:hanging="2160"/>
      </w:pPr>
      <w:rPr>
        <w:rFonts w:hint="default"/>
      </w:rPr>
    </w:lvl>
  </w:abstractNum>
  <w:abstractNum w:abstractNumId="20">
    <w:nsid w:val="6A4D61E0"/>
    <w:multiLevelType w:val="hybridMultilevel"/>
    <w:tmpl w:val="3DA66E94"/>
    <w:lvl w:ilvl="0" w:tplc="42E6DAA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915B07"/>
    <w:multiLevelType w:val="multilevel"/>
    <w:tmpl w:val="D3BECCD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799"/>
      </w:pPr>
    </w:lvl>
    <w:lvl w:ilvl="7">
      <w:start w:val="1"/>
      <w:numFmt w:val="decimal"/>
      <w:lvlText w:val="%1.%2.%3.%4.%5.%6.%7.%8."/>
      <w:lvlJc w:val="left"/>
      <w:pPr>
        <w:ind w:left="2651" w:hanging="1799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22">
    <w:nsid w:val="70315E72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13F41FE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15A5252"/>
    <w:multiLevelType w:val="hybridMultilevel"/>
    <w:tmpl w:val="CF4AD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8B3A0B"/>
    <w:multiLevelType w:val="multilevel"/>
    <w:tmpl w:val="2C96DE24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0" w:hanging="2160"/>
      </w:pPr>
      <w:rPr>
        <w:rFonts w:hint="default"/>
      </w:rPr>
    </w:lvl>
  </w:abstractNum>
  <w:abstractNum w:abstractNumId="26">
    <w:nsid w:val="71A7711E"/>
    <w:multiLevelType w:val="hybridMultilevel"/>
    <w:tmpl w:val="2448571A"/>
    <w:lvl w:ilvl="0" w:tplc="DED4F4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EF1DCE"/>
    <w:multiLevelType w:val="hybridMultilevel"/>
    <w:tmpl w:val="23584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BF5036"/>
    <w:multiLevelType w:val="multilevel"/>
    <w:tmpl w:val="E5963BF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9">
    <w:nsid w:val="793B2930"/>
    <w:multiLevelType w:val="hybridMultilevel"/>
    <w:tmpl w:val="7CCAE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6526A6"/>
    <w:multiLevelType w:val="hybridMultilevel"/>
    <w:tmpl w:val="C94620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F0128E7"/>
    <w:multiLevelType w:val="hybridMultilevel"/>
    <w:tmpl w:val="FBF44380"/>
    <w:lvl w:ilvl="0" w:tplc="2000000F">
      <w:start w:val="1"/>
      <w:numFmt w:val="decimal"/>
      <w:lvlText w:val="%1."/>
      <w:lvlJc w:val="left"/>
      <w:pPr>
        <w:ind w:left="6173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1"/>
  </w:num>
  <w:num w:numId="3">
    <w:abstractNumId w:val="25"/>
  </w:num>
  <w:num w:numId="4">
    <w:abstractNumId w:val="23"/>
  </w:num>
  <w:num w:numId="5">
    <w:abstractNumId w:val="7"/>
  </w:num>
  <w:num w:numId="6">
    <w:abstractNumId w:val="22"/>
  </w:num>
  <w:num w:numId="7">
    <w:abstractNumId w:val="9"/>
  </w:num>
  <w:num w:numId="8">
    <w:abstractNumId w:val="19"/>
  </w:num>
  <w:num w:numId="9">
    <w:abstractNumId w:val="12"/>
  </w:num>
  <w:num w:numId="10">
    <w:abstractNumId w:val="18"/>
  </w:num>
  <w:num w:numId="11">
    <w:abstractNumId w:val="1"/>
  </w:num>
  <w:num w:numId="12">
    <w:abstractNumId w:val="28"/>
  </w:num>
  <w:num w:numId="13">
    <w:abstractNumId w:val="24"/>
  </w:num>
  <w:num w:numId="14">
    <w:abstractNumId w:val="10"/>
  </w:num>
  <w:num w:numId="15">
    <w:abstractNumId w:val="16"/>
  </w:num>
  <w:num w:numId="16">
    <w:abstractNumId w:val="27"/>
  </w:num>
  <w:num w:numId="17">
    <w:abstractNumId w:val="5"/>
  </w:num>
  <w:num w:numId="18">
    <w:abstractNumId w:val="2"/>
  </w:num>
  <w:num w:numId="19">
    <w:abstractNumId w:val="14"/>
  </w:num>
  <w:num w:numId="20">
    <w:abstractNumId w:val="13"/>
  </w:num>
  <w:num w:numId="21">
    <w:abstractNumId w:val="11"/>
  </w:num>
  <w:num w:numId="22">
    <w:abstractNumId w:val="0"/>
  </w:num>
  <w:num w:numId="23">
    <w:abstractNumId w:val="15"/>
  </w:num>
  <w:num w:numId="24">
    <w:abstractNumId w:val="20"/>
  </w:num>
  <w:num w:numId="25">
    <w:abstractNumId w:val="3"/>
  </w:num>
  <w:num w:numId="26">
    <w:abstractNumId w:val="29"/>
  </w:num>
  <w:num w:numId="27">
    <w:abstractNumId w:val="17"/>
  </w:num>
  <w:num w:numId="28">
    <w:abstractNumId w:val="8"/>
  </w:num>
  <w:num w:numId="29">
    <w:abstractNumId w:val="4"/>
  </w:num>
  <w:num w:numId="30">
    <w:abstractNumId w:val="26"/>
  </w:num>
  <w:num w:numId="31">
    <w:abstractNumId w:val="30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CD8"/>
    <w:rsid w:val="000009A7"/>
    <w:rsid w:val="00001ACC"/>
    <w:rsid w:val="00006BD1"/>
    <w:rsid w:val="0000724C"/>
    <w:rsid w:val="000105D1"/>
    <w:rsid w:val="000139D5"/>
    <w:rsid w:val="000147CE"/>
    <w:rsid w:val="000158AC"/>
    <w:rsid w:val="00016FBA"/>
    <w:rsid w:val="00020134"/>
    <w:rsid w:val="00024916"/>
    <w:rsid w:val="00024A5C"/>
    <w:rsid w:val="00030052"/>
    <w:rsid w:val="00033E30"/>
    <w:rsid w:val="00037CEF"/>
    <w:rsid w:val="0004116C"/>
    <w:rsid w:val="00042B8A"/>
    <w:rsid w:val="00044728"/>
    <w:rsid w:val="00044784"/>
    <w:rsid w:val="00051EBF"/>
    <w:rsid w:val="00057558"/>
    <w:rsid w:val="0006220A"/>
    <w:rsid w:val="00062B0F"/>
    <w:rsid w:val="000643B6"/>
    <w:rsid w:val="000671DB"/>
    <w:rsid w:val="0007002B"/>
    <w:rsid w:val="00073951"/>
    <w:rsid w:val="0007410B"/>
    <w:rsid w:val="00077FA8"/>
    <w:rsid w:val="00085174"/>
    <w:rsid w:val="00091246"/>
    <w:rsid w:val="000A113D"/>
    <w:rsid w:val="000A295B"/>
    <w:rsid w:val="000A2EF6"/>
    <w:rsid w:val="000A4498"/>
    <w:rsid w:val="000B4A20"/>
    <w:rsid w:val="000B68C1"/>
    <w:rsid w:val="000B6E65"/>
    <w:rsid w:val="000B798F"/>
    <w:rsid w:val="000C02AE"/>
    <w:rsid w:val="000C40BC"/>
    <w:rsid w:val="000D54F1"/>
    <w:rsid w:val="000D560D"/>
    <w:rsid w:val="000E44D3"/>
    <w:rsid w:val="000E6E7E"/>
    <w:rsid w:val="000E703C"/>
    <w:rsid w:val="000F16D4"/>
    <w:rsid w:val="000F1A45"/>
    <w:rsid w:val="00104765"/>
    <w:rsid w:val="0011018F"/>
    <w:rsid w:val="00114E67"/>
    <w:rsid w:val="001306A2"/>
    <w:rsid w:val="0013271F"/>
    <w:rsid w:val="00133A90"/>
    <w:rsid w:val="00135B02"/>
    <w:rsid w:val="001403BB"/>
    <w:rsid w:val="00141FB0"/>
    <w:rsid w:val="0015602D"/>
    <w:rsid w:val="00164B32"/>
    <w:rsid w:val="0016799D"/>
    <w:rsid w:val="00172341"/>
    <w:rsid w:val="00174E2C"/>
    <w:rsid w:val="00176F4E"/>
    <w:rsid w:val="00177887"/>
    <w:rsid w:val="00182838"/>
    <w:rsid w:val="001859BE"/>
    <w:rsid w:val="001945C6"/>
    <w:rsid w:val="00195939"/>
    <w:rsid w:val="001A0014"/>
    <w:rsid w:val="001A32E9"/>
    <w:rsid w:val="001A6F5D"/>
    <w:rsid w:val="001A7DE3"/>
    <w:rsid w:val="001B265D"/>
    <w:rsid w:val="001B3B4E"/>
    <w:rsid w:val="001B688A"/>
    <w:rsid w:val="001C1D79"/>
    <w:rsid w:val="001C3DEC"/>
    <w:rsid w:val="001C445A"/>
    <w:rsid w:val="001C6E43"/>
    <w:rsid w:val="001C730D"/>
    <w:rsid w:val="001D03C9"/>
    <w:rsid w:val="001D1CA4"/>
    <w:rsid w:val="001D3115"/>
    <w:rsid w:val="001E38A7"/>
    <w:rsid w:val="001E52F2"/>
    <w:rsid w:val="001E7D96"/>
    <w:rsid w:val="001F1E3F"/>
    <w:rsid w:val="001F47F8"/>
    <w:rsid w:val="001F7C7A"/>
    <w:rsid w:val="0020133F"/>
    <w:rsid w:val="002018B2"/>
    <w:rsid w:val="00201EA9"/>
    <w:rsid w:val="00205041"/>
    <w:rsid w:val="00206129"/>
    <w:rsid w:val="0020638F"/>
    <w:rsid w:val="00211FDF"/>
    <w:rsid w:val="00215F57"/>
    <w:rsid w:val="00221E75"/>
    <w:rsid w:val="00222480"/>
    <w:rsid w:val="00230C06"/>
    <w:rsid w:val="00233228"/>
    <w:rsid w:val="0023628A"/>
    <w:rsid w:val="0024110B"/>
    <w:rsid w:val="00241C46"/>
    <w:rsid w:val="002429DB"/>
    <w:rsid w:val="00243D85"/>
    <w:rsid w:val="00244DB8"/>
    <w:rsid w:val="002460D6"/>
    <w:rsid w:val="002462DF"/>
    <w:rsid w:val="002469EF"/>
    <w:rsid w:val="00251537"/>
    <w:rsid w:val="00251D59"/>
    <w:rsid w:val="00254BE8"/>
    <w:rsid w:val="002572B0"/>
    <w:rsid w:val="00263FEF"/>
    <w:rsid w:val="00270111"/>
    <w:rsid w:val="00274142"/>
    <w:rsid w:val="00274BFA"/>
    <w:rsid w:val="00275B9C"/>
    <w:rsid w:val="0027617B"/>
    <w:rsid w:val="00282C04"/>
    <w:rsid w:val="0029057B"/>
    <w:rsid w:val="002906BF"/>
    <w:rsid w:val="00291D1E"/>
    <w:rsid w:val="002923D8"/>
    <w:rsid w:val="0029757C"/>
    <w:rsid w:val="002B0F7C"/>
    <w:rsid w:val="002B2135"/>
    <w:rsid w:val="002B6363"/>
    <w:rsid w:val="002B7E10"/>
    <w:rsid w:val="002C09B9"/>
    <w:rsid w:val="002C38CD"/>
    <w:rsid w:val="002C4E27"/>
    <w:rsid w:val="002D3FBD"/>
    <w:rsid w:val="002D527D"/>
    <w:rsid w:val="002D58CF"/>
    <w:rsid w:val="002E0C60"/>
    <w:rsid w:val="002E17D4"/>
    <w:rsid w:val="002E2242"/>
    <w:rsid w:val="002E24E5"/>
    <w:rsid w:val="002E447C"/>
    <w:rsid w:val="002F1546"/>
    <w:rsid w:val="002F1876"/>
    <w:rsid w:val="002F521B"/>
    <w:rsid w:val="002F59B2"/>
    <w:rsid w:val="003012F0"/>
    <w:rsid w:val="003022FF"/>
    <w:rsid w:val="00305363"/>
    <w:rsid w:val="003058FE"/>
    <w:rsid w:val="00310B56"/>
    <w:rsid w:val="003152F8"/>
    <w:rsid w:val="00316560"/>
    <w:rsid w:val="0031659F"/>
    <w:rsid w:val="00316EB9"/>
    <w:rsid w:val="00320E4D"/>
    <w:rsid w:val="00330762"/>
    <w:rsid w:val="00330DA7"/>
    <w:rsid w:val="003335D2"/>
    <w:rsid w:val="00344BD0"/>
    <w:rsid w:val="00346019"/>
    <w:rsid w:val="00346E1F"/>
    <w:rsid w:val="00347353"/>
    <w:rsid w:val="00347F2F"/>
    <w:rsid w:val="00350403"/>
    <w:rsid w:val="0035253C"/>
    <w:rsid w:val="00352B4C"/>
    <w:rsid w:val="0036167C"/>
    <w:rsid w:val="0036228E"/>
    <w:rsid w:val="003622D2"/>
    <w:rsid w:val="00366168"/>
    <w:rsid w:val="003671D9"/>
    <w:rsid w:val="00374242"/>
    <w:rsid w:val="0037436C"/>
    <w:rsid w:val="00375FA6"/>
    <w:rsid w:val="003811F3"/>
    <w:rsid w:val="003815C3"/>
    <w:rsid w:val="00382670"/>
    <w:rsid w:val="00385C24"/>
    <w:rsid w:val="00391EF9"/>
    <w:rsid w:val="0039456A"/>
    <w:rsid w:val="00395AA6"/>
    <w:rsid w:val="00396236"/>
    <w:rsid w:val="00396482"/>
    <w:rsid w:val="00397BCD"/>
    <w:rsid w:val="003A3E7F"/>
    <w:rsid w:val="003B28DB"/>
    <w:rsid w:val="003B3036"/>
    <w:rsid w:val="003B45AE"/>
    <w:rsid w:val="003C3F03"/>
    <w:rsid w:val="003C4D2C"/>
    <w:rsid w:val="003C7B84"/>
    <w:rsid w:val="003D2DA5"/>
    <w:rsid w:val="003D325D"/>
    <w:rsid w:val="003D5D46"/>
    <w:rsid w:val="003D7008"/>
    <w:rsid w:val="003E17A1"/>
    <w:rsid w:val="003E53BE"/>
    <w:rsid w:val="003E57C9"/>
    <w:rsid w:val="003E6678"/>
    <w:rsid w:val="003F35E2"/>
    <w:rsid w:val="003F4987"/>
    <w:rsid w:val="003F5F24"/>
    <w:rsid w:val="00413549"/>
    <w:rsid w:val="00414300"/>
    <w:rsid w:val="00420A8C"/>
    <w:rsid w:val="0042531E"/>
    <w:rsid w:val="00427F47"/>
    <w:rsid w:val="00440800"/>
    <w:rsid w:val="00443E12"/>
    <w:rsid w:val="00444B26"/>
    <w:rsid w:val="004455F0"/>
    <w:rsid w:val="00446B53"/>
    <w:rsid w:val="004528DF"/>
    <w:rsid w:val="00454D91"/>
    <w:rsid w:val="004615DF"/>
    <w:rsid w:val="00462737"/>
    <w:rsid w:val="0046469D"/>
    <w:rsid w:val="004650BF"/>
    <w:rsid w:val="00466C04"/>
    <w:rsid w:val="004705BF"/>
    <w:rsid w:val="00472DE4"/>
    <w:rsid w:val="00473579"/>
    <w:rsid w:val="0048096C"/>
    <w:rsid w:val="00481F79"/>
    <w:rsid w:val="00483145"/>
    <w:rsid w:val="00483781"/>
    <w:rsid w:val="0048535F"/>
    <w:rsid w:val="004875DC"/>
    <w:rsid w:val="004914DA"/>
    <w:rsid w:val="00492AAD"/>
    <w:rsid w:val="0049466B"/>
    <w:rsid w:val="0049473D"/>
    <w:rsid w:val="004963D7"/>
    <w:rsid w:val="00497B46"/>
    <w:rsid w:val="004A1F31"/>
    <w:rsid w:val="004A471B"/>
    <w:rsid w:val="004A644C"/>
    <w:rsid w:val="004B0177"/>
    <w:rsid w:val="004B22D9"/>
    <w:rsid w:val="004B28A1"/>
    <w:rsid w:val="004B320B"/>
    <w:rsid w:val="004C068F"/>
    <w:rsid w:val="004C28E4"/>
    <w:rsid w:val="004C310A"/>
    <w:rsid w:val="004C5BA5"/>
    <w:rsid w:val="004C6726"/>
    <w:rsid w:val="004D05CD"/>
    <w:rsid w:val="004D33E1"/>
    <w:rsid w:val="004D5AAC"/>
    <w:rsid w:val="004E1DC5"/>
    <w:rsid w:val="004E3CDE"/>
    <w:rsid w:val="004E4195"/>
    <w:rsid w:val="004E462D"/>
    <w:rsid w:val="004E4F5A"/>
    <w:rsid w:val="004E5BF7"/>
    <w:rsid w:val="004E7B0E"/>
    <w:rsid w:val="004F1BCC"/>
    <w:rsid w:val="004F25D2"/>
    <w:rsid w:val="004F4DB0"/>
    <w:rsid w:val="004F52AA"/>
    <w:rsid w:val="00501424"/>
    <w:rsid w:val="00501549"/>
    <w:rsid w:val="00502713"/>
    <w:rsid w:val="005064E3"/>
    <w:rsid w:val="00506D47"/>
    <w:rsid w:val="00507256"/>
    <w:rsid w:val="00511269"/>
    <w:rsid w:val="00512DB5"/>
    <w:rsid w:val="00515D28"/>
    <w:rsid w:val="00515F68"/>
    <w:rsid w:val="005223A7"/>
    <w:rsid w:val="00526785"/>
    <w:rsid w:val="00536CF8"/>
    <w:rsid w:val="00537174"/>
    <w:rsid w:val="00537630"/>
    <w:rsid w:val="00542654"/>
    <w:rsid w:val="00550844"/>
    <w:rsid w:val="0055536A"/>
    <w:rsid w:val="00555532"/>
    <w:rsid w:val="0056336B"/>
    <w:rsid w:val="00563834"/>
    <w:rsid w:val="00564699"/>
    <w:rsid w:val="005668A1"/>
    <w:rsid w:val="005668E7"/>
    <w:rsid w:val="005703E3"/>
    <w:rsid w:val="00570936"/>
    <w:rsid w:val="00570EEE"/>
    <w:rsid w:val="00572AE8"/>
    <w:rsid w:val="00574BD9"/>
    <w:rsid w:val="005779F9"/>
    <w:rsid w:val="00577A93"/>
    <w:rsid w:val="005838CB"/>
    <w:rsid w:val="005846DD"/>
    <w:rsid w:val="00591168"/>
    <w:rsid w:val="00593092"/>
    <w:rsid w:val="00593292"/>
    <w:rsid w:val="005A1D8F"/>
    <w:rsid w:val="005A73AB"/>
    <w:rsid w:val="005B19CC"/>
    <w:rsid w:val="005B3731"/>
    <w:rsid w:val="005B6031"/>
    <w:rsid w:val="005B6CD8"/>
    <w:rsid w:val="005C0051"/>
    <w:rsid w:val="005C0572"/>
    <w:rsid w:val="005C08D2"/>
    <w:rsid w:val="005C26D3"/>
    <w:rsid w:val="005C4B53"/>
    <w:rsid w:val="005C5222"/>
    <w:rsid w:val="005C619B"/>
    <w:rsid w:val="005C75E8"/>
    <w:rsid w:val="005D0C15"/>
    <w:rsid w:val="005D2339"/>
    <w:rsid w:val="005E1CA5"/>
    <w:rsid w:val="005E7B39"/>
    <w:rsid w:val="005F329C"/>
    <w:rsid w:val="005F45C2"/>
    <w:rsid w:val="005F6F13"/>
    <w:rsid w:val="006024EE"/>
    <w:rsid w:val="00603994"/>
    <w:rsid w:val="00615B6E"/>
    <w:rsid w:val="00616433"/>
    <w:rsid w:val="00616CA7"/>
    <w:rsid w:val="00627D1A"/>
    <w:rsid w:val="006315E0"/>
    <w:rsid w:val="006357CE"/>
    <w:rsid w:val="0064005F"/>
    <w:rsid w:val="006402E8"/>
    <w:rsid w:val="00647E3B"/>
    <w:rsid w:val="00650064"/>
    <w:rsid w:val="00662FEE"/>
    <w:rsid w:val="00663157"/>
    <w:rsid w:val="00667883"/>
    <w:rsid w:val="00671677"/>
    <w:rsid w:val="00671D31"/>
    <w:rsid w:val="00674679"/>
    <w:rsid w:val="0067537B"/>
    <w:rsid w:val="00675D38"/>
    <w:rsid w:val="00676106"/>
    <w:rsid w:val="00677352"/>
    <w:rsid w:val="0068064B"/>
    <w:rsid w:val="00694C7E"/>
    <w:rsid w:val="006A1165"/>
    <w:rsid w:val="006A4F24"/>
    <w:rsid w:val="006A60BA"/>
    <w:rsid w:val="006A79A1"/>
    <w:rsid w:val="006C4ADF"/>
    <w:rsid w:val="006C4F4E"/>
    <w:rsid w:val="006C6380"/>
    <w:rsid w:val="006C7782"/>
    <w:rsid w:val="006D1A9A"/>
    <w:rsid w:val="006D3B82"/>
    <w:rsid w:val="006E0E4E"/>
    <w:rsid w:val="006E1048"/>
    <w:rsid w:val="006E11B1"/>
    <w:rsid w:val="006F2FCF"/>
    <w:rsid w:val="006F4F10"/>
    <w:rsid w:val="006F5354"/>
    <w:rsid w:val="006F6433"/>
    <w:rsid w:val="006F6B84"/>
    <w:rsid w:val="00701F00"/>
    <w:rsid w:val="00702BB7"/>
    <w:rsid w:val="00703CCA"/>
    <w:rsid w:val="007053AB"/>
    <w:rsid w:val="0070540C"/>
    <w:rsid w:val="00711326"/>
    <w:rsid w:val="00716BDE"/>
    <w:rsid w:val="00717A6C"/>
    <w:rsid w:val="00730C21"/>
    <w:rsid w:val="007327C0"/>
    <w:rsid w:val="00733704"/>
    <w:rsid w:val="00734A76"/>
    <w:rsid w:val="00735816"/>
    <w:rsid w:val="007421EA"/>
    <w:rsid w:val="00742322"/>
    <w:rsid w:val="00744652"/>
    <w:rsid w:val="00751BE9"/>
    <w:rsid w:val="00752663"/>
    <w:rsid w:val="00753F20"/>
    <w:rsid w:val="007605AC"/>
    <w:rsid w:val="00760C7D"/>
    <w:rsid w:val="007629C0"/>
    <w:rsid w:val="0076657A"/>
    <w:rsid w:val="00770CDC"/>
    <w:rsid w:val="00771611"/>
    <w:rsid w:val="00772538"/>
    <w:rsid w:val="00773A78"/>
    <w:rsid w:val="00775087"/>
    <w:rsid w:val="00775D0D"/>
    <w:rsid w:val="00776BD2"/>
    <w:rsid w:val="00776C6E"/>
    <w:rsid w:val="007805F9"/>
    <w:rsid w:val="00784491"/>
    <w:rsid w:val="0078478B"/>
    <w:rsid w:val="00786006"/>
    <w:rsid w:val="00786971"/>
    <w:rsid w:val="00790A4C"/>
    <w:rsid w:val="00793937"/>
    <w:rsid w:val="0079531E"/>
    <w:rsid w:val="0079758F"/>
    <w:rsid w:val="007A04EA"/>
    <w:rsid w:val="007A0C11"/>
    <w:rsid w:val="007A1796"/>
    <w:rsid w:val="007A4FFC"/>
    <w:rsid w:val="007A720B"/>
    <w:rsid w:val="007B060A"/>
    <w:rsid w:val="007B1969"/>
    <w:rsid w:val="007B4747"/>
    <w:rsid w:val="007B677B"/>
    <w:rsid w:val="007B682B"/>
    <w:rsid w:val="007B6D21"/>
    <w:rsid w:val="007B7E09"/>
    <w:rsid w:val="007C03B7"/>
    <w:rsid w:val="007C45FC"/>
    <w:rsid w:val="007D0471"/>
    <w:rsid w:val="007D5CCF"/>
    <w:rsid w:val="007E1F36"/>
    <w:rsid w:val="007E27A7"/>
    <w:rsid w:val="007E4BC3"/>
    <w:rsid w:val="007F3083"/>
    <w:rsid w:val="007F55CF"/>
    <w:rsid w:val="007F6805"/>
    <w:rsid w:val="00803750"/>
    <w:rsid w:val="008044E9"/>
    <w:rsid w:val="00804DCD"/>
    <w:rsid w:val="008115CB"/>
    <w:rsid w:val="008150C6"/>
    <w:rsid w:val="00816488"/>
    <w:rsid w:val="0082019B"/>
    <w:rsid w:val="008226EE"/>
    <w:rsid w:val="008234D5"/>
    <w:rsid w:val="0083506C"/>
    <w:rsid w:val="008440FE"/>
    <w:rsid w:val="00846F2A"/>
    <w:rsid w:val="0084710C"/>
    <w:rsid w:val="00850AA3"/>
    <w:rsid w:val="00852308"/>
    <w:rsid w:val="00854C27"/>
    <w:rsid w:val="00856FE2"/>
    <w:rsid w:val="00863956"/>
    <w:rsid w:val="00864425"/>
    <w:rsid w:val="008674E9"/>
    <w:rsid w:val="00867A1E"/>
    <w:rsid w:val="00867B5B"/>
    <w:rsid w:val="00867BA8"/>
    <w:rsid w:val="00867EAA"/>
    <w:rsid w:val="00872C6E"/>
    <w:rsid w:val="00873DA5"/>
    <w:rsid w:val="008740B3"/>
    <w:rsid w:val="008762C2"/>
    <w:rsid w:val="00880D8A"/>
    <w:rsid w:val="00883FEA"/>
    <w:rsid w:val="00885CAD"/>
    <w:rsid w:val="00885DB7"/>
    <w:rsid w:val="00891E38"/>
    <w:rsid w:val="00896A72"/>
    <w:rsid w:val="008B12EA"/>
    <w:rsid w:val="008B14C4"/>
    <w:rsid w:val="008B1C12"/>
    <w:rsid w:val="008B49E3"/>
    <w:rsid w:val="008B4EAE"/>
    <w:rsid w:val="008B6462"/>
    <w:rsid w:val="008C1463"/>
    <w:rsid w:val="008C20A6"/>
    <w:rsid w:val="008C35CE"/>
    <w:rsid w:val="008C46B5"/>
    <w:rsid w:val="008D38BE"/>
    <w:rsid w:val="008D3A18"/>
    <w:rsid w:val="008D556D"/>
    <w:rsid w:val="008D5F77"/>
    <w:rsid w:val="008E0161"/>
    <w:rsid w:val="008E29AA"/>
    <w:rsid w:val="008E572E"/>
    <w:rsid w:val="008E5976"/>
    <w:rsid w:val="008F540B"/>
    <w:rsid w:val="00900ECE"/>
    <w:rsid w:val="00904754"/>
    <w:rsid w:val="00906991"/>
    <w:rsid w:val="00914912"/>
    <w:rsid w:val="009149BD"/>
    <w:rsid w:val="00915A69"/>
    <w:rsid w:val="009203BA"/>
    <w:rsid w:val="0092073F"/>
    <w:rsid w:val="00920AE9"/>
    <w:rsid w:val="00931295"/>
    <w:rsid w:val="0094355A"/>
    <w:rsid w:val="00945B98"/>
    <w:rsid w:val="00946172"/>
    <w:rsid w:val="00954906"/>
    <w:rsid w:val="00970A84"/>
    <w:rsid w:val="00972ADD"/>
    <w:rsid w:val="00973EBB"/>
    <w:rsid w:val="00974877"/>
    <w:rsid w:val="00977E36"/>
    <w:rsid w:val="009856B4"/>
    <w:rsid w:val="00986B0A"/>
    <w:rsid w:val="0099370D"/>
    <w:rsid w:val="00995AA4"/>
    <w:rsid w:val="00997097"/>
    <w:rsid w:val="00997160"/>
    <w:rsid w:val="00997933"/>
    <w:rsid w:val="009A3176"/>
    <w:rsid w:val="009A47E0"/>
    <w:rsid w:val="009A6118"/>
    <w:rsid w:val="009B0A2E"/>
    <w:rsid w:val="009B27BF"/>
    <w:rsid w:val="009B286F"/>
    <w:rsid w:val="009B7178"/>
    <w:rsid w:val="009B72D6"/>
    <w:rsid w:val="009B7FA9"/>
    <w:rsid w:val="009C10E9"/>
    <w:rsid w:val="009C1B79"/>
    <w:rsid w:val="009C6AEE"/>
    <w:rsid w:val="009C70AD"/>
    <w:rsid w:val="009D0ED3"/>
    <w:rsid w:val="009D218E"/>
    <w:rsid w:val="009D3C67"/>
    <w:rsid w:val="009D6A93"/>
    <w:rsid w:val="009E19D1"/>
    <w:rsid w:val="009E4E9D"/>
    <w:rsid w:val="009E4FC8"/>
    <w:rsid w:val="009E702B"/>
    <w:rsid w:val="009F2B97"/>
    <w:rsid w:val="009F3D66"/>
    <w:rsid w:val="00A00530"/>
    <w:rsid w:val="00A0310A"/>
    <w:rsid w:val="00A054C4"/>
    <w:rsid w:val="00A06D85"/>
    <w:rsid w:val="00A12825"/>
    <w:rsid w:val="00A147B0"/>
    <w:rsid w:val="00A153A3"/>
    <w:rsid w:val="00A163AE"/>
    <w:rsid w:val="00A20013"/>
    <w:rsid w:val="00A21ABA"/>
    <w:rsid w:val="00A231CF"/>
    <w:rsid w:val="00A23D58"/>
    <w:rsid w:val="00A26FE8"/>
    <w:rsid w:val="00A3380D"/>
    <w:rsid w:val="00A35527"/>
    <w:rsid w:val="00A37FC6"/>
    <w:rsid w:val="00A410BA"/>
    <w:rsid w:val="00A425C6"/>
    <w:rsid w:val="00A47D65"/>
    <w:rsid w:val="00A47FAA"/>
    <w:rsid w:val="00A50E4E"/>
    <w:rsid w:val="00A615A6"/>
    <w:rsid w:val="00A6223D"/>
    <w:rsid w:val="00A6330C"/>
    <w:rsid w:val="00A64205"/>
    <w:rsid w:val="00A6459C"/>
    <w:rsid w:val="00A66467"/>
    <w:rsid w:val="00A714DD"/>
    <w:rsid w:val="00A72F38"/>
    <w:rsid w:val="00A76C96"/>
    <w:rsid w:val="00A80DE0"/>
    <w:rsid w:val="00A82DCB"/>
    <w:rsid w:val="00A8474D"/>
    <w:rsid w:val="00A904B8"/>
    <w:rsid w:val="00A95553"/>
    <w:rsid w:val="00A95D16"/>
    <w:rsid w:val="00A97FDA"/>
    <w:rsid w:val="00AA08CE"/>
    <w:rsid w:val="00AA242C"/>
    <w:rsid w:val="00AA2EF0"/>
    <w:rsid w:val="00AA5544"/>
    <w:rsid w:val="00AA770B"/>
    <w:rsid w:val="00AB423E"/>
    <w:rsid w:val="00AB4633"/>
    <w:rsid w:val="00AC2DF2"/>
    <w:rsid w:val="00AC726A"/>
    <w:rsid w:val="00AC7B8C"/>
    <w:rsid w:val="00AD09D7"/>
    <w:rsid w:val="00AD0A2E"/>
    <w:rsid w:val="00AD6F57"/>
    <w:rsid w:val="00AE1D49"/>
    <w:rsid w:val="00AE21A4"/>
    <w:rsid w:val="00AE7C34"/>
    <w:rsid w:val="00AF384E"/>
    <w:rsid w:val="00AF46EB"/>
    <w:rsid w:val="00AF539D"/>
    <w:rsid w:val="00B000CC"/>
    <w:rsid w:val="00B0177C"/>
    <w:rsid w:val="00B04CF3"/>
    <w:rsid w:val="00B079F5"/>
    <w:rsid w:val="00B1062A"/>
    <w:rsid w:val="00B1422B"/>
    <w:rsid w:val="00B1440D"/>
    <w:rsid w:val="00B14A00"/>
    <w:rsid w:val="00B159BC"/>
    <w:rsid w:val="00B17433"/>
    <w:rsid w:val="00B22110"/>
    <w:rsid w:val="00B2646E"/>
    <w:rsid w:val="00B271D1"/>
    <w:rsid w:val="00B34BC3"/>
    <w:rsid w:val="00B37BD8"/>
    <w:rsid w:val="00B40A02"/>
    <w:rsid w:val="00B47248"/>
    <w:rsid w:val="00B50426"/>
    <w:rsid w:val="00B5056F"/>
    <w:rsid w:val="00B50BC7"/>
    <w:rsid w:val="00B51E99"/>
    <w:rsid w:val="00B52247"/>
    <w:rsid w:val="00B5373A"/>
    <w:rsid w:val="00B56789"/>
    <w:rsid w:val="00B575A8"/>
    <w:rsid w:val="00B6423A"/>
    <w:rsid w:val="00B64C4E"/>
    <w:rsid w:val="00B8018C"/>
    <w:rsid w:val="00B813F6"/>
    <w:rsid w:val="00B81D8B"/>
    <w:rsid w:val="00B81EC0"/>
    <w:rsid w:val="00B8263C"/>
    <w:rsid w:val="00B87CBB"/>
    <w:rsid w:val="00B90206"/>
    <w:rsid w:val="00B93D95"/>
    <w:rsid w:val="00B97928"/>
    <w:rsid w:val="00BA0613"/>
    <w:rsid w:val="00BA1CF1"/>
    <w:rsid w:val="00BA29DE"/>
    <w:rsid w:val="00BA3F3A"/>
    <w:rsid w:val="00BB42E8"/>
    <w:rsid w:val="00BC1D48"/>
    <w:rsid w:val="00BC2485"/>
    <w:rsid w:val="00BC59F6"/>
    <w:rsid w:val="00BC681F"/>
    <w:rsid w:val="00BD55A3"/>
    <w:rsid w:val="00BE1077"/>
    <w:rsid w:val="00BE232C"/>
    <w:rsid w:val="00BE3936"/>
    <w:rsid w:val="00BE4762"/>
    <w:rsid w:val="00BE52EB"/>
    <w:rsid w:val="00BE6C1B"/>
    <w:rsid w:val="00BE7644"/>
    <w:rsid w:val="00BF181D"/>
    <w:rsid w:val="00BF1E22"/>
    <w:rsid w:val="00BF67BA"/>
    <w:rsid w:val="00BF7525"/>
    <w:rsid w:val="00C00E67"/>
    <w:rsid w:val="00C04632"/>
    <w:rsid w:val="00C04EFB"/>
    <w:rsid w:val="00C06864"/>
    <w:rsid w:val="00C117C4"/>
    <w:rsid w:val="00C163A0"/>
    <w:rsid w:val="00C1684D"/>
    <w:rsid w:val="00C17C00"/>
    <w:rsid w:val="00C220A3"/>
    <w:rsid w:val="00C2277C"/>
    <w:rsid w:val="00C27DC0"/>
    <w:rsid w:val="00C30B08"/>
    <w:rsid w:val="00C30F14"/>
    <w:rsid w:val="00C32B3A"/>
    <w:rsid w:val="00C34CF9"/>
    <w:rsid w:val="00C34DB2"/>
    <w:rsid w:val="00C400B3"/>
    <w:rsid w:val="00C44925"/>
    <w:rsid w:val="00C4674C"/>
    <w:rsid w:val="00C46CFE"/>
    <w:rsid w:val="00C46FFD"/>
    <w:rsid w:val="00C51D7E"/>
    <w:rsid w:val="00C574F9"/>
    <w:rsid w:val="00C62055"/>
    <w:rsid w:val="00C6508F"/>
    <w:rsid w:val="00C6562B"/>
    <w:rsid w:val="00C665B6"/>
    <w:rsid w:val="00C67494"/>
    <w:rsid w:val="00C73993"/>
    <w:rsid w:val="00C80DE7"/>
    <w:rsid w:val="00C81817"/>
    <w:rsid w:val="00C83451"/>
    <w:rsid w:val="00C85E79"/>
    <w:rsid w:val="00CA256F"/>
    <w:rsid w:val="00CA2EE9"/>
    <w:rsid w:val="00CA2F19"/>
    <w:rsid w:val="00CA3947"/>
    <w:rsid w:val="00CA450A"/>
    <w:rsid w:val="00CA601A"/>
    <w:rsid w:val="00CB143E"/>
    <w:rsid w:val="00CB1724"/>
    <w:rsid w:val="00CB2B48"/>
    <w:rsid w:val="00CB6551"/>
    <w:rsid w:val="00CB6EC0"/>
    <w:rsid w:val="00CC0949"/>
    <w:rsid w:val="00CC20CB"/>
    <w:rsid w:val="00CC7613"/>
    <w:rsid w:val="00CD1A96"/>
    <w:rsid w:val="00CD3806"/>
    <w:rsid w:val="00CE19C5"/>
    <w:rsid w:val="00CE3487"/>
    <w:rsid w:val="00CF216D"/>
    <w:rsid w:val="00CF2E76"/>
    <w:rsid w:val="00CF624D"/>
    <w:rsid w:val="00D01194"/>
    <w:rsid w:val="00D049C4"/>
    <w:rsid w:val="00D1300F"/>
    <w:rsid w:val="00D14733"/>
    <w:rsid w:val="00D14D06"/>
    <w:rsid w:val="00D15302"/>
    <w:rsid w:val="00D16E9C"/>
    <w:rsid w:val="00D23812"/>
    <w:rsid w:val="00D24F9F"/>
    <w:rsid w:val="00D27165"/>
    <w:rsid w:val="00D30342"/>
    <w:rsid w:val="00D33251"/>
    <w:rsid w:val="00D35817"/>
    <w:rsid w:val="00D42B7C"/>
    <w:rsid w:val="00D46160"/>
    <w:rsid w:val="00D47672"/>
    <w:rsid w:val="00D51D2B"/>
    <w:rsid w:val="00D555B8"/>
    <w:rsid w:val="00D72CE4"/>
    <w:rsid w:val="00D7585C"/>
    <w:rsid w:val="00D768EA"/>
    <w:rsid w:val="00D77A79"/>
    <w:rsid w:val="00D96904"/>
    <w:rsid w:val="00DA6E27"/>
    <w:rsid w:val="00DA796A"/>
    <w:rsid w:val="00DB4F97"/>
    <w:rsid w:val="00DB6094"/>
    <w:rsid w:val="00DB67A9"/>
    <w:rsid w:val="00DB6C0E"/>
    <w:rsid w:val="00DB7FE5"/>
    <w:rsid w:val="00DC2190"/>
    <w:rsid w:val="00DC2EAF"/>
    <w:rsid w:val="00DC3429"/>
    <w:rsid w:val="00DC3921"/>
    <w:rsid w:val="00DC5B63"/>
    <w:rsid w:val="00DD41FD"/>
    <w:rsid w:val="00DE0E8E"/>
    <w:rsid w:val="00DE293E"/>
    <w:rsid w:val="00DE3138"/>
    <w:rsid w:val="00DE3458"/>
    <w:rsid w:val="00DE6C76"/>
    <w:rsid w:val="00DE727A"/>
    <w:rsid w:val="00DF0C33"/>
    <w:rsid w:val="00DF10F6"/>
    <w:rsid w:val="00DF2C46"/>
    <w:rsid w:val="00DF3F6A"/>
    <w:rsid w:val="00E039A0"/>
    <w:rsid w:val="00E03E9B"/>
    <w:rsid w:val="00E07EB2"/>
    <w:rsid w:val="00E11FCE"/>
    <w:rsid w:val="00E15B01"/>
    <w:rsid w:val="00E17075"/>
    <w:rsid w:val="00E24E4F"/>
    <w:rsid w:val="00E25A02"/>
    <w:rsid w:val="00E26309"/>
    <w:rsid w:val="00E27A6B"/>
    <w:rsid w:val="00E27CC2"/>
    <w:rsid w:val="00E31AF4"/>
    <w:rsid w:val="00E34954"/>
    <w:rsid w:val="00E51BE3"/>
    <w:rsid w:val="00E54199"/>
    <w:rsid w:val="00E563C9"/>
    <w:rsid w:val="00E63CF4"/>
    <w:rsid w:val="00E6743D"/>
    <w:rsid w:val="00E72CCD"/>
    <w:rsid w:val="00E73A07"/>
    <w:rsid w:val="00E77115"/>
    <w:rsid w:val="00E83062"/>
    <w:rsid w:val="00E848F8"/>
    <w:rsid w:val="00E84EDE"/>
    <w:rsid w:val="00E85E64"/>
    <w:rsid w:val="00E86892"/>
    <w:rsid w:val="00E92775"/>
    <w:rsid w:val="00E96EE4"/>
    <w:rsid w:val="00EA1772"/>
    <w:rsid w:val="00EA5C3B"/>
    <w:rsid w:val="00EB1E05"/>
    <w:rsid w:val="00EB1FF8"/>
    <w:rsid w:val="00EB2589"/>
    <w:rsid w:val="00EB2A74"/>
    <w:rsid w:val="00EB2CDB"/>
    <w:rsid w:val="00EB46CB"/>
    <w:rsid w:val="00EC3879"/>
    <w:rsid w:val="00EC715D"/>
    <w:rsid w:val="00ED0DF7"/>
    <w:rsid w:val="00ED2DA2"/>
    <w:rsid w:val="00ED46DD"/>
    <w:rsid w:val="00ED5FC6"/>
    <w:rsid w:val="00ED76E9"/>
    <w:rsid w:val="00EE2258"/>
    <w:rsid w:val="00EE30F0"/>
    <w:rsid w:val="00EE4F5C"/>
    <w:rsid w:val="00EF5662"/>
    <w:rsid w:val="00F035EA"/>
    <w:rsid w:val="00F0640B"/>
    <w:rsid w:val="00F12559"/>
    <w:rsid w:val="00F14BF8"/>
    <w:rsid w:val="00F17EB8"/>
    <w:rsid w:val="00F2031F"/>
    <w:rsid w:val="00F2614A"/>
    <w:rsid w:val="00F33A41"/>
    <w:rsid w:val="00F34615"/>
    <w:rsid w:val="00F40B5E"/>
    <w:rsid w:val="00F4247C"/>
    <w:rsid w:val="00F46576"/>
    <w:rsid w:val="00F47778"/>
    <w:rsid w:val="00F532CC"/>
    <w:rsid w:val="00F612AC"/>
    <w:rsid w:val="00F7731B"/>
    <w:rsid w:val="00F82082"/>
    <w:rsid w:val="00F840AB"/>
    <w:rsid w:val="00F86A22"/>
    <w:rsid w:val="00F92EED"/>
    <w:rsid w:val="00F93175"/>
    <w:rsid w:val="00F955A3"/>
    <w:rsid w:val="00FA15A7"/>
    <w:rsid w:val="00FA16B9"/>
    <w:rsid w:val="00FA235D"/>
    <w:rsid w:val="00FA3DCC"/>
    <w:rsid w:val="00FA6608"/>
    <w:rsid w:val="00FA6691"/>
    <w:rsid w:val="00FA7197"/>
    <w:rsid w:val="00FA7892"/>
    <w:rsid w:val="00FB3616"/>
    <w:rsid w:val="00FB5F46"/>
    <w:rsid w:val="00FC15BF"/>
    <w:rsid w:val="00FC1E9D"/>
    <w:rsid w:val="00FC45FF"/>
    <w:rsid w:val="00FD01CC"/>
    <w:rsid w:val="00FD1310"/>
    <w:rsid w:val="00FD234D"/>
    <w:rsid w:val="00FD4613"/>
    <w:rsid w:val="00FD735B"/>
    <w:rsid w:val="00FE1375"/>
    <w:rsid w:val="00FE2E0D"/>
    <w:rsid w:val="00FE4B4D"/>
    <w:rsid w:val="00FF4548"/>
    <w:rsid w:val="00FF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F6A"/>
    <w:rPr>
      <w:lang w:val="uk-UA"/>
    </w:rPr>
  </w:style>
  <w:style w:type="paragraph" w:styleId="1">
    <w:name w:val="heading 1"/>
    <w:basedOn w:val="a"/>
    <w:next w:val="a"/>
    <w:link w:val="10"/>
    <w:rsid w:val="00F955A3"/>
    <w:pPr>
      <w:keepNext/>
      <w:keepLines/>
      <w:spacing w:before="480" w:after="0" w:line="360" w:lineRule="auto"/>
      <w:jc w:val="both"/>
      <w:outlineLvl w:val="0"/>
    </w:pPr>
    <w:rPr>
      <w:rFonts w:ascii="Calibri" w:eastAsia="Calibri" w:hAnsi="Calibri" w:cs="Calibri"/>
      <w:b/>
      <w:color w:val="2F5496"/>
      <w:sz w:val="28"/>
      <w:szCs w:val="28"/>
    </w:rPr>
  </w:style>
  <w:style w:type="paragraph" w:styleId="2">
    <w:name w:val="heading 2"/>
    <w:basedOn w:val="a"/>
    <w:next w:val="a"/>
    <w:link w:val="20"/>
    <w:rsid w:val="00F955A3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38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55A3"/>
    <w:rPr>
      <w:rFonts w:ascii="Calibri" w:eastAsia="Calibri" w:hAnsi="Calibri" w:cs="Calibri"/>
      <w:b/>
      <w:color w:val="2F5496"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rsid w:val="00F955A3"/>
    <w:rPr>
      <w:rFonts w:ascii="Calibri" w:eastAsia="Calibri" w:hAnsi="Calibri" w:cs="Calibri"/>
      <w:b/>
      <w:color w:val="4472C4"/>
      <w:sz w:val="26"/>
      <w:szCs w:val="26"/>
      <w:lang w:val="uk-UA"/>
    </w:rPr>
  </w:style>
  <w:style w:type="character" w:styleId="a3">
    <w:name w:val="Hyperlink"/>
    <w:basedOn w:val="a0"/>
    <w:uiPriority w:val="99"/>
    <w:unhideWhenUsed/>
    <w:rsid w:val="005B6CD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B12EA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F06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D1530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A82DCB"/>
    <w:pPr>
      <w:tabs>
        <w:tab w:val="right" w:leader="dot" w:pos="9345"/>
      </w:tabs>
      <w:spacing w:after="100" w:line="360" w:lineRule="auto"/>
      <w:jc w:val="both"/>
    </w:pPr>
  </w:style>
  <w:style w:type="table" w:customStyle="1" w:styleId="100">
    <w:name w:val="10"/>
    <w:basedOn w:val="a1"/>
    <w:rsid w:val="00D15302"/>
    <w:pPr>
      <w:spacing w:after="0" w:line="240" w:lineRule="auto"/>
    </w:pPr>
    <w:rPr>
      <w:rFonts w:ascii="Calibri" w:eastAsia="Calibri" w:hAnsi="Calibri" w:cs="Calibri"/>
      <w:lang w:val="uk-UA"/>
    </w:rPr>
    <w:tblPr>
      <w:tblStyleRowBandSize w:val="1"/>
      <w:tblStyleColBandSize w:val="1"/>
      <w:tblInd w:w="0" w:type="nil"/>
    </w:tblPr>
  </w:style>
  <w:style w:type="table" w:customStyle="1" w:styleId="12">
    <w:name w:val="12"/>
    <w:basedOn w:val="a1"/>
    <w:rsid w:val="00D42B7C"/>
    <w:pPr>
      <w:spacing w:after="0" w:line="240" w:lineRule="auto"/>
    </w:pPr>
    <w:rPr>
      <w:rFonts w:ascii="Calibri" w:eastAsia="Calibri" w:hAnsi="Calibri" w:cs="Calibri"/>
      <w:lang w:val="uk-UA"/>
    </w:rPr>
    <w:tblPr>
      <w:tblStyleRowBandSize w:val="1"/>
      <w:tblStyleColBandSize w:val="1"/>
      <w:tblInd w:w="0" w:type="nil"/>
    </w:tblPr>
  </w:style>
  <w:style w:type="table" w:customStyle="1" w:styleId="110">
    <w:name w:val="11"/>
    <w:basedOn w:val="a1"/>
    <w:rsid w:val="00D42B7C"/>
    <w:pPr>
      <w:spacing w:after="0" w:line="240" w:lineRule="auto"/>
    </w:pPr>
    <w:rPr>
      <w:rFonts w:ascii="Calibri" w:eastAsia="Calibri" w:hAnsi="Calibri" w:cs="Calibri"/>
      <w:lang w:val="uk-UA"/>
    </w:rPr>
    <w:tblPr>
      <w:tblStyleRowBandSize w:val="1"/>
      <w:tblStyleColBandSize w:val="1"/>
      <w:tblInd w:w="0" w:type="nil"/>
    </w:tblPr>
  </w:style>
  <w:style w:type="table" w:customStyle="1" w:styleId="9">
    <w:name w:val="9"/>
    <w:basedOn w:val="a1"/>
    <w:rsid w:val="00D42B7C"/>
    <w:pPr>
      <w:spacing w:after="0" w:line="240" w:lineRule="auto"/>
    </w:pPr>
    <w:rPr>
      <w:rFonts w:ascii="Calibri" w:eastAsia="Calibri" w:hAnsi="Calibri" w:cs="Calibri"/>
      <w:lang w:val="uk-UA"/>
    </w:rPr>
    <w:tblPr>
      <w:tblStyleRowBandSize w:val="1"/>
      <w:tblStyleColBandSize w:val="1"/>
      <w:tblInd w:w="0" w:type="nil"/>
    </w:tblPr>
  </w:style>
  <w:style w:type="table" w:customStyle="1" w:styleId="8">
    <w:name w:val="8"/>
    <w:basedOn w:val="a1"/>
    <w:rsid w:val="00D42B7C"/>
    <w:pPr>
      <w:spacing w:after="0" w:line="240" w:lineRule="auto"/>
    </w:pPr>
    <w:rPr>
      <w:rFonts w:ascii="Calibri" w:eastAsia="Calibri" w:hAnsi="Calibri" w:cs="Calibri"/>
      <w:lang w:val="uk-UA"/>
    </w:rPr>
    <w:tblPr>
      <w:tblStyleRowBandSize w:val="1"/>
      <w:tblStyleColBandSize w:val="1"/>
      <w:tblInd w:w="0" w:type="nil"/>
    </w:tblPr>
  </w:style>
  <w:style w:type="paragraph" w:styleId="a6">
    <w:name w:val="caption"/>
    <w:basedOn w:val="a"/>
    <w:next w:val="a"/>
    <w:uiPriority w:val="35"/>
    <w:unhideWhenUsed/>
    <w:qFormat/>
    <w:rsid w:val="0079758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B6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67A9"/>
  </w:style>
  <w:style w:type="paragraph" w:styleId="a9">
    <w:name w:val="footer"/>
    <w:basedOn w:val="a"/>
    <w:link w:val="aa"/>
    <w:uiPriority w:val="99"/>
    <w:unhideWhenUsed/>
    <w:rsid w:val="00DB6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67A9"/>
  </w:style>
  <w:style w:type="paragraph" w:styleId="ab">
    <w:name w:val="Balloon Text"/>
    <w:basedOn w:val="a"/>
    <w:link w:val="ac"/>
    <w:uiPriority w:val="99"/>
    <w:semiHidden/>
    <w:unhideWhenUsed/>
    <w:rsid w:val="00AB4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4633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ED2DA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D2DA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D2DA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D2DA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D2DA2"/>
    <w:rPr>
      <w:b/>
      <w:bCs/>
      <w:sz w:val="20"/>
      <w:szCs w:val="20"/>
    </w:rPr>
  </w:style>
  <w:style w:type="character" w:customStyle="1" w:styleId="citation">
    <w:name w:val="citation"/>
    <w:basedOn w:val="a0"/>
    <w:rsid w:val="00A00530"/>
  </w:style>
  <w:style w:type="character" w:styleId="af2">
    <w:name w:val="Strong"/>
    <w:basedOn w:val="a0"/>
    <w:uiPriority w:val="22"/>
    <w:qFormat/>
    <w:rsid w:val="00A00530"/>
    <w:rPr>
      <w:b/>
      <w:bCs/>
    </w:rPr>
  </w:style>
  <w:style w:type="paragraph" w:styleId="af3">
    <w:name w:val="Body Text Indent"/>
    <w:basedOn w:val="a"/>
    <w:link w:val="af4"/>
    <w:rsid w:val="00A0053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A0053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5">
    <w:name w:val="Emphasis"/>
    <w:basedOn w:val="a0"/>
    <w:uiPriority w:val="20"/>
    <w:qFormat/>
    <w:rsid w:val="00BF67BA"/>
    <w:rPr>
      <w:i/>
      <w:iCs/>
    </w:rPr>
  </w:style>
  <w:style w:type="paragraph" w:customStyle="1" w:styleId="sm">
    <w:name w:val="sm"/>
    <w:basedOn w:val="a"/>
    <w:rsid w:val="00BF6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BF67BA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styleId="af6">
    <w:name w:val="Normal (Web)"/>
    <w:aliases w:val="Обычный (Web)"/>
    <w:basedOn w:val="a"/>
    <w:uiPriority w:val="99"/>
    <w:unhideWhenUsed/>
    <w:rsid w:val="007A4F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7">
    <w:name w:val="TOC Heading"/>
    <w:basedOn w:val="1"/>
    <w:next w:val="a"/>
    <w:uiPriority w:val="39"/>
    <w:semiHidden/>
    <w:unhideWhenUsed/>
    <w:qFormat/>
    <w:rsid w:val="00CB2B48"/>
    <w:pPr>
      <w:spacing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C387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owrap">
    <w:name w:val="nowrap"/>
    <w:basedOn w:val="a0"/>
    <w:rsid w:val="00EC3879"/>
  </w:style>
  <w:style w:type="character" w:customStyle="1" w:styleId="disabledresolveddrug">
    <w:name w:val="disabledresolveddrug"/>
    <w:basedOn w:val="a0"/>
    <w:rsid w:val="00EC3879"/>
  </w:style>
  <w:style w:type="paragraph" w:customStyle="1" w:styleId="rvps2">
    <w:name w:val="rvps2"/>
    <w:basedOn w:val="a"/>
    <w:rsid w:val="00E73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E73A07"/>
  </w:style>
  <w:style w:type="paragraph" w:customStyle="1" w:styleId="rvps4">
    <w:name w:val="rvps4"/>
    <w:basedOn w:val="a"/>
    <w:rsid w:val="00AE2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AE2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AE21A4"/>
  </w:style>
  <w:style w:type="character" w:customStyle="1" w:styleId="rvts23">
    <w:name w:val="rvts23"/>
    <w:basedOn w:val="a0"/>
    <w:rsid w:val="00AE21A4"/>
  </w:style>
  <w:style w:type="paragraph" w:customStyle="1" w:styleId="rvps7">
    <w:name w:val="rvps7"/>
    <w:basedOn w:val="a"/>
    <w:rsid w:val="00AE2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">
    <w:name w:val="rvps6"/>
    <w:basedOn w:val="a"/>
    <w:rsid w:val="00AE2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BE232C"/>
    <w:pPr>
      <w:spacing w:after="100"/>
      <w:ind w:left="440"/>
    </w:pPr>
  </w:style>
  <w:style w:type="character" w:customStyle="1" w:styleId="articlepages">
    <w:name w:val="article_pages"/>
    <w:basedOn w:val="a0"/>
    <w:rsid w:val="00EB2589"/>
  </w:style>
  <w:style w:type="character" w:customStyle="1" w:styleId="page">
    <w:name w:val="page"/>
    <w:basedOn w:val="a0"/>
    <w:rsid w:val="0049473D"/>
  </w:style>
  <w:style w:type="paragraph" w:styleId="af8">
    <w:name w:val="footnote text"/>
    <w:basedOn w:val="a"/>
    <w:link w:val="af9"/>
    <w:uiPriority w:val="99"/>
    <w:semiHidden/>
    <w:unhideWhenUsed/>
    <w:rsid w:val="00954906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954906"/>
    <w:rPr>
      <w:sz w:val="20"/>
      <w:szCs w:val="20"/>
      <w:lang w:val="uk-UA"/>
    </w:rPr>
  </w:style>
  <w:style w:type="character" w:styleId="afa">
    <w:name w:val="footnote reference"/>
    <w:basedOn w:val="a0"/>
    <w:uiPriority w:val="99"/>
    <w:semiHidden/>
    <w:unhideWhenUsed/>
    <w:rsid w:val="009549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F6A"/>
    <w:rPr>
      <w:lang w:val="uk-UA"/>
    </w:rPr>
  </w:style>
  <w:style w:type="paragraph" w:styleId="1">
    <w:name w:val="heading 1"/>
    <w:basedOn w:val="a"/>
    <w:next w:val="a"/>
    <w:link w:val="10"/>
    <w:rsid w:val="00F955A3"/>
    <w:pPr>
      <w:keepNext/>
      <w:keepLines/>
      <w:spacing w:before="480" w:after="0" w:line="360" w:lineRule="auto"/>
      <w:jc w:val="both"/>
      <w:outlineLvl w:val="0"/>
    </w:pPr>
    <w:rPr>
      <w:rFonts w:ascii="Calibri" w:eastAsia="Calibri" w:hAnsi="Calibri" w:cs="Calibri"/>
      <w:b/>
      <w:color w:val="2F5496"/>
      <w:sz w:val="28"/>
      <w:szCs w:val="28"/>
    </w:rPr>
  </w:style>
  <w:style w:type="paragraph" w:styleId="2">
    <w:name w:val="heading 2"/>
    <w:basedOn w:val="a"/>
    <w:next w:val="a"/>
    <w:link w:val="20"/>
    <w:rsid w:val="00F955A3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38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55A3"/>
    <w:rPr>
      <w:rFonts w:ascii="Calibri" w:eastAsia="Calibri" w:hAnsi="Calibri" w:cs="Calibri"/>
      <w:b/>
      <w:color w:val="2F5496"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rsid w:val="00F955A3"/>
    <w:rPr>
      <w:rFonts w:ascii="Calibri" w:eastAsia="Calibri" w:hAnsi="Calibri" w:cs="Calibri"/>
      <w:b/>
      <w:color w:val="4472C4"/>
      <w:sz w:val="26"/>
      <w:szCs w:val="26"/>
      <w:lang w:val="uk-UA"/>
    </w:rPr>
  </w:style>
  <w:style w:type="character" w:styleId="a3">
    <w:name w:val="Hyperlink"/>
    <w:basedOn w:val="a0"/>
    <w:uiPriority w:val="99"/>
    <w:unhideWhenUsed/>
    <w:rsid w:val="005B6CD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B12EA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F06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D1530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A82DCB"/>
    <w:pPr>
      <w:tabs>
        <w:tab w:val="right" w:leader="dot" w:pos="9345"/>
      </w:tabs>
      <w:spacing w:after="100" w:line="360" w:lineRule="auto"/>
      <w:jc w:val="both"/>
    </w:pPr>
  </w:style>
  <w:style w:type="table" w:customStyle="1" w:styleId="100">
    <w:name w:val="10"/>
    <w:basedOn w:val="a1"/>
    <w:rsid w:val="00D15302"/>
    <w:pPr>
      <w:spacing w:after="0" w:line="240" w:lineRule="auto"/>
    </w:pPr>
    <w:rPr>
      <w:rFonts w:ascii="Calibri" w:eastAsia="Calibri" w:hAnsi="Calibri" w:cs="Calibri"/>
      <w:lang w:val="uk-UA"/>
    </w:rPr>
    <w:tblPr>
      <w:tblStyleRowBandSize w:val="1"/>
      <w:tblStyleColBandSize w:val="1"/>
      <w:tblInd w:w="0" w:type="nil"/>
    </w:tblPr>
  </w:style>
  <w:style w:type="table" w:customStyle="1" w:styleId="12">
    <w:name w:val="12"/>
    <w:basedOn w:val="a1"/>
    <w:rsid w:val="00D42B7C"/>
    <w:pPr>
      <w:spacing w:after="0" w:line="240" w:lineRule="auto"/>
    </w:pPr>
    <w:rPr>
      <w:rFonts w:ascii="Calibri" w:eastAsia="Calibri" w:hAnsi="Calibri" w:cs="Calibri"/>
      <w:lang w:val="uk-UA"/>
    </w:rPr>
    <w:tblPr>
      <w:tblStyleRowBandSize w:val="1"/>
      <w:tblStyleColBandSize w:val="1"/>
      <w:tblInd w:w="0" w:type="nil"/>
    </w:tblPr>
  </w:style>
  <w:style w:type="table" w:customStyle="1" w:styleId="110">
    <w:name w:val="11"/>
    <w:basedOn w:val="a1"/>
    <w:rsid w:val="00D42B7C"/>
    <w:pPr>
      <w:spacing w:after="0" w:line="240" w:lineRule="auto"/>
    </w:pPr>
    <w:rPr>
      <w:rFonts w:ascii="Calibri" w:eastAsia="Calibri" w:hAnsi="Calibri" w:cs="Calibri"/>
      <w:lang w:val="uk-UA"/>
    </w:rPr>
    <w:tblPr>
      <w:tblStyleRowBandSize w:val="1"/>
      <w:tblStyleColBandSize w:val="1"/>
      <w:tblInd w:w="0" w:type="nil"/>
    </w:tblPr>
  </w:style>
  <w:style w:type="table" w:customStyle="1" w:styleId="9">
    <w:name w:val="9"/>
    <w:basedOn w:val="a1"/>
    <w:rsid w:val="00D42B7C"/>
    <w:pPr>
      <w:spacing w:after="0" w:line="240" w:lineRule="auto"/>
    </w:pPr>
    <w:rPr>
      <w:rFonts w:ascii="Calibri" w:eastAsia="Calibri" w:hAnsi="Calibri" w:cs="Calibri"/>
      <w:lang w:val="uk-UA"/>
    </w:rPr>
    <w:tblPr>
      <w:tblStyleRowBandSize w:val="1"/>
      <w:tblStyleColBandSize w:val="1"/>
      <w:tblInd w:w="0" w:type="nil"/>
    </w:tblPr>
  </w:style>
  <w:style w:type="table" w:customStyle="1" w:styleId="8">
    <w:name w:val="8"/>
    <w:basedOn w:val="a1"/>
    <w:rsid w:val="00D42B7C"/>
    <w:pPr>
      <w:spacing w:after="0" w:line="240" w:lineRule="auto"/>
    </w:pPr>
    <w:rPr>
      <w:rFonts w:ascii="Calibri" w:eastAsia="Calibri" w:hAnsi="Calibri" w:cs="Calibri"/>
      <w:lang w:val="uk-UA"/>
    </w:rPr>
    <w:tblPr>
      <w:tblStyleRowBandSize w:val="1"/>
      <w:tblStyleColBandSize w:val="1"/>
      <w:tblInd w:w="0" w:type="nil"/>
    </w:tblPr>
  </w:style>
  <w:style w:type="paragraph" w:styleId="a6">
    <w:name w:val="caption"/>
    <w:basedOn w:val="a"/>
    <w:next w:val="a"/>
    <w:uiPriority w:val="35"/>
    <w:unhideWhenUsed/>
    <w:qFormat/>
    <w:rsid w:val="0079758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B6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67A9"/>
  </w:style>
  <w:style w:type="paragraph" w:styleId="a9">
    <w:name w:val="footer"/>
    <w:basedOn w:val="a"/>
    <w:link w:val="aa"/>
    <w:uiPriority w:val="99"/>
    <w:unhideWhenUsed/>
    <w:rsid w:val="00DB6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67A9"/>
  </w:style>
  <w:style w:type="paragraph" w:styleId="ab">
    <w:name w:val="Balloon Text"/>
    <w:basedOn w:val="a"/>
    <w:link w:val="ac"/>
    <w:uiPriority w:val="99"/>
    <w:semiHidden/>
    <w:unhideWhenUsed/>
    <w:rsid w:val="00AB4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4633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ED2DA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D2DA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D2DA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D2DA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D2DA2"/>
    <w:rPr>
      <w:b/>
      <w:bCs/>
      <w:sz w:val="20"/>
      <w:szCs w:val="20"/>
    </w:rPr>
  </w:style>
  <w:style w:type="character" w:customStyle="1" w:styleId="citation">
    <w:name w:val="citation"/>
    <w:basedOn w:val="a0"/>
    <w:rsid w:val="00A00530"/>
  </w:style>
  <w:style w:type="character" w:styleId="af2">
    <w:name w:val="Strong"/>
    <w:basedOn w:val="a0"/>
    <w:uiPriority w:val="22"/>
    <w:qFormat/>
    <w:rsid w:val="00A00530"/>
    <w:rPr>
      <w:b/>
      <w:bCs/>
    </w:rPr>
  </w:style>
  <w:style w:type="paragraph" w:styleId="af3">
    <w:name w:val="Body Text Indent"/>
    <w:basedOn w:val="a"/>
    <w:link w:val="af4"/>
    <w:rsid w:val="00A0053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A0053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5">
    <w:name w:val="Emphasis"/>
    <w:basedOn w:val="a0"/>
    <w:uiPriority w:val="20"/>
    <w:qFormat/>
    <w:rsid w:val="00BF67BA"/>
    <w:rPr>
      <w:i/>
      <w:iCs/>
    </w:rPr>
  </w:style>
  <w:style w:type="paragraph" w:customStyle="1" w:styleId="sm">
    <w:name w:val="sm"/>
    <w:basedOn w:val="a"/>
    <w:rsid w:val="00BF6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BF67BA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styleId="af6">
    <w:name w:val="Normal (Web)"/>
    <w:aliases w:val="Обычный (Web)"/>
    <w:basedOn w:val="a"/>
    <w:uiPriority w:val="99"/>
    <w:unhideWhenUsed/>
    <w:rsid w:val="007A4F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7">
    <w:name w:val="TOC Heading"/>
    <w:basedOn w:val="1"/>
    <w:next w:val="a"/>
    <w:uiPriority w:val="39"/>
    <w:semiHidden/>
    <w:unhideWhenUsed/>
    <w:qFormat/>
    <w:rsid w:val="00CB2B48"/>
    <w:pPr>
      <w:spacing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C387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owrap">
    <w:name w:val="nowrap"/>
    <w:basedOn w:val="a0"/>
    <w:rsid w:val="00EC3879"/>
  </w:style>
  <w:style w:type="character" w:customStyle="1" w:styleId="disabledresolveddrug">
    <w:name w:val="disabledresolveddrug"/>
    <w:basedOn w:val="a0"/>
    <w:rsid w:val="00EC3879"/>
  </w:style>
  <w:style w:type="paragraph" w:customStyle="1" w:styleId="rvps2">
    <w:name w:val="rvps2"/>
    <w:basedOn w:val="a"/>
    <w:rsid w:val="00E73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E73A07"/>
  </w:style>
  <w:style w:type="paragraph" w:customStyle="1" w:styleId="rvps4">
    <w:name w:val="rvps4"/>
    <w:basedOn w:val="a"/>
    <w:rsid w:val="00AE2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AE2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AE21A4"/>
  </w:style>
  <w:style w:type="character" w:customStyle="1" w:styleId="rvts23">
    <w:name w:val="rvts23"/>
    <w:basedOn w:val="a0"/>
    <w:rsid w:val="00AE21A4"/>
  </w:style>
  <w:style w:type="paragraph" w:customStyle="1" w:styleId="rvps7">
    <w:name w:val="rvps7"/>
    <w:basedOn w:val="a"/>
    <w:rsid w:val="00AE2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">
    <w:name w:val="rvps6"/>
    <w:basedOn w:val="a"/>
    <w:rsid w:val="00AE2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BE232C"/>
    <w:pPr>
      <w:spacing w:after="100"/>
      <w:ind w:left="440"/>
    </w:pPr>
  </w:style>
  <w:style w:type="character" w:customStyle="1" w:styleId="articlepages">
    <w:name w:val="article_pages"/>
    <w:basedOn w:val="a0"/>
    <w:rsid w:val="00EB2589"/>
  </w:style>
  <w:style w:type="character" w:customStyle="1" w:styleId="page">
    <w:name w:val="page"/>
    <w:basedOn w:val="a0"/>
    <w:rsid w:val="0049473D"/>
  </w:style>
  <w:style w:type="paragraph" w:styleId="af8">
    <w:name w:val="footnote text"/>
    <w:basedOn w:val="a"/>
    <w:link w:val="af9"/>
    <w:uiPriority w:val="99"/>
    <w:semiHidden/>
    <w:unhideWhenUsed/>
    <w:rsid w:val="00954906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954906"/>
    <w:rPr>
      <w:sz w:val="20"/>
      <w:szCs w:val="20"/>
      <w:lang w:val="uk-UA"/>
    </w:rPr>
  </w:style>
  <w:style w:type="character" w:styleId="afa">
    <w:name w:val="footnote reference"/>
    <w:basedOn w:val="a0"/>
    <w:uiPriority w:val="99"/>
    <w:semiHidden/>
    <w:unhideWhenUsed/>
    <w:rsid w:val="009549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445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CCF"/>
            <w:right w:val="none" w:sz="0" w:space="0" w:color="auto"/>
          </w:divBdr>
          <w:divsChild>
            <w:div w:id="184747532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4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CCF"/>
            <w:right w:val="none" w:sz="0" w:space="0" w:color="auto"/>
          </w:divBdr>
          <w:divsChild>
            <w:div w:id="11379043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06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27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rmj.ru/authors/rasner_p_i/" TargetMode="External"/><Relationship Id="rId18" Type="http://schemas.openxmlformats.org/officeDocument/2006/relationships/hyperlink" Target="https://www.rmj.ru/authors/sidorenkov-a-v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rmj.ru/authors/pushkar_d_yu/" TargetMode="External"/><Relationship Id="rId17" Type="http://schemas.openxmlformats.org/officeDocument/2006/relationships/hyperlink" Target="https://www.rmj.ru/authors/umyarov-m-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mj.ru/authors/gurov-e-y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mj.ru/authors/pushkar_d_y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rmj.ru/authors/maltsev-e-g/" TargetMode="External"/><Relationship Id="rId10" Type="http://schemas.openxmlformats.org/officeDocument/2006/relationships/hyperlink" Target="https://ecuro.ru/journal/nomer-1-2018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www.rmj.ru/authors/kupriyanov-yu-a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EAF58-C480-4B2A-AB8F-6B61BDCD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14998</Words>
  <Characters>8550</Characters>
  <Application>Microsoft Office Word</Application>
  <DocSecurity>0</DocSecurity>
  <Lines>71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23501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katay</dc:creator>
  <cp:lastModifiedBy>admin</cp:lastModifiedBy>
  <cp:revision>2</cp:revision>
  <dcterms:created xsi:type="dcterms:W3CDTF">2021-09-02T07:21:00Z</dcterms:created>
  <dcterms:modified xsi:type="dcterms:W3CDTF">2021-09-02T07:21:00Z</dcterms:modified>
</cp:coreProperties>
</file>