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05F07" w:rsidRDefault="00185A37">
      <w:pPr>
        <w:autoSpaceDE w:val="0"/>
        <w:autoSpaceDN w:val="0"/>
        <w:adjustRightInd w:val="0"/>
        <w:jc w:val="center"/>
        <w:rPr>
          <w:rFonts w:eastAsia="Calibri"/>
          <w:color w:val="000000"/>
          <w:sz w:val="28"/>
          <w:szCs w:val="28"/>
          <w:lang w:eastAsia="en-US"/>
        </w:rPr>
      </w:pPr>
      <w:bookmarkStart w:id="0" w:name="_GoBack"/>
      <w:bookmarkEnd w:id="0"/>
      <w:r>
        <w:rPr>
          <w:rFonts w:eastAsia="Calibri"/>
          <w:color w:val="000000"/>
          <w:sz w:val="28"/>
          <w:szCs w:val="28"/>
          <w:lang w:eastAsia="en-US"/>
        </w:rPr>
        <w:t>Одеський національний університет імені І.І. Мечникова</w:t>
      </w:r>
    </w:p>
    <w:p w:rsidR="00705F07" w:rsidRDefault="00185A37">
      <w:pPr>
        <w:autoSpaceDE w:val="0"/>
        <w:autoSpaceDN w:val="0"/>
        <w:adjustRightInd w:val="0"/>
        <w:jc w:val="center"/>
        <w:rPr>
          <w:rFonts w:eastAsia="Calibri"/>
          <w:color w:val="000000"/>
          <w:sz w:val="28"/>
          <w:szCs w:val="28"/>
          <w:lang w:eastAsia="en-US"/>
        </w:rPr>
      </w:pPr>
      <w:r>
        <w:rPr>
          <w:rFonts w:eastAsia="Calibri"/>
          <w:color w:val="000000"/>
          <w:sz w:val="28"/>
          <w:szCs w:val="28"/>
          <w:lang w:eastAsia="en-US"/>
        </w:rPr>
        <w:t>Економіко-правовий факультет</w:t>
      </w:r>
    </w:p>
    <w:p w:rsidR="00705F07" w:rsidRDefault="00185A37">
      <w:pPr>
        <w:autoSpaceDE w:val="0"/>
        <w:autoSpaceDN w:val="0"/>
        <w:adjustRightInd w:val="0"/>
        <w:jc w:val="center"/>
        <w:rPr>
          <w:rFonts w:eastAsia="Calibri"/>
          <w:color w:val="000000"/>
          <w:sz w:val="28"/>
          <w:szCs w:val="28"/>
          <w:lang w:eastAsia="en-US"/>
        </w:rPr>
      </w:pPr>
      <w:r>
        <w:rPr>
          <w:rFonts w:eastAsia="Calibri"/>
          <w:color w:val="000000"/>
          <w:sz w:val="28"/>
          <w:szCs w:val="28"/>
          <w:lang w:eastAsia="en-US"/>
        </w:rPr>
        <w:t>Кафедра обліку і фінансів</w:t>
      </w:r>
    </w:p>
    <w:p w:rsidR="00705F07" w:rsidRDefault="00705F07">
      <w:pPr>
        <w:autoSpaceDE w:val="0"/>
        <w:autoSpaceDN w:val="0"/>
        <w:adjustRightInd w:val="0"/>
        <w:jc w:val="center"/>
        <w:rPr>
          <w:rFonts w:eastAsia="Calibri"/>
          <w:b/>
          <w:bCs/>
          <w:color w:val="000000"/>
          <w:sz w:val="32"/>
          <w:szCs w:val="32"/>
          <w:lang w:val="uk-UA" w:eastAsia="en-US"/>
        </w:rPr>
      </w:pPr>
    </w:p>
    <w:p w:rsidR="00705F07" w:rsidRDefault="00705F07">
      <w:pPr>
        <w:autoSpaceDE w:val="0"/>
        <w:autoSpaceDN w:val="0"/>
        <w:adjustRightInd w:val="0"/>
        <w:jc w:val="center"/>
        <w:rPr>
          <w:rFonts w:eastAsia="Calibri"/>
          <w:b/>
          <w:bCs/>
          <w:color w:val="000000"/>
          <w:sz w:val="32"/>
          <w:szCs w:val="32"/>
          <w:lang w:val="uk-UA" w:eastAsia="en-US"/>
        </w:rPr>
      </w:pPr>
    </w:p>
    <w:p w:rsidR="00705F07" w:rsidRDefault="00705F07">
      <w:pPr>
        <w:autoSpaceDE w:val="0"/>
        <w:autoSpaceDN w:val="0"/>
        <w:adjustRightInd w:val="0"/>
        <w:jc w:val="center"/>
        <w:rPr>
          <w:rFonts w:eastAsia="Calibri"/>
          <w:b/>
          <w:bCs/>
          <w:color w:val="000000"/>
          <w:sz w:val="32"/>
          <w:szCs w:val="32"/>
          <w:lang w:val="uk-UA" w:eastAsia="en-US"/>
        </w:rPr>
      </w:pPr>
    </w:p>
    <w:p w:rsidR="00705F07" w:rsidRDefault="00705F07">
      <w:pPr>
        <w:autoSpaceDE w:val="0"/>
        <w:autoSpaceDN w:val="0"/>
        <w:adjustRightInd w:val="0"/>
        <w:jc w:val="center"/>
        <w:rPr>
          <w:rFonts w:eastAsia="Calibri"/>
          <w:b/>
          <w:bCs/>
          <w:color w:val="000000"/>
          <w:sz w:val="32"/>
          <w:szCs w:val="32"/>
          <w:lang w:val="uk-UA" w:eastAsia="en-US"/>
        </w:rPr>
      </w:pPr>
    </w:p>
    <w:p w:rsidR="00705F07" w:rsidRDefault="00705F07">
      <w:pPr>
        <w:autoSpaceDE w:val="0"/>
        <w:autoSpaceDN w:val="0"/>
        <w:adjustRightInd w:val="0"/>
        <w:jc w:val="center"/>
        <w:rPr>
          <w:rFonts w:eastAsia="Calibri"/>
          <w:b/>
          <w:bCs/>
          <w:color w:val="000000"/>
          <w:sz w:val="32"/>
          <w:szCs w:val="32"/>
          <w:lang w:val="uk-UA" w:eastAsia="en-US"/>
        </w:rPr>
      </w:pPr>
    </w:p>
    <w:p w:rsidR="00705F07" w:rsidRDefault="00185A37">
      <w:pPr>
        <w:autoSpaceDE w:val="0"/>
        <w:autoSpaceDN w:val="0"/>
        <w:adjustRightInd w:val="0"/>
        <w:jc w:val="center"/>
        <w:rPr>
          <w:rFonts w:eastAsia="Calibri"/>
          <w:b/>
          <w:bCs/>
          <w:color w:val="000000"/>
          <w:sz w:val="28"/>
          <w:szCs w:val="28"/>
          <w:lang w:val="uk-UA" w:eastAsia="en-US"/>
        </w:rPr>
      </w:pPr>
      <w:r>
        <w:rPr>
          <w:rFonts w:eastAsia="Calibri"/>
          <w:b/>
          <w:bCs/>
          <w:color w:val="000000"/>
          <w:sz w:val="32"/>
          <w:szCs w:val="32"/>
          <w:lang w:eastAsia="en-US"/>
        </w:rPr>
        <w:t>Квал</w:t>
      </w:r>
      <w:r>
        <w:rPr>
          <w:rFonts w:eastAsia="Calibri"/>
          <w:b/>
          <w:bCs/>
          <w:color w:val="000000"/>
          <w:sz w:val="32"/>
          <w:szCs w:val="32"/>
          <w:lang w:val="uk-UA" w:eastAsia="en-US"/>
        </w:rPr>
        <w:t>іфікаційна робота магістра</w:t>
      </w:r>
    </w:p>
    <w:p w:rsidR="00705F07" w:rsidRDefault="00705F07">
      <w:pPr>
        <w:autoSpaceDE w:val="0"/>
        <w:autoSpaceDN w:val="0"/>
        <w:adjustRightInd w:val="0"/>
        <w:jc w:val="center"/>
        <w:rPr>
          <w:rFonts w:eastAsia="Calibri"/>
          <w:b/>
          <w:bCs/>
          <w:color w:val="000000"/>
          <w:sz w:val="28"/>
          <w:szCs w:val="28"/>
          <w:lang w:val="uk-UA" w:eastAsia="en-US"/>
        </w:rPr>
      </w:pPr>
    </w:p>
    <w:p w:rsidR="00705F07" w:rsidRDefault="00185A37">
      <w:pPr>
        <w:autoSpaceDE w:val="0"/>
        <w:autoSpaceDN w:val="0"/>
        <w:adjustRightInd w:val="0"/>
        <w:jc w:val="center"/>
        <w:rPr>
          <w:rFonts w:eastAsia="Calibri"/>
          <w:b/>
          <w:bCs/>
          <w:color w:val="000000"/>
          <w:sz w:val="28"/>
          <w:szCs w:val="28"/>
          <w:lang w:val="uk-UA" w:eastAsia="en-US"/>
        </w:rPr>
      </w:pPr>
      <w:r>
        <w:rPr>
          <w:rFonts w:eastAsia="Calibri"/>
          <w:b/>
          <w:bCs/>
          <w:color w:val="000000"/>
          <w:sz w:val="28"/>
          <w:szCs w:val="28"/>
          <w:lang w:val="uk-UA" w:eastAsia="en-US"/>
        </w:rPr>
        <w:t>«Вплив війни на розвиток фінансового ринку України: загрози та перспективи»</w:t>
      </w:r>
    </w:p>
    <w:p w:rsidR="00705F07" w:rsidRDefault="00705F07">
      <w:pPr>
        <w:autoSpaceDE w:val="0"/>
        <w:autoSpaceDN w:val="0"/>
        <w:adjustRightInd w:val="0"/>
        <w:jc w:val="center"/>
        <w:rPr>
          <w:rFonts w:eastAsia="Calibri"/>
          <w:color w:val="000000"/>
          <w:sz w:val="28"/>
          <w:szCs w:val="28"/>
          <w:lang w:val="uk-UA" w:eastAsia="en-US"/>
        </w:rPr>
      </w:pPr>
    </w:p>
    <w:p w:rsidR="00705F07" w:rsidRDefault="00705F07">
      <w:pPr>
        <w:autoSpaceDE w:val="0"/>
        <w:autoSpaceDN w:val="0"/>
        <w:adjustRightInd w:val="0"/>
        <w:jc w:val="center"/>
        <w:rPr>
          <w:rFonts w:eastAsia="Calibri"/>
          <w:color w:val="000000"/>
          <w:sz w:val="28"/>
          <w:szCs w:val="28"/>
          <w:lang w:val="uk-UA" w:eastAsia="en-US"/>
        </w:rPr>
      </w:pPr>
    </w:p>
    <w:p w:rsidR="00705F07" w:rsidRDefault="00185A37">
      <w:pPr>
        <w:autoSpaceDE w:val="0"/>
        <w:autoSpaceDN w:val="0"/>
        <w:adjustRightInd w:val="0"/>
        <w:jc w:val="center"/>
        <w:rPr>
          <w:rFonts w:eastAsia="Calibri"/>
          <w:color w:val="000000"/>
          <w:sz w:val="28"/>
          <w:szCs w:val="28"/>
          <w:lang w:val="en-US" w:eastAsia="en-US"/>
        </w:rPr>
      </w:pPr>
      <w:r>
        <w:rPr>
          <w:rFonts w:eastAsia="Calibri"/>
          <w:color w:val="000000"/>
          <w:sz w:val="28"/>
          <w:szCs w:val="28"/>
          <w:lang w:val="en-US" w:eastAsia="en-US"/>
        </w:rPr>
        <w:t xml:space="preserve">«The impact of the war on the </w:t>
      </w:r>
      <w:r>
        <w:rPr>
          <w:rFonts w:eastAsia="Calibri"/>
          <w:color w:val="000000"/>
          <w:sz w:val="28"/>
          <w:szCs w:val="28"/>
          <w:lang w:val="en-US" w:eastAsia="en-US"/>
        </w:rPr>
        <w:t>development of the financial market of Ukraine: threats and prospects»</w:t>
      </w:r>
    </w:p>
    <w:p w:rsidR="00705F07" w:rsidRDefault="00705F07">
      <w:pPr>
        <w:autoSpaceDE w:val="0"/>
        <w:autoSpaceDN w:val="0"/>
        <w:adjustRightInd w:val="0"/>
        <w:jc w:val="center"/>
        <w:rPr>
          <w:rFonts w:eastAsia="Calibri"/>
          <w:color w:val="000000"/>
          <w:sz w:val="28"/>
          <w:szCs w:val="28"/>
          <w:lang w:val="uk-UA" w:eastAsia="en-US"/>
        </w:rPr>
      </w:pPr>
    </w:p>
    <w:p w:rsidR="00705F07" w:rsidRDefault="00705F07">
      <w:pPr>
        <w:autoSpaceDE w:val="0"/>
        <w:autoSpaceDN w:val="0"/>
        <w:adjustRightInd w:val="0"/>
        <w:jc w:val="center"/>
        <w:rPr>
          <w:rFonts w:eastAsia="Calibri"/>
          <w:color w:val="000000"/>
          <w:sz w:val="28"/>
          <w:szCs w:val="28"/>
          <w:lang w:val="uk-UA" w:eastAsia="en-US"/>
        </w:rPr>
      </w:pPr>
    </w:p>
    <w:p w:rsidR="00705F07" w:rsidRDefault="00705F07">
      <w:pPr>
        <w:autoSpaceDE w:val="0"/>
        <w:autoSpaceDN w:val="0"/>
        <w:adjustRightInd w:val="0"/>
        <w:jc w:val="center"/>
        <w:rPr>
          <w:rFonts w:eastAsia="Calibri"/>
          <w:color w:val="000000"/>
          <w:sz w:val="28"/>
          <w:szCs w:val="28"/>
          <w:lang w:val="uk-UA" w:eastAsia="en-US"/>
        </w:rPr>
      </w:pPr>
    </w:p>
    <w:p w:rsidR="00705F07" w:rsidRDefault="00185A37">
      <w:pPr>
        <w:autoSpaceDE w:val="0"/>
        <w:autoSpaceDN w:val="0"/>
        <w:adjustRightInd w:val="0"/>
        <w:jc w:val="center"/>
        <w:rPr>
          <w:rFonts w:eastAsia="Calibri"/>
          <w:color w:val="000000"/>
          <w:sz w:val="28"/>
          <w:szCs w:val="28"/>
          <w:lang w:eastAsia="en-US"/>
        </w:rPr>
      </w:pPr>
      <w:r>
        <w:rPr>
          <w:rFonts w:eastAsia="Calibri"/>
          <w:color w:val="000000"/>
          <w:sz w:val="28"/>
          <w:szCs w:val="28"/>
          <w:lang w:eastAsia="en-US"/>
        </w:rPr>
        <w:t>на здобуття другого (магістерського) рівня вищої освіти</w:t>
      </w:r>
    </w:p>
    <w:p w:rsidR="00705F07" w:rsidRDefault="00705F07">
      <w:pPr>
        <w:autoSpaceDE w:val="0"/>
        <w:autoSpaceDN w:val="0"/>
        <w:adjustRightInd w:val="0"/>
        <w:jc w:val="center"/>
        <w:rPr>
          <w:rFonts w:eastAsia="Calibri"/>
          <w:color w:val="000000"/>
          <w:sz w:val="28"/>
          <w:szCs w:val="28"/>
          <w:lang w:val="uk-UA" w:eastAsia="en-US"/>
        </w:rPr>
      </w:pPr>
    </w:p>
    <w:p w:rsidR="00705F07" w:rsidRDefault="00705F07">
      <w:pPr>
        <w:autoSpaceDE w:val="0"/>
        <w:autoSpaceDN w:val="0"/>
        <w:adjustRightInd w:val="0"/>
        <w:jc w:val="center"/>
        <w:rPr>
          <w:rFonts w:eastAsia="Calibri"/>
          <w:color w:val="000000"/>
          <w:sz w:val="28"/>
          <w:szCs w:val="28"/>
          <w:lang w:val="uk-UA" w:eastAsia="en-US"/>
        </w:rPr>
      </w:pPr>
    </w:p>
    <w:p w:rsidR="00705F07" w:rsidRDefault="00705F07">
      <w:pPr>
        <w:autoSpaceDE w:val="0"/>
        <w:autoSpaceDN w:val="0"/>
        <w:adjustRightInd w:val="0"/>
        <w:jc w:val="center"/>
        <w:rPr>
          <w:rFonts w:eastAsia="Calibri"/>
          <w:color w:val="000000"/>
          <w:sz w:val="28"/>
          <w:szCs w:val="28"/>
          <w:lang w:val="uk-UA" w:eastAsia="en-US"/>
        </w:rPr>
      </w:pPr>
    </w:p>
    <w:p w:rsidR="00705F07" w:rsidRDefault="00185A37">
      <w:pPr>
        <w:autoSpaceDE w:val="0"/>
        <w:autoSpaceDN w:val="0"/>
        <w:adjustRightInd w:val="0"/>
        <w:jc w:val="right"/>
        <w:rPr>
          <w:rFonts w:eastAsia="Calibri"/>
          <w:color w:val="000000"/>
          <w:sz w:val="28"/>
          <w:szCs w:val="28"/>
          <w:lang w:eastAsia="en-US"/>
        </w:rPr>
      </w:pPr>
      <w:r>
        <w:rPr>
          <w:rFonts w:eastAsia="Calibri"/>
          <w:color w:val="000000"/>
          <w:sz w:val="28"/>
          <w:szCs w:val="28"/>
          <w:lang w:eastAsia="en-US"/>
        </w:rPr>
        <w:t xml:space="preserve">Виконав : </w:t>
      </w:r>
      <w:r>
        <w:rPr>
          <w:rFonts w:eastAsia="Calibri"/>
          <w:color w:val="000000"/>
          <w:sz w:val="28"/>
          <w:szCs w:val="28"/>
          <w:lang w:val="uk-UA" w:eastAsia="en-US"/>
        </w:rPr>
        <w:t xml:space="preserve">здобувач </w:t>
      </w:r>
      <w:r>
        <w:rPr>
          <w:rFonts w:eastAsia="Calibri"/>
          <w:color w:val="000000"/>
          <w:sz w:val="28"/>
          <w:szCs w:val="28"/>
          <w:lang w:eastAsia="en-US"/>
        </w:rPr>
        <w:t>денної форми</w:t>
      </w:r>
    </w:p>
    <w:p w:rsidR="00705F07" w:rsidRDefault="00185A37">
      <w:pPr>
        <w:autoSpaceDE w:val="0"/>
        <w:autoSpaceDN w:val="0"/>
        <w:adjustRightInd w:val="0"/>
        <w:jc w:val="right"/>
        <w:rPr>
          <w:rFonts w:eastAsia="Calibri"/>
          <w:color w:val="000000"/>
          <w:sz w:val="28"/>
          <w:szCs w:val="28"/>
          <w:lang w:eastAsia="en-US"/>
        </w:rPr>
      </w:pPr>
      <w:r>
        <w:rPr>
          <w:rFonts w:eastAsia="Calibri"/>
          <w:color w:val="000000"/>
          <w:sz w:val="28"/>
          <w:szCs w:val="28"/>
          <w:lang w:eastAsia="en-US"/>
        </w:rPr>
        <w:t xml:space="preserve">     навчання спеціальності 072 Фінанси,банківська</w:t>
      </w:r>
    </w:p>
    <w:p w:rsidR="00705F07" w:rsidRDefault="00185A37">
      <w:pPr>
        <w:autoSpaceDE w:val="0"/>
        <w:autoSpaceDN w:val="0"/>
        <w:adjustRightInd w:val="0"/>
        <w:jc w:val="right"/>
        <w:rPr>
          <w:rFonts w:eastAsia="Calibri"/>
          <w:color w:val="000000"/>
          <w:sz w:val="28"/>
          <w:szCs w:val="28"/>
          <w:lang w:eastAsia="en-US"/>
        </w:rPr>
      </w:pPr>
      <w:r>
        <w:rPr>
          <w:rFonts w:eastAsia="Calibri"/>
          <w:color w:val="000000"/>
          <w:sz w:val="28"/>
          <w:szCs w:val="28"/>
          <w:lang w:eastAsia="en-US"/>
        </w:rPr>
        <w:t>справа, страхування</w:t>
      </w:r>
      <w:r>
        <w:rPr>
          <w:rFonts w:eastAsia="Calibri"/>
          <w:color w:val="000000"/>
          <w:sz w:val="28"/>
          <w:szCs w:val="28"/>
          <w:lang w:val="uk-UA" w:eastAsia="en-US"/>
        </w:rPr>
        <w:t xml:space="preserve"> та фондовий ринок </w:t>
      </w:r>
    </w:p>
    <w:p w:rsidR="00705F07" w:rsidRDefault="00185A37">
      <w:pPr>
        <w:autoSpaceDE w:val="0"/>
        <w:autoSpaceDN w:val="0"/>
        <w:adjustRightInd w:val="0"/>
        <w:jc w:val="right"/>
        <w:rPr>
          <w:rFonts w:eastAsia="Calibri"/>
          <w:b/>
          <w:bCs/>
          <w:color w:val="000000"/>
          <w:sz w:val="28"/>
          <w:szCs w:val="28"/>
          <w:lang w:eastAsia="en-US"/>
        </w:rPr>
      </w:pPr>
      <w:r>
        <w:rPr>
          <w:rFonts w:eastAsia="Calibri"/>
          <w:b/>
          <w:bCs/>
          <w:color w:val="000000"/>
          <w:sz w:val="28"/>
          <w:szCs w:val="28"/>
          <w:lang w:eastAsia="en-US"/>
        </w:rPr>
        <w:t>Приложенко Владислав Вячеславович</w:t>
      </w:r>
    </w:p>
    <w:p w:rsidR="00705F07" w:rsidRDefault="00185A37">
      <w:pPr>
        <w:autoSpaceDE w:val="0"/>
        <w:autoSpaceDN w:val="0"/>
        <w:adjustRightInd w:val="0"/>
        <w:jc w:val="center"/>
        <w:rPr>
          <w:rFonts w:eastAsia="Calibri"/>
          <w:color w:val="000000"/>
          <w:sz w:val="28"/>
          <w:szCs w:val="28"/>
          <w:lang w:val="uk-UA" w:eastAsia="en-US"/>
        </w:rPr>
      </w:pPr>
      <w:r>
        <w:rPr>
          <w:rFonts w:eastAsia="Calibri"/>
          <w:color w:val="000000"/>
          <w:sz w:val="28"/>
          <w:szCs w:val="28"/>
          <w:lang w:val="uk-UA" w:eastAsia="en-US"/>
        </w:rPr>
        <w:t xml:space="preserve">                          </w:t>
      </w:r>
    </w:p>
    <w:p w:rsidR="00705F07" w:rsidRDefault="00185A37">
      <w:pPr>
        <w:autoSpaceDE w:val="0"/>
        <w:autoSpaceDN w:val="0"/>
        <w:adjustRightInd w:val="0"/>
        <w:jc w:val="center"/>
        <w:rPr>
          <w:rFonts w:eastAsia="Calibri"/>
          <w:color w:val="000000"/>
          <w:sz w:val="28"/>
          <w:szCs w:val="28"/>
          <w:lang w:eastAsia="en-US"/>
        </w:rPr>
      </w:pPr>
      <w:r>
        <w:rPr>
          <w:rFonts w:eastAsia="Calibri"/>
          <w:color w:val="000000"/>
          <w:sz w:val="28"/>
          <w:szCs w:val="28"/>
          <w:lang w:val="uk-UA" w:eastAsia="en-US"/>
        </w:rPr>
        <w:t xml:space="preserve">                          </w:t>
      </w:r>
      <w:r>
        <w:rPr>
          <w:rFonts w:eastAsia="Calibri"/>
          <w:color w:val="000000"/>
          <w:sz w:val="28"/>
          <w:szCs w:val="28"/>
          <w:lang w:eastAsia="en-US"/>
        </w:rPr>
        <w:t>Науковий керівник:</w:t>
      </w:r>
    </w:p>
    <w:p w:rsidR="00705F07" w:rsidRDefault="00185A37">
      <w:pPr>
        <w:autoSpaceDE w:val="0"/>
        <w:autoSpaceDN w:val="0"/>
        <w:adjustRightInd w:val="0"/>
        <w:jc w:val="right"/>
        <w:rPr>
          <w:rFonts w:eastAsia="Calibri"/>
          <w:color w:val="000000"/>
          <w:sz w:val="28"/>
          <w:szCs w:val="28"/>
          <w:lang w:val="uk-UA" w:eastAsia="en-US"/>
        </w:rPr>
      </w:pPr>
      <w:r>
        <w:rPr>
          <w:rFonts w:eastAsia="Calibri"/>
          <w:color w:val="000000"/>
          <w:sz w:val="28"/>
          <w:szCs w:val="28"/>
          <w:lang w:val="uk-UA" w:eastAsia="en-US"/>
        </w:rPr>
        <w:t>Д</w:t>
      </w:r>
      <w:r>
        <w:rPr>
          <w:rFonts w:eastAsia="Calibri"/>
          <w:color w:val="000000"/>
          <w:sz w:val="28"/>
          <w:szCs w:val="28"/>
          <w:lang w:eastAsia="en-US"/>
        </w:rPr>
        <w:t>.</w:t>
      </w:r>
      <w:r>
        <w:rPr>
          <w:rFonts w:eastAsia="Calibri"/>
          <w:color w:val="000000"/>
          <w:sz w:val="28"/>
          <w:szCs w:val="28"/>
          <w:lang w:val="uk-UA" w:eastAsia="en-US"/>
        </w:rPr>
        <w:t>е.н., Савастєєва О.М. _______________</w:t>
      </w:r>
    </w:p>
    <w:p w:rsidR="00705F07" w:rsidRDefault="00185A37">
      <w:pPr>
        <w:autoSpaceDE w:val="0"/>
        <w:autoSpaceDN w:val="0"/>
        <w:adjustRightInd w:val="0"/>
        <w:jc w:val="center"/>
        <w:rPr>
          <w:rFonts w:eastAsia="Calibri"/>
          <w:color w:val="000000"/>
          <w:sz w:val="28"/>
          <w:szCs w:val="28"/>
          <w:lang w:eastAsia="en-US"/>
        </w:rPr>
      </w:pPr>
      <w:r>
        <w:rPr>
          <w:rFonts w:eastAsia="Calibri"/>
          <w:color w:val="000000"/>
          <w:sz w:val="28"/>
          <w:szCs w:val="28"/>
          <w:lang w:val="uk-UA" w:eastAsia="en-US"/>
        </w:rPr>
        <w:t xml:space="preserve">          </w:t>
      </w:r>
      <w:r>
        <w:rPr>
          <w:rFonts w:eastAsia="Calibri"/>
          <w:color w:val="000000"/>
          <w:sz w:val="28"/>
          <w:szCs w:val="28"/>
          <w:lang w:eastAsia="en-US"/>
        </w:rPr>
        <w:t>Рец</w:t>
      </w:r>
      <w:r>
        <w:rPr>
          <w:rFonts w:eastAsia="Calibri"/>
          <w:color w:val="000000"/>
          <w:sz w:val="28"/>
          <w:szCs w:val="28"/>
          <w:lang w:val="uk-UA" w:eastAsia="en-US"/>
        </w:rPr>
        <w:t>е</w:t>
      </w:r>
      <w:r>
        <w:rPr>
          <w:rFonts w:eastAsia="Calibri"/>
          <w:color w:val="000000"/>
          <w:sz w:val="28"/>
          <w:szCs w:val="28"/>
          <w:lang w:eastAsia="en-US"/>
        </w:rPr>
        <w:t>нзент:</w:t>
      </w:r>
    </w:p>
    <w:p w:rsidR="00705F07" w:rsidRDefault="00185A37">
      <w:pPr>
        <w:autoSpaceDE w:val="0"/>
        <w:autoSpaceDN w:val="0"/>
        <w:adjustRightInd w:val="0"/>
        <w:jc w:val="center"/>
        <w:rPr>
          <w:rFonts w:eastAsia="Calibri"/>
          <w:color w:val="000000"/>
          <w:sz w:val="28"/>
          <w:szCs w:val="28"/>
          <w:lang w:val="uk-UA" w:eastAsia="en-US"/>
        </w:rPr>
      </w:pPr>
      <w:r>
        <w:rPr>
          <w:rFonts w:eastAsia="Calibri"/>
          <w:color w:val="000000"/>
          <w:sz w:val="28"/>
          <w:szCs w:val="28"/>
          <w:lang w:val="uk-UA" w:eastAsia="en-US"/>
        </w:rPr>
        <w:t xml:space="preserve">                                               Д.е.н., професор Садченко О.В. </w:t>
      </w:r>
    </w:p>
    <w:p w:rsidR="00705F07" w:rsidRDefault="00705F07">
      <w:pPr>
        <w:autoSpaceDE w:val="0"/>
        <w:autoSpaceDN w:val="0"/>
        <w:adjustRightInd w:val="0"/>
        <w:jc w:val="center"/>
        <w:rPr>
          <w:rFonts w:eastAsia="Calibri"/>
          <w:color w:val="000000"/>
          <w:sz w:val="28"/>
          <w:szCs w:val="28"/>
          <w:lang w:val="uk-UA" w:eastAsia="en-US"/>
        </w:rPr>
      </w:pPr>
    </w:p>
    <w:p w:rsidR="00705F07" w:rsidRDefault="00705F07">
      <w:pPr>
        <w:autoSpaceDE w:val="0"/>
        <w:autoSpaceDN w:val="0"/>
        <w:adjustRightInd w:val="0"/>
        <w:jc w:val="center"/>
        <w:rPr>
          <w:rFonts w:eastAsia="Calibri"/>
          <w:color w:val="000000"/>
          <w:sz w:val="28"/>
          <w:szCs w:val="28"/>
          <w:lang w:val="uk-UA" w:eastAsia="en-US"/>
        </w:rPr>
      </w:pPr>
    </w:p>
    <w:p w:rsidR="00705F07" w:rsidRDefault="00705F07">
      <w:pPr>
        <w:autoSpaceDE w:val="0"/>
        <w:autoSpaceDN w:val="0"/>
        <w:adjustRightInd w:val="0"/>
        <w:jc w:val="center"/>
        <w:rPr>
          <w:rFonts w:eastAsia="Calibri"/>
          <w:color w:val="000000"/>
          <w:sz w:val="28"/>
          <w:szCs w:val="28"/>
          <w:lang w:val="uk-UA" w:eastAsia="en-US"/>
        </w:rPr>
      </w:pPr>
    </w:p>
    <w:tbl>
      <w:tblPr>
        <w:tblStyle w:val="ad"/>
        <w:tblW w:w="9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3"/>
        <w:gridCol w:w="713"/>
        <w:gridCol w:w="4390"/>
      </w:tblGrid>
      <w:tr w:rsidR="00705F07">
        <w:tc>
          <w:tcPr>
            <w:tcW w:w="4503" w:type="dxa"/>
          </w:tcPr>
          <w:p w:rsidR="00705F07" w:rsidRDefault="00185A37">
            <w:pPr>
              <w:autoSpaceDE w:val="0"/>
              <w:autoSpaceDN w:val="0"/>
              <w:adjustRightInd w:val="0"/>
              <w:rPr>
                <w:rFonts w:eastAsia="Calibri"/>
                <w:color w:val="000000"/>
                <w:sz w:val="28"/>
                <w:szCs w:val="28"/>
                <w:lang w:eastAsia="en-US"/>
              </w:rPr>
            </w:pPr>
            <w:r>
              <w:rPr>
                <w:rFonts w:eastAsia="Calibri"/>
                <w:color w:val="000000"/>
                <w:sz w:val="28"/>
                <w:szCs w:val="28"/>
                <w:lang w:eastAsia="en-US"/>
              </w:rPr>
              <w:t>Рекомендовано до захисту:</w:t>
            </w:r>
          </w:p>
          <w:p w:rsidR="00705F07" w:rsidRDefault="00185A37">
            <w:pPr>
              <w:autoSpaceDE w:val="0"/>
              <w:autoSpaceDN w:val="0"/>
              <w:adjustRightInd w:val="0"/>
              <w:rPr>
                <w:rFonts w:eastAsia="Calibri"/>
                <w:color w:val="000000"/>
                <w:sz w:val="28"/>
                <w:szCs w:val="28"/>
                <w:lang w:eastAsia="en-US"/>
              </w:rPr>
            </w:pPr>
            <w:r>
              <w:rPr>
                <w:rFonts w:eastAsia="Calibri"/>
                <w:color w:val="000000"/>
                <w:sz w:val="28"/>
                <w:szCs w:val="28"/>
                <w:lang w:eastAsia="en-US"/>
              </w:rPr>
              <w:t>протокол засідання кафедри</w:t>
            </w:r>
          </w:p>
          <w:p w:rsidR="00705F07" w:rsidRDefault="00185A37">
            <w:pPr>
              <w:autoSpaceDE w:val="0"/>
              <w:autoSpaceDN w:val="0"/>
              <w:adjustRightInd w:val="0"/>
              <w:rPr>
                <w:rFonts w:eastAsia="Calibri"/>
                <w:color w:val="000000"/>
                <w:sz w:val="28"/>
                <w:szCs w:val="28"/>
                <w:lang w:eastAsia="en-US"/>
              </w:rPr>
            </w:pPr>
            <w:r>
              <w:rPr>
                <w:rFonts w:eastAsia="Calibri"/>
                <w:color w:val="000000"/>
                <w:sz w:val="28"/>
                <w:szCs w:val="28"/>
                <w:lang w:eastAsia="en-US"/>
              </w:rPr>
              <w:t xml:space="preserve">№ </w:t>
            </w:r>
            <w:r>
              <w:rPr>
                <w:rFonts w:eastAsia="Calibri"/>
                <w:color w:val="000000"/>
                <w:sz w:val="28"/>
                <w:szCs w:val="28"/>
                <w:lang w:val="uk-UA" w:eastAsia="en-US"/>
              </w:rPr>
              <w:t xml:space="preserve">«___» __________ </w:t>
            </w:r>
            <w:r>
              <w:rPr>
                <w:rFonts w:eastAsia="Calibri"/>
                <w:color w:val="000000"/>
                <w:sz w:val="28"/>
                <w:szCs w:val="28"/>
                <w:lang w:eastAsia="en-US"/>
              </w:rPr>
              <w:t>від 20</w:t>
            </w:r>
            <w:r>
              <w:rPr>
                <w:rFonts w:eastAsia="Calibri"/>
                <w:color w:val="000000"/>
                <w:sz w:val="28"/>
                <w:szCs w:val="28"/>
                <w:lang w:val="uk-UA" w:eastAsia="en-US"/>
              </w:rPr>
              <w:t>25</w:t>
            </w:r>
            <w:r>
              <w:rPr>
                <w:rFonts w:eastAsia="Calibri"/>
                <w:color w:val="000000"/>
                <w:sz w:val="28"/>
                <w:szCs w:val="28"/>
                <w:lang w:eastAsia="en-US"/>
              </w:rPr>
              <w:t xml:space="preserve"> року</w:t>
            </w:r>
          </w:p>
          <w:p w:rsidR="00705F07" w:rsidRDefault="00185A37">
            <w:pPr>
              <w:autoSpaceDE w:val="0"/>
              <w:autoSpaceDN w:val="0"/>
              <w:adjustRightInd w:val="0"/>
              <w:rPr>
                <w:rFonts w:eastAsia="Calibri"/>
                <w:color w:val="000000"/>
                <w:sz w:val="28"/>
                <w:szCs w:val="28"/>
                <w:lang w:eastAsia="en-US"/>
              </w:rPr>
            </w:pPr>
            <w:r>
              <w:rPr>
                <w:rFonts w:eastAsia="Calibri"/>
                <w:color w:val="000000"/>
                <w:sz w:val="28"/>
                <w:szCs w:val="28"/>
                <w:lang w:eastAsia="en-US"/>
              </w:rPr>
              <w:t>Завідувач кафедри</w:t>
            </w:r>
          </w:p>
          <w:p w:rsidR="00705F07" w:rsidRDefault="00185A37">
            <w:pPr>
              <w:autoSpaceDE w:val="0"/>
              <w:autoSpaceDN w:val="0"/>
              <w:adjustRightInd w:val="0"/>
              <w:rPr>
                <w:rFonts w:eastAsia="Calibri"/>
                <w:color w:val="000000"/>
                <w:sz w:val="28"/>
                <w:szCs w:val="28"/>
                <w:lang w:val="uk-UA" w:eastAsia="en-US"/>
              </w:rPr>
            </w:pPr>
            <w:r>
              <w:rPr>
                <w:rFonts w:eastAsia="Calibri"/>
                <w:color w:val="000000"/>
                <w:sz w:val="28"/>
                <w:szCs w:val="28"/>
                <w:lang w:val="uk-UA" w:eastAsia="en-US"/>
              </w:rPr>
              <w:t>________________</w:t>
            </w:r>
            <w:r>
              <w:rPr>
                <w:rFonts w:eastAsia="Calibri"/>
                <w:color w:val="000000"/>
                <w:sz w:val="28"/>
                <w:szCs w:val="28"/>
                <w:lang w:eastAsia="en-US"/>
              </w:rPr>
              <w:t>Савастєєва О.М.</w:t>
            </w:r>
          </w:p>
        </w:tc>
        <w:tc>
          <w:tcPr>
            <w:tcW w:w="713" w:type="dxa"/>
          </w:tcPr>
          <w:p w:rsidR="00705F07" w:rsidRDefault="00705F07">
            <w:pPr>
              <w:autoSpaceDE w:val="0"/>
              <w:autoSpaceDN w:val="0"/>
              <w:adjustRightInd w:val="0"/>
              <w:rPr>
                <w:rFonts w:eastAsia="Calibri"/>
                <w:color w:val="000000"/>
                <w:sz w:val="28"/>
                <w:szCs w:val="28"/>
                <w:lang w:val="uk-UA" w:eastAsia="en-US"/>
              </w:rPr>
            </w:pPr>
          </w:p>
        </w:tc>
        <w:tc>
          <w:tcPr>
            <w:tcW w:w="4390" w:type="dxa"/>
          </w:tcPr>
          <w:p w:rsidR="00705F07" w:rsidRDefault="00185A37">
            <w:pPr>
              <w:autoSpaceDE w:val="0"/>
              <w:autoSpaceDN w:val="0"/>
              <w:adjustRightInd w:val="0"/>
              <w:rPr>
                <w:rFonts w:eastAsia="Calibri"/>
                <w:color w:val="000000"/>
                <w:sz w:val="28"/>
                <w:szCs w:val="28"/>
                <w:lang w:val="uk-UA" w:eastAsia="en-US"/>
              </w:rPr>
            </w:pPr>
            <w:r>
              <w:rPr>
                <w:rFonts w:eastAsia="Calibri"/>
                <w:color w:val="000000"/>
                <w:sz w:val="28"/>
                <w:szCs w:val="28"/>
                <w:lang w:eastAsia="en-US"/>
              </w:rPr>
              <w:t>Захищено на засіданні ЕК №</w:t>
            </w:r>
            <w:r>
              <w:rPr>
                <w:rFonts w:eastAsia="Calibri"/>
                <w:color w:val="000000"/>
                <w:sz w:val="28"/>
                <w:szCs w:val="28"/>
                <w:lang w:val="uk-UA" w:eastAsia="en-US"/>
              </w:rPr>
              <w:t>_</w:t>
            </w:r>
            <w:r>
              <w:rPr>
                <w:rFonts w:eastAsia="Calibri"/>
                <w:color w:val="000000"/>
                <w:sz w:val="28"/>
                <w:szCs w:val="28"/>
                <w:lang w:eastAsia="en-US"/>
              </w:rPr>
              <w:t xml:space="preserve"> </w:t>
            </w:r>
          </w:p>
          <w:p w:rsidR="00705F07" w:rsidRDefault="00185A37">
            <w:pPr>
              <w:autoSpaceDE w:val="0"/>
              <w:autoSpaceDN w:val="0"/>
              <w:adjustRightInd w:val="0"/>
              <w:rPr>
                <w:rFonts w:eastAsia="Calibri"/>
                <w:color w:val="000000"/>
                <w:sz w:val="28"/>
                <w:szCs w:val="28"/>
                <w:lang w:eastAsia="en-US"/>
              </w:rPr>
            </w:pPr>
            <w:r>
              <w:rPr>
                <w:rFonts w:eastAsia="Calibri"/>
                <w:color w:val="000000"/>
                <w:sz w:val="28"/>
                <w:szCs w:val="28"/>
                <w:lang w:eastAsia="en-US"/>
              </w:rPr>
              <w:t>протокол №</w:t>
            </w:r>
            <w:r>
              <w:rPr>
                <w:rFonts w:eastAsia="Calibri"/>
                <w:color w:val="000000"/>
                <w:sz w:val="28"/>
                <w:szCs w:val="28"/>
                <w:lang w:val="uk-UA" w:eastAsia="en-US"/>
              </w:rPr>
              <w:t>_</w:t>
            </w:r>
            <w:r>
              <w:rPr>
                <w:rFonts w:eastAsia="Calibri"/>
                <w:color w:val="000000"/>
                <w:sz w:val="28"/>
                <w:szCs w:val="28"/>
                <w:lang w:eastAsia="en-US"/>
              </w:rPr>
              <w:t xml:space="preserve"> від</w:t>
            </w:r>
            <w:r>
              <w:rPr>
                <w:rFonts w:eastAsia="Calibri"/>
                <w:color w:val="000000"/>
                <w:sz w:val="28"/>
                <w:szCs w:val="28"/>
                <w:lang w:val="uk-UA" w:eastAsia="en-US"/>
              </w:rPr>
              <w:t xml:space="preserve"> «__»</w:t>
            </w:r>
            <w:r>
              <w:rPr>
                <w:rFonts w:eastAsia="Calibri"/>
                <w:color w:val="000000"/>
                <w:sz w:val="28"/>
                <w:szCs w:val="28"/>
                <w:lang w:eastAsia="en-US"/>
              </w:rPr>
              <w:t xml:space="preserve"> </w:t>
            </w:r>
            <w:r>
              <w:rPr>
                <w:rFonts w:eastAsia="Calibri"/>
                <w:color w:val="000000"/>
                <w:sz w:val="28"/>
                <w:szCs w:val="28"/>
                <w:lang w:val="uk-UA" w:eastAsia="en-US"/>
              </w:rPr>
              <w:t>____</w:t>
            </w:r>
            <w:r>
              <w:rPr>
                <w:rFonts w:eastAsia="Calibri"/>
                <w:color w:val="000000"/>
                <w:sz w:val="28"/>
                <w:szCs w:val="28"/>
                <w:lang w:eastAsia="en-US"/>
              </w:rPr>
              <w:t>20</w:t>
            </w:r>
            <w:r>
              <w:rPr>
                <w:rFonts w:eastAsia="Calibri"/>
                <w:color w:val="000000"/>
                <w:sz w:val="28"/>
                <w:szCs w:val="28"/>
                <w:lang w:val="uk-UA" w:eastAsia="en-US"/>
              </w:rPr>
              <w:t>25р</w:t>
            </w:r>
          </w:p>
          <w:p w:rsidR="00705F07" w:rsidRDefault="00185A37">
            <w:pPr>
              <w:autoSpaceDE w:val="0"/>
              <w:autoSpaceDN w:val="0"/>
              <w:adjustRightInd w:val="0"/>
              <w:rPr>
                <w:rFonts w:eastAsia="Calibri"/>
                <w:color w:val="000000"/>
                <w:sz w:val="28"/>
                <w:szCs w:val="28"/>
                <w:lang w:val="uk-UA" w:eastAsia="en-US"/>
              </w:rPr>
            </w:pPr>
            <w:r>
              <w:rPr>
                <w:rFonts w:eastAsia="Calibri"/>
                <w:color w:val="000000"/>
                <w:sz w:val="28"/>
                <w:szCs w:val="28"/>
                <w:lang w:eastAsia="en-US"/>
              </w:rPr>
              <w:t xml:space="preserve">Оцінка </w:t>
            </w:r>
            <w:r>
              <w:rPr>
                <w:rFonts w:eastAsia="Calibri"/>
                <w:color w:val="000000"/>
                <w:sz w:val="28"/>
                <w:szCs w:val="28"/>
                <w:lang w:val="uk-UA" w:eastAsia="en-US"/>
              </w:rPr>
              <w:t>_____</w:t>
            </w:r>
            <w:r>
              <w:rPr>
                <w:rFonts w:eastAsia="Calibri"/>
                <w:color w:val="000000"/>
                <w:sz w:val="28"/>
                <w:szCs w:val="28"/>
                <w:lang w:eastAsia="en-US"/>
              </w:rPr>
              <w:t>/</w:t>
            </w:r>
            <w:r>
              <w:rPr>
                <w:rFonts w:eastAsia="Calibri"/>
                <w:color w:val="000000"/>
                <w:sz w:val="28"/>
                <w:szCs w:val="28"/>
                <w:lang w:val="uk-UA" w:eastAsia="en-US"/>
              </w:rPr>
              <w:t>_____</w:t>
            </w:r>
            <w:r>
              <w:rPr>
                <w:rFonts w:eastAsia="Calibri"/>
                <w:color w:val="000000"/>
                <w:sz w:val="28"/>
                <w:szCs w:val="28"/>
                <w:lang w:eastAsia="en-US"/>
              </w:rPr>
              <w:t xml:space="preserve"> /</w:t>
            </w:r>
            <w:r>
              <w:rPr>
                <w:rFonts w:eastAsia="Calibri"/>
                <w:color w:val="000000"/>
                <w:sz w:val="28"/>
                <w:szCs w:val="28"/>
                <w:lang w:val="uk-UA" w:eastAsia="en-US"/>
              </w:rPr>
              <w:t>______</w:t>
            </w:r>
          </w:p>
          <w:p w:rsidR="00705F07" w:rsidRDefault="00185A37">
            <w:pPr>
              <w:autoSpaceDE w:val="0"/>
              <w:autoSpaceDN w:val="0"/>
              <w:adjustRightInd w:val="0"/>
              <w:rPr>
                <w:rFonts w:eastAsia="Calibri"/>
                <w:color w:val="000000"/>
                <w:sz w:val="28"/>
                <w:szCs w:val="28"/>
                <w:lang w:eastAsia="en-US"/>
              </w:rPr>
            </w:pPr>
            <w:r>
              <w:rPr>
                <w:rFonts w:eastAsia="Calibri"/>
                <w:color w:val="000000"/>
                <w:sz w:val="28"/>
                <w:szCs w:val="28"/>
                <w:lang w:eastAsia="en-US"/>
              </w:rPr>
              <w:t>Голова ЕК</w:t>
            </w:r>
          </w:p>
          <w:p w:rsidR="00705F07" w:rsidRDefault="00185A37">
            <w:pPr>
              <w:autoSpaceDE w:val="0"/>
              <w:autoSpaceDN w:val="0"/>
              <w:adjustRightInd w:val="0"/>
              <w:rPr>
                <w:rFonts w:eastAsia="Calibri"/>
                <w:color w:val="000000"/>
                <w:sz w:val="28"/>
                <w:szCs w:val="28"/>
                <w:lang w:val="uk-UA" w:eastAsia="en-US"/>
              </w:rPr>
            </w:pPr>
            <w:r>
              <w:rPr>
                <w:rFonts w:eastAsia="Calibri"/>
                <w:color w:val="000000"/>
                <w:sz w:val="28"/>
                <w:szCs w:val="28"/>
                <w:lang w:val="uk-UA" w:eastAsia="en-US"/>
              </w:rPr>
              <w:t>Д</w:t>
            </w:r>
            <w:r>
              <w:rPr>
                <w:rFonts w:eastAsia="Calibri"/>
                <w:color w:val="000000"/>
                <w:sz w:val="28"/>
                <w:szCs w:val="28"/>
                <w:lang w:eastAsia="en-US"/>
              </w:rPr>
              <w:t>.</w:t>
            </w:r>
            <w:r>
              <w:rPr>
                <w:rFonts w:eastAsia="Calibri"/>
                <w:color w:val="000000"/>
                <w:sz w:val="28"/>
                <w:szCs w:val="28"/>
                <w:lang w:val="uk-UA" w:eastAsia="en-US"/>
              </w:rPr>
              <w:t>е.н., _____</w:t>
            </w:r>
            <w:r>
              <w:rPr>
                <w:rFonts w:eastAsia="Calibri"/>
                <w:color w:val="000000"/>
                <w:sz w:val="28"/>
                <w:szCs w:val="28"/>
                <w:lang w:val="uk-UA" w:eastAsia="en-US"/>
              </w:rPr>
              <w:t>Савастєєва О.М.</w:t>
            </w:r>
            <w:r>
              <w:rPr>
                <w:rFonts w:eastAsia="Calibri"/>
                <w:color w:val="000000"/>
                <w:sz w:val="28"/>
                <w:szCs w:val="28"/>
                <w:lang w:eastAsia="en-US"/>
              </w:rPr>
              <w:t>.</w:t>
            </w:r>
          </w:p>
        </w:tc>
      </w:tr>
    </w:tbl>
    <w:p w:rsidR="00705F07" w:rsidRDefault="00705F07">
      <w:pPr>
        <w:jc w:val="center"/>
        <w:rPr>
          <w:rFonts w:eastAsia="Calibri"/>
          <w:b/>
          <w:bCs/>
          <w:color w:val="000000"/>
          <w:sz w:val="28"/>
          <w:szCs w:val="28"/>
          <w:lang w:val="uk-UA" w:eastAsia="en-US"/>
        </w:rPr>
      </w:pPr>
    </w:p>
    <w:p w:rsidR="00705F07" w:rsidRDefault="00185A37">
      <w:pPr>
        <w:jc w:val="center"/>
        <w:rPr>
          <w:rFonts w:eastAsia="Calibri"/>
          <w:b/>
          <w:bCs/>
          <w:color w:val="000000"/>
          <w:sz w:val="28"/>
          <w:szCs w:val="28"/>
          <w:lang w:val="uk-UA" w:eastAsia="en-US"/>
        </w:rPr>
      </w:pPr>
      <w:r>
        <w:rPr>
          <w:rFonts w:eastAsia="Calibri"/>
          <w:b/>
          <w:bCs/>
          <w:color w:val="000000"/>
          <w:sz w:val="28"/>
          <w:szCs w:val="28"/>
          <w:lang w:eastAsia="en-US"/>
        </w:rPr>
        <w:t>Одеса – 20</w:t>
      </w:r>
      <w:r>
        <w:rPr>
          <w:rFonts w:eastAsia="Calibri"/>
          <w:b/>
          <w:bCs/>
          <w:color w:val="000000"/>
          <w:sz w:val="28"/>
          <w:szCs w:val="28"/>
          <w:lang w:val="uk-UA" w:eastAsia="en-US"/>
        </w:rPr>
        <w:t>25</w:t>
      </w:r>
    </w:p>
    <w:p w:rsidR="00705F07" w:rsidRDefault="00185A37">
      <w:pPr>
        <w:spacing w:after="200" w:line="276" w:lineRule="auto"/>
        <w:rPr>
          <w:rFonts w:eastAsia="Calibri"/>
          <w:b/>
          <w:bCs/>
          <w:color w:val="000000"/>
          <w:sz w:val="28"/>
          <w:szCs w:val="28"/>
          <w:lang w:val="uk-UA" w:eastAsia="en-US"/>
        </w:rPr>
      </w:pPr>
      <w:r>
        <w:rPr>
          <w:rFonts w:eastAsia="Calibri"/>
          <w:b/>
          <w:bCs/>
          <w:color w:val="000000"/>
          <w:sz w:val="28"/>
          <w:szCs w:val="28"/>
          <w:lang w:val="uk-UA" w:eastAsia="en-US"/>
        </w:rPr>
        <w:br w:type="page"/>
      </w:r>
    </w:p>
    <w:p w:rsidR="00705F07" w:rsidRDefault="00185A37">
      <w:pPr>
        <w:ind w:firstLine="709"/>
        <w:jc w:val="center"/>
        <w:rPr>
          <w:color w:val="000000"/>
          <w:sz w:val="28"/>
          <w:szCs w:val="28"/>
        </w:rPr>
      </w:pPr>
      <w:r>
        <w:rPr>
          <w:color w:val="000000"/>
          <w:sz w:val="28"/>
          <w:szCs w:val="28"/>
        </w:rPr>
        <w:lastRenderedPageBreak/>
        <w:t>ЗМІСТ</w:t>
      </w:r>
    </w:p>
    <w:p w:rsidR="00705F07" w:rsidRDefault="00705F07">
      <w:pPr>
        <w:pStyle w:val="af0"/>
        <w:spacing w:before="0" w:line="360" w:lineRule="auto"/>
        <w:jc w:val="both"/>
        <w:rPr>
          <w:rFonts w:ascii="Times New Roman" w:hAnsi="Times New Roman" w:cs="Times New Roman"/>
          <w:b w:val="0"/>
          <w:color w:val="000000"/>
        </w:rPr>
      </w:pPr>
    </w:p>
    <w:p w:rsidR="00705F07" w:rsidRDefault="00185A37">
      <w:pPr>
        <w:pStyle w:val="21"/>
        <w:tabs>
          <w:tab w:val="right" w:leader="dot" w:pos="9345"/>
        </w:tabs>
        <w:spacing w:after="0" w:line="360" w:lineRule="auto"/>
        <w:ind w:left="0"/>
        <w:jc w:val="both"/>
        <w:rPr>
          <w:rFonts w:eastAsia="SimSun"/>
          <w:noProof/>
          <w:color w:val="000000"/>
          <w:sz w:val="28"/>
          <w:szCs w:val="28"/>
        </w:rPr>
      </w:pPr>
      <w:r>
        <w:rPr>
          <w:color w:val="000000"/>
          <w:sz w:val="28"/>
          <w:szCs w:val="28"/>
        </w:rPr>
        <w:fldChar w:fldCharType="begin"/>
      </w:r>
      <w:r>
        <w:rPr>
          <w:color w:val="000000"/>
          <w:sz w:val="28"/>
          <w:szCs w:val="28"/>
        </w:rPr>
        <w:instrText xml:space="preserve"> TOC \o "1-3" \h \z \u </w:instrText>
      </w:r>
      <w:r>
        <w:rPr>
          <w:color w:val="000000"/>
          <w:sz w:val="28"/>
          <w:szCs w:val="28"/>
        </w:rPr>
        <w:fldChar w:fldCharType="separate"/>
      </w:r>
      <w:hyperlink w:anchor="_Toc213845760" w:history="1">
        <w:r>
          <w:rPr>
            <w:rStyle w:val="a3"/>
            <w:noProof/>
            <w:color w:val="000000"/>
            <w:sz w:val="28"/>
            <w:szCs w:val="28"/>
            <w:u w:val="none"/>
          </w:rPr>
          <w:t>ВСТУП</w:t>
        </w:r>
        <w:r>
          <w:rPr>
            <w:noProof/>
            <w:webHidden/>
            <w:color w:val="000000"/>
            <w:sz w:val="28"/>
            <w:szCs w:val="28"/>
          </w:rPr>
          <w:tab/>
        </w:r>
        <w:r>
          <w:rPr>
            <w:noProof/>
            <w:webHidden/>
            <w:color w:val="000000"/>
            <w:sz w:val="28"/>
            <w:szCs w:val="28"/>
          </w:rPr>
          <w:fldChar w:fldCharType="begin"/>
        </w:r>
        <w:r>
          <w:rPr>
            <w:noProof/>
            <w:webHidden/>
            <w:color w:val="000000"/>
            <w:sz w:val="28"/>
            <w:szCs w:val="28"/>
          </w:rPr>
          <w:instrText xml:space="preserve"> PAGEREF _Toc213845760 \h </w:instrText>
        </w:r>
        <w:r>
          <w:rPr>
            <w:noProof/>
            <w:webHidden/>
            <w:color w:val="000000"/>
            <w:sz w:val="28"/>
            <w:szCs w:val="28"/>
          </w:rPr>
        </w:r>
        <w:r>
          <w:rPr>
            <w:noProof/>
            <w:webHidden/>
            <w:color w:val="000000"/>
            <w:sz w:val="28"/>
            <w:szCs w:val="28"/>
          </w:rPr>
          <w:fldChar w:fldCharType="separate"/>
        </w:r>
        <w:r>
          <w:rPr>
            <w:noProof/>
            <w:webHidden/>
            <w:color w:val="000000"/>
            <w:sz w:val="28"/>
            <w:szCs w:val="28"/>
          </w:rPr>
          <w:t>3</w:t>
        </w:r>
        <w:r>
          <w:rPr>
            <w:noProof/>
            <w:webHidden/>
            <w:color w:val="000000"/>
            <w:sz w:val="28"/>
            <w:szCs w:val="28"/>
          </w:rPr>
          <w:fldChar w:fldCharType="end"/>
        </w:r>
      </w:hyperlink>
    </w:p>
    <w:p w:rsidR="00705F07" w:rsidRDefault="00185A37">
      <w:pPr>
        <w:pStyle w:val="21"/>
        <w:tabs>
          <w:tab w:val="right" w:leader="dot" w:pos="9345"/>
        </w:tabs>
        <w:spacing w:after="0" w:line="360" w:lineRule="auto"/>
        <w:ind w:left="0"/>
        <w:jc w:val="both"/>
        <w:rPr>
          <w:rFonts w:eastAsia="SimSun"/>
          <w:noProof/>
          <w:color w:val="000000"/>
          <w:sz w:val="28"/>
          <w:szCs w:val="28"/>
        </w:rPr>
      </w:pPr>
      <w:hyperlink w:anchor="_Toc213845761" w:history="1">
        <w:r>
          <w:rPr>
            <w:rStyle w:val="a3"/>
            <w:noProof/>
            <w:color w:val="000000"/>
            <w:sz w:val="28"/>
            <w:szCs w:val="28"/>
            <w:u w:val="none"/>
          </w:rPr>
          <w:t>РОЗДІЛ 1</w:t>
        </w:r>
      </w:hyperlink>
      <w:r>
        <w:rPr>
          <w:rStyle w:val="a3"/>
          <w:noProof/>
          <w:color w:val="000000"/>
          <w:sz w:val="28"/>
          <w:szCs w:val="28"/>
          <w:u w:val="none"/>
          <w:lang w:val="uk-UA"/>
        </w:rPr>
        <w:t xml:space="preserve"> </w:t>
      </w:r>
      <w:hyperlink w:anchor="_Toc213845762" w:history="1">
        <w:r>
          <w:rPr>
            <w:rStyle w:val="a3"/>
            <w:noProof/>
            <w:color w:val="000000"/>
            <w:sz w:val="28"/>
            <w:szCs w:val="28"/>
            <w:u w:val="none"/>
          </w:rPr>
          <w:t>ТЕОРЕТИЧНІ ОСНОВИ ДОСЛІДЖЕНЬ ФІНАНСОВОГО РИНКУ</w:t>
        </w:r>
        <w:r>
          <w:rPr>
            <w:noProof/>
            <w:webHidden/>
            <w:color w:val="000000"/>
            <w:sz w:val="28"/>
            <w:szCs w:val="28"/>
          </w:rPr>
          <w:tab/>
        </w:r>
        <w:r>
          <w:rPr>
            <w:noProof/>
            <w:webHidden/>
            <w:color w:val="000000"/>
            <w:sz w:val="28"/>
            <w:szCs w:val="28"/>
          </w:rPr>
          <w:fldChar w:fldCharType="begin"/>
        </w:r>
        <w:r>
          <w:rPr>
            <w:noProof/>
            <w:webHidden/>
            <w:color w:val="000000"/>
            <w:sz w:val="28"/>
            <w:szCs w:val="28"/>
          </w:rPr>
          <w:instrText xml:space="preserve"> PAGEREF _Toc213845762 \h </w:instrText>
        </w:r>
        <w:r>
          <w:rPr>
            <w:noProof/>
            <w:webHidden/>
            <w:color w:val="000000"/>
            <w:sz w:val="28"/>
            <w:szCs w:val="28"/>
          </w:rPr>
        </w:r>
        <w:r>
          <w:rPr>
            <w:noProof/>
            <w:webHidden/>
            <w:color w:val="000000"/>
            <w:sz w:val="28"/>
            <w:szCs w:val="28"/>
          </w:rPr>
          <w:fldChar w:fldCharType="separate"/>
        </w:r>
        <w:r>
          <w:rPr>
            <w:noProof/>
            <w:webHidden/>
            <w:color w:val="000000"/>
            <w:sz w:val="28"/>
            <w:szCs w:val="28"/>
          </w:rPr>
          <w:t>6</w:t>
        </w:r>
        <w:r>
          <w:rPr>
            <w:noProof/>
            <w:webHidden/>
            <w:color w:val="000000"/>
            <w:sz w:val="28"/>
            <w:szCs w:val="28"/>
          </w:rPr>
          <w:fldChar w:fldCharType="end"/>
        </w:r>
      </w:hyperlink>
    </w:p>
    <w:p w:rsidR="00705F07" w:rsidRDefault="00185A37">
      <w:pPr>
        <w:pStyle w:val="21"/>
        <w:tabs>
          <w:tab w:val="right" w:leader="dot" w:pos="9345"/>
        </w:tabs>
        <w:spacing w:after="0" w:line="360" w:lineRule="auto"/>
        <w:ind w:left="0"/>
        <w:jc w:val="both"/>
        <w:rPr>
          <w:rFonts w:eastAsia="SimSun"/>
          <w:noProof/>
          <w:color w:val="000000"/>
          <w:sz w:val="28"/>
          <w:szCs w:val="28"/>
        </w:rPr>
      </w:pPr>
      <w:hyperlink w:anchor="_Toc213845763" w:history="1">
        <w:r>
          <w:rPr>
            <w:rStyle w:val="a3"/>
            <w:noProof/>
            <w:color w:val="000000"/>
            <w:sz w:val="28"/>
            <w:szCs w:val="28"/>
            <w:u w:val="none"/>
          </w:rPr>
          <w:t>1.1 Теоретичні засади щодо формування та функціонування фінансового ринку України в сучасних умовах</w:t>
        </w:r>
        <w:r>
          <w:rPr>
            <w:noProof/>
            <w:webHidden/>
            <w:color w:val="000000"/>
            <w:sz w:val="28"/>
            <w:szCs w:val="28"/>
          </w:rPr>
          <w:tab/>
        </w:r>
        <w:r>
          <w:rPr>
            <w:noProof/>
            <w:webHidden/>
            <w:color w:val="000000"/>
            <w:sz w:val="28"/>
            <w:szCs w:val="28"/>
          </w:rPr>
          <w:fldChar w:fldCharType="begin"/>
        </w:r>
        <w:r>
          <w:rPr>
            <w:noProof/>
            <w:webHidden/>
            <w:color w:val="000000"/>
            <w:sz w:val="28"/>
            <w:szCs w:val="28"/>
          </w:rPr>
          <w:instrText xml:space="preserve"> PAGEREF _Toc213845763 \h </w:instrText>
        </w:r>
        <w:r>
          <w:rPr>
            <w:noProof/>
            <w:webHidden/>
            <w:color w:val="000000"/>
            <w:sz w:val="28"/>
            <w:szCs w:val="28"/>
          </w:rPr>
        </w:r>
        <w:r>
          <w:rPr>
            <w:noProof/>
            <w:webHidden/>
            <w:color w:val="000000"/>
            <w:sz w:val="28"/>
            <w:szCs w:val="28"/>
          </w:rPr>
          <w:fldChar w:fldCharType="separate"/>
        </w:r>
        <w:r>
          <w:rPr>
            <w:noProof/>
            <w:webHidden/>
            <w:color w:val="000000"/>
            <w:sz w:val="28"/>
            <w:szCs w:val="28"/>
          </w:rPr>
          <w:t>6</w:t>
        </w:r>
        <w:r>
          <w:rPr>
            <w:noProof/>
            <w:webHidden/>
            <w:color w:val="000000"/>
            <w:sz w:val="28"/>
            <w:szCs w:val="28"/>
          </w:rPr>
          <w:fldChar w:fldCharType="end"/>
        </w:r>
      </w:hyperlink>
    </w:p>
    <w:p w:rsidR="00705F07" w:rsidRDefault="00185A37">
      <w:pPr>
        <w:pStyle w:val="21"/>
        <w:tabs>
          <w:tab w:val="right" w:leader="dot" w:pos="9345"/>
        </w:tabs>
        <w:spacing w:after="0" w:line="360" w:lineRule="auto"/>
        <w:ind w:left="0"/>
        <w:jc w:val="both"/>
        <w:rPr>
          <w:rFonts w:eastAsia="SimSun"/>
          <w:noProof/>
          <w:color w:val="000000"/>
          <w:sz w:val="28"/>
          <w:szCs w:val="28"/>
        </w:rPr>
      </w:pPr>
      <w:hyperlink w:anchor="_Toc213845764" w:history="1">
        <w:r>
          <w:rPr>
            <w:rStyle w:val="a3"/>
            <w:noProof/>
            <w:color w:val="000000"/>
            <w:sz w:val="28"/>
            <w:szCs w:val="28"/>
            <w:u w:val="none"/>
          </w:rPr>
          <w:t>1.2 Класифікація загроз та ризиків, які впливають на функціонування фінансового ринку</w:t>
        </w:r>
        <w:r>
          <w:rPr>
            <w:noProof/>
            <w:webHidden/>
            <w:color w:val="000000"/>
            <w:sz w:val="28"/>
            <w:szCs w:val="28"/>
          </w:rPr>
          <w:tab/>
        </w:r>
        <w:r>
          <w:rPr>
            <w:noProof/>
            <w:webHidden/>
            <w:color w:val="000000"/>
            <w:sz w:val="28"/>
            <w:szCs w:val="28"/>
          </w:rPr>
          <w:fldChar w:fldCharType="begin"/>
        </w:r>
        <w:r>
          <w:rPr>
            <w:noProof/>
            <w:webHidden/>
            <w:color w:val="000000"/>
            <w:sz w:val="28"/>
            <w:szCs w:val="28"/>
          </w:rPr>
          <w:instrText xml:space="preserve"> PAGEREF _Toc213845764 \h </w:instrText>
        </w:r>
        <w:r>
          <w:rPr>
            <w:noProof/>
            <w:webHidden/>
            <w:color w:val="000000"/>
            <w:sz w:val="28"/>
            <w:szCs w:val="28"/>
          </w:rPr>
        </w:r>
        <w:r>
          <w:rPr>
            <w:noProof/>
            <w:webHidden/>
            <w:color w:val="000000"/>
            <w:sz w:val="28"/>
            <w:szCs w:val="28"/>
          </w:rPr>
          <w:fldChar w:fldCharType="separate"/>
        </w:r>
        <w:r>
          <w:rPr>
            <w:noProof/>
            <w:webHidden/>
            <w:color w:val="000000"/>
            <w:sz w:val="28"/>
            <w:szCs w:val="28"/>
          </w:rPr>
          <w:t>14</w:t>
        </w:r>
        <w:r>
          <w:rPr>
            <w:noProof/>
            <w:webHidden/>
            <w:color w:val="000000"/>
            <w:sz w:val="28"/>
            <w:szCs w:val="28"/>
          </w:rPr>
          <w:fldChar w:fldCharType="end"/>
        </w:r>
      </w:hyperlink>
    </w:p>
    <w:p w:rsidR="00705F07" w:rsidRDefault="00185A37">
      <w:pPr>
        <w:pStyle w:val="21"/>
        <w:tabs>
          <w:tab w:val="right" w:leader="dot" w:pos="9345"/>
        </w:tabs>
        <w:spacing w:after="0" w:line="360" w:lineRule="auto"/>
        <w:ind w:left="0"/>
        <w:jc w:val="both"/>
        <w:rPr>
          <w:rFonts w:eastAsia="SimSun"/>
          <w:noProof/>
          <w:color w:val="000000"/>
          <w:sz w:val="28"/>
          <w:szCs w:val="28"/>
        </w:rPr>
      </w:pPr>
      <w:hyperlink w:anchor="_Toc213845765" w:history="1">
        <w:r>
          <w:rPr>
            <w:rStyle w:val="a3"/>
            <w:noProof/>
            <w:color w:val="000000"/>
            <w:sz w:val="28"/>
            <w:szCs w:val="28"/>
            <w:u w:val="none"/>
          </w:rPr>
          <w:t xml:space="preserve">1.3 </w:t>
        </w:r>
        <w:r>
          <w:rPr>
            <w:rStyle w:val="a3"/>
            <w:noProof/>
            <w:color w:val="000000"/>
            <w:sz w:val="28"/>
            <w:szCs w:val="28"/>
            <w:u w:val="none"/>
          </w:rPr>
          <w:t>Теоретичні підходи до аналізу впливу воєнних конфліктів на фінансові ринки</w:t>
        </w:r>
        <w:r>
          <w:rPr>
            <w:noProof/>
            <w:webHidden/>
            <w:color w:val="000000"/>
            <w:sz w:val="28"/>
            <w:szCs w:val="28"/>
          </w:rPr>
          <w:tab/>
        </w:r>
        <w:r>
          <w:rPr>
            <w:noProof/>
            <w:webHidden/>
            <w:color w:val="000000"/>
            <w:sz w:val="28"/>
            <w:szCs w:val="28"/>
          </w:rPr>
          <w:fldChar w:fldCharType="begin"/>
        </w:r>
        <w:r>
          <w:rPr>
            <w:noProof/>
            <w:webHidden/>
            <w:color w:val="000000"/>
            <w:sz w:val="28"/>
            <w:szCs w:val="28"/>
          </w:rPr>
          <w:instrText xml:space="preserve"> PAGEREF _Toc213845765 \h </w:instrText>
        </w:r>
        <w:r>
          <w:rPr>
            <w:noProof/>
            <w:webHidden/>
            <w:color w:val="000000"/>
            <w:sz w:val="28"/>
            <w:szCs w:val="28"/>
          </w:rPr>
        </w:r>
        <w:r>
          <w:rPr>
            <w:noProof/>
            <w:webHidden/>
            <w:color w:val="000000"/>
            <w:sz w:val="28"/>
            <w:szCs w:val="28"/>
          </w:rPr>
          <w:fldChar w:fldCharType="separate"/>
        </w:r>
        <w:r>
          <w:rPr>
            <w:noProof/>
            <w:webHidden/>
            <w:color w:val="000000"/>
            <w:sz w:val="28"/>
            <w:szCs w:val="28"/>
          </w:rPr>
          <w:t>19</w:t>
        </w:r>
        <w:r>
          <w:rPr>
            <w:noProof/>
            <w:webHidden/>
            <w:color w:val="000000"/>
            <w:sz w:val="28"/>
            <w:szCs w:val="28"/>
          </w:rPr>
          <w:fldChar w:fldCharType="end"/>
        </w:r>
      </w:hyperlink>
    </w:p>
    <w:p w:rsidR="00705F07" w:rsidRDefault="00185A37">
      <w:pPr>
        <w:pStyle w:val="21"/>
        <w:tabs>
          <w:tab w:val="right" w:leader="dot" w:pos="9345"/>
        </w:tabs>
        <w:spacing w:after="0" w:line="360" w:lineRule="auto"/>
        <w:ind w:left="0"/>
        <w:jc w:val="both"/>
        <w:rPr>
          <w:rFonts w:eastAsia="SimSun"/>
          <w:noProof/>
          <w:color w:val="000000"/>
          <w:sz w:val="28"/>
          <w:szCs w:val="28"/>
        </w:rPr>
      </w:pPr>
      <w:hyperlink w:anchor="_Toc213845766" w:history="1">
        <w:r>
          <w:rPr>
            <w:rStyle w:val="a3"/>
            <w:noProof/>
            <w:color w:val="000000"/>
            <w:sz w:val="28"/>
            <w:szCs w:val="28"/>
            <w:u w:val="none"/>
          </w:rPr>
          <w:t>Висновки до розділу 1</w:t>
        </w:r>
        <w:r>
          <w:rPr>
            <w:noProof/>
            <w:webHidden/>
            <w:color w:val="000000"/>
            <w:sz w:val="28"/>
            <w:szCs w:val="28"/>
          </w:rPr>
          <w:tab/>
        </w:r>
        <w:r>
          <w:rPr>
            <w:noProof/>
            <w:webHidden/>
            <w:color w:val="000000"/>
            <w:sz w:val="28"/>
            <w:szCs w:val="28"/>
          </w:rPr>
          <w:fldChar w:fldCharType="begin"/>
        </w:r>
        <w:r>
          <w:rPr>
            <w:noProof/>
            <w:webHidden/>
            <w:color w:val="000000"/>
            <w:sz w:val="28"/>
            <w:szCs w:val="28"/>
          </w:rPr>
          <w:instrText xml:space="preserve"> PAGEREF _Toc213845766 \h </w:instrText>
        </w:r>
        <w:r>
          <w:rPr>
            <w:noProof/>
            <w:webHidden/>
            <w:color w:val="000000"/>
            <w:sz w:val="28"/>
            <w:szCs w:val="28"/>
          </w:rPr>
        </w:r>
        <w:r>
          <w:rPr>
            <w:noProof/>
            <w:webHidden/>
            <w:color w:val="000000"/>
            <w:sz w:val="28"/>
            <w:szCs w:val="28"/>
          </w:rPr>
          <w:fldChar w:fldCharType="separate"/>
        </w:r>
        <w:r>
          <w:rPr>
            <w:noProof/>
            <w:webHidden/>
            <w:color w:val="000000"/>
            <w:sz w:val="28"/>
            <w:szCs w:val="28"/>
          </w:rPr>
          <w:t>24</w:t>
        </w:r>
        <w:r>
          <w:rPr>
            <w:noProof/>
            <w:webHidden/>
            <w:color w:val="000000"/>
            <w:sz w:val="28"/>
            <w:szCs w:val="28"/>
          </w:rPr>
          <w:fldChar w:fldCharType="end"/>
        </w:r>
      </w:hyperlink>
    </w:p>
    <w:p w:rsidR="00705F07" w:rsidRDefault="00185A37">
      <w:pPr>
        <w:pStyle w:val="21"/>
        <w:tabs>
          <w:tab w:val="right" w:leader="dot" w:pos="9345"/>
        </w:tabs>
        <w:spacing w:after="0" w:line="360" w:lineRule="auto"/>
        <w:ind w:left="0"/>
        <w:jc w:val="both"/>
        <w:rPr>
          <w:rFonts w:eastAsia="SimSun"/>
          <w:noProof/>
          <w:color w:val="000000"/>
          <w:sz w:val="28"/>
          <w:szCs w:val="28"/>
        </w:rPr>
      </w:pPr>
      <w:hyperlink w:anchor="_Toc213845767" w:history="1">
        <w:r>
          <w:rPr>
            <w:rStyle w:val="a3"/>
            <w:noProof/>
            <w:color w:val="000000"/>
            <w:sz w:val="28"/>
            <w:szCs w:val="28"/>
            <w:u w:val="none"/>
          </w:rPr>
          <w:t>РОЗДІЛ 2</w:t>
        </w:r>
      </w:hyperlink>
      <w:r>
        <w:rPr>
          <w:rStyle w:val="a3"/>
          <w:noProof/>
          <w:color w:val="000000"/>
          <w:sz w:val="28"/>
          <w:szCs w:val="28"/>
          <w:u w:val="none"/>
          <w:lang w:val="uk-UA"/>
        </w:rPr>
        <w:t xml:space="preserve"> </w:t>
      </w:r>
      <w:hyperlink w:anchor="_Toc213845768" w:history="1">
        <w:r>
          <w:rPr>
            <w:rStyle w:val="a3"/>
            <w:noProof/>
            <w:color w:val="000000"/>
            <w:sz w:val="28"/>
            <w:szCs w:val="28"/>
            <w:u w:val="none"/>
          </w:rPr>
          <w:t>АНАЛІЗ СУЧАСНОГО СТАНУ ФІНАНСОВОГО РИНКУ УКРАЇНИ В УМОВАХ ВІЙНИ 2022-2024 рр.</w:t>
        </w:r>
        <w:r>
          <w:rPr>
            <w:noProof/>
            <w:webHidden/>
            <w:color w:val="000000"/>
            <w:sz w:val="28"/>
            <w:szCs w:val="28"/>
          </w:rPr>
          <w:tab/>
        </w:r>
        <w:r>
          <w:rPr>
            <w:noProof/>
            <w:webHidden/>
            <w:color w:val="000000"/>
            <w:sz w:val="28"/>
            <w:szCs w:val="28"/>
          </w:rPr>
          <w:fldChar w:fldCharType="begin"/>
        </w:r>
        <w:r>
          <w:rPr>
            <w:noProof/>
            <w:webHidden/>
            <w:color w:val="000000"/>
            <w:sz w:val="28"/>
            <w:szCs w:val="28"/>
          </w:rPr>
          <w:instrText xml:space="preserve"> PAGEREF _Toc213845768 \h </w:instrText>
        </w:r>
        <w:r>
          <w:rPr>
            <w:noProof/>
            <w:webHidden/>
            <w:color w:val="000000"/>
            <w:sz w:val="28"/>
            <w:szCs w:val="28"/>
          </w:rPr>
        </w:r>
        <w:r>
          <w:rPr>
            <w:noProof/>
            <w:webHidden/>
            <w:color w:val="000000"/>
            <w:sz w:val="28"/>
            <w:szCs w:val="28"/>
          </w:rPr>
          <w:fldChar w:fldCharType="separate"/>
        </w:r>
        <w:r>
          <w:rPr>
            <w:noProof/>
            <w:webHidden/>
            <w:color w:val="000000"/>
            <w:sz w:val="28"/>
            <w:szCs w:val="28"/>
          </w:rPr>
          <w:t>25</w:t>
        </w:r>
        <w:r>
          <w:rPr>
            <w:noProof/>
            <w:webHidden/>
            <w:color w:val="000000"/>
            <w:sz w:val="28"/>
            <w:szCs w:val="28"/>
          </w:rPr>
          <w:fldChar w:fldCharType="end"/>
        </w:r>
      </w:hyperlink>
    </w:p>
    <w:p w:rsidR="00705F07" w:rsidRDefault="00185A37">
      <w:pPr>
        <w:pStyle w:val="21"/>
        <w:tabs>
          <w:tab w:val="right" w:leader="dot" w:pos="9345"/>
        </w:tabs>
        <w:spacing w:after="0" w:line="360" w:lineRule="auto"/>
        <w:ind w:left="0"/>
        <w:jc w:val="both"/>
        <w:rPr>
          <w:rFonts w:eastAsia="SimSun"/>
          <w:noProof/>
          <w:color w:val="000000"/>
          <w:sz w:val="28"/>
          <w:szCs w:val="28"/>
        </w:rPr>
      </w:pPr>
      <w:hyperlink w:anchor="_Toc213845769" w:history="1">
        <w:r>
          <w:rPr>
            <w:rStyle w:val="a3"/>
            <w:noProof/>
            <w:color w:val="000000"/>
            <w:sz w:val="28"/>
            <w:szCs w:val="28"/>
            <w:u w:val="none"/>
          </w:rPr>
          <w:t>2.1 Оцінювання впливу війни на розвиток національної банківського сектору за період 2022-2024 рр.</w:t>
        </w:r>
        <w:r>
          <w:rPr>
            <w:noProof/>
            <w:webHidden/>
            <w:color w:val="000000"/>
            <w:sz w:val="28"/>
            <w:szCs w:val="28"/>
          </w:rPr>
          <w:tab/>
        </w:r>
        <w:r>
          <w:rPr>
            <w:noProof/>
            <w:webHidden/>
            <w:color w:val="000000"/>
            <w:sz w:val="28"/>
            <w:szCs w:val="28"/>
          </w:rPr>
          <w:fldChar w:fldCharType="begin"/>
        </w:r>
        <w:r>
          <w:rPr>
            <w:noProof/>
            <w:webHidden/>
            <w:color w:val="000000"/>
            <w:sz w:val="28"/>
            <w:szCs w:val="28"/>
          </w:rPr>
          <w:instrText xml:space="preserve"> PAGEREF _Toc213845769 \h </w:instrText>
        </w:r>
        <w:r>
          <w:rPr>
            <w:noProof/>
            <w:webHidden/>
            <w:color w:val="000000"/>
            <w:sz w:val="28"/>
            <w:szCs w:val="28"/>
          </w:rPr>
        </w:r>
        <w:r>
          <w:rPr>
            <w:noProof/>
            <w:webHidden/>
            <w:color w:val="000000"/>
            <w:sz w:val="28"/>
            <w:szCs w:val="28"/>
          </w:rPr>
          <w:fldChar w:fldCharType="separate"/>
        </w:r>
        <w:r>
          <w:rPr>
            <w:noProof/>
            <w:webHidden/>
            <w:color w:val="000000"/>
            <w:sz w:val="28"/>
            <w:szCs w:val="28"/>
          </w:rPr>
          <w:t>25</w:t>
        </w:r>
        <w:r>
          <w:rPr>
            <w:noProof/>
            <w:webHidden/>
            <w:color w:val="000000"/>
            <w:sz w:val="28"/>
            <w:szCs w:val="28"/>
          </w:rPr>
          <w:fldChar w:fldCharType="end"/>
        </w:r>
      </w:hyperlink>
    </w:p>
    <w:p w:rsidR="00705F07" w:rsidRDefault="00185A37">
      <w:pPr>
        <w:pStyle w:val="21"/>
        <w:tabs>
          <w:tab w:val="right" w:leader="dot" w:pos="9345"/>
        </w:tabs>
        <w:spacing w:after="0" w:line="360" w:lineRule="auto"/>
        <w:ind w:left="0"/>
        <w:jc w:val="both"/>
        <w:rPr>
          <w:rFonts w:eastAsia="SimSun"/>
          <w:noProof/>
          <w:color w:val="000000"/>
          <w:sz w:val="28"/>
          <w:szCs w:val="28"/>
        </w:rPr>
      </w:pPr>
      <w:hyperlink w:anchor="_Toc213845770" w:history="1">
        <w:r>
          <w:rPr>
            <w:rStyle w:val="a3"/>
            <w:noProof/>
            <w:color w:val="000000"/>
            <w:sz w:val="28"/>
            <w:szCs w:val="28"/>
            <w:u w:val="none"/>
          </w:rPr>
          <w:t>2.2 Аналіз динаміки валютного ринку України за період 2022-2024 рр.</w:t>
        </w:r>
        <w:r>
          <w:rPr>
            <w:noProof/>
            <w:webHidden/>
            <w:color w:val="000000"/>
            <w:sz w:val="28"/>
            <w:szCs w:val="28"/>
          </w:rPr>
          <w:tab/>
        </w:r>
        <w:r>
          <w:rPr>
            <w:noProof/>
            <w:webHidden/>
            <w:color w:val="000000"/>
            <w:sz w:val="28"/>
            <w:szCs w:val="28"/>
          </w:rPr>
          <w:fldChar w:fldCharType="begin"/>
        </w:r>
        <w:r>
          <w:rPr>
            <w:noProof/>
            <w:webHidden/>
            <w:color w:val="000000"/>
            <w:sz w:val="28"/>
            <w:szCs w:val="28"/>
          </w:rPr>
          <w:instrText xml:space="preserve"> PAGEREF _Toc213845770 \h </w:instrText>
        </w:r>
        <w:r>
          <w:rPr>
            <w:noProof/>
            <w:webHidden/>
            <w:color w:val="000000"/>
            <w:sz w:val="28"/>
            <w:szCs w:val="28"/>
          </w:rPr>
        </w:r>
        <w:r>
          <w:rPr>
            <w:noProof/>
            <w:webHidden/>
            <w:color w:val="000000"/>
            <w:sz w:val="28"/>
            <w:szCs w:val="28"/>
          </w:rPr>
          <w:fldChar w:fldCharType="separate"/>
        </w:r>
        <w:r>
          <w:rPr>
            <w:noProof/>
            <w:webHidden/>
            <w:color w:val="000000"/>
            <w:sz w:val="28"/>
            <w:szCs w:val="28"/>
          </w:rPr>
          <w:t>39</w:t>
        </w:r>
        <w:r>
          <w:rPr>
            <w:noProof/>
            <w:webHidden/>
            <w:color w:val="000000"/>
            <w:sz w:val="28"/>
            <w:szCs w:val="28"/>
          </w:rPr>
          <w:fldChar w:fldCharType="end"/>
        </w:r>
      </w:hyperlink>
    </w:p>
    <w:p w:rsidR="00705F07" w:rsidRDefault="00185A37">
      <w:pPr>
        <w:pStyle w:val="21"/>
        <w:tabs>
          <w:tab w:val="right" w:leader="dot" w:pos="9345"/>
        </w:tabs>
        <w:spacing w:after="0" w:line="360" w:lineRule="auto"/>
        <w:ind w:left="0"/>
        <w:jc w:val="both"/>
        <w:rPr>
          <w:rFonts w:eastAsia="SimSun"/>
          <w:noProof/>
          <w:color w:val="000000"/>
          <w:sz w:val="28"/>
          <w:szCs w:val="28"/>
        </w:rPr>
      </w:pPr>
      <w:hyperlink w:anchor="_Toc213845771" w:history="1">
        <w:r>
          <w:rPr>
            <w:rStyle w:val="a3"/>
            <w:noProof/>
            <w:color w:val="000000"/>
            <w:sz w:val="28"/>
            <w:szCs w:val="28"/>
            <w:u w:val="none"/>
          </w:rPr>
          <w:t>2.3 Аналіз ринку капіталу за період 2022-2024 рр.</w:t>
        </w:r>
        <w:r>
          <w:rPr>
            <w:noProof/>
            <w:webHidden/>
            <w:color w:val="000000"/>
            <w:sz w:val="28"/>
            <w:szCs w:val="28"/>
          </w:rPr>
          <w:tab/>
        </w:r>
        <w:r>
          <w:rPr>
            <w:noProof/>
            <w:webHidden/>
            <w:color w:val="000000"/>
            <w:sz w:val="28"/>
            <w:szCs w:val="28"/>
          </w:rPr>
          <w:fldChar w:fldCharType="begin"/>
        </w:r>
        <w:r>
          <w:rPr>
            <w:noProof/>
            <w:webHidden/>
            <w:color w:val="000000"/>
            <w:sz w:val="28"/>
            <w:szCs w:val="28"/>
          </w:rPr>
          <w:instrText xml:space="preserve"> PAGEREF _Toc213845771 \h </w:instrText>
        </w:r>
        <w:r>
          <w:rPr>
            <w:noProof/>
            <w:webHidden/>
            <w:color w:val="000000"/>
            <w:sz w:val="28"/>
            <w:szCs w:val="28"/>
          </w:rPr>
        </w:r>
        <w:r>
          <w:rPr>
            <w:noProof/>
            <w:webHidden/>
            <w:color w:val="000000"/>
            <w:sz w:val="28"/>
            <w:szCs w:val="28"/>
          </w:rPr>
          <w:fldChar w:fldCharType="separate"/>
        </w:r>
        <w:r>
          <w:rPr>
            <w:noProof/>
            <w:webHidden/>
            <w:color w:val="000000"/>
            <w:sz w:val="28"/>
            <w:szCs w:val="28"/>
          </w:rPr>
          <w:t>47</w:t>
        </w:r>
        <w:r>
          <w:rPr>
            <w:noProof/>
            <w:webHidden/>
            <w:color w:val="000000"/>
            <w:sz w:val="28"/>
            <w:szCs w:val="28"/>
          </w:rPr>
          <w:fldChar w:fldCharType="end"/>
        </w:r>
      </w:hyperlink>
    </w:p>
    <w:p w:rsidR="00705F07" w:rsidRDefault="00185A37">
      <w:pPr>
        <w:pStyle w:val="21"/>
        <w:tabs>
          <w:tab w:val="right" w:leader="dot" w:pos="9345"/>
        </w:tabs>
        <w:spacing w:after="0" w:line="360" w:lineRule="auto"/>
        <w:ind w:left="0"/>
        <w:jc w:val="both"/>
        <w:rPr>
          <w:rFonts w:eastAsia="SimSun"/>
          <w:noProof/>
          <w:color w:val="000000"/>
          <w:sz w:val="28"/>
          <w:szCs w:val="28"/>
        </w:rPr>
      </w:pPr>
      <w:hyperlink w:anchor="_Toc213845772" w:history="1">
        <w:r>
          <w:rPr>
            <w:rStyle w:val="a3"/>
            <w:noProof/>
            <w:color w:val="000000"/>
            <w:sz w:val="28"/>
            <w:szCs w:val="28"/>
            <w:u w:val="none"/>
          </w:rPr>
          <w:t>Висновки до розділу 2</w:t>
        </w:r>
        <w:r>
          <w:rPr>
            <w:noProof/>
            <w:webHidden/>
            <w:color w:val="000000"/>
            <w:sz w:val="28"/>
            <w:szCs w:val="28"/>
          </w:rPr>
          <w:tab/>
        </w:r>
        <w:r>
          <w:rPr>
            <w:noProof/>
            <w:webHidden/>
            <w:color w:val="000000"/>
            <w:sz w:val="28"/>
            <w:szCs w:val="28"/>
          </w:rPr>
          <w:fldChar w:fldCharType="begin"/>
        </w:r>
        <w:r>
          <w:rPr>
            <w:noProof/>
            <w:webHidden/>
            <w:color w:val="000000"/>
            <w:sz w:val="28"/>
            <w:szCs w:val="28"/>
          </w:rPr>
          <w:instrText xml:space="preserve"> PAGEREF _Toc213845772 \h </w:instrText>
        </w:r>
        <w:r>
          <w:rPr>
            <w:noProof/>
            <w:webHidden/>
            <w:color w:val="000000"/>
            <w:sz w:val="28"/>
            <w:szCs w:val="28"/>
          </w:rPr>
        </w:r>
        <w:r>
          <w:rPr>
            <w:noProof/>
            <w:webHidden/>
            <w:color w:val="000000"/>
            <w:sz w:val="28"/>
            <w:szCs w:val="28"/>
          </w:rPr>
          <w:fldChar w:fldCharType="separate"/>
        </w:r>
        <w:r>
          <w:rPr>
            <w:noProof/>
            <w:webHidden/>
            <w:color w:val="000000"/>
            <w:sz w:val="28"/>
            <w:szCs w:val="28"/>
          </w:rPr>
          <w:t>56</w:t>
        </w:r>
        <w:r>
          <w:rPr>
            <w:noProof/>
            <w:webHidden/>
            <w:color w:val="000000"/>
            <w:sz w:val="28"/>
            <w:szCs w:val="28"/>
          </w:rPr>
          <w:fldChar w:fldCharType="end"/>
        </w:r>
      </w:hyperlink>
    </w:p>
    <w:p w:rsidR="00705F07" w:rsidRDefault="00185A37">
      <w:pPr>
        <w:pStyle w:val="21"/>
        <w:tabs>
          <w:tab w:val="right" w:leader="dot" w:pos="9345"/>
        </w:tabs>
        <w:spacing w:after="0" w:line="360" w:lineRule="auto"/>
        <w:ind w:left="0"/>
        <w:jc w:val="both"/>
        <w:rPr>
          <w:rFonts w:eastAsia="SimSun"/>
          <w:noProof/>
          <w:color w:val="000000"/>
          <w:sz w:val="28"/>
          <w:szCs w:val="28"/>
        </w:rPr>
      </w:pPr>
      <w:hyperlink w:anchor="_Toc213845773" w:history="1">
        <w:r>
          <w:rPr>
            <w:rStyle w:val="a3"/>
            <w:noProof/>
            <w:color w:val="000000"/>
            <w:sz w:val="28"/>
            <w:szCs w:val="28"/>
            <w:u w:val="none"/>
          </w:rPr>
          <w:t>РОЗДІЛ</w:t>
        </w:r>
        <w:r>
          <w:rPr>
            <w:rStyle w:val="a3"/>
            <w:noProof/>
            <w:color w:val="000000"/>
            <w:sz w:val="28"/>
            <w:szCs w:val="28"/>
            <w:u w:val="none"/>
          </w:rPr>
          <w:t xml:space="preserve"> 3</w:t>
        </w:r>
      </w:hyperlink>
      <w:r>
        <w:rPr>
          <w:rStyle w:val="a3"/>
          <w:noProof/>
          <w:color w:val="000000"/>
          <w:sz w:val="28"/>
          <w:szCs w:val="28"/>
          <w:u w:val="none"/>
          <w:lang w:val="uk-UA"/>
        </w:rPr>
        <w:t xml:space="preserve"> </w:t>
      </w:r>
      <w:hyperlink w:anchor="_Toc213845774" w:history="1">
        <w:r>
          <w:rPr>
            <w:rStyle w:val="a3"/>
            <w:noProof/>
            <w:color w:val="000000"/>
            <w:sz w:val="28"/>
            <w:szCs w:val="28"/>
            <w:u w:val="none"/>
          </w:rPr>
          <w:t>ФУНКЦІОНУВАННЯ ФІНАНСОВОГО РИНКУ УКРАЇНИ В УМОВАХ ВІЙНИ, ПРОБЛЕМАТИКА І ШЛЯХИ ВИРІШЕННЯ</w:t>
        </w:r>
        <w:r>
          <w:rPr>
            <w:noProof/>
            <w:webHidden/>
            <w:color w:val="000000"/>
            <w:sz w:val="28"/>
            <w:szCs w:val="28"/>
          </w:rPr>
          <w:tab/>
        </w:r>
        <w:r>
          <w:rPr>
            <w:noProof/>
            <w:webHidden/>
            <w:color w:val="000000"/>
            <w:sz w:val="28"/>
            <w:szCs w:val="28"/>
          </w:rPr>
          <w:fldChar w:fldCharType="begin"/>
        </w:r>
        <w:r>
          <w:rPr>
            <w:noProof/>
            <w:webHidden/>
            <w:color w:val="000000"/>
            <w:sz w:val="28"/>
            <w:szCs w:val="28"/>
          </w:rPr>
          <w:instrText xml:space="preserve"> PAGEREF _Toc213845774 \h </w:instrText>
        </w:r>
        <w:r>
          <w:rPr>
            <w:noProof/>
            <w:webHidden/>
            <w:color w:val="000000"/>
            <w:sz w:val="28"/>
            <w:szCs w:val="28"/>
          </w:rPr>
        </w:r>
        <w:r>
          <w:rPr>
            <w:noProof/>
            <w:webHidden/>
            <w:color w:val="000000"/>
            <w:sz w:val="28"/>
            <w:szCs w:val="28"/>
          </w:rPr>
          <w:fldChar w:fldCharType="separate"/>
        </w:r>
        <w:r>
          <w:rPr>
            <w:noProof/>
            <w:webHidden/>
            <w:color w:val="000000"/>
            <w:sz w:val="28"/>
            <w:szCs w:val="28"/>
          </w:rPr>
          <w:t>58</w:t>
        </w:r>
        <w:r>
          <w:rPr>
            <w:noProof/>
            <w:webHidden/>
            <w:color w:val="000000"/>
            <w:sz w:val="28"/>
            <w:szCs w:val="28"/>
          </w:rPr>
          <w:fldChar w:fldCharType="end"/>
        </w:r>
      </w:hyperlink>
    </w:p>
    <w:p w:rsidR="00705F07" w:rsidRDefault="00185A37">
      <w:pPr>
        <w:pStyle w:val="21"/>
        <w:tabs>
          <w:tab w:val="right" w:leader="dot" w:pos="9345"/>
        </w:tabs>
        <w:spacing w:after="0" w:line="360" w:lineRule="auto"/>
        <w:ind w:left="0"/>
        <w:jc w:val="both"/>
        <w:rPr>
          <w:rFonts w:eastAsia="SimSun"/>
          <w:noProof/>
          <w:color w:val="000000"/>
          <w:sz w:val="28"/>
          <w:szCs w:val="28"/>
        </w:rPr>
      </w:pPr>
      <w:hyperlink w:anchor="_Toc213845775" w:history="1">
        <w:r>
          <w:rPr>
            <w:rStyle w:val="a3"/>
            <w:noProof/>
            <w:color w:val="000000"/>
            <w:sz w:val="28"/>
            <w:szCs w:val="28"/>
            <w:u w:val="none"/>
          </w:rPr>
          <w:t>3.1 Проблематика функціонування вітчизняного фінансового ринку</w:t>
        </w:r>
        <w:r>
          <w:rPr>
            <w:noProof/>
            <w:webHidden/>
            <w:color w:val="000000"/>
            <w:sz w:val="28"/>
            <w:szCs w:val="28"/>
          </w:rPr>
          <w:tab/>
        </w:r>
        <w:r>
          <w:rPr>
            <w:noProof/>
            <w:webHidden/>
            <w:color w:val="000000"/>
            <w:sz w:val="28"/>
            <w:szCs w:val="28"/>
          </w:rPr>
          <w:fldChar w:fldCharType="begin"/>
        </w:r>
        <w:r>
          <w:rPr>
            <w:noProof/>
            <w:webHidden/>
            <w:color w:val="000000"/>
            <w:sz w:val="28"/>
            <w:szCs w:val="28"/>
          </w:rPr>
          <w:instrText xml:space="preserve"> PAGEREF _Toc213845775 \h </w:instrText>
        </w:r>
        <w:r>
          <w:rPr>
            <w:noProof/>
            <w:webHidden/>
            <w:color w:val="000000"/>
            <w:sz w:val="28"/>
            <w:szCs w:val="28"/>
          </w:rPr>
        </w:r>
        <w:r>
          <w:rPr>
            <w:noProof/>
            <w:webHidden/>
            <w:color w:val="000000"/>
            <w:sz w:val="28"/>
            <w:szCs w:val="28"/>
          </w:rPr>
          <w:fldChar w:fldCharType="separate"/>
        </w:r>
        <w:r>
          <w:rPr>
            <w:noProof/>
            <w:webHidden/>
            <w:color w:val="000000"/>
            <w:sz w:val="28"/>
            <w:szCs w:val="28"/>
          </w:rPr>
          <w:t>58</w:t>
        </w:r>
        <w:r>
          <w:rPr>
            <w:noProof/>
            <w:webHidden/>
            <w:color w:val="000000"/>
            <w:sz w:val="28"/>
            <w:szCs w:val="28"/>
          </w:rPr>
          <w:fldChar w:fldCharType="end"/>
        </w:r>
      </w:hyperlink>
    </w:p>
    <w:p w:rsidR="00705F07" w:rsidRDefault="00185A37">
      <w:pPr>
        <w:pStyle w:val="21"/>
        <w:tabs>
          <w:tab w:val="right" w:leader="dot" w:pos="9345"/>
        </w:tabs>
        <w:spacing w:after="0" w:line="360" w:lineRule="auto"/>
        <w:ind w:left="0"/>
        <w:jc w:val="both"/>
        <w:rPr>
          <w:rFonts w:eastAsia="SimSun"/>
          <w:noProof/>
          <w:color w:val="000000"/>
          <w:sz w:val="28"/>
          <w:szCs w:val="28"/>
        </w:rPr>
      </w:pPr>
      <w:hyperlink w:anchor="_Toc213845776" w:history="1">
        <w:r>
          <w:rPr>
            <w:rStyle w:val="a3"/>
            <w:noProof/>
            <w:color w:val="000000"/>
            <w:sz w:val="28"/>
            <w:szCs w:val="28"/>
            <w:u w:val="none"/>
          </w:rPr>
          <w:t>3.2 Шляхи вирішення сучасних проблем і перспектив розвитку фінансового ринку в умовах повоєнного відновлення</w:t>
        </w:r>
        <w:r>
          <w:rPr>
            <w:noProof/>
            <w:webHidden/>
            <w:color w:val="000000"/>
            <w:sz w:val="28"/>
            <w:szCs w:val="28"/>
          </w:rPr>
          <w:tab/>
        </w:r>
        <w:r>
          <w:rPr>
            <w:noProof/>
            <w:webHidden/>
            <w:color w:val="000000"/>
            <w:sz w:val="28"/>
            <w:szCs w:val="28"/>
          </w:rPr>
          <w:fldChar w:fldCharType="begin"/>
        </w:r>
        <w:r>
          <w:rPr>
            <w:noProof/>
            <w:webHidden/>
            <w:color w:val="000000"/>
            <w:sz w:val="28"/>
            <w:szCs w:val="28"/>
          </w:rPr>
          <w:instrText xml:space="preserve"> PAGEREF _Toc213845776 \h </w:instrText>
        </w:r>
        <w:r>
          <w:rPr>
            <w:noProof/>
            <w:webHidden/>
            <w:color w:val="000000"/>
            <w:sz w:val="28"/>
            <w:szCs w:val="28"/>
          </w:rPr>
        </w:r>
        <w:r>
          <w:rPr>
            <w:noProof/>
            <w:webHidden/>
            <w:color w:val="000000"/>
            <w:sz w:val="28"/>
            <w:szCs w:val="28"/>
          </w:rPr>
          <w:fldChar w:fldCharType="separate"/>
        </w:r>
        <w:r>
          <w:rPr>
            <w:noProof/>
            <w:webHidden/>
            <w:color w:val="000000"/>
            <w:sz w:val="28"/>
            <w:szCs w:val="28"/>
          </w:rPr>
          <w:t>64</w:t>
        </w:r>
        <w:r>
          <w:rPr>
            <w:noProof/>
            <w:webHidden/>
            <w:color w:val="000000"/>
            <w:sz w:val="28"/>
            <w:szCs w:val="28"/>
          </w:rPr>
          <w:fldChar w:fldCharType="end"/>
        </w:r>
      </w:hyperlink>
    </w:p>
    <w:p w:rsidR="00705F07" w:rsidRDefault="00185A37">
      <w:pPr>
        <w:pStyle w:val="21"/>
        <w:tabs>
          <w:tab w:val="right" w:leader="dot" w:pos="9345"/>
        </w:tabs>
        <w:spacing w:after="0" w:line="360" w:lineRule="auto"/>
        <w:ind w:left="0"/>
        <w:jc w:val="both"/>
        <w:rPr>
          <w:rFonts w:eastAsia="SimSun"/>
          <w:noProof/>
          <w:color w:val="000000"/>
          <w:sz w:val="28"/>
          <w:szCs w:val="28"/>
        </w:rPr>
      </w:pPr>
      <w:hyperlink w:anchor="_Toc213845777" w:history="1">
        <w:r>
          <w:rPr>
            <w:rStyle w:val="a3"/>
            <w:noProof/>
            <w:color w:val="000000"/>
            <w:sz w:val="28"/>
            <w:szCs w:val="28"/>
            <w:u w:val="none"/>
          </w:rPr>
          <w:t>Висновки до розділу 3</w:t>
        </w:r>
        <w:r>
          <w:rPr>
            <w:noProof/>
            <w:webHidden/>
            <w:color w:val="000000"/>
            <w:sz w:val="28"/>
            <w:szCs w:val="28"/>
          </w:rPr>
          <w:tab/>
        </w:r>
        <w:r>
          <w:rPr>
            <w:noProof/>
            <w:webHidden/>
            <w:color w:val="000000"/>
            <w:sz w:val="28"/>
            <w:szCs w:val="28"/>
          </w:rPr>
          <w:fldChar w:fldCharType="begin"/>
        </w:r>
        <w:r>
          <w:rPr>
            <w:noProof/>
            <w:webHidden/>
            <w:color w:val="000000"/>
            <w:sz w:val="28"/>
            <w:szCs w:val="28"/>
          </w:rPr>
          <w:instrText xml:space="preserve"> PAGEREF _Toc213845777 \h </w:instrText>
        </w:r>
        <w:r>
          <w:rPr>
            <w:noProof/>
            <w:webHidden/>
            <w:color w:val="000000"/>
            <w:sz w:val="28"/>
            <w:szCs w:val="28"/>
          </w:rPr>
        </w:r>
        <w:r>
          <w:rPr>
            <w:noProof/>
            <w:webHidden/>
            <w:color w:val="000000"/>
            <w:sz w:val="28"/>
            <w:szCs w:val="28"/>
          </w:rPr>
          <w:fldChar w:fldCharType="separate"/>
        </w:r>
        <w:r>
          <w:rPr>
            <w:noProof/>
            <w:webHidden/>
            <w:color w:val="000000"/>
            <w:sz w:val="28"/>
            <w:szCs w:val="28"/>
          </w:rPr>
          <w:t>70</w:t>
        </w:r>
        <w:r>
          <w:rPr>
            <w:noProof/>
            <w:webHidden/>
            <w:color w:val="000000"/>
            <w:sz w:val="28"/>
            <w:szCs w:val="28"/>
          </w:rPr>
          <w:fldChar w:fldCharType="end"/>
        </w:r>
      </w:hyperlink>
    </w:p>
    <w:p w:rsidR="00705F07" w:rsidRDefault="00185A37">
      <w:pPr>
        <w:pStyle w:val="21"/>
        <w:tabs>
          <w:tab w:val="right" w:leader="dot" w:pos="9345"/>
        </w:tabs>
        <w:spacing w:after="0" w:line="360" w:lineRule="auto"/>
        <w:ind w:left="0"/>
        <w:jc w:val="both"/>
        <w:rPr>
          <w:rFonts w:eastAsia="SimSun"/>
          <w:noProof/>
          <w:color w:val="000000"/>
          <w:sz w:val="28"/>
          <w:szCs w:val="28"/>
        </w:rPr>
      </w:pPr>
      <w:hyperlink w:anchor="_Toc213845778" w:history="1">
        <w:r>
          <w:rPr>
            <w:rStyle w:val="a3"/>
            <w:noProof/>
            <w:color w:val="000000"/>
            <w:sz w:val="28"/>
            <w:szCs w:val="28"/>
            <w:u w:val="none"/>
          </w:rPr>
          <w:t>ВИСНОВОК</w:t>
        </w:r>
        <w:r>
          <w:rPr>
            <w:noProof/>
            <w:webHidden/>
            <w:color w:val="000000"/>
            <w:sz w:val="28"/>
            <w:szCs w:val="28"/>
          </w:rPr>
          <w:tab/>
        </w:r>
        <w:r>
          <w:rPr>
            <w:noProof/>
            <w:webHidden/>
            <w:color w:val="000000"/>
            <w:sz w:val="28"/>
            <w:szCs w:val="28"/>
          </w:rPr>
          <w:fldChar w:fldCharType="begin"/>
        </w:r>
        <w:r>
          <w:rPr>
            <w:noProof/>
            <w:webHidden/>
            <w:color w:val="000000"/>
            <w:sz w:val="28"/>
            <w:szCs w:val="28"/>
          </w:rPr>
          <w:instrText xml:space="preserve"> PAGEREF _Toc213845778 \h </w:instrText>
        </w:r>
        <w:r>
          <w:rPr>
            <w:noProof/>
            <w:webHidden/>
            <w:color w:val="000000"/>
            <w:sz w:val="28"/>
            <w:szCs w:val="28"/>
          </w:rPr>
        </w:r>
        <w:r>
          <w:rPr>
            <w:noProof/>
            <w:webHidden/>
            <w:color w:val="000000"/>
            <w:sz w:val="28"/>
            <w:szCs w:val="28"/>
          </w:rPr>
          <w:fldChar w:fldCharType="separate"/>
        </w:r>
        <w:r>
          <w:rPr>
            <w:noProof/>
            <w:webHidden/>
            <w:color w:val="000000"/>
            <w:sz w:val="28"/>
            <w:szCs w:val="28"/>
          </w:rPr>
          <w:t>72</w:t>
        </w:r>
        <w:r>
          <w:rPr>
            <w:noProof/>
            <w:webHidden/>
            <w:color w:val="000000"/>
            <w:sz w:val="28"/>
            <w:szCs w:val="28"/>
          </w:rPr>
          <w:fldChar w:fldCharType="end"/>
        </w:r>
      </w:hyperlink>
    </w:p>
    <w:p w:rsidR="00705F07" w:rsidRDefault="00185A37">
      <w:pPr>
        <w:pStyle w:val="21"/>
        <w:tabs>
          <w:tab w:val="right" w:leader="dot" w:pos="9345"/>
        </w:tabs>
        <w:spacing w:after="0" w:line="360" w:lineRule="auto"/>
        <w:ind w:left="0"/>
        <w:jc w:val="both"/>
        <w:rPr>
          <w:rFonts w:eastAsia="SimSun"/>
          <w:noProof/>
          <w:color w:val="000000"/>
          <w:sz w:val="28"/>
          <w:szCs w:val="28"/>
        </w:rPr>
      </w:pPr>
      <w:hyperlink w:anchor="_Toc213845779" w:history="1">
        <w:r>
          <w:rPr>
            <w:rStyle w:val="a3"/>
            <w:noProof/>
            <w:color w:val="000000"/>
            <w:sz w:val="28"/>
            <w:szCs w:val="28"/>
            <w:u w:val="none"/>
          </w:rPr>
          <w:t>СПИСОК ВИКОРИСТАНИХ ДЖЕРЕЛ</w:t>
        </w:r>
        <w:r>
          <w:rPr>
            <w:noProof/>
            <w:webHidden/>
            <w:color w:val="000000"/>
            <w:sz w:val="28"/>
            <w:szCs w:val="28"/>
          </w:rPr>
          <w:tab/>
        </w:r>
        <w:r>
          <w:rPr>
            <w:noProof/>
            <w:webHidden/>
            <w:color w:val="000000"/>
            <w:sz w:val="28"/>
            <w:szCs w:val="28"/>
          </w:rPr>
          <w:fldChar w:fldCharType="begin"/>
        </w:r>
        <w:r>
          <w:rPr>
            <w:noProof/>
            <w:webHidden/>
            <w:color w:val="000000"/>
            <w:sz w:val="28"/>
            <w:szCs w:val="28"/>
          </w:rPr>
          <w:instrText xml:space="preserve"> PAGEREF _Toc213845779 \h </w:instrText>
        </w:r>
        <w:r>
          <w:rPr>
            <w:noProof/>
            <w:webHidden/>
            <w:color w:val="000000"/>
            <w:sz w:val="28"/>
            <w:szCs w:val="28"/>
          </w:rPr>
        </w:r>
        <w:r>
          <w:rPr>
            <w:noProof/>
            <w:webHidden/>
            <w:color w:val="000000"/>
            <w:sz w:val="28"/>
            <w:szCs w:val="28"/>
          </w:rPr>
          <w:fldChar w:fldCharType="separate"/>
        </w:r>
        <w:r>
          <w:rPr>
            <w:noProof/>
            <w:webHidden/>
            <w:color w:val="000000"/>
            <w:sz w:val="28"/>
            <w:szCs w:val="28"/>
          </w:rPr>
          <w:t>75</w:t>
        </w:r>
        <w:r>
          <w:rPr>
            <w:noProof/>
            <w:webHidden/>
            <w:color w:val="000000"/>
            <w:sz w:val="28"/>
            <w:szCs w:val="28"/>
          </w:rPr>
          <w:fldChar w:fldCharType="end"/>
        </w:r>
      </w:hyperlink>
    </w:p>
    <w:p w:rsidR="00705F07" w:rsidRDefault="00185A37">
      <w:pPr>
        <w:pStyle w:val="21"/>
        <w:tabs>
          <w:tab w:val="right" w:leader="dot" w:pos="9345"/>
        </w:tabs>
        <w:spacing w:after="0" w:line="360" w:lineRule="auto"/>
        <w:ind w:left="0"/>
        <w:jc w:val="both"/>
        <w:rPr>
          <w:rFonts w:eastAsia="SimSun"/>
          <w:noProof/>
          <w:color w:val="000000"/>
          <w:sz w:val="28"/>
          <w:szCs w:val="28"/>
        </w:rPr>
      </w:pPr>
      <w:hyperlink w:anchor="_Toc213845780" w:history="1">
        <w:r>
          <w:rPr>
            <w:rStyle w:val="a3"/>
            <w:noProof/>
            <w:color w:val="000000"/>
            <w:sz w:val="28"/>
            <w:szCs w:val="28"/>
            <w:u w:val="none"/>
          </w:rPr>
          <w:t>ДО</w:t>
        </w:r>
        <w:r>
          <w:rPr>
            <w:rStyle w:val="a3"/>
            <w:noProof/>
            <w:color w:val="000000"/>
            <w:sz w:val="28"/>
            <w:szCs w:val="28"/>
            <w:u w:val="none"/>
          </w:rPr>
          <w:t>ДАТКИ</w:t>
        </w:r>
        <w:r>
          <w:rPr>
            <w:noProof/>
            <w:webHidden/>
            <w:color w:val="000000"/>
            <w:sz w:val="28"/>
            <w:szCs w:val="28"/>
          </w:rPr>
          <w:tab/>
        </w:r>
        <w:r>
          <w:rPr>
            <w:noProof/>
            <w:webHidden/>
            <w:color w:val="000000"/>
            <w:sz w:val="28"/>
            <w:szCs w:val="28"/>
          </w:rPr>
          <w:fldChar w:fldCharType="begin"/>
        </w:r>
        <w:r>
          <w:rPr>
            <w:noProof/>
            <w:webHidden/>
            <w:color w:val="000000"/>
            <w:sz w:val="28"/>
            <w:szCs w:val="28"/>
          </w:rPr>
          <w:instrText xml:space="preserve"> PAGEREF _Toc213845780 \h </w:instrText>
        </w:r>
        <w:r>
          <w:rPr>
            <w:noProof/>
            <w:webHidden/>
            <w:color w:val="000000"/>
            <w:sz w:val="28"/>
            <w:szCs w:val="28"/>
          </w:rPr>
        </w:r>
        <w:r>
          <w:rPr>
            <w:noProof/>
            <w:webHidden/>
            <w:color w:val="000000"/>
            <w:sz w:val="28"/>
            <w:szCs w:val="28"/>
          </w:rPr>
          <w:fldChar w:fldCharType="separate"/>
        </w:r>
        <w:r>
          <w:rPr>
            <w:noProof/>
            <w:webHidden/>
            <w:color w:val="000000"/>
            <w:sz w:val="28"/>
            <w:szCs w:val="28"/>
          </w:rPr>
          <w:t>84</w:t>
        </w:r>
        <w:r>
          <w:rPr>
            <w:noProof/>
            <w:webHidden/>
            <w:color w:val="000000"/>
            <w:sz w:val="28"/>
            <w:szCs w:val="28"/>
          </w:rPr>
          <w:fldChar w:fldCharType="end"/>
        </w:r>
      </w:hyperlink>
    </w:p>
    <w:p w:rsidR="00705F07" w:rsidRDefault="00185A37">
      <w:pPr>
        <w:spacing w:line="360" w:lineRule="auto"/>
        <w:jc w:val="both"/>
        <w:rPr>
          <w:color w:val="000000"/>
        </w:rPr>
      </w:pPr>
      <w:r>
        <w:rPr>
          <w:color w:val="000000"/>
          <w:sz w:val="28"/>
          <w:szCs w:val="28"/>
        </w:rPr>
        <w:fldChar w:fldCharType="end"/>
      </w:r>
    </w:p>
    <w:p w:rsidR="00705F07" w:rsidRDefault="00185A37">
      <w:pPr>
        <w:rPr>
          <w:rFonts w:eastAsia="SimSun"/>
          <w:bCs/>
          <w:color w:val="000000"/>
          <w:sz w:val="28"/>
          <w:szCs w:val="28"/>
        </w:rPr>
      </w:pPr>
      <w:r>
        <w:rPr>
          <w:color w:val="000000"/>
          <w:sz w:val="28"/>
          <w:szCs w:val="28"/>
        </w:rPr>
        <w:br w:type="page"/>
      </w:r>
    </w:p>
    <w:p w:rsidR="00705F07" w:rsidRDefault="00185A37">
      <w:pPr>
        <w:pStyle w:val="2"/>
        <w:keepNext w:val="0"/>
        <w:keepLines w:val="0"/>
        <w:spacing w:before="0" w:line="360" w:lineRule="auto"/>
        <w:ind w:firstLine="709"/>
        <w:jc w:val="center"/>
        <w:rPr>
          <w:rFonts w:ascii="Times New Roman" w:hAnsi="Times New Roman" w:cs="Times New Roman"/>
          <w:b w:val="0"/>
          <w:color w:val="000000"/>
          <w:sz w:val="28"/>
          <w:szCs w:val="28"/>
        </w:rPr>
      </w:pPr>
      <w:bookmarkStart w:id="1" w:name="_Toc213845760"/>
      <w:r>
        <w:rPr>
          <w:rFonts w:ascii="Times New Roman" w:hAnsi="Times New Roman" w:cs="Times New Roman"/>
          <w:b w:val="0"/>
          <w:color w:val="000000"/>
          <w:sz w:val="28"/>
          <w:szCs w:val="28"/>
        </w:rPr>
        <w:lastRenderedPageBreak/>
        <w:t>ВСТУП</w:t>
      </w:r>
      <w:bookmarkEnd w:id="1"/>
    </w:p>
    <w:p w:rsidR="00705F07" w:rsidRDefault="00705F07">
      <w:pPr>
        <w:pStyle w:val="aa"/>
        <w:spacing w:before="0" w:beforeAutospacing="0" w:after="0" w:afterAutospacing="0" w:line="360" w:lineRule="auto"/>
        <w:ind w:firstLine="709"/>
        <w:jc w:val="both"/>
        <w:rPr>
          <w:color w:val="000000"/>
          <w:sz w:val="28"/>
          <w:szCs w:val="28"/>
          <w:lang w:val="uk-UA"/>
        </w:rPr>
      </w:pPr>
    </w:p>
    <w:p w:rsidR="00705F07" w:rsidRDefault="00185A37">
      <w:pPr>
        <w:pStyle w:val="aa"/>
        <w:spacing w:before="0" w:beforeAutospacing="0" w:after="0" w:afterAutospacing="0" w:line="360" w:lineRule="auto"/>
        <w:ind w:firstLine="709"/>
        <w:jc w:val="both"/>
        <w:rPr>
          <w:color w:val="000000"/>
          <w:sz w:val="28"/>
          <w:szCs w:val="28"/>
        </w:rPr>
      </w:pPr>
      <w:r>
        <w:rPr>
          <w:color w:val="000000"/>
          <w:sz w:val="28"/>
          <w:szCs w:val="28"/>
          <w:lang w:val="uk-UA"/>
        </w:rPr>
        <w:t xml:space="preserve">Актуальність дослідження. Сучасна економічна ситуація в Україні, зокрема в умовах повномасштабної війни, створює суттєві виклики для фінансового ринку та вимагає комплексного аналізу його функціонування та адаптації до нових умов. Фінансовий ринок України </w:t>
      </w:r>
      <w:r>
        <w:rPr>
          <w:color w:val="000000"/>
          <w:sz w:val="28"/>
          <w:szCs w:val="28"/>
          <w:lang w:val="uk-UA"/>
        </w:rPr>
        <w:t xml:space="preserve">є ключовим елементом національної економіки, оскільки забезпечує акумуляцію та розподіл фінансових ресурсів, стабільність національної валюти, розвиток інвестиційної діяльності та сприяє функціонуванню підприємницького середовища. </w:t>
      </w:r>
      <w:r>
        <w:rPr>
          <w:color w:val="000000"/>
          <w:sz w:val="28"/>
          <w:szCs w:val="28"/>
        </w:rPr>
        <w:t>В умовах воєнного стану ф</w:t>
      </w:r>
      <w:r>
        <w:rPr>
          <w:color w:val="000000"/>
          <w:sz w:val="28"/>
          <w:szCs w:val="28"/>
        </w:rPr>
        <w:t>інансовий сектор зазнає значних потрясінь, що проявляються у високій волатильності валютного ринку, коливаннях на ринку капіталу, зростанні фінансових ризиків та ускладненні доступу до кредитних ресурсів. Незважаючи на наявні наукові дослідження з питань ф</w:t>
      </w:r>
      <w:r>
        <w:rPr>
          <w:color w:val="000000"/>
          <w:sz w:val="28"/>
          <w:szCs w:val="28"/>
        </w:rPr>
        <w:t>ункціонування фінансових ринків у кризових умовах, комплексний аналіз їх розвитку саме в умовах війни залишається актуальним і недостатньо висвітленим.</w:t>
      </w:r>
    </w:p>
    <w:p w:rsidR="00705F07" w:rsidRDefault="00185A37">
      <w:pPr>
        <w:pStyle w:val="aa"/>
        <w:spacing w:before="0" w:beforeAutospacing="0" w:after="0" w:afterAutospacing="0" w:line="360" w:lineRule="auto"/>
        <w:ind w:firstLine="709"/>
        <w:jc w:val="both"/>
        <w:rPr>
          <w:color w:val="000000"/>
          <w:sz w:val="28"/>
          <w:szCs w:val="28"/>
          <w:lang w:val="uk-UA"/>
        </w:rPr>
      </w:pPr>
      <w:r>
        <w:rPr>
          <w:color w:val="000000"/>
          <w:sz w:val="28"/>
          <w:szCs w:val="28"/>
        </w:rPr>
        <w:t>Питання впливу воєнних конфліктів на фінансовий ринок України досліджувалися в працях таких науковців, я</w:t>
      </w:r>
      <w:r>
        <w:rPr>
          <w:color w:val="000000"/>
          <w:sz w:val="28"/>
          <w:szCs w:val="28"/>
        </w:rPr>
        <w:t>к Ситник Н. С., Вергелюк Ю. Ю., Радіонов Ю. Д., Бечко П. К., Борисюк О., Коваленко Ю. М., Козій Н. С., Прокопенко Н. С.</w:t>
      </w:r>
      <w:r>
        <w:rPr>
          <w:color w:val="000000"/>
          <w:sz w:val="28"/>
          <w:szCs w:val="28"/>
          <w:lang w:val="uk-UA"/>
        </w:rPr>
        <w:t xml:space="preserve"> </w:t>
      </w:r>
      <w:r>
        <w:rPr>
          <w:color w:val="000000"/>
          <w:sz w:val="28"/>
          <w:szCs w:val="28"/>
        </w:rPr>
        <w:t>та ін. Вони розглядали проблеми фінансової стабільності, управління ризиками, функціонування банківської системи та вплив макроекономічн</w:t>
      </w:r>
      <w:r>
        <w:rPr>
          <w:color w:val="000000"/>
          <w:sz w:val="28"/>
          <w:szCs w:val="28"/>
        </w:rPr>
        <w:t>ого середовища на розвиток фінансового ринку. Водночас сучасні воєнні реалії висувають нові виклики, які вимагають глибокого дослідження таких аспектів, як забезпечення стабільності банківської та інвестиційної діяльності, регулювання валютного ринку та ад</w:t>
      </w:r>
      <w:r>
        <w:rPr>
          <w:color w:val="000000"/>
          <w:sz w:val="28"/>
          <w:szCs w:val="28"/>
        </w:rPr>
        <w:t>аптація фінансових інструментів до умов високої невизначеності. Аналіз цих процесів дозволяє оцінити загрози та перспективи розвитку фінансового ринку України, а також сформувати рекомендації для його подальшого функціонування.</w:t>
      </w:r>
    </w:p>
    <w:p w:rsidR="00705F07" w:rsidRDefault="00185A37">
      <w:pPr>
        <w:pStyle w:val="aa"/>
        <w:tabs>
          <w:tab w:val="left" w:pos="993"/>
        </w:tabs>
        <w:spacing w:before="0" w:beforeAutospacing="0" w:after="0" w:afterAutospacing="0" w:line="360" w:lineRule="auto"/>
        <w:ind w:firstLine="709"/>
        <w:jc w:val="both"/>
        <w:rPr>
          <w:color w:val="000000"/>
          <w:sz w:val="28"/>
          <w:szCs w:val="28"/>
          <w:lang w:val="uk-UA"/>
        </w:rPr>
      </w:pPr>
      <w:r>
        <w:rPr>
          <w:color w:val="000000"/>
          <w:sz w:val="28"/>
          <w:szCs w:val="28"/>
          <w:lang w:val="uk-UA"/>
        </w:rPr>
        <w:lastRenderedPageBreak/>
        <w:t>Метою роботи є дослідження в</w:t>
      </w:r>
      <w:r>
        <w:rPr>
          <w:color w:val="000000"/>
          <w:sz w:val="28"/>
          <w:szCs w:val="28"/>
          <w:lang w:val="uk-UA"/>
        </w:rPr>
        <w:t>пливу війни на розвиток фінансового ринку України, визначення ключових загроз та оцінка перспектив його стабілізації та розвитку в умовах воєнних дій.</w:t>
      </w:r>
    </w:p>
    <w:p w:rsidR="00705F07" w:rsidRDefault="00185A37">
      <w:pPr>
        <w:pStyle w:val="aa"/>
        <w:tabs>
          <w:tab w:val="left" w:pos="993"/>
        </w:tabs>
        <w:spacing w:before="0" w:beforeAutospacing="0" w:after="0" w:afterAutospacing="0" w:line="360" w:lineRule="auto"/>
        <w:ind w:firstLine="709"/>
        <w:jc w:val="both"/>
        <w:rPr>
          <w:color w:val="000000"/>
          <w:sz w:val="28"/>
          <w:szCs w:val="28"/>
        </w:rPr>
      </w:pPr>
      <w:r>
        <w:rPr>
          <w:color w:val="000000"/>
          <w:sz w:val="28"/>
          <w:szCs w:val="28"/>
        </w:rPr>
        <w:t>Завдання дослідження:</w:t>
      </w:r>
    </w:p>
    <w:p w:rsidR="00705F07" w:rsidRDefault="00185A37">
      <w:pPr>
        <w:pStyle w:val="aa"/>
        <w:numPr>
          <w:ilvl w:val="0"/>
          <w:numId w:val="1"/>
        </w:numPr>
        <w:tabs>
          <w:tab w:val="left" w:pos="993"/>
        </w:tabs>
        <w:spacing w:before="0" w:beforeAutospacing="0" w:after="0" w:afterAutospacing="0" w:line="360" w:lineRule="auto"/>
        <w:ind w:left="0" w:firstLine="709"/>
        <w:jc w:val="both"/>
        <w:rPr>
          <w:color w:val="000000"/>
          <w:sz w:val="28"/>
          <w:szCs w:val="28"/>
        </w:rPr>
      </w:pPr>
      <w:r>
        <w:rPr>
          <w:color w:val="000000"/>
          <w:sz w:val="28"/>
          <w:szCs w:val="28"/>
          <w:lang w:val="uk-UA"/>
        </w:rPr>
        <w:t>в</w:t>
      </w:r>
      <w:r>
        <w:rPr>
          <w:color w:val="000000"/>
          <w:sz w:val="28"/>
          <w:szCs w:val="28"/>
        </w:rPr>
        <w:t xml:space="preserve">ивчити теоретичні основи формування та функціонування фінансового ринку України в </w:t>
      </w:r>
      <w:r>
        <w:rPr>
          <w:color w:val="000000"/>
          <w:sz w:val="28"/>
          <w:szCs w:val="28"/>
        </w:rPr>
        <w:t>умовах сучасної економічної та політичної ситуації</w:t>
      </w:r>
      <w:r>
        <w:rPr>
          <w:color w:val="000000"/>
          <w:sz w:val="28"/>
          <w:szCs w:val="28"/>
          <w:lang w:val="uk-UA"/>
        </w:rPr>
        <w:t>;</w:t>
      </w:r>
    </w:p>
    <w:p w:rsidR="00705F07" w:rsidRDefault="00185A37">
      <w:pPr>
        <w:pStyle w:val="aa"/>
        <w:numPr>
          <w:ilvl w:val="0"/>
          <w:numId w:val="1"/>
        </w:numPr>
        <w:tabs>
          <w:tab w:val="left" w:pos="993"/>
        </w:tabs>
        <w:spacing w:before="0" w:beforeAutospacing="0" w:after="0" w:afterAutospacing="0" w:line="360" w:lineRule="auto"/>
        <w:ind w:left="0" w:firstLine="709"/>
        <w:jc w:val="both"/>
        <w:rPr>
          <w:color w:val="000000"/>
          <w:sz w:val="28"/>
          <w:szCs w:val="28"/>
        </w:rPr>
      </w:pPr>
      <w:r>
        <w:rPr>
          <w:color w:val="000000"/>
          <w:sz w:val="28"/>
          <w:szCs w:val="28"/>
          <w:lang w:val="uk-UA"/>
        </w:rPr>
        <w:t>в</w:t>
      </w:r>
      <w:r>
        <w:rPr>
          <w:color w:val="000000"/>
          <w:sz w:val="28"/>
          <w:szCs w:val="28"/>
        </w:rPr>
        <w:t>изначити та систематизувати основні загрози та ризики, що впливають на функціонування фінансового ринку України</w:t>
      </w:r>
      <w:r>
        <w:rPr>
          <w:color w:val="000000"/>
          <w:sz w:val="28"/>
          <w:szCs w:val="28"/>
          <w:lang w:val="uk-UA"/>
        </w:rPr>
        <w:t>;</w:t>
      </w:r>
    </w:p>
    <w:p w:rsidR="00705F07" w:rsidRDefault="00185A37">
      <w:pPr>
        <w:pStyle w:val="aa"/>
        <w:numPr>
          <w:ilvl w:val="0"/>
          <w:numId w:val="1"/>
        </w:numPr>
        <w:tabs>
          <w:tab w:val="left" w:pos="993"/>
        </w:tabs>
        <w:spacing w:before="0" w:beforeAutospacing="0" w:after="0" w:afterAutospacing="0" w:line="360" w:lineRule="auto"/>
        <w:ind w:left="0" w:firstLine="709"/>
        <w:jc w:val="both"/>
        <w:rPr>
          <w:color w:val="000000"/>
          <w:sz w:val="28"/>
          <w:szCs w:val="28"/>
        </w:rPr>
      </w:pPr>
      <w:r>
        <w:rPr>
          <w:color w:val="000000"/>
          <w:sz w:val="28"/>
          <w:szCs w:val="28"/>
          <w:lang w:val="uk-UA"/>
        </w:rPr>
        <w:t>п</w:t>
      </w:r>
      <w:r>
        <w:rPr>
          <w:color w:val="000000"/>
          <w:sz w:val="28"/>
          <w:szCs w:val="28"/>
        </w:rPr>
        <w:t>роаналізувати наукові підходи та методології оцінки впливу воєнних конфліктів на фінансов</w:t>
      </w:r>
      <w:r>
        <w:rPr>
          <w:color w:val="000000"/>
          <w:sz w:val="28"/>
          <w:szCs w:val="28"/>
        </w:rPr>
        <w:t>і ринки</w:t>
      </w:r>
      <w:r>
        <w:rPr>
          <w:color w:val="000000"/>
          <w:sz w:val="28"/>
          <w:szCs w:val="28"/>
          <w:lang w:val="uk-UA"/>
        </w:rPr>
        <w:t>;</w:t>
      </w:r>
    </w:p>
    <w:p w:rsidR="00705F07" w:rsidRDefault="00185A37">
      <w:pPr>
        <w:pStyle w:val="aa"/>
        <w:numPr>
          <w:ilvl w:val="0"/>
          <w:numId w:val="1"/>
        </w:numPr>
        <w:tabs>
          <w:tab w:val="left" w:pos="993"/>
        </w:tabs>
        <w:spacing w:before="0" w:beforeAutospacing="0" w:after="0" w:afterAutospacing="0" w:line="360" w:lineRule="auto"/>
        <w:ind w:left="0" w:firstLine="709"/>
        <w:jc w:val="both"/>
        <w:rPr>
          <w:color w:val="000000"/>
          <w:sz w:val="28"/>
          <w:szCs w:val="28"/>
        </w:rPr>
      </w:pPr>
      <w:r>
        <w:rPr>
          <w:color w:val="000000"/>
          <w:sz w:val="28"/>
          <w:szCs w:val="28"/>
          <w:lang w:val="uk-UA"/>
        </w:rPr>
        <w:t>с</w:t>
      </w:r>
      <w:r>
        <w:rPr>
          <w:color w:val="000000"/>
          <w:sz w:val="28"/>
          <w:szCs w:val="28"/>
        </w:rPr>
        <w:t>формулювати узагальнені висновки щодо теоретичних основ та ризиків функціонування фінансового ринку України</w:t>
      </w:r>
      <w:r>
        <w:rPr>
          <w:color w:val="000000"/>
          <w:sz w:val="28"/>
          <w:szCs w:val="28"/>
          <w:lang w:val="uk-UA"/>
        </w:rPr>
        <w:t>;</w:t>
      </w:r>
    </w:p>
    <w:p w:rsidR="00705F07" w:rsidRDefault="00185A37">
      <w:pPr>
        <w:pStyle w:val="aa"/>
        <w:numPr>
          <w:ilvl w:val="0"/>
          <w:numId w:val="1"/>
        </w:numPr>
        <w:tabs>
          <w:tab w:val="left" w:pos="993"/>
        </w:tabs>
        <w:spacing w:before="0" w:beforeAutospacing="0" w:after="0" w:afterAutospacing="0" w:line="360" w:lineRule="auto"/>
        <w:ind w:left="0" w:firstLine="709"/>
        <w:jc w:val="both"/>
        <w:rPr>
          <w:color w:val="000000"/>
          <w:sz w:val="28"/>
          <w:szCs w:val="28"/>
        </w:rPr>
      </w:pPr>
      <w:r>
        <w:rPr>
          <w:color w:val="000000"/>
          <w:sz w:val="28"/>
          <w:szCs w:val="28"/>
          <w:lang w:val="uk-UA"/>
        </w:rPr>
        <w:t>о</w:t>
      </w:r>
      <w:r>
        <w:rPr>
          <w:color w:val="000000"/>
          <w:sz w:val="28"/>
          <w:szCs w:val="28"/>
        </w:rPr>
        <w:t>цінити зміни та ефекти війни на функціонування та стабільність банківського сектору України у 2022-2024 рр.</w:t>
      </w:r>
      <w:r>
        <w:rPr>
          <w:color w:val="000000"/>
          <w:sz w:val="28"/>
          <w:szCs w:val="28"/>
          <w:lang w:val="uk-UA"/>
        </w:rPr>
        <w:t>;</w:t>
      </w:r>
    </w:p>
    <w:p w:rsidR="00705F07" w:rsidRDefault="00185A37">
      <w:pPr>
        <w:pStyle w:val="aa"/>
        <w:numPr>
          <w:ilvl w:val="0"/>
          <w:numId w:val="1"/>
        </w:numPr>
        <w:tabs>
          <w:tab w:val="left" w:pos="993"/>
        </w:tabs>
        <w:spacing w:before="0" w:beforeAutospacing="0" w:after="0" w:afterAutospacing="0" w:line="360" w:lineRule="auto"/>
        <w:ind w:left="0" w:firstLine="709"/>
        <w:jc w:val="both"/>
        <w:rPr>
          <w:color w:val="000000"/>
          <w:sz w:val="28"/>
          <w:szCs w:val="28"/>
        </w:rPr>
      </w:pPr>
      <w:r>
        <w:rPr>
          <w:color w:val="000000"/>
          <w:sz w:val="28"/>
          <w:szCs w:val="28"/>
          <w:lang w:val="uk-UA"/>
        </w:rPr>
        <w:t>п</w:t>
      </w:r>
      <w:r>
        <w:rPr>
          <w:color w:val="000000"/>
          <w:sz w:val="28"/>
          <w:szCs w:val="28"/>
        </w:rPr>
        <w:t>роаналізувати коливання ва</w:t>
      </w:r>
      <w:r>
        <w:rPr>
          <w:color w:val="000000"/>
          <w:sz w:val="28"/>
          <w:szCs w:val="28"/>
        </w:rPr>
        <w:t>лютного ринку України та визначити фактори, що вплинули на його стабільність під час війни</w:t>
      </w:r>
      <w:r>
        <w:rPr>
          <w:color w:val="000000"/>
          <w:sz w:val="28"/>
          <w:szCs w:val="28"/>
          <w:lang w:val="uk-UA"/>
        </w:rPr>
        <w:t>;</w:t>
      </w:r>
    </w:p>
    <w:p w:rsidR="00705F07" w:rsidRDefault="00185A37">
      <w:pPr>
        <w:pStyle w:val="aa"/>
        <w:numPr>
          <w:ilvl w:val="0"/>
          <w:numId w:val="1"/>
        </w:numPr>
        <w:tabs>
          <w:tab w:val="left" w:pos="993"/>
        </w:tabs>
        <w:spacing w:before="0" w:beforeAutospacing="0" w:after="0" w:afterAutospacing="0" w:line="360" w:lineRule="auto"/>
        <w:ind w:left="0" w:firstLine="709"/>
        <w:jc w:val="both"/>
        <w:rPr>
          <w:color w:val="000000"/>
          <w:sz w:val="28"/>
          <w:szCs w:val="28"/>
        </w:rPr>
      </w:pPr>
      <w:r>
        <w:rPr>
          <w:color w:val="000000"/>
          <w:sz w:val="28"/>
          <w:szCs w:val="28"/>
          <w:lang w:val="uk-UA"/>
        </w:rPr>
        <w:t>д</w:t>
      </w:r>
      <w:r>
        <w:rPr>
          <w:color w:val="000000"/>
          <w:sz w:val="28"/>
          <w:szCs w:val="28"/>
        </w:rPr>
        <w:t>ослідити стан та динаміку ринку капіталу в Україні, виявити зміни у структурі інвестицій та фінансових інструментів</w:t>
      </w:r>
      <w:r>
        <w:rPr>
          <w:color w:val="000000"/>
          <w:sz w:val="28"/>
          <w:szCs w:val="28"/>
          <w:lang w:val="uk-UA"/>
        </w:rPr>
        <w:t>;</w:t>
      </w:r>
    </w:p>
    <w:p w:rsidR="00705F07" w:rsidRDefault="00185A37">
      <w:pPr>
        <w:pStyle w:val="aa"/>
        <w:numPr>
          <w:ilvl w:val="0"/>
          <w:numId w:val="1"/>
        </w:numPr>
        <w:tabs>
          <w:tab w:val="left" w:pos="993"/>
        </w:tabs>
        <w:spacing w:before="0" w:beforeAutospacing="0" w:after="0" w:afterAutospacing="0" w:line="360" w:lineRule="auto"/>
        <w:ind w:left="0" w:firstLine="709"/>
        <w:jc w:val="both"/>
        <w:rPr>
          <w:color w:val="000000"/>
          <w:sz w:val="28"/>
          <w:szCs w:val="28"/>
        </w:rPr>
      </w:pPr>
      <w:r>
        <w:rPr>
          <w:color w:val="000000"/>
          <w:sz w:val="28"/>
          <w:szCs w:val="28"/>
          <w:lang w:val="uk-UA"/>
        </w:rPr>
        <w:t>в</w:t>
      </w:r>
      <w:r>
        <w:rPr>
          <w:color w:val="000000"/>
          <w:sz w:val="28"/>
          <w:szCs w:val="28"/>
        </w:rPr>
        <w:t>изначити ключові проблеми та обмеження, що пе</w:t>
      </w:r>
      <w:r>
        <w:rPr>
          <w:color w:val="000000"/>
          <w:sz w:val="28"/>
          <w:szCs w:val="28"/>
        </w:rPr>
        <w:t>решкоджають ефективному функціонуванню фінансового ринку України в умовах війни</w:t>
      </w:r>
      <w:r>
        <w:rPr>
          <w:color w:val="000000"/>
          <w:sz w:val="28"/>
          <w:szCs w:val="28"/>
          <w:lang w:val="uk-UA"/>
        </w:rPr>
        <w:t>.</w:t>
      </w:r>
    </w:p>
    <w:p w:rsidR="00705F07" w:rsidRDefault="00185A37">
      <w:pPr>
        <w:pStyle w:val="aa"/>
        <w:spacing w:before="0" w:beforeAutospacing="0" w:after="0" w:afterAutospacing="0" w:line="360" w:lineRule="auto"/>
        <w:ind w:firstLine="709"/>
        <w:jc w:val="both"/>
        <w:rPr>
          <w:color w:val="000000"/>
          <w:sz w:val="28"/>
          <w:szCs w:val="28"/>
          <w:lang w:val="uk-UA"/>
        </w:rPr>
      </w:pPr>
      <w:r>
        <w:rPr>
          <w:color w:val="000000"/>
          <w:sz w:val="28"/>
          <w:szCs w:val="28"/>
        </w:rPr>
        <w:t>Об’єкт дослідження – фінансовий ринок України в умовах війни.</w:t>
      </w:r>
    </w:p>
    <w:p w:rsidR="00705F07" w:rsidRDefault="00185A37">
      <w:pPr>
        <w:pStyle w:val="aa"/>
        <w:spacing w:before="0" w:beforeAutospacing="0" w:after="0" w:afterAutospacing="0" w:line="360" w:lineRule="auto"/>
        <w:ind w:firstLine="709"/>
        <w:jc w:val="both"/>
        <w:rPr>
          <w:color w:val="000000"/>
          <w:sz w:val="28"/>
          <w:szCs w:val="28"/>
        </w:rPr>
      </w:pPr>
      <w:r>
        <w:rPr>
          <w:color w:val="000000"/>
          <w:sz w:val="28"/>
          <w:szCs w:val="28"/>
        </w:rPr>
        <w:t>Предмет дослідження – особливості його функціонування, загрози та перспективи розвитку у період 2022-2024 рр.</w:t>
      </w:r>
    </w:p>
    <w:p w:rsidR="00705F07" w:rsidRDefault="00185A37">
      <w:pPr>
        <w:pStyle w:val="aa"/>
        <w:spacing w:before="0" w:beforeAutospacing="0" w:after="0" w:afterAutospacing="0" w:line="360" w:lineRule="auto"/>
        <w:ind w:firstLine="709"/>
        <w:jc w:val="both"/>
        <w:rPr>
          <w:color w:val="000000"/>
          <w:sz w:val="28"/>
          <w:szCs w:val="28"/>
        </w:rPr>
      </w:pPr>
      <w:r>
        <w:rPr>
          <w:color w:val="000000"/>
          <w:sz w:val="28"/>
          <w:szCs w:val="28"/>
        </w:rPr>
        <w:t>Мет</w:t>
      </w:r>
      <w:r>
        <w:rPr>
          <w:color w:val="000000"/>
          <w:sz w:val="28"/>
          <w:szCs w:val="28"/>
        </w:rPr>
        <w:t>оди дослідження. Для досягнення мети застосовано комплекс методів: аналіз та синтез – для вивчення теоретичних та практичних аспектів функціонування фінансового ринку; порівняння – для оцінки змін у його структурі та показниках; метод узагальнення – для ви</w:t>
      </w:r>
      <w:r>
        <w:rPr>
          <w:color w:val="000000"/>
          <w:sz w:val="28"/>
          <w:szCs w:val="28"/>
        </w:rPr>
        <w:t>значення тенденцій та перспектив; табличні та графічні методи – для візуалізації динаміки фінансових показників.</w:t>
      </w:r>
    </w:p>
    <w:p w:rsidR="00705F07" w:rsidRDefault="00185A37">
      <w:pPr>
        <w:pStyle w:val="aa"/>
        <w:spacing w:before="0" w:beforeAutospacing="0" w:after="0" w:afterAutospacing="0" w:line="360" w:lineRule="auto"/>
        <w:ind w:firstLine="709"/>
        <w:jc w:val="both"/>
        <w:rPr>
          <w:color w:val="000000"/>
          <w:sz w:val="28"/>
          <w:szCs w:val="28"/>
        </w:rPr>
      </w:pPr>
      <w:r>
        <w:rPr>
          <w:color w:val="000000"/>
          <w:sz w:val="28"/>
          <w:szCs w:val="28"/>
        </w:rPr>
        <w:lastRenderedPageBreak/>
        <w:t>Практичне значення роботи полягає у розробці рекомендацій щодо мінімізації ризиків та підвищення стабільності фінансового ринку України в умова</w:t>
      </w:r>
      <w:r>
        <w:rPr>
          <w:color w:val="000000"/>
          <w:sz w:val="28"/>
          <w:szCs w:val="28"/>
        </w:rPr>
        <w:t>х війни, що можуть бути використані у діяльності державних органів та фінансових установ.</w:t>
      </w:r>
    </w:p>
    <w:p w:rsidR="00705F07" w:rsidRDefault="00185A37">
      <w:pPr>
        <w:pStyle w:val="aa"/>
        <w:spacing w:before="0" w:beforeAutospacing="0" w:after="0" w:afterAutospacing="0" w:line="360" w:lineRule="auto"/>
        <w:ind w:firstLine="709"/>
        <w:jc w:val="both"/>
        <w:rPr>
          <w:color w:val="000000"/>
          <w:sz w:val="28"/>
          <w:szCs w:val="28"/>
        </w:rPr>
      </w:pPr>
      <w:r>
        <w:rPr>
          <w:color w:val="000000"/>
          <w:sz w:val="28"/>
          <w:szCs w:val="28"/>
        </w:rPr>
        <w:t>Інформаційна база дослідження включає наукові праці вітчизняних та зарубіжних авторів, офіційні звіти Національного банку України, статистичні дані, нормативно-правов</w:t>
      </w:r>
      <w:r>
        <w:rPr>
          <w:color w:val="000000"/>
          <w:sz w:val="28"/>
          <w:szCs w:val="28"/>
        </w:rPr>
        <w:t>і акти та матеріали з офіційних веб-ресурсів.</w:t>
      </w:r>
    </w:p>
    <w:p w:rsidR="00705F07" w:rsidRDefault="00185A37">
      <w:pPr>
        <w:tabs>
          <w:tab w:val="left" w:pos="993"/>
        </w:tabs>
        <w:spacing w:line="360" w:lineRule="auto"/>
        <w:ind w:firstLine="709"/>
        <w:jc w:val="both"/>
        <w:rPr>
          <w:color w:val="000000"/>
          <w:sz w:val="28"/>
          <w:szCs w:val="28"/>
        </w:rPr>
      </w:pPr>
      <w:r>
        <w:rPr>
          <w:color w:val="000000"/>
          <w:sz w:val="28"/>
          <w:szCs w:val="28"/>
        </w:rPr>
        <w:t xml:space="preserve">Структура роботи включає вступ, три розділи, висновки, список використаних джерел та додатки. Зміст роботи викладено на </w:t>
      </w:r>
      <w:r>
        <w:rPr>
          <w:color w:val="000000"/>
          <w:sz w:val="28"/>
          <w:szCs w:val="28"/>
          <w:lang w:val="uk-UA"/>
        </w:rPr>
        <w:t>70</w:t>
      </w:r>
      <w:r>
        <w:rPr>
          <w:color w:val="000000"/>
          <w:sz w:val="28"/>
          <w:szCs w:val="28"/>
        </w:rPr>
        <w:t xml:space="preserve"> сторінках основного тексту. Робота налічує </w:t>
      </w:r>
      <w:r>
        <w:rPr>
          <w:color w:val="000000"/>
          <w:sz w:val="28"/>
          <w:szCs w:val="28"/>
          <w:lang w:val="uk-UA"/>
        </w:rPr>
        <w:t>16</w:t>
      </w:r>
      <w:r>
        <w:rPr>
          <w:color w:val="000000"/>
          <w:sz w:val="28"/>
          <w:szCs w:val="28"/>
        </w:rPr>
        <w:t xml:space="preserve"> таблиць та </w:t>
      </w:r>
      <w:r>
        <w:rPr>
          <w:color w:val="000000"/>
          <w:sz w:val="28"/>
          <w:szCs w:val="28"/>
          <w:lang w:val="uk-UA"/>
        </w:rPr>
        <w:t>10</w:t>
      </w:r>
      <w:r>
        <w:rPr>
          <w:color w:val="000000"/>
          <w:sz w:val="28"/>
          <w:szCs w:val="28"/>
        </w:rPr>
        <w:t xml:space="preserve"> рисунків. </w:t>
      </w:r>
    </w:p>
    <w:p w:rsidR="00705F07" w:rsidRDefault="00185A37">
      <w:pPr>
        <w:rPr>
          <w:rFonts w:eastAsia="SimSun"/>
          <w:bCs/>
          <w:color w:val="000000"/>
          <w:sz w:val="28"/>
          <w:szCs w:val="28"/>
        </w:rPr>
      </w:pPr>
      <w:r>
        <w:rPr>
          <w:color w:val="000000"/>
          <w:sz w:val="28"/>
          <w:szCs w:val="28"/>
        </w:rPr>
        <w:br w:type="page"/>
      </w:r>
    </w:p>
    <w:p w:rsidR="00705F07" w:rsidRDefault="00185A37">
      <w:pPr>
        <w:pStyle w:val="2"/>
        <w:keepNext w:val="0"/>
        <w:keepLines w:val="0"/>
        <w:spacing w:before="0" w:line="360" w:lineRule="auto"/>
        <w:ind w:firstLine="709"/>
        <w:jc w:val="center"/>
        <w:rPr>
          <w:rFonts w:ascii="Times New Roman" w:hAnsi="Times New Roman" w:cs="Times New Roman"/>
          <w:b w:val="0"/>
          <w:color w:val="000000"/>
          <w:sz w:val="28"/>
          <w:szCs w:val="28"/>
        </w:rPr>
      </w:pPr>
      <w:bookmarkStart w:id="2" w:name="_Toc213845761"/>
      <w:r>
        <w:rPr>
          <w:rFonts w:ascii="Times New Roman" w:hAnsi="Times New Roman" w:cs="Times New Roman"/>
          <w:b w:val="0"/>
          <w:color w:val="000000"/>
          <w:sz w:val="28"/>
          <w:szCs w:val="28"/>
        </w:rPr>
        <w:lastRenderedPageBreak/>
        <w:t>РОЗДІЛ 1</w:t>
      </w:r>
      <w:bookmarkEnd w:id="2"/>
    </w:p>
    <w:p w:rsidR="00705F07" w:rsidRDefault="00185A37">
      <w:pPr>
        <w:pStyle w:val="2"/>
        <w:keepNext w:val="0"/>
        <w:keepLines w:val="0"/>
        <w:spacing w:before="0" w:line="360" w:lineRule="auto"/>
        <w:ind w:firstLine="709"/>
        <w:jc w:val="center"/>
        <w:rPr>
          <w:rFonts w:ascii="Times New Roman" w:hAnsi="Times New Roman" w:cs="Times New Roman"/>
          <w:b w:val="0"/>
          <w:color w:val="000000"/>
          <w:sz w:val="28"/>
          <w:szCs w:val="28"/>
        </w:rPr>
      </w:pPr>
      <w:bookmarkStart w:id="3" w:name="_Toc213845762"/>
      <w:r>
        <w:rPr>
          <w:rFonts w:ascii="Times New Roman" w:hAnsi="Times New Roman" w:cs="Times New Roman"/>
          <w:b w:val="0"/>
          <w:color w:val="000000"/>
          <w:sz w:val="28"/>
          <w:szCs w:val="28"/>
        </w:rPr>
        <w:t>ТЕОРЕТИЧНІ ОСНОВИ ДОСЛІДЖЕНЬ ФІНАНСОВОГО РИНКУ</w:t>
      </w:r>
      <w:bookmarkEnd w:id="3"/>
    </w:p>
    <w:p w:rsidR="00705F07" w:rsidRDefault="00705F07">
      <w:pPr>
        <w:pStyle w:val="2"/>
        <w:keepNext w:val="0"/>
        <w:keepLines w:val="0"/>
        <w:spacing w:before="0" w:line="360" w:lineRule="auto"/>
        <w:ind w:firstLine="709"/>
        <w:jc w:val="both"/>
        <w:rPr>
          <w:rFonts w:ascii="Times New Roman" w:hAnsi="Times New Roman" w:cs="Times New Roman"/>
          <w:b w:val="0"/>
          <w:color w:val="000000"/>
          <w:sz w:val="28"/>
          <w:szCs w:val="28"/>
        </w:rPr>
      </w:pPr>
    </w:p>
    <w:p w:rsidR="00705F07" w:rsidRDefault="00185A37">
      <w:pPr>
        <w:pStyle w:val="2"/>
        <w:keepNext w:val="0"/>
        <w:keepLines w:val="0"/>
        <w:spacing w:before="0" w:line="360" w:lineRule="auto"/>
        <w:ind w:firstLine="709"/>
        <w:jc w:val="both"/>
        <w:rPr>
          <w:rFonts w:ascii="Times New Roman" w:hAnsi="Times New Roman" w:cs="Times New Roman"/>
          <w:b w:val="0"/>
          <w:color w:val="000000"/>
          <w:sz w:val="28"/>
          <w:szCs w:val="28"/>
        </w:rPr>
      </w:pPr>
      <w:bookmarkStart w:id="4" w:name="_Toc213845763"/>
      <w:r>
        <w:rPr>
          <w:rFonts w:ascii="Times New Roman" w:hAnsi="Times New Roman" w:cs="Times New Roman"/>
          <w:b w:val="0"/>
          <w:color w:val="000000"/>
          <w:sz w:val="28"/>
          <w:szCs w:val="28"/>
        </w:rPr>
        <w:t>1.1 Теоретичні засади щодо формування та функціонування фінансового ринку України в сучасних умовах</w:t>
      </w:r>
      <w:bookmarkEnd w:id="4"/>
    </w:p>
    <w:p w:rsidR="00705F07" w:rsidRDefault="00705F07">
      <w:pPr>
        <w:spacing w:line="360" w:lineRule="auto"/>
        <w:jc w:val="right"/>
        <w:rPr>
          <w:color w:val="000000"/>
          <w:sz w:val="28"/>
          <w:szCs w:val="28"/>
        </w:rPr>
      </w:pPr>
    </w:p>
    <w:p w:rsidR="00705F07" w:rsidRDefault="00185A37">
      <w:pPr>
        <w:spacing w:line="360" w:lineRule="auto"/>
        <w:ind w:firstLine="709"/>
        <w:jc w:val="both"/>
        <w:rPr>
          <w:color w:val="000000"/>
          <w:sz w:val="28"/>
          <w:szCs w:val="28"/>
        </w:rPr>
      </w:pPr>
      <w:r>
        <w:rPr>
          <w:color w:val="000000"/>
          <w:sz w:val="28"/>
          <w:szCs w:val="28"/>
        </w:rPr>
        <w:t xml:space="preserve">Фінансовий ринок виступає важливим інструментом економічної системи будь-якої держави, забезпечуючи </w:t>
      </w:r>
      <w:r>
        <w:rPr>
          <w:color w:val="000000"/>
          <w:sz w:val="28"/>
          <w:szCs w:val="28"/>
        </w:rPr>
        <w:t>ефективний розподіл фінансових ресурсів, формування капіталу та стабільність національної валюти. У сучасних умовах глобалізації, цифровізації та військових конфліктів роль фінансового ринку посилюється, адже саме через нього відбувається підтримка економі</w:t>
      </w:r>
      <w:r>
        <w:rPr>
          <w:color w:val="000000"/>
          <w:sz w:val="28"/>
          <w:szCs w:val="28"/>
        </w:rPr>
        <w:t>чної стабільності та фінансової безпеки держави. Дослідження сутності та функціонування фінансового дозволяє визначити його ключові компоненти, механізми розвитку та вплив інноваційних технологій на трансформацію традиційних фінансових інститутів У наукові</w:t>
      </w:r>
      <w:r>
        <w:rPr>
          <w:color w:val="000000"/>
          <w:sz w:val="28"/>
          <w:szCs w:val="28"/>
        </w:rPr>
        <w:t>й літературі сутність поняття «фінансовий ринок» розглядається з різних позицій – економічної, інституційної, функціональної, інфраструктурної, правової тощо. Це зумовлює необхідність систематизації підходів до його трактування для уточнення теоретико-мето</w:t>
      </w:r>
      <w:r>
        <w:rPr>
          <w:color w:val="000000"/>
          <w:sz w:val="28"/>
          <w:szCs w:val="28"/>
        </w:rPr>
        <w:t>дологічної основи дослідження фінансових процесів (табл. 1.1).</w:t>
      </w:r>
    </w:p>
    <w:p w:rsidR="00705F07" w:rsidRDefault="00185A37">
      <w:pPr>
        <w:spacing w:line="360" w:lineRule="auto"/>
        <w:jc w:val="right"/>
        <w:rPr>
          <w:color w:val="000000"/>
          <w:sz w:val="28"/>
          <w:szCs w:val="28"/>
        </w:rPr>
      </w:pPr>
      <w:r>
        <w:rPr>
          <w:color w:val="000000"/>
          <w:sz w:val="28"/>
          <w:szCs w:val="28"/>
        </w:rPr>
        <w:t>Таблиця 1.1</w:t>
      </w:r>
    </w:p>
    <w:p w:rsidR="00705F07" w:rsidRDefault="00185A37">
      <w:pPr>
        <w:spacing w:line="360" w:lineRule="auto"/>
        <w:jc w:val="center"/>
        <w:rPr>
          <w:color w:val="000000"/>
          <w:sz w:val="28"/>
          <w:szCs w:val="28"/>
        </w:rPr>
      </w:pPr>
      <w:r>
        <w:rPr>
          <w:color w:val="000000"/>
          <w:sz w:val="28"/>
          <w:szCs w:val="28"/>
        </w:rPr>
        <w:t>Підходи авторів щодо сутності фінансового ринку</w:t>
      </w:r>
    </w:p>
    <w:tbl>
      <w:tblPr>
        <w:tblStyle w:val="ad"/>
        <w:tblW w:w="9441" w:type="dxa"/>
        <w:jc w:val="center"/>
        <w:tblLook w:val="04A0" w:firstRow="1" w:lastRow="0" w:firstColumn="1" w:lastColumn="0" w:noHBand="0" w:noVBand="1"/>
      </w:tblPr>
      <w:tblGrid>
        <w:gridCol w:w="458"/>
        <w:gridCol w:w="2060"/>
        <w:gridCol w:w="6923"/>
      </w:tblGrid>
      <w:tr w:rsidR="00705F07">
        <w:trPr>
          <w:jc w:val="center"/>
        </w:trPr>
        <w:tc>
          <w:tcPr>
            <w:tcW w:w="0" w:type="auto"/>
            <w:vAlign w:val="center"/>
            <w:hideMark/>
          </w:tcPr>
          <w:p w:rsidR="00705F07" w:rsidRDefault="00185A37">
            <w:pPr>
              <w:jc w:val="center"/>
              <w:rPr>
                <w:color w:val="000000"/>
              </w:rPr>
            </w:pPr>
            <w:r>
              <w:rPr>
                <w:color w:val="000000"/>
              </w:rPr>
              <w:t>№</w:t>
            </w:r>
          </w:p>
        </w:tc>
        <w:tc>
          <w:tcPr>
            <w:tcW w:w="2060" w:type="dxa"/>
            <w:vAlign w:val="center"/>
            <w:hideMark/>
          </w:tcPr>
          <w:p w:rsidR="00705F07" w:rsidRDefault="00185A37">
            <w:pPr>
              <w:jc w:val="center"/>
              <w:rPr>
                <w:color w:val="000000"/>
              </w:rPr>
            </w:pPr>
            <w:r>
              <w:rPr>
                <w:color w:val="000000"/>
              </w:rPr>
              <w:t>Автори</w:t>
            </w:r>
          </w:p>
        </w:tc>
        <w:tc>
          <w:tcPr>
            <w:tcW w:w="6923" w:type="dxa"/>
            <w:vAlign w:val="center"/>
            <w:hideMark/>
          </w:tcPr>
          <w:p w:rsidR="00705F07" w:rsidRDefault="00185A37">
            <w:pPr>
              <w:jc w:val="center"/>
              <w:rPr>
                <w:color w:val="000000"/>
              </w:rPr>
            </w:pPr>
            <w:r>
              <w:rPr>
                <w:color w:val="000000"/>
              </w:rPr>
              <w:t>Підхід / визначення сутності фінансового ринку</w:t>
            </w:r>
          </w:p>
        </w:tc>
      </w:tr>
      <w:tr w:rsidR="00705F07">
        <w:trPr>
          <w:jc w:val="center"/>
        </w:trPr>
        <w:tc>
          <w:tcPr>
            <w:tcW w:w="0" w:type="auto"/>
            <w:vAlign w:val="center"/>
            <w:hideMark/>
          </w:tcPr>
          <w:p w:rsidR="00705F07" w:rsidRDefault="00185A37">
            <w:pPr>
              <w:jc w:val="center"/>
              <w:rPr>
                <w:color w:val="000000"/>
              </w:rPr>
            </w:pPr>
            <w:r>
              <w:rPr>
                <w:color w:val="000000"/>
              </w:rPr>
              <w:t>1</w:t>
            </w:r>
          </w:p>
        </w:tc>
        <w:tc>
          <w:tcPr>
            <w:tcW w:w="2060" w:type="dxa"/>
            <w:vAlign w:val="center"/>
            <w:hideMark/>
          </w:tcPr>
          <w:p w:rsidR="00705F07" w:rsidRDefault="00185A37">
            <w:pPr>
              <w:jc w:val="center"/>
              <w:rPr>
                <w:color w:val="000000"/>
              </w:rPr>
            </w:pPr>
            <w:r>
              <w:rPr>
                <w:color w:val="000000"/>
              </w:rPr>
              <w:t xml:space="preserve">О. Луцишин </w:t>
            </w:r>
          </w:p>
          <w:p w:rsidR="00705F07" w:rsidRDefault="00185A37">
            <w:pPr>
              <w:jc w:val="center"/>
              <w:rPr>
                <w:color w:val="000000"/>
              </w:rPr>
            </w:pPr>
            <w:r>
              <w:rPr>
                <w:color w:val="000000"/>
                <w:lang w:val="en-US"/>
              </w:rPr>
              <w:t>[</w:t>
            </w:r>
            <w:r>
              <w:rPr>
                <w:color w:val="000000"/>
              </w:rPr>
              <w:t>31, с. 2</w:t>
            </w:r>
            <w:r>
              <w:rPr>
                <w:color w:val="000000"/>
                <w:lang w:val="en-US"/>
              </w:rPr>
              <w:t>]</w:t>
            </w:r>
          </w:p>
        </w:tc>
        <w:tc>
          <w:tcPr>
            <w:tcW w:w="6923" w:type="dxa"/>
            <w:vAlign w:val="center"/>
            <w:hideMark/>
          </w:tcPr>
          <w:p w:rsidR="00705F07" w:rsidRDefault="00185A37">
            <w:pPr>
              <w:jc w:val="both"/>
              <w:rPr>
                <w:color w:val="000000"/>
              </w:rPr>
            </w:pPr>
            <w:r>
              <w:rPr>
                <w:color w:val="000000"/>
              </w:rPr>
              <w:t>«Фінансовий ринок – особлива сфера фінансової систе</w:t>
            </w:r>
            <w:r>
              <w:rPr>
                <w:color w:val="000000"/>
              </w:rPr>
              <w:t>ми, складова її інфраструктури, де здійснюється рух тимчасово вільного капіталу, формуються і функціонують обмінно-перерозподільні відносини, пов’язані з процесами купівлі-продажу вільних фінансових ресурсів, їх трансформація в позиковий та інвестиційний к</w:t>
            </w:r>
            <w:r>
              <w:rPr>
                <w:color w:val="000000"/>
              </w:rPr>
              <w:t>апітал через фінансово-кредитні інститути на основі попиту та пропозиції, формується ціна на різноманітні фінансові інструменти».</w:t>
            </w:r>
          </w:p>
        </w:tc>
      </w:tr>
      <w:tr w:rsidR="00705F07">
        <w:trPr>
          <w:jc w:val="center"/>
        </w:trPr>
        <w:tc>
          <w:tcPr>
            <w:tcW w:w="0" w:type="auto"/>
            <w:vAlign w:val="center"/>
            <w:hideMark/>
          </w:tcPr>
          <w:p w:rsidR="00705F07" w:rsidRDefault="00185A37">
            <w:pPr>
              <w:jc w:val="center"/>
              <w:rPr>
                <w:color w:val="000000"/>
              </w:rPr>
            </w:pPr>
            <w:r>
              <w:rPr>
                <w:color w:val="000000"/>
              </w:rPr>
              <w:t>2</w:t>
            </w:r>
          </w:p>
        </w:tc>
        <w:tc>
          <w:tcPr>
            <w:tcW w:w="2060" w:type="dxa"/>
            <w:vAlign w:val="center"/>
            <w:hideMark/>
          </w:tcPr>
          <w:p w:rsidR="00705F07" w:rsidRDefault="00185A37">
            <w:pPr>
              <w:jc w:val="center"/>
              <w:rPr>
                <w:color w:val="000000"/>
              </w:rPr>
            </w:pPr>
            <w:r>
              <w:rPr>
                <w:color w:val="000000"/>
              </w:rPr>
              <w:t xml:space="preserve">Е. Гатаулліна </w:t>
            </w:r>
            <w:r>
              <w:rPr>
                <w:color w:val="000000"/>
                <w:lang w:val="en-US"/>
              </w:rPr>
              <w:t>[9]</w:t>
            </w:r>
          </w:p>
        </w:tc>
        <w:tc>
          <w:tcPr>
            <w:tcW w:w="6923" w:type="dxa"/>
            <w:vAlign w:val="center"/>
            <w:hideMark/>
          </w:tcPr>
          <w:p w:rsidR="00705F07" w:rsidRDefault="00185A37">
            <w:pPr>
              <w:jc w:val="both"/>
              <w:rPr>
                <w:color w:val="000000"/>
              </w:rPr>
            </w:pPr>
            <w:r>
              <w:rPr>
                <w:color w:val="000000"/>
              </w:rPr>
              <w:t>«Фінансовий ринок – це ринок, який визначається попитом та пропозицією різноманітних фінансових ресурсів.</w:t>
            </w:r>
            <w:r>
              <w:rPr>
                <w:color w:val="000000"/>
              </w:rPr>
              <w:t xml:space="preserve"> Це ринок, де продавці і покупці можуть купити та продати товар».</w:t>
            </w:r>
          </w:p>
        </w:tc>
      </w:tr>
    </w:tbl>
    <w:p w:rsidR="00705F07" w:rsidRDefault="00705F07">
      <w:pPr>
        <w:spacing w:line="360" w:lineRule="auto"/>
        <w:ind w:firstLine="709"/>
        <w:jc w:val="right"/>
        <w:rPr>
          <w:color w:val="000000"/>
          <w:sz w:val="28"/>
          <w:szCs w:val="28"/>
        </w:rPr>
      </w:pPr>
    </w:p>
    <w:p w:rsidR="00705F07" w:rsidRDefault="00185A37">
      <w:pPr>
        <w:spacing w:line="360" w:lineRule="auto"/>
        <w:ind w:firstLine="709"/>
        <w:jc w:val="right"/>
        <w:rPr>
          <w:color w:val="000000"/>
          <w:sz w:val="28"/>
          <w:szCs w:val="28"/>
        </w:rPr>
      </w:pPr>
      <w:r>
        <w:rPr>
          <w:color w:val="000000"/>
          <w:sz w:val="28"/>
          <w:szCs w:val="28"/>
        </w:rPr>
        <w:lastRenderedPageBreak/>
        <w:t>Продовження табл. 1.1</w:t>
      </w:r>
    </w:p>
    <w:tbl>
      <w:tblPr>
        <w:tblStyle w:val="ad"/>
        <w:tblW w:w="9441" w:type="dxa"/>
        <w:jc w:val="center"/>
        <w:tblLook w:val="04A0" w:firstRow="1" w:lastRow="0" w:firstColumn="1" w:lastColumn="0" w:noHBand="0" w:noVBand="1"/>
      </w:tblPr>
      <w:tblGrid>
        <w:gridCol w:w="458"/>
        <w:gridCol w:w="2060"/>
        <w:gridCol w:w="6923"/>
      </w:tblGrid>
      <w:tr w:rsidR="00705F07">
        <w:trPr>
          <w:jc w:val="center"/>
        </w:trPr>
        <w:tc>
          <w:tcPr>
            <w:tcW w:w="0" w:type="auto"/>
            <w:vAlign w:val="center"/>
            <w:hideMark/>
          </w:tcPr>
          <w:p w:rsidR="00705F07" w:rsidRDefault="00185A37">
            <w:pPr>
              <w:jc w:val="center"/>
              <w:rPr>
                <w:color w:val="000000"/>
              </w:rPr>
            </w:pPr>
            <w:r>
              <w:rPr>
                <w:color w:val="000000"/>
              </w:rPr>
              <w:t>№</w:t>
            </w:r>
          </w:p>
        </w:tc>
        <w:tc>
          <w:tcPr>
            <w:tcW w:w="2060" w:type="dxa"/>
            <w:vAlign w:val="center"/>
            <w:hideMark/>
          </w:tcPr>
          <w:p w:rsidR="00705F07" w:rsidRDefault="00185A37">
            <w:pPr>
              <w:jc w:val="center"/>
              <w:rPr>
                <w:color w:val="000000"/>
              </w:rPr>
            </w:pPr>
            <w:r>
              <w:rPr>
                <w:color w:val="000000"/>
              </w:rPr>
              <w:t>Автори</w:t>
            </w:r>
          </w:p>
        </w:tc>
        <w:tc>
          <w:tcPr>
            <w:tcW w:w="6923" w:type="dxa"/>
            <w:vAlign w:val="center"/>
            <w:hideMark/>
          </w:tcPr>
          <w:p w:rsidR="00705F07" w:rsidRDefault="00185A37">
            <w:pPr>
              <w:jc w:val="center"/>
              <w:rPr>
                <w:color w:val="000000"/>
              </w:rPr>
            </w:pPr>
            <w:r>
              <w:rPr>
                <w:color w:val="000000"/>
              </w:rPr>
              <w:t>Підхід / визначення сутності фінансового ринку</w:t>
            </w:r>
          </w:p>
        </w:tc>
      </w:tr>
      <w:tr w:rsidR="00705F07">
        <w:trPr>
          <w:jc w:val="center"/>
        </w:trPr>
        <w:tc>
          <w:tcPr>
            <w:tcW w:w="0" w:type="auto"/>
            <w:vAlign w:val="center"/>
            <w:hideMark/>
          </w:tcPr>
          <w:p w:rsidR="00705F07" w:rsidRDefault="00185A37">
            <w:pPr>
              <w:jc w:val="center"/>
              <w:rPr>
                <w:color w:val="000000"/>
              </w:rPr>
            </w:pPr>
            <w:r>
              <w:rPr>
                <w:color w:val="000000"/>
              </w:rPr>
              <w:t>3</w:t>
            </w:r>
          </w:p>
        </w:tc>
        <w:tc>
          <w:tcPr>
            <w:tcW w:w="2060" w:type="dxa"/>
            <w:vAlign w:val="center"/>
            <w:hideMark/>
          </w:tcPr>
          <w:p w:rsidR="00705F07" w:rsidRDefault="00185A37">
            <w:pPr>
              <w:jc w:val="center"/>
              <w:rPr>
                <w:color w:val="000000"/>
              </w:rPr>
            </w:pPr>
            <w:r>
              <w:rPr>
                <w:color w:val="000000"/>
              </w:rPr>
              <w:t xml:space="preserve">М. Ананьєв </w:t>
            </w:r>
          </w:p>
          <w:p w:rsidR="00705F07" w:rsidRDefault="00185A37">
            <w:pPr>
              <w:jc w:val="center"/>
              <w:rPr>
                <w:color w:val="000000"/>
              </w:rPr>
            </w:pPr>
            <w:r>
              <w:rPr>
                <w:color w:val="000000"/>
                <w:lang w:val="en-US"/>
              </w:rPr>
              <w:t>[</w:t>
            </w:r>
            <w:r>
              <w:rPr>
                <w:color w:val="000000"/>
              </w:rPr>
              <w:t>4, с. 242</w:t>
            </w:r>
            <w:r>
              <w:rPr>
                <w:color w:val="000000"/>
                <w:lang w:val="en-US"/>
              </w:rPr>
              <w:t>]</w:t>
            </w:r>
          </w:p>
        </w:tc>
        <w:tc>
          <w:tcPr>
            <w:tcW w:w="6923" w:type="dxa"/>
            <w:vAlign w:val="center"/>
            <w:hideMark/>
          </w:tcPr>
          <w:p w:rsidR="00705F07" w:rsidRDefault="00185A37">
            <w:pPr>
              <w:jc w:val="both"/>
              <w:rPr>
                <w:color w:val="000000"/>
              </w:rPr>
            </w:pPr>
            <w:r>
              <w:rPr>
                <w:color w:val="000000"/>
              </w:rPr>
              <w:t>«Фінансові ринки є одними з найважливіших складових сучасної економіки, оскільки во</w:t>
            </w:r>
            <w:r>
              <w:rPr>
                <w:color w:val="000000"/>
              </w:rPr>
              <w:t>ни забезпечують доступ до капіталу для підприємств та домогосподарств, регулюють ціни на активи та</w:t>
            </w:r>
          </w:p>
          <w:p w:rsidR="00705F07" w:rsidRDefault="00185A37">
            <w:pPr>
              <w:jc w:val="both"/>
              <w:rPr>
                <w:color w:val="000000"/>
              </w:rPr>
            </w:pPr>
            <w:r>
              <w:rPr>
                <w:color w:val="000000"/>
              </w:rPr>
              <w:t>дозволяють здійснювати різноманітні фінансові операції».</w:t>
            </w:r>
          </w:p>
        </w:tc>
      </w:tr>
      <w:tr w:rsidR="00705F07">
        <w:trPr>
          <w:jc w:val="center"/>
        </w:trPr>
        <w:tc>
          <w:tcPr>
            <w:tcW w:w="0" w:type="auto"/>
            <w:vAlign w:val="center"/>
            <w:hideMark/>
          </w:tcPr>
          <w:p w:rsidR="00705F07" w:rsidRDefault="00185A37">
            <w:pPr>
              <w:jc w:val="center"/>
              <w:rPr>
                <w:color w:val="000000"/>
              </w:rPr>
            </w:pPr>
            <w:r>
              <w:rPr>
                <w:color w:val="000000"/>
              </w:rPr>
              <w:t>4</w:t>
            </w:r>
          </w:p>
        </w:tc>
        <w:tc>
          <w:tcPr>
            <w:tcW w:w="2060" w:type="dxa"/>
            <w:vAlign w:val="center"/>
            <w:hideMark/>
          </w:tcPr>
          <w:p w:rsidR="00705F07" w:rsidRDefault="00185A37">
            <w:pPr>
              <w:jc w:val="center"/>
              <w:rPr>
                <w:color w:val="000000"/>
              </w:rPr>
            </w:pPr>
            <w:r>
              <w:rPr>
                <w:color w:val="000000"/>
              </w:rPr>
              <w:t xml:space="preserve">Л. Гаряга </w:t>
            </w:r>
          </w:p>
          <w:p w:rsidR="00705F07" w:rsidRDefault="00185A37">
            <w:pPr>
              <w:jc w:val="center"/>
              <w:rPr>
                <w:color w:val="000000"/>
              </w:rPr>
            </w:pPr>
            <w:r>
              <w:rPr>
                <w:color w:val="000000"/>
                <w:lang w:val="en-US"/>
              </w:rPr>
              <w:t>[</w:t>
            </w:r>
            <w:r>
              <w:rPr>
                <w:color w:val="000000"/>
              </w:rPr>
              <w:t>8, с. 29</w:t>
            </w:r>
            <w:r>
              <w:rPr>
                <w:color w:val="000000"/>
                <w:lang w:val="en-US"/>
              </w:rPr>
              <w:t>]</w:t>
            </w:r>
          </w:p>
        </w:tc>
        <w:tc>
          <w:tcPr>
            <w:tcW w:w="6923" w:type="dxa"/>
            <w:vAlign w:val="center"/>
            <w:hideMark/>
          </w:tcPr>
          <w:p w:rsidR="00705F07" w:rsidRDefault="00185A37">
            <w:pPr>
              <w:jc w:val="both"/>
              <w:rPr>
                <w:color w:val="000000"/>
              </w:rPr>
            </w:pPr>
            <w:r>
              <w:rPr>
                <w:color w:val="000000"/>
              </w:rPr>
              <w:t>«Фінансовий ринок – це специфічна забезпечувальна сфера фінансової системи,</w:t>
            </w:r>
            <w:r>
              <w:rPr>
                <w:color w:val="000000"/>
              </w:rPr>
              <w:t xml:space="preserve"> що за своєю суттю є системою економіко-правових відносин, які виникають з приводу формування, використання, обігу, трансформації, розподілу і перерозподілу фінансових ресурсів (уречевлених у фінансових активах)».</w:t>
            </w:r>
          </w:p>
        </w:tc>
      </w:tr>
      <w:tr w:rsidR="00705F07">
        <w:trPr>
          <w:jc w:val="center"/>
        </w:trPr>
        <w:tc>
          <w:tcPr>
            <w:tcW w:w="0" w:type="auto"/>
            <w:vAlign w:val="center"/>
            <w:hideMark/>
          </w:tcPr>
          <w:p w:rsidR="00705F07" w:rsidRDefault="00185A37">
            <w:pPr>
              <w:jc w:val="center"/>
              <w:rPr>
                <w:color w:val="000000"/>
              </w:rPr>
            </w:pPr>
            <w:r>
              <w:rPr>
                <w:color w:val="000000"/>
              </w:rPr>
              <w:t>5</w:t>
            </w:r>
          </w:p>
        </w:tc>
        <w:tc>
          <w:tcPr>
            <w:tcW w:w="2060" w:type="dxa"/>
            <w:vAlign w:val="center"/>
            <w:hideMark/>
          </w:tcPr>
          <w:p w:rsidR="00705F07" w:rsidRDefault="00185A37">
            <w:pPr>
              <w:jc w:val="center"/>
              <w:rPr>
                <w:color w:val="000000"/>
              </w:rPr>
            </w:pPr>
            <w:r>
              <w:rPr>
                <w:color w:val="000000"/>
              </w:rPr>
              <w:t xml:space="preserve">Н. Татарин, </w:t>
            </w:r>
          </w:p>
          <w:p w:rsidR="00705F07" w:rsidRDefault="00185A37">
            <w:pPr>
              <w:jc w:val="center"/>
              <w:rPr>
                <w:color w:val="000000"/>
              </w:rPr>
            </w:pPr>
            <w:r>
              <w:rPr>
                <w:color w:val="000000"/>
              </w:rPr>
              <w:t>О. Олійник</w:t>
            </w:r>
          </w:p>
          <w:p w:rsidR="00705F07" w:rsidRDefault="00185A37">
            <w:pPr>
              <w:jc w:val="center"/>
              <w:rPr>
                <w:color w:val="000000"/>
              </w:rPr>
            </w:pPr>
            <w:r>
              <w:rPr>
                <w:color w:val="000000"/>
              </w:rPr>
              <w:t>[44, с. 129]</w:t>
            </w:r>
          </w:p>
        </w:tc>
        <w:tc>
          <w:tcPr>
            <w:tcW w:w="6923" w:type="dxa"/>
            <w:vAlign w:val="center"/>
            <w:hideMark/>
          </w:tcPr>
          <w:p w:rsidR="00705F07" w:rsidRDefault="00185A37">
            <w:pPr>
              <w:jc w:val="both"/>
              <w:rPr>
                <w:color w:val="000000"/>
              </w:rPr>
            </w:pPr>
            <w:r>
              <w:rPr>
                <w:color w:val="000000"/>
              </w:rPr>
              <w:t>«Ф</w:t>
            </w:r>
            <w:r>
              <w:rPr>
                <w:color w:val="000000"/>
              </w:rPr>
              <w:t>інансові ринки загалом означають будь-який ринок, де відбувається торгівля цінними паперами, включаючи фондовий ринок, ринок облігацій, валютний ринок та ринок деривативів</w:t>
            </w:r>
          </w:p>
          <w:p w:rsidR="00705F07" w:rsidRDefault="00185A37">
            <w:pPr>
              <w:jc w:val="both"/>
              <w:rPr>
                <w:color w:val="000000"/>
              </w:rPr>
            </w:pPr>
            <w:r>
              <w:rPr>
                <w:color w:val="000000"/>
              </w:rPr>
              <w:t>тощо. Фінансові ринки важливі для безперебійного функціонування економіки».</w:t>
            </w:r>
          </w:p>
        </w:tc>
      </w:tr>
      <w:tr w:rsidR="00705F07">
        <w:trPr>
          <w:jc w:val="center"/>
        </w:trPr>
        <w:tc>
          <w:tcPr>
            <w:tcW w:w="0" w:type="auto"/>
            <w:vAlign w:val="center"/>
            <w:hideMark/>
          </w:tcPr>
          <w:p w:rsidR="00705F07" w:rsidRDefault="00185A37">
            <w:pPr>
              <w:jc w:val="center"/>
              <w:rPr>
                <w:color w:val="000000"/>
              </w:rPr>
            </w:pPr>
            <w:r>
              <w:rPr>
                <w:color w:val="000000"/>
              </w:rPr>
              <w:t>6</w:t>
            </w:r>
          </w:p>
        </w:tc>
        <w:tc>
          <w:tcPr>
            <w:tcW w:w="2060" w:type="dxa"/>
            <w:vAlign w:val="center"/>
            <w:hideMark/>
          </w:tcPr>
          <w:p w:rsidR="00705F07" w:rsidRDefault="00185A37">
            <w:pPr>
              <w:jc w:val="center"/>
              <w:rPr>
                <w:color w:val="000000"/>
              </w:rPr>
            </w:pPr>
            <w:r>
              <w:rPr>
                <w:color w:val="000000"/>
              </w:rPr>
              <w:t>Л. Лю</w:t>
            </w:r>
            <w:r>
              <w:rPr>
                <w:color w:val="000000"/>
              </w:rPr>
              <w:t>бохинець, О. Лабунець</w:t>
            </w:r>
          </w:p>
          <w:p w:rsidR="00705F07" w:rsidRDefault="00185A37">
            <w:pPr>
              <w:jc w:val="center"/>
              <w:rPr>
                <w:color w:val="000000"/>
              </w:rPr>
            </w:pPr>
            <w:r>
              <w:rPr>
                <w:color w:val="000000"/>
              </w:rPr>
              <w:t>[30, с. 41]</w:t>
            </w:r>
          </w:p>
        </w:tc>
        <w:tc>
          <w:tcPr>
            <w:tcW w:w="6923" w:type="dxa"/>
            <w:vAlign w:val="center"/>
            <w:hideMark/>
          </w:tcPr>
          <w:p w:rsidR="00705F07" w:rsidRDefault="00185A37">
            <w:pPr>
              <w:jc w:val="both"/>
              <w:rPr>
                <w:color w:val="000000"/>
              </w:rPr>
            </w:pPr>
            <w:r>
              <w:rPr>
                <w:color w:val="000000"/>
              </w:rPr>
              <w:t>«Фінансові ринки в умовах глобалізації є головною умовою функціонування світової економіки, оскільки даний процес забезпечує свободу руху капіталів та інших фінансових об’єктів у світовому масштабі».</w:t>
            </w:r>
          </w:p>
        </w:tc>
      </w:tr>
      <w:tr w:rsidR="00705F07">
        <w:trPr>
          <w:jc w:val="center"/>
        </w:trPr>
        <w:tc>
          <w:tcPr>
            <w:tcW w:w="0" w:type="auto"/>
            <w:vAlign w:val="center"/>
            <w:hideMark/>
          </w:tcPr>
          <w:p w:rsidR="00705F07" w:rsidRDefault="00185A37">
            <w:pPr>
              <w:jc w:val="center"/>
              <w:rPr>
                <w:color w:val="000000"/>
              </w:rPr>
            </w:pPr>
            <w:r>
              <w:rPr>
                <w:color w:val="000000"/>
              </w:rPr>
              <w:t>7</w:t>
            </w:r>
          </w:p>
        </w:tc>
        <w:tc>
          <w:tcPr>
            <w:tcW w:w="2060" w:type="dxa"/>
            <w:vAlign w:val="center"/>
            <w:hideMark/>
          </w:tcPr>
          <w:p w:rsidR="00705F07" w:rsidRDefault="00185A37">
            <w:pPr>
              <w:jc w:val="center"/>
              <w:rPr>
                <w:color w:val="000000"/>
              </w:rPr>
            </w:pPr>
            <w:r>
              <w:rPr>
                <w:color w:val="000000"/>
              </w:rPr>
              <w:t>І. Крупка</w:t>
            </w:r>
          </w:p>
          <w:p w:rsidR="00705F07" w:rsidRDefault="00185A37">
            <w:pPr>
              <w:jc w:val="center"/>
              <w:rPr>
                <w:color w:val="000000"/>
              </w:rPr>
            </w:pPr>
            <w:r>
              <w:rPr>
                <w:color w:val="000000"/>
                <w:lang w:val="en-US"/>
              </w:rPr>
              <w:t>[</w:t>
            </w:r>
            <w:r>
              <w:rPr>
                <w:color w:val="000000"/>
              </w:rPr>
              <w:t>26, с. 1</w:t>
            </w:r>
            <w:r>
              <w:rPr>
                <w:color w:val="000000"/>
                <w:lang w:val="en-US"/>
              </w:rPr>
              <w:t>]</w:t>
            </w:r>
            <w:r>
              <w:rPr>
                <w:color w:val="000000"/>
              </w:rPr>
              <w:t xml:space="preserve"> </w:t>
            </w:r>
          </w:p>
        </w:tc>
        <w:tc>
          <w:tcPr>
            <w:tcW w:w="6923" w:type="dxa"/>
            <w:vAlign w:val="center"/>
            <w:hideMark/>
          </w:tcPr>
          <w:p w:rsidR="00705F07" w:rsidRDefault="00185A37">
            <w:pPr>
              <w:jc w:val="both"/>
              <w:rPr>
                <w:color w:val="000000"/>
              </w:rPr>
            </w:pPr>
            <w:r>
              <w:rPr>
                <w:color w:val="000000"/>
              </w:rPr>
              <w:t>«Фінансовий ринок є найважливішою складовою сучасної економічної системи зі своєю філософією, логікою та динамікою</w:t>
            </w:r>
          </w:p>
          <w:p w:rsidR="00705F07" w:rsidRDefault="00185A37">
            <w:pPr>
              <w:jc w:val="both"/>
              <w:rPr>
                <w:color w:val="000000"/>
              </w:rPr>
            </w:pPr>
            <w:r>
              <w:rPr>
                <w:color w:val="000000"/>
              </w:rPr>
              <w:t>розвитку, який відображає взаємодію всіх економічних суб’єктів і структурні зміни в економіці країни, дає змогу мобілізувати грошові кошти</w:t>
            </w:r>
            <w:r>
              <w:rPr>
                <w:color w:val="000000"/>
              </w:rPr>
              <w:t xml:space="preserve"> та спрямовувати їх на задоволення потреб економічних суб’єктів у фінансових ресурсах, а також дозволяє державі оперативно впливати на динаміку господарських процесів у країні».</w:t>
            </w:r>
          </w:p>
        </w:tc>
      </w:tr>
    </w:tbl>
    <w:p w:rsidR="00705F07" w:rsidRDefault="00185A37">
      <w:pPr>
        <w:ind w:firstLine="709"/>
        <w:jc w:val="both"/>
        <w:rPr>
          <w:color w:val="000000"/>
        </w:rPr>
      </w:pPr>
      <w:r>
        <w:rPr>
          <w:color w:val="000000"/>
        </w:rPr>
        <w:t xml:space="preserve">Джерело: складено автором на основі даних [31, с. 2; 9; 4, с. 242; 8, с. 29; </w:t>
      </w:r>
      <w:r>
        <w:rPr>
          <w:color w:val="000000"/>
        </w:rPr>
        <w:t>44, с. 129; 30, с. 41; 26, с. 1].</w:t>
      </w:r>
    </w:p>
    <w:p w:rsidR="00705F07" w:rsidRDefault="00705F07">
      <w:pPr>
        <w:spacing w:line="360" w:lineRule="auto"/>
        <w:ind w:firstLine="709"/>
        <w:jc w:val="both"/>
        <w:rPr>
          <w:color w:val="000000"/>
          <w:sz w:val="28"/>
          <w:szCs w:val="28"/>
        </w:rPr>
      </w:pPr>
    </w:p>
    <w:p w:rsidR="00705F07" w:rsidRDefault="00185A37">
      <w:pPr>
        <w:spacing w:line="360" w:lineRule="auto"/>
        <w:ind w:firstLine="709"/>
        <w:jc w:val="both"/>
        <w:rPr>
          <w:color w:val="000000"/>
          <w:sz w:val="28"/>
          <w:szCs w:val="28"/>
        </w:rPr>
      </w:pPr>
      <w:r>
        <w:rPr>
          <w:color w:val="000000"/>
          <w:sz w:val="28"/>
          <w:szCs w:val="28"/>
        </w:rPr>
        <w:t>Відповідно до О. Луцишина [31, с. 2], фінансовий ринок є «особливою сферою фінансової системи», у межах якої здійснюється рух тимчасово вільного капіталу, відбувається обмін та перерозподіл фінансових ресурсів через фінан</w:t>
      </w:r>
      <w:r>
        <w:rPr>
          <w:color w:val="000000"/>
          <w:sz w:val="28"/>
          <w:szCs w:val="28"/>
        </w:rPr>
        <w:t>сово-кредитні інститути на основі попиту та пропозиції. Такий підхід акцентує увагу на інфраструктурному та інституційному аспектах ринку, підкреслюючи його роль як механізму трансформації заощаджень у позиковий чи інвестиційний капітал.</w:t>
      </w:r>
    </w:p>
    <w:p w:rsidR="00705F07" w:rsidRDefault="00185A37">
      <w:pPr>
        <w:spacing w:line="360" w:lineRule="auto"/>
        <w:ind w:firstLine="709"/>
        <w:jc w:val="both"/>
        <w:rPr>
          <w:color w:val="000000"/>
          <w:sz w:val="28"/>
          <w:szCs w:val="28"/>
        </w:rPr>
      </w:pPr>
      <w:r>
        <w:rPr>
          <w:color w:val="000000"/>
          <w:sz w:val="28"/>
          <w:szCs w:val="28"/>
        </w:rPr>
        <w:t>Інший підхід, пред</w:t>
      </w:r>
      <w:r>
        <w:rPr>
          <w:color w:val="000000"/>
          <w:sz w:val="28"/>
          <w:szCs w:val="28"/>
        </w:rPr>
        <w:t>ставлений Е. Гатаулліною [9], трактує фінансовий ринок як місце зустрічі попиту та пропозиції на фінансові ресурси, тобто як «ринок, де продавці і покупці можуть купити та продати товар». Це визначення орієнтоване на ринкову природу фінансових відносин, де</w:t>
      </w:r>
      <w:r>
        <w:rPr>
          <w:color w:val="000000"/>
          <w:sz w:val="28"/>
          <w:szCs w:val="28"/>
        </w:rPr>
        <w:t xml:space="preserve"> </w:t>
      </w:r>
      <w:r>
        <w:rPr>
          <w:color w:val="000000"/>
          <w:sz w:val="28"/>
          <w:szCs w:val="28"/>
        </w:rPr>
        <w:lastRenderedPageBreak/>
        <w:t>фінансові ресурси виступають товаром зі своєю вартістю та ціною, яка формується під впливом економічних законів ринку.</w:t>
      </w:r>
    </w:p>
    <w:p w:rsidR="00705F07" w:rsidRDefault="00185A37">
      <w:pPr>
        <w:spacing w:line="360" w:lineRule="auto"/>
        <w:ind w:firstLine="709"/>
        <w:jc w:val="both"/>
        <w:rPr>
          <w:color w:val="000000"/>
          <w:sz w:val="28"/>
          <w:szCs w:val="28"/>
        </w:rPr>
      </w:pPr>
      <w:r>
        <w:rPr>
          <w:color w:val="000000"/>
          <w:sz w:val="28"/>
          <w:szCs w:val="28"/>
        </w:rPr>
        <w:t>Автор М. Ананьєв [4, с. 242] розглядає фінансовий ринок як одну з основних складових сучасної економіки, що забезпечує доступ до капітал</w:t>
      </w:r>
      <w:r>
        <w:rPr>
          <w:color w:val="000000"/>
          <w:sz w:val="28"/>
          <w:szCs w:val="28"/>
        </w:rPr>
        <w:t>у для підприємств і домогосподарств, а також виконує функції регулювання цін на активи та здійснення фінансових операцій. Такий підхід можна визначити як функціонально-прикладний, адже він зосереджений на практичній ролі фінансових ринків у забезпеченні еф</w:t>
      </w:r>
      <w:r>
        <w:rPr>
          <w:color w:val="000000"/>
          <w:sz w:val="28"/>
          <w:szCs w:val="28"/>
        </w:rPr>
        <w:t>ективності економічної системи.</w:t>
      </w:r>
    </w:p>
    <w:p w:rsidR="00705F07" w:rsidRDefault="00185A37">
      <w:pPr>
        <w:spacing w:line="360" w:lineRule="auto"/>
        <w:ind w:firstLine="709"/>
        <w:jc w:val="both"/>
        <w:rPr>
          <w:color w:val="000000"/>
          <w:sz w:val="28"/>
          <w:szCs w:val="28"/>
        </w:rPr>
      </w:pPr>
      <w:r>
        <w:rPr>
          <w:color w:val="000000"/>
          <w:sz w:val="28"/>
          <w:szCs w:val="28"/>
        </w:rPr>
        <w:t>У свою чергу, Л. Гаряга [8, с. 29] характеризує фінансовий ринок як «специфічну забезпечувальну сферу фінансової системи», що є системою економіко-правових відносин, які виникають у процесі формування, обігу та перерозподілу</w:t>
      </w:r>
      <w:r>
        <w:rPr>
          <w:color w:val="000000"/>
          <w:sz w:val="28"/>
          <w:szCs w:val="28"/>
        </w:rPr>
        <w:t xml:space="preserve"> фінансових ресурсів. Це визначення поєднує економічний та правовий підходи, акцентуючи увагу на законодавчій регламентації фінансових процесів і ролі держави у їх регулюванні.</w:t>
      </w:r>
    </w:p>
    <w:p w:rsidR="00705F07" w:rsidRDefault="00185A37">
      <w:pPr>
        <w:spacing w:line="360" w:lineRule="auto"/>
        <w:ind w:firstLine="709"/>
        <w:jc w:val="both"/>
        <w:rPr>
          <w:color w:val="000000"/>
          <w:sz w:val="28"/>
          <w:szCs w:val="28"/>
        </w:rPr>
      </w:pPr>
      <w:r>
        <w:rPr>
          <w:color w:val="000000"/>
          <w:sz w:val="28"/>
          <w:szCs w:val="28"/>
        </w:rPr>
        <w:t>Підхід Н. Татарин та О. Олійник [44, с. 129] підкреслює комплексність поняття «</w:t>
      </w:r>
      <w:r>
        <w:rPr>
          <w:color w:val="000000"/>
          <w:sz w:val="28"/>
          <w:szCs w:val="28"/>
        </w:rPr>
        <w:t xml:space="preserve">фінансовий ринок», трактуючи його як сукупність різних сегментів – фондового, валютного, ринку облігацій та деривативів. Автори наголошують на важливості фінансових ринків для безперебійного функціонування економіки, що дає підстави віднести цей підхід до </w:t>
      </w:r>
      <w:r>
        <w:rPr>
          <w:color w:val="000000"/>
          <w:sz w:val="28"/>
          <w:szCs w:val="28"/>
        </w:rPr>
        <w:t>структурно-системного.</w:t>
      </w:r>
    </w:p>
    <w:p w:rsidR="00705F07" w:rsidRDefault="00185A37">
      <w:pPr>
        <w:spacing w:line="360" w:lineRule="auto"/>
        <w:ind w:firstLine="709"/>
        <w:jc w:val="both"/>
        <w:rPr>
          <w:color w:val="000000"/>
          <w:sz w:val="28"/>
          <w:szCs w:val="28"/>
        </w:rPr>
      </w:pPr>
      <w:r>
        <w:rPr>
          <w:color w:val="000000"/>
          <w:sz w:val="28"/>
          <w:szCs w:val="28"/>
        </w:rPr>
        <w:t>Згідно з позицією Л. Любохинець та О. Лабунець [30, с. 41], фінансовий ринок у глобалізованому світі є ключовою умовою функціонування світової економіки, оскільки забезпечує свободу руху капіталів і фінансових інструментів у міжнарод</w:t>
      </w:r>
      <w:r>
        <w:rPr>
          <w:color w:val="000000"/>
          <w:sz w:val="28"/>
          <w:szCs w:val="28"/>
        </w:rPr>
        <w:t>ному масштабі. Це визначення відображає глобалізаційний аспект фінансових ринків, демонструючи їхню інтегрованість та вплив на світові економічні процеси.</w:t>
      </w:r>
    </w:p>
    <w:p w:rsidR="00705F07" w:rsidRDefault="00185A37">
      <w:pPr>
        <w:spacing w:line="360" w:lineRule="auto"/>
        <w:ind w:firstLine="709"/>
        <w:jc w:val="both"/>
        <w:rPr>
          <w:color w:val="000000"/>
          <w:sz w:val="28"/>
          <w:szCs w:val="28"/>
        </w:rPr>
      </w:pPr>
      <w:r>
        <w:rPr>
          <w:color w:val="000000"/>
          <w:sz w:val="28"/>
          <w:szCs w:val="28"/>
        </w:rPr>
        <w:t>Натомість, І. Крупка [26, с. 1] наголошує, що фінансовий ринок – це не лише економічна категорія, а й</w:t>
      </w:r>
      <w:r>
        <w:rPr>
          <w:color w:val="000000"/>
          <w:sz w:val="28"/>
          <w:szCs w:val="28"/>
        </w:rPr>
        <w:t xml:space="preserve"> система взаємодії суб’єктів, що відображає структурні зміни в економіці, забезпечує мобілізацію фінансових ресурсів та дозволяє державі оперативно впливати на господарську динаміку. У цьому </w:t>
      </w:r>
      <w:r>
        <w:rPr>
          <w:color w:val="000000"/>
          <w:sz w:val="28"/>
          <w:szCs w:val="28"/>
        </w:rPr>
        <w:lastRenderedPageBreak/>
        <w:t>визначенні простежується інтегрований підхід, який поєднує економ</w:t>
      </w:r>
      <w:r>
        <w:rPr>
          <w:color w:val="000000"/>
          <w:sz w:val="28"/>
          <w:szCs w:val="28"/>
        </w:rPr>
        <w:t>ічну, інституційну, функціональну та державну складові фінансового ринку.</w:t>
      </w:r>
    </w:p>
    <w:p w:rsidR="00705F07" w:rsidRDefault="00185A37">
      <w:pPr>
        <w:spacing w:line="360" w:lineRule="auto"/>
        <w:ind w:firstLine="709"/>
        <w:jc w:val="both"/>
        <w:rPr>
          <w:color w:val="000000"/>
          <w:sz w:val="28"/>
          <w:szCs w:val="28"/>
        </w:rPr>
      </w:pPr>
      <w:r>
        <w:rPr>
          <w:color w:val="000000"/>
          <w:sz w:val="28"/>
          <w:szCs w:val="28"/>
        </w:rPr>
        <w:t>На основі узагальнення вищенаведених підходів, фінансовий ринок можна визначити як систему економічних, правових та організаційних відносин, що забезпечують перерозподіл фінансових р</w:t>
      </w:r>
      <w:r>
        <w:rPr>
          <w:color w:val="000000"/>
          <w:sz w:val="28"/>
          <w:szCs w:val="28"/>
        </w:rPr>
        <w:t>есурсів між економічними суб’єктами з метою ефективного використання капіталу, стабілізації грошово-кредитної системи та стимулювання економічного розвитку. Його сутність полягає у створенні механізму взаємодії між власниками вільних коштів і споживачами к</w:t>
      </w:r>
      <w:r>
        <w:rPr>
          <w:color w:val="000000"/>
          <w:sz w:val="28"/>
          <w:szCs w:val="28"/>
        </w:rPr>
        <w:t>апіталу, що здійснюється на основі ринкових принципів, з урахуванням державного регулювання та глобальних фінансових тенденцій. Таким чином, фінансовий ринок виступає не лише простором обігу фінансових активів, а й важливою складовою економічного середовищ</w:t>
      </w:r>
      <w:r>
        <w:rPr>
          <w:color w:val="000000"/>
          <w:sz w:val="28"/>
          <w:szCs w:val="28"/>
        </w:rPr>
        <w:t>а, яка формує умови для інвестиційної активності, забезпечує стійкість фінансової системи та сприяє реалізації макроекономічної політики держави.</w:t>
      </w:r>
    </w:p>
    <w:p w:rsidR="00705F07" w:rsidRDefault="00185A37">
      <w:pPr>
        <w:spacing w:line="360" w:lineRule="auto"/>
        <w:ind w:firstLine="709"/>
        <w:jc w:val="both"/>
        <w:rPr>
          <w:color w:val="000000"/>
          <w:sz w:val="28"/>
          <w:szCs w:val="28"/>
        </w:rPr>
      </w:pPr>
      <w:r>
        <w:rPr>
          <w:color w:val="000000"/>
          <w:sz w:val="28"/>
          <w:szCs w:val="28"/>
        </w:rPr>
        <w:t xml:space="preserve">У сучасних умовах глобалізації фінансовий ринок посідає центральне місце у функціонуванні світової економіки, </w:t>
      </w:r>
      <w:r>
        <w:rPr>
          <w:color w:val="000000"/>
          <w:sz w:val="28"/>
          <w:szCs w:val="28"/>
        </w:rPr>
        <w:t>виступаючи основним механізмом перерозподілу фінансових ресурсів між суб’єктами господарювання, державами та домогосподарствами. Його структура є складною, багаторівневою системою, яка охоплює різноманітні сегменти, що взаємодіють між собою на міжнародному</w:t>
      </w:r>
      <w:r>
        <w:rPr>
          <w:color w:val="000000"/>
          <w:sz w:val="28"/>
          <w:szCs w:val="28"/>
        </w:rPr>
        <w:t>, регіональному та національному рівнях. Класифікація фінансового ринку дозволяє не лише глибше зрозуміти його внутрішню організацію, а й ефективніше досліджувати механізми формування капіталу, динаміку грошових потоків і функціонування фінансових інструме</w:t>
      </w:r>
      <w:r>
        <w:rPr>
          <w:color w:val="000000"/>
          <w:sz w:val="28"/>
          <w:szCs w:val="28"/>
        </w:rPr>
        <w:t>нтів (рис. 1.1).</w:t>
      </w:r>
    </w:p>
    <w:p w:rsidR="00705F07" w:rsidRDefault="00185A37">
      <w:pPr>
        <w:spacing w:line="360" w:lineRule="auto"/>
        <w:jc w:val="center"/>
        <w:rPr>
          <w:color w:val="000000"/>
          <w:sz w:val="28"/>
          <w:szCs w:val="28"/>
        </w:rPr>
      </w:pPr>
      <w:r>
        <w:rPr>
          <w:noProof/>
          <w:color w:val="000000"/>
          <w:sz w:val="28"/>
          <w:szCs w:val="28"/>
        </w:rPr>
        <w:lastRenderedPageBreak/>
        <mc:AlternateContent>
          <mc:Choice Requires="wps">
            <w:drawing>
              <wp:anchor distT="0" distB="0" distL="0" distR="0" simplePos="0" relativeHeight="2" behindDoc="0" locked="0" layoutInCell="1" allowOverlap="1">
                <wp:simplePos x="0" y="0"/>
                <wp:positionH relativeFrom="column">
                  <wp:posOffset>6350</wp:posOffset>
                </wp:positionH>
                <wp:positionV relativeFrom="paragraph">
                  <wp:posOffset>635</wp:posOffset>
                </wp:positionV>
                <wp:extent cx="5940425" cy="290195"/>
                <wp:effectExtent l="10160" t="10160" r="12065" b="13970"/>
                <wp:wrapNone/>
                <wp:docPr id="1026" name="AutoShape 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0425" cy="290195"/>
                        </a:xfrm>
                        <a:prstGeom prst="roundRect">
                          <a:avLst>
                            <a:gd name="adj" fmla="val 16667"/>
                          </a:avLst>
                        </a:prstGeom>
                        <a:solidFill>
                          <a:srgbClr val="FFFFFF"/>
                        </a:solidFill>
                        <a:ln w="9525" cap="flat" cmpd="sng">
                          <a:solidFill>
                            <a:srgbClr val="000000"/>
                          </a:solidFill>
                          <a:prstDash val="solid"/>
                          <a:round/>
                          <a:headEnd type="none" w="med" len="med"/>
                          <a:tailEnd type="none" w="med" len="med"/>
                        </a:ln>
                      </wps:spPr>
                      <wps:txbx>
                        <w:txbxContent>
                          <w:p w:rsidR="00705F07" w:rsidRDefault="00185A37">
                            <w:pPr>
                              <w:jc w:val="center"/>
                              <w:rPr>
                                <w:color w:val="000000"/>
                              </w:rPr>
                            </w:pPr>
                            <w:r>
                              <w:rPr>
                                <w:color w:val="000000"/>
                              </w:rPr>
                              <w:t>Міжнародний ринок</w:t>
                            </w:r>
                          </w:p>
                          <w:p w:rsidR="00705F07" w:rsidRDefault="00705F07"/>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psCustomData="http://www.wps.cn/officeDocument/2013/wpsCustomData">
            <w:pict>
              <v:roundrect id="1026" arcsize="0.16666667," fillcolor="white" stroked="t" style="position:absolute;margin-left:0.5pt;margin-top:0.05pt;width:467.75pt;height:22.85pt;z-index:2;mso-position-horizontal-relative:text;mso-position-vertical-relative:text;mso-width-percent:0;mso-height-percent:0;mso-width-relative:page;mso-height-relative:page;mso-wrap-distance-left:0.0pt;mso-wrap-distance-right:0.0pt;visibility:visible;">
                <v:fill/>
                <v:textbox inset="7.2pt,3.6pt,7.2pt,3.6pt">
                  <w:txbxContent>
                    <w:p>
                      <w:pPr>
                        <w:pStyle w:val="style0"/>
                        <w:jc w:val="center"/>
                        <w:rPr>
                          <w:color w:val="000000"/>
                        </w:rPr>
                      </w:pPr>
                      <w:r>
                        <w:rPr>
                          <w:color w:val="000000"/>
                        </w:rPr>
                        <w:t>Міжнародний ринок</w:t>
                      </w:r>
                    </w:p>
                    <w:p>
                      <w:pPr>
                        <w:pStyle w:val="style0"/>
                        <w:rPr/>
                      </w:pPr>
                    </w:p>
                  </w:txbxContent>
                </v:textbox>
              </v:roundrect>
            </w:pict>
          </mc:Fallback>
        </mc:AlternateContent>
      </w:r>
      <w:r>
        <w:rPr>
          <w:noProof/>
          <w:color w:val="000000"/>
          <w:sz w:val="28"/>
          <w:szCs w:val="28"/>
        </w:rPr>
        <mc:AlternateContent>
          <mc:Choice Requires="wpc">
            <w:drawing>
              <wp:inline distT="0" distB="0" distL="0" distR="0">
                <wp:extent cx="5940425" cy="6017895"/>
                <wp:effectExtent l="7620" t="0" r="5080" b="11430"/>
                <wp:docPr id="1027" name="Canvas 1"/>
                <wp:cNvGraphicFramePr>
                  <a:graphicFrameLocks xmlns:a="http://schemas.openxmlformats.org/drawingml/2006/main"/>
                </wp:cNvGraphicFramePr>
                <a:graphic xmlns:a="http://schemas.openxmlformats.org/drawingml/2006/main">
                  <a:graphicData uri="http://schemas.microsoft.com/office/word/2010/wordprocessingCanvas">
                    <wpc:wpc>
                      <wpc:bg/>
                      <wpc:whole/>
                      <wps:wsp>
                        <wps:cNvPr id="1" name="Скругленный прямоугольник 1"/>
                        <wps:cNvSpPr/>
                        <wps:spPr>
                          <a:xfrm>
                            <a:off x="405104" y="423249"/>
                            <a:ext cx="4990782" cy="289592"/>
                          </a:xfrm>
                          <a:prstGeom prst="roundRect">
                            <a:avLst>
                              <a:gd name="adj" fmla="val 16667"/>
                            </a:avLst>
                          </a:prstGeom>
                          <a:solidFill>
                            <a:srgbClr val="FFFFFF"/>
                          </a:solidFill>
                          <a:ln w="9525" cap="flat" cmpd="sng">
                            <a:solidFill>
                              <a:srgbClr val="000000"/>
                            </a:solidFill>
                            <a:prstDash val="solid"/>
                            <a:round/>
                            <a:headEnd type="none" w="med" len="med"/>
                            <a:tailEnd type="none" w="med" len="med"/>
                          </a:ln>
                        </wps:spPr>
                        <wps:txbx>
                          <w:txbxContent>
                            <w:p w:rsidR="00705F07" w:rsidRDefault="00185A37">
                              <w:pPr>
                                <w:jc w:val="center"/>
                                <w:rPr>
                                  <w:color w:val="000000"/>
                                </w:rPr>
                              </w:pPr>
                              <w:r>
                                <w:rPr>
                                  <w:color w:val="000000"/>
                                </w:rPr>
                                <w:t>Національний ринок</w:t>
                              </w:r>
                            </w:p>
                            <w:p w:rsidR="00705F07" w:rsidRDefault="00705F07"/>
                          </w:txbxContent>
                        </wps:txbx>
                        <wps:bodyPr vert="horz" wrap="square" lIns="91440" tIns="45720" rIns="91440" bIns="45720" anchor="t" upright="1">
                          <a:prstTxWarp prst="textNoShape">
                            <a:avLst/>
                          </a:prstTxWarp>
                          <a:noAutofit/>
                        </wps:bodyPr>
                      </wps:wsp>
                      <wps:wsp>
                        <wps:cNvPr id="2" name="Скругленный прямоугольник 2"/>
                        <wps:cNvSpPr/>
                        <wps:spPr>
                          <a:xfrm>
                            <a:off x="885288" y="843198"/>
                            <a:ext cx="4028763" cy="289589"/>
                          </a:xfrm>
                          <a:prstGeom prst="roundRect">
                            <a:avLst>
                              <a:gd name="adj" fmla="val 16667"/>
                            </a:avLst>
                          </a:prstGeom>
                          <a:solidFill>
                            <a:srgbClr val="FFFFFF"/>
                          </a:solidFill>
                          <a:ln w="9525" cap="flat" cmpd="sng">
                            <a:solidFill>
                              <a:srgbClr val="000000"/>
                            </a:solidFill>
                            <a:prstDash val="solid"/>
                            <a:round/>
                            <a:headEnd type="none" w="med" len="med"/>
                            <a:tailEnd type="none" w="med" len="med"/>
                          </a:ln>
                        </wps:spPr>
                        <wps:txbx>
                          <w:txbxContent>
                            <w:p w:rsidR="00705F07" w:rsidRDefault="00185A37">
                              <w:pPr>
                                <w:jc w:val="center"/>
                                <w:rPr>
                                  <w:color w:val="000000"/>
                                </w:rPr>
                              </w:pPr>
                              <w:r>
                                <w:rPr>
                                  <w:color w:val="000000"/>
                                </w:rPr>
                                <w:t>Регіональний ринок</w:t>
                              </w:r>
                            </w:p>
                            <w:p w:rsidR="00705F07" w:rsidRDefault="00705F07"/>
                          </w:txbxContent>
                        </wps:txbx>
                        <wps:bodyPr vert="horz" wrap="square" lIns="91440" tIns="45720" rIns="91440" bIns="45720" anchor="t" upright="1">
                          <a:prstTxWarp prst="textNoShape">
                            <a:avLst/>
                          </a:prstTxWarp>
                          <a:noAutofit/>
                        </wps:bodyPr>
                      </wps:wsp>
                      <wps:wsp>
                        <wps:cNvPr id="3" name="Скругленный прямоугольник 3"/>
                        <wps:cNvSpPr/>
                        <wps:spPr>
                          <a:xfrm>
                            <a:off x="0" y="1285424"/>
                            <a:ext cx="2042846" cy="519779"/>
                          </a:xfrm>
                          <a:prstGeom prst="roundRect">
                            <a:avLst>
                              <a:gd name="adj" fmla="val 16667"/>
                            </a:avLst>
                          </a:prstGeom>
                          <a:solidFill>
                            <a:srgbClr val="FFFFFF"/>
                          </a:solidFill>
                          <a:ln w="9525" cap="flat" cmpd="sng">
                            <a:solidFill>
                              <a:srgbClr val="000000"/>
                            </a:solidFill>
                            <a:prstDash val="solid"/>
                            <a:round/>
                            <a:headEnd type="none" w="med" len="med"/>
                            <a:tailEnd type="none" w="med" len="med"/>
                          </a:ln>
                        </wps:spPr>
                        <wps:txbx>
                          <w:txbxContent>
                            <w:p w:rsidR="00705F07" w:rsidRDefault="00185A37">
                              <w:pPr>
                                <w:jc w:val="center"/>
                                <w:rPr>
                                  <w:color w:val="000000"/>
                                </w:rPr>
                              </w:pPr>
                              <w:r>
                                <w:rPr>
                                  <w:color w:val="000000"/>
                                </w:rPr>
                                <w:t>Ринок боргових фінансових інструментів</w:t>
                              </w:r>
                            </w:p>
                            <w:p w:rsidR="00705F07" w:rsidRDefault="00705F07"/>
                          </w:txbxContent>
                        </wps:txbx>
                        <wps:bodyPr vert="horz" wrap="square" lIns="91440" tIns="45720" rIns="91440" bIns="45720" anchor="t" upright="1">
                          <a:prstTxWarp prst="textNoShape">
                            <a:avLst/>
                          </a:prstTxWarp>
                          <a:noAutofit/>
                        </wps:bodyPr>
                      </wps:wsp>
                      <wps:wsp>
                        <wps:cNvPr id="4" name="Скругленный прямоугольник 4"/>
                        <wps:cNvSpPr/>
                        <wps:spPr>
                          <a:xfrm>
                            <a:off x="2177331" y="1286249"/>
                            <a:ext cx="3763094" cy="518954"/>
                          </a:xfrm>
                          <a:prstGeom prst="roundRect">
                            <a:avLst>
                              <a:gd name="adj" fmla="val 16667"/>
                            </a:avLst>
                          </a:prstGeom>
                          <a:solidFill>
                            <a:srgbClr val="FFFFFF"/>
                          </a:solidFill>
                          <a:ln w="9525" cap="flat" cmpd="sng">
                            <a:solidFill>
                              <a:srgbClr val="000000"/>
                            </a:solidFill>
                            <a:prstDash val="solid"/>
                            <a:round/>
                            <a:headEnd type="none" w="med" len="med"/>
                            <a:tailEnd type="none" w="med" len="med"/>
                          </a:ln>
                        </wps:spPr>
                        <wps:txbx>
                          <w:txbxContent>
                            <w:p w:rsidR="00705F07" w:rsidRDefault="00185A37">
                              <w:pPr>
                                <w:jc w:val="center"/>
                                <w:rPr>
                                  <w:color w:val="000000"/>
                                </w:rPr>
                              </w:pPr>
                              <w:r>
                                <w:rPr>
                                  <w:color w:val="000000"/>
                                </w:rPr>
                                <w:t>Ринок фінансових інструментів, що надають право власності</w:t>
                              </w:r>
                            </w:p>
                            <w:p w:rsidR="00705F07" w:rsidRDefault="00705F07"/>
                          </w:txbxContent>
                        </wps:txbx>
                        <wps:bodyPr vert="horz" wrap="square" lIns="91440" tIns="45720" rIns="91440" bIns="45720" anchor="t" upright="1">
                          <a:prstTxWarp prst="textNoShape">
                            <a:avLst/>
                          </a:prstTxWarp>
                          <a:noAutofit/>
                        </wps:bodyPr>
                      </wps:wsp>
                      <wps:wsp>
                        <wps:cNvPr id="5" name="Скругленный прямоугольник 5"/>
                        <wps:cNvSpPr/>
                        <wps:spPr>
                          <a:xfrm>
                            <a:off x="0" y="1891008"/>
                            <a:ext cx="2043671" cy="324244"/>
                          </a:xfrm>
                          <a:prstGeom prst="roundRect">
                            <a:avLst>
                              <a:gd name="adj" fmla="val 16667"/>
                            </a:avLst>
                          </a:prstGeom>
                          <a:solidFill>
                            <a:srgbClr val="FFFFFF"/>
                          </a:solidFill>
                          <a:ln w="9525" cap="flat" cmpd="sng">
                            <a:solidFill>
                              <a:srgbClr val="000000"/>
                            </a:solidFill>
                            <a:prstDash val="solid"/>
                            <a:round/>
                            <a:headEnd type="none" w="med" len="med"/>
                            <a:tailEnd type="none" w="med" len="med"/>
                          </a:ln>
                        </wps:spPr>
                        <wps:txbx>
                          <w:txbxContent>
                            <w:p w:rsidR="00705F07" w:rsidRDefault="00185A37">
                              <w:pPr>
                                <w:jc w:val="center"/>
                                <w:rPr>
                                  <w:color w:val="000000"/>
                                </w:rPr>
                              </w:pPr>
                              <w:r>
                                <w:rPr>
                                  <w:color w:val="000000"/>
                                </w:rPr>
                                <w:t>Грошовий ринок</w:t>
                              </w:r>
                            </w:p>
                            <w:p w:rsidR="00705F07" w:rsidRDefault="00705F07"/>
                          </w:txbxContent>
                        </wps:txbx>
                        <wps:bodyPr vert="horz" wrap="square" lIns="91440" tIns="45720" rIns="91440" bIns="45720" anchor="t" upright="1">
                          <a:prstTxWarp prst="textNoShape">
                            <a:avLst/>
                          </a:prstTxWarp>
                          <a:noAutofit/>
                        </wps:bodyPr>
                      </wps:wsp>
                      <wps:wsp>
                        <wps:cNvPr id="6" name="Скругленный прямоугольник 6"/>
                        <wps:cNvSpPr/>
                        <wps:spPr>
                          <a:xfrm>
                            <a:off x="2177331" y="1891833"/>
                            <a:ext cx="3763094" cy="323419"/>
                          </a:xfrm>
                          <a:prstGeom prst="roundRect">
                            <a:avLst>
                              <a:gd name="adj" fmla="val 16667"/>
                            </a:avLst>
                          </a:prstGeom>
                          <a:solidFill>
                            <a:srgbClr val="FFFFFF"/>
                          </a:solidFill>
                          <a:ln w="9525" cap="flat" cmpd="sng">
                            <a:solidFill>
                              <a:srgbClr val="000000"/>
                            </a:solidFill>
                            <a:prstDash val="solid"/>
                            <a:round/>
                            <a:headEnd type="none" w="med" len="med"/>
                            <a:tailEnd type="none" w="med" len="med"/>
                          </a:ln>
                        </wps:spPr>
                        <wps:txbx>
                          <w:txbxContent>
                            <w:p w:rsidR="00705F07" w:rsidRDefault="00185A37">
                              <w:pPr>
                                <w:jc w:val="center"/>
                                <w:rPr>
                                  <w:color w:val="000000"/>
                                </w:rPr>
                              </w:pPr>
                              <w:r>
                                <w:rPr>
                                  <w:color w:val="000000"/>
                                </w:rPr>
                                <w:t>Ринок капіталу</w:t>
                              </w:r>
                            </w:p>
                            <w:p w:rsidR="00705F07" w:rsidRDefault="00705F07"/>
                          </w:txbxContent>
                        </wps:txbx>
                        <wps:bodyPr vert="horz" wrap="square" lIns="91440" tIns="45720" rIns="91440" bIns="45720" anchor="t" upright="1">
                          <a:prstTxWarp prst="textNoShape">
                            <a:avLst/>
                          </a:prstTxWarp>
                          <a:noAutofit/>
                        </wps:bodyPr>
                      </wps:wsp>
                      <wps:wsp>
                        <wps:cNvPr id="7" name="Скругленный прямоугольник 7"/>
                        <wps:cNvSpPr/>
                        <wps:spPr>
                          <a:xfrm>
                            <a:off x="0" y="2334059"/>
                            <a:ext cx="2043671" cy="684789"/>
                          </a:xfrm>
                          <a:prstGeom prst="roundRect">
                            <a:avLst>
                              <a:gd name="adj" fmla="val 16667"/>
                            </a:avLst>
                          </a:prstGeom>
                          <a:solidFill>
                            <a:srgbClr val="FFFFFF"/>
                          </a:solidFill>
                          <a:ln w="9525" cap="flat" cmpd="sng">
                            <a:solidFill>
                              <a:srgbClr val="000000"/>
                            </a:solidFill>
                            <a:prstDash val="solid"/>
                            <a:round/>
                            <a:headEnd type="none" w="med" len="med"/>
                            <a:tailEnd type="none" w="med" len="med"/>
                          </a:ln>
                        </wps:spPr>
                        <wps:txbx>
                          <w:txbxContent>
                            <w:p w:rsidR="00705F07" w:rsidRDefault="00185A37">
                              <w:pPr>
                                <w:rPr>
                                  <w:color w:val="000000"/>
                                </w:rPr>
                              </w:pPr>
                              <w:r>
                                <w:rPr>
                                  <w:color w:val="000000"/>
                                </w:rPr>
                                <w:t>Валютний ринок</w:t>
                              </w:r>
                            </w:p>
                            <w:p w:rsidR="00705F07" w:rsidRDefault="00185A37">
                              <w:pPr>
                                <w:rPr>
                                  <w:color w:val="000000"/>
                                </w:rPr>
                              </w:pPr>
                              <w:r>
                                <w:rPr>
                                  <w:color w:val="000000"/>
                                </w:rPr>
                                <w:t>Депозитний ринок</w:t>
                              </w:r>
                            </w:p>
                            <w:p w:rsidR="00705F07" w:rsidRDefault="00185A37">
                              <w:pPr>
                                <w:rPr>
                                  <w:color w:val="000000"/>
                                </w:rPr>
                              </w:pPr>
                              <w:r>
                                <w:rPr>
                                  <w:color w:val="000000"/>
                                </w:rPr>
                                <w:t>Кредитний ринок</w:t>
                              </w:r>
                            </w:p>
                            <w:p w:rsidR="00705F07" w:rsidRDefault="00705F07"/>
                          </w:txbxContent>
                        </wps:txbx>
                        <wps:bodyPr vert="horz" wrap="square" lIns="91440" tIns="45720" rIns="91440" bIns="45720" anchor="t" upright="1">
                          <a:prstTxWarp prst="textNoShape">
                            <a:avLst/>
                          </a:prstTxWarp>
                          <a:noAutofit/>
                        </wps:bodyPr>
                      </wps:wsp>
                      <wps:wsp>
                        <wps:cNvPr id="8" name="Скругленный прямоугольник 8"/>
                        <wps:cNvSpPr/>
                        <wps:spPr>
                          <a:xfrm>
                            <a:off x="2177331" y="2281256"/>
                            <a:ext cx="1914137" cy="684789"/>
                          </a:xfrm>
                          <a:prstGeom prst="roundRect">
                            <a:avLst>
                              <a:gd name="adj" fmla="val 16667"/>
                            </a:avLst>
                          </a:prstGeom>
                          <a:solidFill>
                            <a:srgbClr val="FFFFFF"/>
                          </a:solidFill>
                          <a:ln w="9525" cap="flat" cmpd="sng">
                            <a:solidFill>
                              <a:srgbClr val="000000"/>
                            </a:solidFill>
                            <a:prstDash val="solid"/>
                            <a:round/>
                            <a:headEnd type="none" w="med" len="med"/>
                            <a:tailEnd type="none" w="med" len="med"/>
                          </a:ln>
                        </wps:spPr>
                        <wps:txbx>
                          <w:txbxContent>
                            <w:p w:rsidR="00705F07" w:rsidRDefault="00185A37">
                              <w:pPr>
                                <w:rPr>
                                  <w:color w:val="000000"/>
                                </w:rPr>
                              </w:pPr>
                              <w:r>
                                <w:rPr>
                                  <w:color w:val="000000"/>
                                </w:rPr>
                                <w:t>Ринок боргових фінансових інструментів</w:t>
                              </w:r>
                            </w:p>
                            <w:p w:rsidR="00705F07" w:rsidRDefault="00185A37">
                              <w:pPr>
                                <w:rPr>
                                  <w:color w:val="000000"/>
                                </w:rPr>
                              </w:pPr>
                              <w:r>
                                <w:rPr>
                                  <w:color w:val="000000"/>
                                </w:rPr>
                                <w:t xml:space="preserve">Ринок акцій </w:t>
                              </w:r>
                            </w:p>
                            <w:p w:rsidR="00705F07" w:rsidRDefault="00705F07"/>
                          </w:txbxContent>
                        </wps:txbx>
                        <wps:bodyPr vert="horz" wrap="square" lIns="91440" tIns="45720" rIns="91440" bIns="45720" anchor="t" upright="1">
                          <a:prstTxWarp prst="textNoShape">
                            <a:avLst/>
                          </a:prstTxWarp>
                          <a:noAutofit/>
                        </wps:bodyPr>
                      </wps:wsp>
                      <wps:wsp>
                        <wps:cNvPr id="9" name="Скругленный прямоугольник 9"/>
                        <wps:cNvSpPr/>
                        <wps:spPr>
                          <a:xfrm>
                            <a:off x="4215227" y="2281256"/>
                            <a:ext cx="1725198" cy="684789"/>
                          </a:xfrm>
                          <a:prstGeom prst="roundRect">
                            <a:avLst>
                              <a:gd name="adj" fmla="val 16667"/>
                            </a:avLst>
                          </a:prstGeom>
                          <a:solidFill>
                            <a:srgbClr val="FFFFFF"/>
                          </a:solidFill>
                          <a:ln w="9525" cap="flat" cmpd="sng">
                            <a:solidFill>
                              <a:srgbClr val="000000"/>
                            </a:solidFill>
                            <a:prstDash val="solid"/>
                            <a:round/>
                            <a:headEnd type="none" w="med" len="med"/>
                            <a:tailEnd type="none" w="med" len="med"/>
                          </a:ln>
                        </wps:spPr>
                        <wps:txbx>
                          <w:txbxContent>
                            <w:p w:rsidR="00705F07" w:rsidRDefault="00185A37">
                              <w:pPr>
                                <w:rPr>
                                  <w:color w:val="000000"/>
                                </w:rPr>
                              </w:pPr>
                              <w:r>
                                <w:rPr>
                                  <w:color w:val="000000"/>
                                </w:rPr>
                                <w:t>Ринок похідних фінансових інструментів</w:t>
                              </w:r>
                            </w:p>
                            <w:p w:rsidR="00705F07" w:rsidRDefault="00705F07"/>
                          </w:txbxContent>
                        </wps:txbx>
                        <wps:bodyPr vert="horz" wrap="square" lIns="91440" tIns="45720" rIns="91440" bIns="45720" anchor="t" upright="1">
                          <a:prstTxWarp prst="textNoShape">
                            <a:avLst/>
                          </a:prstTxWarp>
                          <a:noAutofit/>
                        </wps:bodyPr>
                      </wps:wsp>
                      <wps:wsp>
                        <wps:cNvPr id="10" name="Скругленный прямоугольник 10"/>
                        <wps:cNvSpPr/>
                        <wps:spPr>
                          <a:xfrm>
                            <a:off x="0" y="3140130"/>
                            <a:ext cx="2042846" cy="684789"/>
                          </a:xfrm>
                          <a:prstGeom prst="roundRect">
                            <a:avLst>
                              <a:gd name="adj" fmla="val 16667"/>
                            </a:avLst>
                          </a:prstGeom>
                          <a:solidFill>
                            <a:srgbClr val="FFFFFF"/>
                          </a:solidFill>
                          <a:ln w="9525" cap="flat" cmpd="sng">
                            <a:solidFill>
                              <a:srgbClr val="000000"/>
                            </a:solidFill>
                            <a:prstDash val="solid"/>
                            <a:round/>
                            <a:headEnd type="none" w="med" len="med"/>
                            <a:tailEnd type="none" w="med" len="med"/>
                          </a:ln>
                        </wps:spPr>
                        <wps:txbx>
                          <w:txbxContent>
                            <w:p w:rsidR="00705F07" w:rsidRDefault="00185A37">
                              <w:pPr>
                                <w:rPr>
                                  <w:color w:val="000000"/>
                                </w:rPr>
                              </w:pPr>
                              <w:r>
                                <w:rPr>
                                  <w:color w:val="000000"/>
                                </w:rPr>
                                <w:t>Валюта</w:t>
                              </w:r>
                            </w:p>
                            <w:p w:rsidR="00705F07" w:rsidRDefault="00185A37">
                              <w:pPr>
                                <w:rPr>
                                  <w:color w:val="000000"/>
                                </w:rPr>
                              </w:pPr>
                              <w:r>
                                <w:rPr>
                                  <w:color w:val="000000"/>
                                </w:rPr>
                                <w:t>Депозити</w:t>
                              </w:r>
                            </w:p>
                            <w:p w:rsidR="00705F07" w:rsidRDefault="00185A37">
                              <w:pPr>
                                <w:rPr>
                                  <w:color w:val="000000"/>
                                </w:rPr>
                              </w:pPr>
                              <w:r>
                                <w:rPr>
                                  <w:color w:val="000000"/>
                                </w:rPr>
                                <w:t>Кредити та позики</w:t>
                              </w:r>
                            </w:p>
                            <w:p w:rsidR="00705F07" w:rsidRDefault="00705F07"/>
                          </w:txbxContent>
                        </wps:txbx>
                        <wps:bodyPr vert="horz" wrap="square" lIns="91440" tIns="45720" rIns="91440" bIns="45720" anchor="t" upright="1">
                          <a:prstTxWarp prst="textNoShape">
                            <a:avLst/>
                          </a:prstTxWarp>
                          <a:noAutofit/>
                        </wps:bodyPr>
                      </wps:wsp>
                      <wps:wsp>
                        <wps:cNvPr id="11" name="Скругленный прямоугольник 11"/>
                        <wps:cNvSpPr/>
                        <wps:spPr>
                          <a:xfrm>
                            <a:off x="2104726" y="3018848"/>
                            <a:ext cx="2038721" cy="2999047"/>
                          </a:xfrm>
                          <a:prstGeom prst="roundRect">
                            <a:avLst>
                              <a:gd name="adj" fmla="val 16667"/>
                            </a:avLst>
                          </a:prstGeom>
                          <a:solidFill>
                            <a:srgbClr val="FFFFFF"/>
                          </a:solidFill>
                          <a:ln w="9525" cap="flat" cmpd="sng">
                            <a:solidFill>
                              <a:srgbClr val="000000"/>
                            </a:solidFill>
                            <a:prstDash val="solid"/>
                            <a:round/>
                            <a:headEnd type="none" w="med" len="med"/>
                            <a:tailEnd type="none" w="med" len="med"/>
                          </a:ln>
                        </wps:spPr>
                        <wps:txbx>
                          <w:txbxContent>
                            <w:p w:rsidR="00705F07" w:rsidRDefault="00185A37">
                              <w:pPr>
                                <w:rPr>
                                  <w:color w:val="000000"/>
                                </w:rPr>
                              </w:pPr>
                              <w:r>
                                <w:rPr>
                                  <w:color w:val="000000"/>
                                </w:rPr>
                                <w:t>Цінні папери, крім акцій: короткострокові: (векселі, облігації, комерційні папери, обігові депозитні р</w:t>
                              </w:r>
                              <w:r>
                                <w:rPr>
                                  <w:color w:val="000000"/>
                                </w:rPr>
                                <w:t>озписки, банківські акцепти).</w:t>
                              </w:r>
                            </w:p>
                            <w:p w:rsidR="00705F07" w:rsidRDefault="00185A37">
                              <w:pPr>
                                <w:rPr>
                                  <w:color w:val="000000"/>
                                </w:rPr>
                              </w:pPr>
                              <w:r>
                                <w:rPr>
                                  <w:color w:val="000000"/>
                                </w:rPr>
                                <w:t>Цінні папери, крім акцій: середньострокові: реалізовані на ринку депозитні розписки, середньострокові облігації.</w:t>
                              </w:r>
                            </w:p>
                            <w:p w:rsidR="00705F07" w:rsidRDefault="00185A37">
                              <w:pPr>
                                <w:rPr>
                                  <w:color w:val="000000"/>
                                </w:rPr>
                              </w:pPr>
                              <w:r>
                                <w:rPr>
                                  <w:color w:val="000000"/>
                                </w:rPr>
                                <w:t>Акції та інші форми участі у капіталі.</w:t>
                              </w:r>
                            </w:p>
                            <w:p w:rsidR="00705F07" w:rsidRDefault="00705F07"/>
                          </w:txbxContent>
                        </wps:txbx>
                        <wps:bodyPr vert="horz" wrap="square" lIns="91440" tIns="45720" rIns="91440" bIns="45720" anchor="t" upright="1">
                          <a:prstTxWarp prst="textNoShape">
                            <a:avLst/>
                          </a:prstTxWarp>
                          <a:noAutofit/>
                        </wps:bodyPr>
                      </wps:wsp>
                      <wps:wsp>
                        <wps:cNvPr id="12" name="Скругленный прямоугольник 12"/>
                        <wps:cNvSpPr/>
                        <wps:spPr>
                          <a:xfrm>
                            <a:off x="4215227" y="3092277"/>
                            <a:ext cx="1725198" cy="1085762"/>
                          </a:xfrm>
                          <a:prstGeom prst="roundRect">
                            <a:avLst>
                              <a:gd name="adj" fmla="val 16667"/>
                            </a:avLst>
                          </a:prstGeom>
                          <a:solidFill>
                            <a:srgbClr val="FFFFFF"/>
                          </a:solidFill>
                          <a:ln w="9525" cap="flat" cmpd="sng">
                            <a:solidFill>
                              <a:srgbClr val="000000"/>
                            </a:solidFill>
                            <a:prstDash val="solid"/>
                            <a:round/>
                            <a:headEnd type="none" w="med" len="med"/>
                            <a:tailEnd type="none" w="med" len="med"/>
                          </a:ln>
                        </wps:spPr>
                        <wps:txbx>
                          <w:txbxContent>
                            <w:p w:rsidR="00705F07" w:rsidRDefault="00185A37">
                              <w:pPr>
                                <w:rPr>
                                  <w:color w:val="000000"/>
                                </w:rPr>
                              </w:pPr>
                              <w:r>
                                <w:rPr>
                                  <w:color w:val="000000"/>
                                </w:rPr>
                                <w:t>Похідні фінансові інструменти: (контракти форвардного типу, опціонні ко</w:t>
                              </w:r>
                              <w:r>
                                <w:rPr>
                                  <w:color w:val="000000"/>
                                </w:rPr>
                                <w:t>нтракти)</w:t>
                              </w:r>
                            </w:p>
                            <w:p w:rsidR="00705F07" w:rsidRDefault="00705F07"/>
                          </w:txbxContent>
                        </wps:txbx>
                        <wps:bodyPr vert="horz" wrap="square" lIns="91440" tIns="45720" rIns="91440" bIns="45720" anchor="t" upright="1">
                          <a:prstTxWarp prst="textNoShape">
                            <a:avLst/>
                          </a:prstTxWarp>
                          <a:noAutofit/>
                        </wps:bodyPr>
                      </wps:wsp>
                      <wps:wsp>
                        <wps:cNvPr id="13" name="Скругленный прямоугольник 13"/>
                        <wps:cNvSpPr/>
                        <wps:spPr>
                          <a:xfrm>
                            <a:off x="4215227" y="4277045"/>
                            <a:ext cx="1725198" cy="342395"/>
                          </a:xfrm>
                          <a:prstGeom prst="roundRect">
                            <a:avLst>
                              <a:gd name="adj" fmla="val 16667"/>
                            </a:avLst>
                          </a:prstGeom>
                          <a:solidFill>
                            <a:srgbClr val="FFFFFF"/>
                          </a:solidFill>
                          <a:ln w="9525" cap="flat" cmpd="sng">
                            <a:solidFill>
                              <a:srgbClr val="000000"/>
                            </a:solidFill>
                            <a:prstDash val="solid"/>
                            <a:round/>
                            <a:headEnd type="none" w="med" len="med"/>
                            <a:tailEnd type="none" w="med" len="med"/>
                          </a:ln>
                        </wps:spPr>
                        <wps:txbx>
                          <w:txbxContent>
                            <w:p w:rsidR="00705F07" w:rsidRDefault="00185A37">
                              <w:pPr>
                                <w:jc w:val="center"/>
                                <w:rPr>
                                  <w:color w:val="000000"/>
                                </w:rPr>
                              </w:pPr>
                              <w:r>
                                <w:rPr>
                                  <w:color w:val="000000"/>
                                </w:rPr>
                                <w:t>Цінні папери</w:t>
                              </w:r>
                            </w:p>
                            <w:p w:rsidR="00705F07" w:rsidRDefault="00705F07"/>
                          </w:txbxContent>
                        </wps:txbx>
                        <wps:bodyPr vert="horz" wrap="square" lIns="91440" tIns="45720" rIns="91440" bIns="45720" anchor="t" upright="1">
                          <a:prstTxWarp prst="textNoShape">
                            <a:avLst/>
                          </a:prstTxWarp>
                          <a:noAutofit/>
                        </wps:bodyPr>
                      </wps:wsp>
                      <wps:wsp>
                        <wps:cNvPr id="14" name="Скругленный прямоугольник 14"/>
                        <wps:cNvSpPr/>
                        <wps:spPr>
                          <a:xfrm>
                            <a:off x="4215227" y="4740722"/>
                            <a:ext cx="1725198" cy="344042"/>
                          </a:xfrm>
                          <a:prstGeom prst="roundRect">
                            <a:avLst>
                              <a:gd name="adj" fmla="val 16667"/>
                            </a:avLst>
                          </a:prstGeom>
                          <a:solidFill>
                            <a:srgbClr val="FFFFFF"/>
                          </a:solidFill>
                          <a:ln w="9525" cap="flat" cmpd="sng">
                            <a:solidFill>
                              <a:srgbClr val="000000"/>
                            </a:solidFill>
                            <a:prstDash val="solid"/>
                            <a:round/>
                            <a:headEnd type="none" w="med" len="med"/>
                            <a:tailEnd type="none" w="med" len="med"/>
                          </a:ln>
                        </wps:spPr>
                        <wps:txbx>
                          <w:txbxContent>
                            <w:p w:rsidR="00705F07" w:rsidRDefault="00185A37">
                              <w:pPr>
                                <w:jc w:val="center"/>
                                <w:rPr>
                                  <w:color w:val="000000"/>
                                </w:rPr>
                              </w:pPr>
                              <w:r>
                                <w:rPr>
                                  <w:color w:val="000000"/>
                                </w:rPr>
                                <w:t>Фінансові активи</w:t>
                              </w:r>
                            </w:p>
                            <w:p w:rsidR="00705F07" w:rsidRDefault="00705F07"/>
                          </w:txbxContent>
                        </wps:txbx>
                        <wps:bodyPr vert="horz" wrap="square" lIns="91440" tIns="45720" rIns="91440" bIns="45720" anchor="t" upright="1">
                          <a:prstTxWarp prst="textNoShape">
                            <a:avLst/>
                          </a:prstTxWarp>
                          <a:noAutofit/>
                        </wps:bodyPr>
                      </wps:wsp>
                      <wps:wsp>
                        <wps:cNvPr id="15" name="Прямая со стрелкой 15"/>
                        <wps:cNvCnPr/>
                        <wps:spPr>
                          <a:xfrm>
                            <a:off x="2899257" y="290417"/>
                            <a:ext cx="1650" cy="132830"/>
                          </a:xfrm>
                          <a:prstGeom prst="straightConnector1">
                            <a:avLst/>
                          </a:prstGeom>
                          <a:ln w="9525" cap="flat" cmpd="sng">
                            <a:solidFill>
                              <a:srgbClr val="000000"/>
                            </a:solidFill>
                            <a:prstDash val="solid"/>
                            <a:round/>
                            <a:headEnd type="none" w="med" len="med"/>
                            <a:tailEnd type="triangle" w="med" len="med"/>
                          </a:ln>
                        </wps:spPr>
                        <wps:bodyPr/>
                      </wps:wsp>
                      <wps:wsp>
                        <wps:cNvPr id="16" name="Прямая со стрелкой 16"/>
                        <wps:cNvCnPr/>
                        <wps:spPr>
                          <a:xfrm flipH="1">
                            <a:off x="2900082" y="712841"/>
                            <a:ext cx="823" cy="130357"/>
                          </a:xfrm>
                          <a:prstGeom prst="straightConnector1">
                            <a:avLst/>
                          </a:prstGeom>
                          <a:ln w="9525" cap="flat" cmpd="sng">
                            <a:solidFill>
                              <a:srgbClr val="000000"/>
                            </a:solidFill>
                            <a:prstDash val="solid"/>
                            <a:round/>
                            <a:headEnd type="none" w="med" len="med"/>
                            <a:tailEnd type="triangle" w="med" len="med"/>
                          </a:ln>
                        </wps:spPr>
                        <wps:bodyPr/>
                      </wps:wsp>
                      <wps:wsp>
                        <wps:cNvPr id="17" name="Стрелка вниз 17"/>
                        <wps:cNvSpPr/>
                        <wps:spPr>
                          <a:xfrm>
                            <a:off x="1094853" y="1132790"/>
                            <a:ext cx="171612" cy="152634"/>
                          </a:xfrm>
                          <a:prstGeom prst="downArrow">
                            <a:avLst>
                              <a:gd name="adj1" fmla="val 50000"/>
                              <a:gd name="adj2" fmla="val 25000"/>
                            </a:avLst>
                          </a:prstGeom>
                          <a:solidFill>
                            <a:srgbClr val="FFFFFF"/>
                          </a:solidFill>
                          <a:ln w="9525" cap="flat" cmpd="sng">
                            <a:solidFill>
                              <a:srgbClr val="000000"/>
                            </a:solidFill>
                            <a:prstDash val="solid"/>
                            <a:miter/>
                            <a:headEnd type="none" w="med" len="med"/>
                            <a:tailEnd type="none" w="med" len="med"/>
                          </a:ln>
                        </wps:spPr>
                        <wps:bodyPr>
                          <a:prstTxWarp prst="textNoShape">
                            <a:avLst/>
                          </a:prstTxWarp>
                        </wps:bodyPr>
                      </wps:wsp>
                      <wps:wsp>
                        <wps:cNvPr id="18" name="Стрелка вниз 18"/>
                        <wps:cNvSpPr/>
                        <wps:spPr>
                          <a:xfrm>
                            <a:off x="4030412" y="1132790"/>
                            <a:ext cx="184811" cy="153459"/>
                          </a:xfrm>
                          <a:prstGeom prst="downArrow">
                            <a:avLst>
                              <a:gd name="adj1" fmla="val 50000"/>
                              <a:gd name="adj2" fmla="val 25000"/>
                            </a:avLst>
                          </a:prstGeom>
                          <a:solidFill>
                            <a:srgbClr val="FFFFFF"/>
                          </a:solidFill>
                          <a:ln w="9525" cap="flat" cmpd="sng">
                            <a:solidFill>
                              <a:srgbClr val="000000"/>
                            </a:solidFill>
                            <a:prstDash val="solid"/>
                            <a:miter/>
                            <a:headEnd type="none" w="med" len="med"/>
                            <a:tailEnd type="none" w="med" len="med"/>
                          </a:ln>
                        </wps:spPr>
                        <wps:bodyPr>
                          <a:prstTxWarp prst="textNoShape">
                            <a:avLst/>
                          </a:prstTxWarp>
                        </wps:bodyPr>
                      </wps:wsp>
                      <wps:wsp>
                        <wps:cNvPr id="19" name="Стрелка вниз 19"/>
                        <wps:cNvSpPr/>
                        <wps:spPr>
                          <a:xfrm>
                            <a:off x="885288" y="1805203"/>
                            <a:ext cx="209562" cy="90755"/>
                          </a:xfrm>
                          <a:prstGeom prst="downArrow">
                            <a:avLst>
                              <a:gd name="adj1" fmla="val 50000"/>
                              <a:gd name="adj2" fmla="val 25000"/>
                            </a:avLst>
                          </a:prstGeom>
                          <a:solidFill>
                            <a:srgbClr val="FFFFFF"/>
                          </a:solidFill>
                          <a:ln w="9525" cap="flat" cmpd="sng">
                            <a:solidFill>
                              <a:srgbClr val="000000"/>
                            </a:solidFill>
                            <a:prstDash val="solid"/>
                            <a:miter/>
                            <a:headEnd type="none" w="med" len="med"/>
                            <a:tailEnd type="none" w="med" len="med"/>
                          </a:ln>
                        </wps:spPr>
                        <wps:bodyPr>
                          <a:prstTxWarp prst="textNoShape">
                            <a:avLst/>
                          </a:prstTxWarp>
                        </wps:bodyPr>
                      </wps:wsp>
                      <wps:wsp>
                        <wps:cNvPr id="20" name="Стрелка вниз 20"/>
                        <wps:cNvSpPr/>
                        <wps:spPr>
                          <a:xfrm>
                            <a:off x="885288" y="2215252"/>
                            <a:ext cx="161712" cy="118807"/>
                          </a:xfrm>
                          <a:prstGeom prst="downArrow">
                            <a:avLst>
                              <a:gd name="adj1" fmla="val 50000"/>
                              <a:gd name="adj2" fmla="val 25000"/>
                            </a:avLst>
                          </a:prstGeom>
                          <a:solidFill>
                            <a:srgbClr val="FFFFFF"/>
                          </a:solidFill>
                          <a:ln w="9525" cap="flat" cmpd="sng">
                            <a:solidFill>
                              <a:srgbClr val="000000"/>
                            </a:solidFill>
                            <a:prstDash val="solid"/>
                            <a:miter/>
                            <a:headEnd type="none" w="med" len="med"/>
                            <a:tailEnd type="none" w="med" len="med"/>
                          </a:ln>
                        </wps:spPr>
                        <wps:bodyPr>
                          <a:prstTxWarp prst="textNoShape">
                            <a:avLst/>
                          </a:prstTxWarp>
                        </wps:bodyPr>
                      </wps:wsp>
                      <wps:wsp>
                        <wps:cNvPr id="21" name="Стрелка вниз 21"/>
                        <wps:cNvSpPr/>
                        <wps:spPr>
                          <a:xfrm>
                            <a:off x="885288" y="3018848"/>
                            <a:ext cx="161712" cy="121282"/>
                          </a:xfrm>
                          <a:prstGeom prst="downArrow">
                            <a:avLst>
                              <a:gd name="adj1" fmla="val 50000"/>
                              <a:gd name="adj2" fmla="val 25000"/>
                            </a:avLst>
                          </a:prstGeom>
                          <a:solidFill>
                            <a:srgbClr val="FFFFFF"/>
                          </a:solidFill>
                          <a:ln w="9525" cap="flat" cmpd="sng">
                            <a:solidFill>
                              <a:srgbClr val="000000"/>
                            </a:solidFill>
                            <a:prstDash val="solid"/>
                            <a:miter/>
                            <a:headEnd type="none" w="med" len="med"/>
                            <a:tailEnd type="none" w="med" len="med"/>
                          </a:ln>
                        </wps:spPr>
                        <wps:bodyPr>
                          <a:prstTxWarp prst="textNoShape">
                            <a:avLst/>
                          </a:prstTxWarp>
                        </wps:bodyPr>
                      </wps:wsp>
                      <wps:wsp>
                        <wps:cNvPr id="22" name="Стрелка вниз 22"/>
                        <wps:cNvSpPr/>
                        <wps:spPr>
                          <a:xfrm>
                            <a:off x="4037839" y="1805203"/>
                            <a:ext cx="238442" cy="90755"/>
                          </a:xfrm>
                          <a:prstGeom prst="downArrow">
                            <a:avLst>
                              <a:gd name="adj1" fmla="val 50000"/>
                              <a:gd name="adj2" fmla="val 25000"/>
                            </a:avLst>
                          </a:prstGeom>
                          <a:solidFill>
                            <a:srgbClr val="FFFFFF"/>
                          </a:solidFill>
                          <a:ln w="9525" cap="flat" cmpd="sng">
                            <a:solidFill>
                              <a:srgbClr val="000000"/>
                            </a:solidFill>
                            <a:prstDash val="solid"/>
                            <a:miter/>
                            <a:headEnd type="none" w="med" len="med"/>
                            <a:tailEnd type="none" w="med" len="med"/>
                          </a:ln>
                        </wps:spPr>
                        <wps:bodyPr>
                          <a:prstTxWarp prst="textNoShape">
                            <a:avLst/>
                          </a:prstTxWarp>
                        </wps:bodyPr>
                      </wps:wsp>
                      <wps:wsp>
                        <wps:cNvPr id="23" name="Стрелка вниз 23"/>
                        <wps:cNvSpPr/>
                        <wps:spPr>
                          <a:xfrm>
                            <a:off x="3018891" y="2215252"/>
                            <a:ext cx="237617" cy="66004"/>
                          </a:xfrm>
                          <a:prstGeom prst="downArrow">
                            <a:avLst>
                              <a:gd name="adj1" fmla="val 50000"/>
                              <a:gd name="adj2" fmla="val 25000"/>
                            </a:avLst>
                          </a:prstGeom>
                          <a:solidFill>
                            <a:srgbClr val="FFFFFF"/>
                          </a:solidFill>
                          <a:ln w="9525" cap="flat" cmpd="sng">
                            <a:solidFill>
                              <a:srgbClr val="000000"/>
                            </a:solidFill>
                            <a:prstDash val="solid"/>
                            <a:miter/>
                            <a:headEnd type="none" w="med" len="med"/>
                            <a:tailEnd type="none" w="med" len="med"/>
                          </a:ln>
                        </wps:spPr>
                        <wps:bodyPr>
                          <a:prstTxWarp prst="textNoShape">
                            <a:avLst/>
                          </a:prstTxWarp>
                        </wps:bodyPr>
                      </wps:wsp>
                      <wps:wsp>
                        <wps:cNvPr id="24" name="Стрелка вниз 24"/>
                        <wps:cNvSpPr/>
                        <wps:spPr>
                          <a:xfrm>
                            <a:off x="4867023" y="2215252"/>
                            <a:ext cx="275568" cy="66004"/>
                          </a:xfrm>
                          <a:prstGeom prst="downArrow">
                            <a:avLst>
                              <a:gd name="adj1" fmla="val 50000"/>
                              <a:gd name="adj2" fmla="val 25000"/>
                            </a:avLst>
                          </a:prstGeom>
                          <a:solidFill>
                            <a:srgbClr val="FFFFFF"/>
                          </a:solidFill>
                          <a:ln w="9525" cap="flat" cmpd="sng">
                            <a:solidFill>
                              <a:srgbClr val="000000"/>
                            </a:solidFill>
                            <a:prstDash val="solid"/>
                            <a:miter/>
                            <a:headEnd type="none" w="med" len="med"/>
                            <a:tailEnd type="none" w="med" len="med"/>
                          </a:ln>
                        </wps:spPr>
                        <wps:bodyPr>
                          <a:prstTxWarp prst="textNoShape">
                            <a:avLst/>
                          </a:prstTxWarp>
                        </wps:bodyPr>
                      </wps:wsp>
                      <wps:wsp>
                        <wps:cNvPr id="25" name="Стрелка вниз 25"/>
                        <wps:cNvSpPr/>
                        <wps:spPr>
                          <a:xfrm>
                            <a:off x="3018891" y="2966045"/>
                            <a:ext cx="237617" cy="52802"/>
                          </a:xfrm>
                          <a:prstGeom prst="downArrow">
                            <a:avLst>
                              <a:gd name="adj1" fmla="val 50000"/>
                              <a:gd name="adj2" fmla="val 25000"/>
                            </a:avLst>
                          </a:prstGeom>
                          <a:solidFill>
                            <a:srgbClr val="FFFFFF"/>
                          </a:solidFill>
                          <a:ln w="9525" cap="flat" cmpd="sng">
                            <a:solidFill>
                              <a:srgbClr val="000000"/>
                            </a:solidFill>
                            <a:prstDash val="solid"/>
                            <a:miter/>
                            <a:headEnd type="none" w="med" len="med"/>
                            <a:tailEnd type="none" w="med" len="med"/>
                          </a:ln>
                        </wps:spPr>
                        <wps:bodyPr>
                          <a:prstTxWarp prst="textNoShape">
                            <a:avLst/>
                          </a:prstTxWarp>
                        </wps:bodyPr>
                      </wps:wsp>
                      <wps:wsp>
                        <wps:cNvPr id="26" name="Стрелка вниз 26"/>
                        <wps:cNvSpPr/>
                        <wps:spPr>
                          <a:xfrm>
                            <a:off x="4914052" y="2966045"/>
                            <a:ext cx="228541" cy="126229"/>
                          </a:xfrm>
                          <a:prstGeom prst="downArrow">
                            <a:avLst>
                              <a:gd name="adj1" fmla="val 50000"/>
                              <a:gd name="adj2" fmla="val 25000"/>
                            </a:avLst>
                          </a:prstGeom>
                          <a:solidFill>
                            <a:srgbClr val="FFFFFF"/>
                          </a:solidFill>
                          <a:ln w="9525" cap="flat" cmpd="sng">
                            <a:solidFill>
                              <a:srgbClr val="000000"/>
                            </a:solidFill>
                            <a:prstDash val="solid"/>
                            <a:miter/>
                            <a:headEnd type="none" w="med" len="med"/>
                            <a:tailEnd type="none" w="med" len="med"/>
                          </a:ln>
                        </wps:spPr>
                        <wps:bodyPr>
                          <a:prstTxWarp prst="textNoShape">
                            <a:avLst/>
                          </a:prstTxWarp>
                        </wps:bodyPr>
                      </wps:wsp>
                      <wps:wsp>
                        <wps:cNvPr id="27" name="Стрелка вниз 27"/>
                        <wps:cNvSpPr/>
                        <wps:spPr>
                          <a:xfrm>
                            <a:off x="4914052" y="4178040"/>
                            <a:ext cx="228541" cy="99006"/>
                          </a:xfrm>
                          <a:prstGeom prst="downArrow">
                            <a:avLst>
                              <a:gd name="adj1" fmla="val 50000"/>
                              <a:gd name="adj2" fmla="val 25000"/>
                            </a:avLst>
                          </a:prstGeom>
                          <a:solidFill>
                            <a:srgbClr val="FFFFFF"/>
                          </a:solidFill>
                          <a:ln w="9525" cap="flat" cmpd="sng">
                            <a:solidFill>
                              <a:srgbClr val="000000"/>
                            </a:solidFill>
                            <a:prstDash val="solid"/>
                            <a:miter/>
                            <a:headEnd type="none" w="med" len="med"/>
                            <a:tailEnd type="none" w="med" len="med"/>
                          </a:ln>
                        </wps:spPr>
                        <wps:bodyPr>
                          <a:prstTxWarp prst="textNoShape">
                            <a:avLst/>
                          </a:prstTxWarp>
                        </wps:bodyPr>
                      </wps:wsp>
                      <wps:wsp>
                        <wps:cNvPr id="28" name="Стрелка вниз 28"/>
                        <wps:cNvSpPr/>
                        <wps:spPr>
                          <a:xfrm>
                            <a:off x="4914052" y="4619440"/>
                            <a:ext cx="228541" cy="121282"/>
                          </a:xfrm>
                          <a:prstGeom prst="downArrow">
                            <a:avLst>
                              <a:gd name="adj1" fmla="val 50000"/>
                              <a:gd name="adj2" fmla="val 25000"/>
                            </a:avLst>
                          </a:prstGeom>
                          <a:solidFill>
                            <a:srgbClr val="FFFFFF"/>
                          </a:solidFill>
                          <a:ln w="9525" cap="flat" cmpd="sng">
                            <a:solidFill>
                              <a:srgbClr val="000000"/>
                            </a:solidFill>
                            <a:prstDash val="solid"/>
                            <a:miter/>
                            <a:headEnd type="none" w="med" len="med"/>
                            <a:tailEnd type="none" w="med" len="med"/>
                          </a:ln>
                        </wps:spPr>
                        <wps:bodyPr>
                          <a:prstTxWarp prst="textNoShape">
                            <a:avLst/>
                          </a:prstTxWarp>
                        </wps:bodyPr>
                      </wps:wsp>
                    </wpc:wpc>
                  </a:graphicData>
                </a:graphic>
              </wp:inline>
            </w:drawing>
          </mc:Choice>
          <mc:Fallback xmlns:wpsCustomData="http://www.wps.cn/officeDocument/2013/wpsCustomData">
            <w:pict>
              <v:group id="1027" filled="f" stroked="f" style="margin-left:0.0pt;margin-top:0.0pt;width:467.75pt;height:473.85pt;mso-wrap-distance-left:0.0pt;mso-wrap-distance-right:0.0pt;visibility:visible;" coordsize="5940425,6017895" editas="canvas">
                <v:shape id="1028" type="#_x0000_t75" filled="f" stroked="f" style="position:absolute;left:0;top:0;width:5940425;height:6017895;z-index:2;mso-position-horizontal-relative:page;mso-position-vertical-relative:page;mso-width-relative:page;mso-height-relative:page;visibility:visible;">
                  <w10:wrap type="square"/>
                  <v:fill/>
                </v:shape>
                <v:roundrect id="1029" arcsize="0.16666667," fillcolor="white" stroked="t" style="position:absolute;left:405104;top:423249;width:4990782;height:289592;z-index:3;mso-position-horizontal-relative:page;mso-position-vertical-relative:page;mso-width-relative:page;mso-height-relative:page;visibility:visible;">
                  <v:fill/>
                  <v:textbox inset="7.2pt,3.6pt,7.2pt,3.6pt">
                    <w:txbxContent>
                      <w:p>
                        <w:pPr>
                          <w:pStyle w:val="style0"/>
                          <w:jc w:val="center"/>
                          <w:rPr>
                            <w:color w:val="000000"/>
                          </w:rPr>
                        </w:pPr>
                        <w:r>
                          <w:rPr>
                            <w:color w:val="000000"/>
                          </w:rPr>
                          <w:t>Національний ринок</w:t>
                        </w:r>
                      </w:p>
                      <w:p>
                        <w:pPr>
                          <w:pStyle w:val="style0"/>
                          <w:rPr/>
                        </w:pPr>
                      </w:p>
                    </w:txbxContent>
                  </v:textbox>
                </v:roundrect>
                <v:roundrect id="1030" arcsize="0.16666667," fillcolor="white" stroked="t" style="position:absolute;left:885288;top:843198;width:4028763;height:289590;z-index:4;mso-position-horizontal-relative:page;mso-position-vertical-relative:page;mso-width-relative:page;mso-height-relative:page;visibility:visible;">
                  <v:fill/>
                  <v:textbox inset="7.2pt,3.6pt,7.2pt,3.6pt">
                    <w:txbxContent>
                      <w:p>
                        <w:pPr>
                          <w:pStyle w:val="style0"/>
                          <w:jc w:val="center"/>
                          <w:rPr>
                            <w:color w:val="000000"/>
                          </w:rPr>
                        </w:pPr>
                        <w:r>
                          <w:rPr>
                            <w:color w:val="000000"/>
                          </w:rPr>
                          <w:t>Регіональний ринок</w:t>
                        </w:r>
                      </w:p>
                      <w:p>
                        <w:pPr>
                          <w:pStyle w:val="style0"/>
                          <w:rPr/>
                        </w:pPr>
                      </w:p>
                    </w:txbxContent>
                  </v:textbox>
                </v:roundrect>
                <v:roundrect id="1031" arcsize="0.16666667," fillcolor="white" stroked="t" style="position:absolute;left:0;top:1285424;width:2042846;height:519779;z-index:5;mso-position-horizontal-relative:page;mso-position-vertical-relative:page;mso-width-relative:page;mso-height-relative:page;visibility:visible;">
                  <v:fill/>
                  <v:textbox inset="7.2pt,3.6pt,7.2pt,3.6pt">
                    <w:txbxContent>
                      <w:p>
                        <w:pPr>
                          <w:pStyle w:val="style0"/>
                          <w:jc w:val="center"/>
                          <w:rPr>
                            <w:color w:val="000000"/>
                          </w:rPr>
                        </w:pPr>
                        <w:r>
                          <w:rPr>
                            <w:color w:val="000000"/>
                          </w:rPr>
                          <w:t>Ринок боргових фінансових інструментів</w:t>
                        </w:r>
                      </w:p>
                      <w:p>
                        <w:pPr>
                          <w:pStyle w:val="style0"/>
                          <w:rPr/>
                        </w:pPr>
                      </w:p>
                    </w:txbxContent>
                  </v:textbox>
                </v:roundrect>
                <v:roundrect id="1032" arcsize="0.16666667," fillcolor="white" stroked="t" style="position:absolute;left:2177331;top:1286249;width:3763094;height:518954;z-index:6;mso-position-horizontal-relative:page;mso-position-vertical-relative:page;mso-width-relative:page;mso-height-relative:page;visibility:visible;">
                  <v:fill/>
                  <v:textbox inset="7.2pt,3.6pt,7.2pt,3.6pt">
                    <w:txbxContent>
                      <w:p>
                        <w:pPr>
                          <w:pStyle w:val="style0"/>
                          <w:jc w:val="center"/>
                          <w:rPr>
                            <w:color w:val="000000"/>
                          </w:rPr>
                        </w:pPr>
                        <w:r>
                          <w:rPr>
                            <w:color w:val="000000"/>
                          </w:rPr>
                          <w:t>Ринок фінансових інструментів, що надають право власності</w:t>
                        </w:r>
                      </w:p>
                      <w:p>
                        <w:pPr>
                          <w:pStyle w:val="style0"/>
                          <w:rPr/>
                        </w:pPr>
                      </w:p>
                    </w:txbxContent>
                  </v:textbox>
                </v:roundrect>
                <v:roundrect id="1033" arcsize="0.16666667," fillcolor="white" stroked="t" style="position:absolute;left:0;top:1891008;width:2043671;height:324244;z-index:7;mso-position-horizontal-relative:page;mso-position-vertical-relative:page;mso-width-relative:page;mso-height-relative:page;visibility:visible;">
                  <v:fill/>
                  <v:textbox inset="7.2pt,3.6pt,7.2pt,3.6pt">
                    <w:txbxContent>
                      <w:p>
                        <w:pPr>
                          <w:pStyle w:val="style0"/>
                          <w:jc w:val="center"/>
                          <w:rPr>
                            <w:color w:val="000000"/>
                          </w:rPr>
                        </w:pPr>
                        <w:r>
                          <w:rPr>
                            <w:color w:val="000000"/>
                          </w:rPr>
                          <w:t>Грошовий ринок</w:t>
                        </w:r>
                      </w:p>
                      <w:p>
                        <w:pPr>
                          <w:pStyle w:val="style0"/>
                          <w:rPr/>
                        </w:pPr>
                      </w:p>
                    </w:txbxContent>
                  </v:textbox>
                </v:roundrect>
                <v:roundrect id="1034" arcsize="0.16666667," fillcolor="white" stroked="t" style="position:absolute;left:2177331;top:1891833;width:3763094;height:323419;z-index:8;mso-position-horizontal-relative:page;mso-position-vertical-relative:page;mso-width-relative:page;mso-height-relative:page;visibility:visible;">
                  <v:fill/>
                  <v:textbox inset="7.2pt,3.6pt,7.2pt,3.6pt">
                    <w:txbxContent>
                      <w:p>
                        <w:pPr>
                          <w:pStyle w:val="style0"/>
                          <w:jc w:val="center"/>
                          <w:rPr>
                            <w:color w:val="000000"/>
                          </w:rPr>
                        </w:pPr>
                        <w:r>
                          <w:rPr>
                            <w:color w:val="000000"/>
                          </w:rPr>
                          <w:t>Ринок капіталу</w:t>
                        </w:r>
                      </w:p>
                      <w:p>
                        <w:pPr>
                          <w:pStyle w:val="style0"/>
                          <w:rPr/>
                        </w:pPr>
                      </w:p>
                    </w:txbxContent>
                  </v:textbox>
                </v:roundrect>
                <v:roundrect id="1035" arcsize="0.16666667," fillcolor="white" stroked="t" style="position:absolute;left:0;top:2334059;width:2043671;height:684789;z-index:9;mso-position-horizontal-relative:page;mso-position-vertical-relative:page;mso-width-relative:page;mso-height-relative:page;visibility:visible;">
                  <v:fill/>
                  <v:textbox inset="7.2pt,3.6pt,7.2pt,3.6pt">
                    <w:txbxContent>
                      <w:p>
                        <w:pPr>
                          <w:pStyle w:val="style0"/>
                          <w:rPr>
                            <w:color w:val="000000"/>
                          </w:rPr>
                        </w:pPr>
                        <w:r>
                          <w:rPr>
                            <w:color w:val="000000"/>
                          </w:rPr>
                          <w:t>Валютний ринок</w:t>
                        </w:r>
                      </w:p>
                      <w:p>
                        <w:pPr>
                          <w:pStyle w:val="style0"/>
                          <w:rPr>
                            <w:color w:val="000000"/>
                          </w:rPr>
                        </w:pPr>
                        <w:r>
                          <w:rPr>
                            <w:color w:val="000000"/>
                          </w:rPr>
                          <w:t>Депозитний ринок</w:t>
                        </w:r>
                      </w:p>
                      <w:p>
                        <w:pPr>
                          <w:pStyle w:val="style0"/>
                          <w:rPr>
                            <w:color w:val="000000"/>
                          </w:rPr>
                        </w:pPr>
                        <w:r>
                          <w:rPr>
                            <w:color w:val="000000"/>
                          </w:rPr>
                          <w:t>Кредитний ринок</w:t>
                        </w:r>
                      </w:p>
                      <w:p>
                        <w:pPr>
                          <w:pStyle w:val="style0"/>
                          <w:rPr/>
                        </w:pPr>
                      </w:p>
                    </w:txbxContent>
                  </v:textbox>
                </v:roundrect>
                <v:roundrect id="1036" arcsize="0.16666667," fillcolor="white" stroked="t" style="position:absolute;left:2177331;top:2281256;width:1914137;height:684789;z-index:10;mso-position-horizontal-relative:page;mso-position-vertical-relative:page;mso-width-relative:page;mso-height-relative:page;visibility:visible;">
                  <v:fill/>
                  <v:textbox inset="7.2pt,3.6pt,7.2pt,3.6pt">
                    <w:txbxContent>
                      <w:p>
                        <w:pPr>
                          <w:pStyle w:val="style0"/>
                          <w:rPr>
                            <w:color w:val="000000"/>
                          </w:rPr>
                        </w:pPr>
                        <w:r>
                          <w:rPr>
                            <w:color w:val="000000"/>
                          </w:rPr>
                          <w:t>Ринок боргових фінансових інструментів</w:t>
                        </w:r>
                      </w:p>
                      <w:p>
                        <w:pPr>
                          <w:pStyle w:val="style0"/>
                          <w:rPr>
                            <w:color w:val="000000"/>
                          </w:rPr>
                        </w:pPr>
                        <w:r>
                          <w:rPr>
                            <w:color w:val="000000"/>
                          </w:rPr>
                          <w:t xml:space="preserve">Ринок акцій </w:t>
                        </w:r>
                      </w:p>
                      <w:p>
                        <w:pPr>
                          <w:pStyle w:val="style0"/>
                          <w:rPr/>
                        </w:pPr>
                      </w:p>
                    </w:txbxContent>
                  </v:textbox>
                </v:roundrect>
                <v:roundrect id="1037" arcsize="0.16666667," fillcolor="white" stroked="t" style="position:absolute;left:4215227;top:2281256;width:1725198;height:684789;z-index:11;mso-position-horizontal-relative:page;mso-position-vertical-relative:page;mso-width-relative:page;mso-height-relative:page;visibility:visible;">
                  <v:fill/>
                  <v:textbox inset="7.2pt,3.6pt,7.2pt,3.6pt">
                    <w:txbxContent>
                      <w:p>
                        <w:pPr>
                          <w:pStyle w:val="style0"/>
                          <w:rPr>
                            <w:color w:val="000000"/>
                          </w:rPr>
                        </w:pPr>
                        <w:r>
                          <w:rPr>
                            <w:color w:val="000000"/>
                          </w:rPr>
                          <w:t>Ринок похідних фінансових інструментів</w:t>
                        </w:r>
                      </w:p>
                      <w:p>
                        <w:pPr>
                          <w:pStyle w:val="style0"/>
                          <w:rPr/>
                        </w:pPr>
                      </w:p>
                    </w:txbxContent>
                  </v:textbox>
                </v:roundrect>
                <v:roundrect id="1038" arcsize="0.16666667," fillcolor="white" stroked="t" style="position:absolute;left:0;top:3140130;width:2042846;height:684789;z-index:12;mso-position-horizontal-relative:page;mso-position-vertical-relative:page;mso-width-relative:page;mso-height-relative:page;visibility:visible;">
                  <v:fill/>
                  <v:textbox inset="7.2pt,3.6pt,7.2pt,3.6pt">
                    <w:txbxContent>
                      <w:p>
                        <w:pPr>
                          <w:pStyle w:val="style0"/>
                          <w:rPr>
                            <w:color w:val="000000"/>
                          </w:rPr>
                        </w:pPr>
                        <w:r>
                          <w:rPr>
                            <w:color w:val="000000"/>
                          </w:rPr>
                          <w:t>Валюта</w:t>
                        </w:r>
                      </w:p>
                      <w:p>
                        <w:pPr>
                          <w:pStyle w:val="style0"/>
                          <w:rPr>
                            <w:color w:val="000000"/>
                          </w:rPr>
                        </w:pPr>
                        <w:r>
                          <w:rPr>
                            <w:color w:val="000000"/>
                          </w:rPr>
                          <w:t>Депозити</w:t>
                        </w:r>
                      </w:p>
                      <w:p>
                        <w:pPr>
                          <w:pStyle w:val="style0"/>
                          <w:rPr>
                            <w:color w:val="000000"/>
                          </w:rPr>
                        </w:pPr>
                        <w:r>
                          <w:rPr>
                            <w:color w:val="000000"/>
                          </w:rPr>
                          <w:t>Кредити та позики</w:t>
                        </w:r>
                      </w:p>
                      <w:p>
                        <w:pPr>
                          <w:pStyle w:val="style0"/>
                          <w:rPr/>
                        </w:pPr>
                      </w:p>
                    </w:txbxContent>
                  </v:textbox>
                </v:roundrect>
                <v:roundrect id="1039" arcsize="0.16666667," fillcolor="white" stroked="t" style="position:absolute;left:2104726;top:3018848;width:2038721;height:2999047;z-index:13;mso-position-horizontal-relative:page;mso-position-vertical-relative:page;mso-width-relative:page;mso-height-relative:page;visibility:visible;">
                  <v:fill/>
                  <v:textbox inset="7.2pt,3.6pt,7.2pt,3.6pt">
                    <w:txbxContent>
                      <w:p>
                        <w:pPr>
                          <w:pStyle w:val="style0"/>
                          <w:rPr>
                            <w:color w:val="000000"/>
                          </w:rPr>
                        </w:pPr>
                        <w:r>
                          <w:rPr>
                            <w:color w:val="000000"/>
                          </w:rPr>
                          <w:t>Цінні папери, крім акцій: короткострокові: (векселі, облігації, комерційні папери,</w:t>
                        </w:r>
                        <w:r>
                          <w:rPr>
                            <w:color w:val="000000"/>
                          </w:rPr>
                          <w:t xml:space="preserve"> </w:t>
                        </w:r>
                        <w:r>
                          <w:rPr>
                            <w:color w:val="000000"/>
                          </w:rPr>
                          <w:t>обігові депозитні розписки, банківські акцепти)</w:t>
                        </w:r>
                        <w:r>
                          <w:rPr>
                            <w:color w:val="000000"/>
                          </w:rPr>
                          <w:t>.</w:t>
                        </w:r>
                      </w:p>
                      <w:p>
                        <w:pPr>
                          <w:pStyle w:val="style0"/>
                          <w:rPr>
                            <w:color w:val="000000"/>
                          </w:rPr>
                        </w:pPr>
                        <w:r>
                          <w:rPr>
                            <w:color w:val="000000"/>
                          </w:rPr>
                          <w:t>Цінні папери, крім акцій: середньострокові: реалізовані на ринку депозитні розписки, середньострокові облігації</w:t>
                        </w:r>
                        <w:r>
                          <w:rPr>
                            <w:color w:val="000000"/>
                          </w:rPr>
                          <w:t>.</w:t>
                        </w:r>
                      </w:p>
                      <w:p>
                        <w:pPr>
                          <w:pStyle w:val="style0"/>
                          <w:rPr>
                            <w:color w:val="000000"/>
                          </w:rPr>
                        </w:pPr>
                        <w:r>
                          <w:rPr>
                            <w:color w:val="000000"/>
                          </w:rPr>
                          <w:t>Акції та інші форми участі у капіталі</w:t>
                        </w:r>
                        <w:r>
                          <w:rPr>
                            <w:color w:val="000000"/>
                          </w:rPr>
                          <w:t>.</w:t>
                        </w:r>
                      </w:p>
                      <w:p>
                        <w:pPr>
                          <w:pStyle w:val="style0"/>
                          <w:rPr/>
                        </w:pPr>
                      </w:p>
                    </w:txbxContent>
                  </v:textbox>
                </v:roundrect>
                <v:roundrect id="1040" arcsize="0.16666667," fillcolor="white" stroked="t" style="position:absolute;left:4215227;top:3092277;width:1725198;height:1085762;z-index:14;mso-position-horizontal-relative:page;mso-position-vertical-relative:page;mso-width-relative:page;mso-height-relative:page;visibility:visible;">
                  <v:fill/>
                  <v:textbox inset="7.2pt,3.6pt,7.2pt,3.6pt">
                    <w:txbxContent>
                      <w:p>
                        <w:pPr>
                          <w:pStyle w:val="style0"/>
                          <w:rPr>
                            <w:color w:val="000000"/>
                          </w:rPr>
                        </w:pPr>
                        <w:r>
                          <w:rPr>
                            <w:color w:val="000000"/>
                          </w:rPr>
                          <w:t>Похідні фінансові інструменти: (контракти форвардного типу, опціонні контракти)</w:t>
                        </w:r>
                      </w:p>
                      <w:p>
                        <w:pPr>
                          <w:pStyle w:val="style0"/>
                          <w:rPr/>
                        </w:pPr>
                      </w:p>
                    </w:txbxContent>
                  </v:textbox>
                </v:roundrect>
                <v:roundrect id="1041" arcsize="0.16666667," fillcolor="white" stroked="t" style="position:absolute;left:4215227;top:4277045;width:1725198;height:342395;z-index:15;mso-position-horizontal-relative:page;mso-position-vertical-relative:page;mso-width-relative:page;mso-height-relative:page;visibility:visible;">
                  <v:fill/>
                  <v:textbox inset="7.2pt,3.6pt,7.2pt,3.6pt">
                    <w:txbxContent>
                      <w:p>
                        <w:pPr>
                          <w:pStyle w:val="style0"/>
                          <w:jc w:val="center"/>
                          <w:rPr>
                            <w:color w:val="000000"/>
                          </w:rPr>
                        </w:pPr>
                        <w:r>
                          <w:rPr>
                            <w:color w:val="000000"/>
                          </w:rPr>
                          <w:t>Цінні папери</w:t>
                        </w:r>
                      </w:p>
                      <w:p>
                        <w:pPr>
                          <w:pStyle w:val="style0"/>
                          <w:rPr/>
                        </w:pPr>
                      </w:p>
                    </w:txbxContent>
                  </v:textbox>
                </v:roundrect>
                <v:roundrect id="1042" arcsize="0.16666667," fillcolor="white" stroked="t" style="position:absolute;left:4215227;top:4740722;width:1725198;height:344043;z-index:16;mso-position-horizontal-relative:page;mso-position-vertical-relative:page;mso-width-relative:page;mso-height-relative:page;visibility:visible;">
                  <v:fill/>
                  <v:textbox inset="7.2pt,3.6pt,7.2pt,3.6pt">
                    <w:txbxContent>
                      <w:p>
                        <w:pPr>
                          <w:pStyle w:val="style0"/>
                          <w:jc w:val="center"/>
                          <w:rPr>
                            <w:color w:val="000000"/>
                          </w:rPr>
                        </w:pPr>
                        <w:r>
                          <w:rPr>
                            <w:color w:val="000000"/>
                          </w:rPr>
                          <w:t>Фінансові активи</w:t>
                        </w:r>
                      </w:p>
                      <w:p>
                        <w:pPr>
                          <w:pStyle w:val="style0"/>
                          <w:rPr/>
                        </w:pPr>
                      </w:p>
                    </w:txbxContent>
                  </v:textbox>
                </v:roundrect>
                <v:shapetype id="_x0000_t32" coordsize="21600,21600" o:spt="32" o:oned="t" path="m,l21600,21600e">
                  <v:path arrowok="t" fillok="f" o:connecttype="none"/>
                  <o:lock v:ext="edit" shapetype="t"/>
                </v:shapetype>
                <v:shape id="1043" type="#_x0000_t32" filled="f" style="position:absolute;left:2899257;top:290417;width:1650;height:132831;z-index:17;mso-position-horizontal-relative:page;mso-position-vertical-relative:page;mso-width-relative:page;mso-height-relative:page;visibility:visible;">
                  <v:stroke endarrow="block"/>
                  <v:fill/>
                </v:shape>
                <v:shape id="1044" type="#_x0000_t32" filled="f" style="position:absolute;left:2900082;top:712841;width:823;height:130357;z-index:18;mso-position-horizontal-relative:page;mso-position-vertical-relative:page;mso-width-relative:page;mso-height-relative:page;visibility:visible;flip:x;">
                  <v:stroke endarrow="block"/>
                  <v:fill/>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1045" type="#_x0000_t67" adj="16200,5400," fillcolor="white" style="position:absolute;left:1094853;top:1132790;width:171612;height:152634;z-index:19;mso-position-horizontal-relative:page;mso-position-vertical-relative:page;mso-width-relative:page;mso-height-relative:page;visibility:visible;">
                  <v:stroke joinstyle="miter"/>
                  <v:fill/>
                </v:shape>
                <v:shape id="1046" type="#_x0000_t67" adj="16200,5400," fillcolor="white" style="position:absolute;left:4030412;top:1132790;width:184812;height:153459;z-index:20;mso-position-horizontal-relative:page;mso-position-vertical-relative:page;mso-width-relative:page;mso-height-relative:page;visibility:visible;">
                  <v:stroke joinstyle="miter"/>
                  <v:fill/>
                </v:shape>
                <v:shape id="1047" type="#_x0000_t67" adj="16200,5400," fillcolor="white" style="position:absolute;left:885288;top:1805203;width:209563;height:90755;z-index:21;mso-position-horizontal-relative:page;mso-position-vertical-relative:page;mso-width-relative:page;mso-height-relative:page;visibility:visible;">
                  <v:stroke joinstyle="miter"/>
                  <v:fill/>
                </v:shape>
                <v:shape id="1048" type="#_x0000_t67" adj="16200,5400," fillcolor="white" style="position:absolute;left:885288;top:2215252;width:161712;height:118807;z-index:22;mso-position-horizontal-relative:page;mso-position-vertical-relative:page;mso-width-relative:page;mso-height-relative:page;visibility:visible;">
                  <v:stroke joinstyle="miter"/>
                  <v:fill/>
                </v:shape>
                <v:shape id="1049" type="#_x0000_t67" adj="16200,5400," fillcolor="white" style="position:absolute;left:885288;top:3018848;width:161712;height:121282;z-index:23;mso-position-horizontal-relative:page;mso-position-vertical-relative:page;mso-width-relative:page;mso-height-relative:page;visibility:visible;">
                  <v:stroke joinstyle="miter"/>
                  <v:fill/>
                </v:shape>
                <v:shape id="1050" type="#_x0000_t67" adj="16200,5400," fillcolor="white" style="position:absolute;left:4037839;top:1805203;width:238442;height:90755;z-index:24;mso-position-horizontal-relative:page;mso-position-vertical-relative:page;mso-width-relative:page;mso-height-relative:page;visibility:visible;">
                  <v:stroke joinstyle="miter"/>
                  <v:fill/>
                </v:shape>
                <v:shape id="1051" type="#_x0000_t67" adj="16200,5400," fillcolor="white" style="position:absolute;left:3018891;top:2215252;width:237617;height:66004;z-index:25;mso-position-horizontal-relative:page;mso-position-vertical-relative:page;mso-width-relative:page;mso-height-relative:page;visibility:visible;">
                  <v:stroke joinstyle="miter"/>
                  <v:fill/>
                </v:shape>
                <v:shape id="1052" type="#_x0000_t67" adj="16200,5400," fillcolor="white" style="position:absolute;left:4867023;top:2215252;width:275568;height:66004;z-index:26;mso-position-horizontal-relative:page;mso-position-vertical-relative:page;mso-width-relative:page;mso-height-relative:page;visibility:visible;">
                  <v:stroke joinstyle="miter"/>
                  <v:fill/>
                </v:shape>
                <v:shape id="1053" type="#_x0000_t67" adj="16200,5400," fillcolor="white" style="position:absolute;left:3018891;top:2966045;width:237617;height:52802;z-index:27;mso-position-horizontal-relative:page;mso-position-vertical-relative:page;mso-width-relative:page;mso-height-relative:page;visibility:visible;">
                  <v:stroke joinstyle="miter"/>
                  <v:fill/>
                </v:shape>
                <v:shape id="1054" type="#_x0000_t67" adj="16200,5400," fillcolor="white" style="position:absolute;left:4914052;top:2966045;width:228541;height:126230;z-index:28;mso-position-horizontal-relative:page;mso-position-vertical-relative:page;mso-width-relative:page;mso-height-relative:page;visibility:visible;">
                  <v:stroke joinstyle="miter"/>
                  <v:fill/>
                </v:shape>
                <v:shape id="1055" type="#_x0000_t67" adj="16200,5400," fillcolor="white" style="position:absolute;left:4914052;top:4178040;width:228541;height:99006;z-index:29;mso-position-horizontal-relative:page;mso-position-vertical-relative:page;mso-width-relative:page;mso-height-relative:page;visibility:visible;">
                  <v:stroke joinstyle="miter"/>
                  <v:fill/>
                </v:shape>
                <v:shape id="1056" type="#_x0000_t67" adj="16200,5400," fillcolor="white" style="position:absolute;left:4914052;top:4619440;width:228541;height:121282;z-index:30;mso-position-horizontal-relative:page;mso-position-vertical-relative:page;mso-width-relative:page;mso-height-relative:page;visibility:visible;">
                  <v:stroke joinstyle="miter"/>
                  <v:fill/>
                </v:shape>
                <w10:anchorlock/>
                <v:fill rotate="true"/>
              </v:group>
            </w:pict>
          </mc:Fallback>
        </mc:AlternateContent>
      </w:r>
    </w:p>
    <w:p w:rsidR="00705F07" w:rsidRDefault="00185A37">
      <w:pPr>
        <w:spacing w:line="360" w:lineRule="auto"/>
        <w:jc w:val="center"/>
        <w:rPr>
          <w:color w:val="000000"/>
          <w:sz w:val="28"/>
          <w:szCs w:val="28"/>
        </w:rPr>
      </w:pPr>
      <w:r>
        <w:rPr>
          <w:color w:val="000000"/>
          <w:sz w:val="28"/>
          <w:szCs w:val="28"/>
        </w:rPr>
        <w:t>Рис. 1.1. Структура фінансового ринку</w:t>
      </w:r>
    </w:p>
    <w:p w:rsidR="00705F07" w:rsidRDefault="00185A37">
      <w:pPr>
        <w:ind w:firstLine="709"/>
        <w:jc w:val="both"/>
        <w:rPr>
          <w:color w:val="000000"/>
        </w:rPr>
      </w:pPr>
      <w:r>
        <w:rPr>
          <w:color w:val="000000"/>
        </w:rPr>
        <w:t>Джерело: складено автором на основі даних [53]</w:t>
      </w:r>
    </w:p>
    <w:p w:rsidR="00705F07" w:rsidRDefault="00705F07">
      <w:pPr>
        <w:spacing w:line="360" w:lineRule="auto"/>
        <w:ind w:firstLine="709"/>
        <w:jc w:val="both"/>
        <w:rPr>
          <w:color w:val="000000"/>
          <w:sz w:val="28"/>
          <w:szCs w:val="28"/>
        </w:rPr>
      </w:pPr>
    </w:p>
    <w:p w:rsidR="00705F07" w:rsidRDefault="00185A37">
      <w:pPr>
        <w:spacing w:line="360" w:lineRule="auto"/>
        <w:ind w:firstLine="709"/>
        <w:jc w:val="both"/>
        <w:rPr>
          <w:color w:val="000000"/>
          <w:sz w:val="28"/>
          <w:szCs w:val="28"/>
        </w:rPr>
      </w:pPr>
      <w:r>
        <w:rPr>
          <w:color w:val="000000"/>
          <w:sz w:val="28"/>
          <w:szCs w:val="28"/>
        </w:rPr>
        <w:t xml:space="preserve">Відповідно до класифікаційних ознак, фінансовий ринок можна розглядати за рівнем територіального охоплення, за видом </w:t>
      </w:r>
      <w:r>
        <w:rPr>
          <w:color w:val="000000"/>
          <w:sz w:val="28"/>
          <w:szCs w:val="28"/>
        </w:rPr>
        <w:t>фінансових інструментів, що на ньому обертаються, та за строками їх обігу. Міжнародний, регіональний і національний ринки формують територіальну структуру фінансового ринку. Міжнародний фінансовий ринок охоплює систему відносин, що виникають у процесі руху</w:t>
      </w:r>
      <w:r>
        <w:rPr>
          <w:color w:val="000000"/>
          <w:sz w:val="28"/>
          <w:szCs w:val="28"/>
        </w:rPr>
        <w:t xml:space="preserve"> капіталів між країнами. Його учасниками є транснаціональні банки, міжнародні фінансові інститути, уряди </w:t>
      </w:r>
      <w:r>
        <w:rPr>
          <w:color w:val="000000"/>
          <w:sz w:val="28"/>
          <w:szCs w:val="28"/>
        </w:rPr>
        <w:lastRenderedPageBreak/>
        <w:t>та великі корпорації. Він забезпечує глобальну мобільність капіталу, формує умови для валютних операцій, міжнародного кредитування та інвестування. Рег</w:t>
      </w:r>
      <w:r>
        <w:rPr>
          <w:color w:val="000000"/>
          <w:sz w:val="28"/>
          <w:szCs w:val="28"/>
        </w:rPr>
        <w:t xml:space="preserve">іональний ринок охоплює фінансові операції в межах певного інтеграційного об’єднання чи регіону. Він сприяє гармонізації фінансових правил, розвитку спільних платіжних систем і зміцненню регіональної фінансової стабільності. </w:t>
      </w:r>
    </w:p>
    <w:p w:rsidR="00705F07" w:rsidRDefault="00185A37">
      <w:pPr>
        <w:spacing w:line="360" w:lineRule="auto"/>
        <w:ind w:firstLine="709"/>
        <w:jc w:val="both"/>
        <w:rPr>
          <w:color w:val="000000"/>
          <w:sz w:val="28"/>
          <w:szCs w:val="28"/>
        </w:rPr>
      </w:pPr>
      <w:r>
        <w:rPr>
          <w:color w:val="000000"/>
          <w:sz w:val="28"/>
          <w:szCs w:val="28"/>
        </w:rPr>
        <w:t xml:space="preserve">Національний фінансовий ринок </w:t>
      </w:r>
      <w:r>
        <w:rPr>
          <w:color w:val="000000"/>
          <w:sz w:val="28"/>
          <w:szCs w:val="28"/>
        </w:rPr>
        <w:t>функціонує в межах окремої держави, де відбувається обіг національних валютних, кредитних, інвестиційних та інших фінансових інструментів. Основними учасниками виступають комерційні банки, підприємства, урядові структури та індивідуальні інвестори. Націона</w:t>
      </w:r>
      <w:r>
        <w:rPr>
          <w:color w:val="000000"/>
          <w:sz w:val="28"/>
          <w:szCs w:val="28"/>
        </w:rPr>
        <w:t>льний фінансовий ринок за своїми характеристиками: обсягом торгів, ліквідності, механізмом руху цін, різноманітністю фінансових інструментів, числом учасників відноситься до ринків, що розвиваються, а отже, тією чи іншою мірою йому притаманні закономірност</w:t>
      </w:r>
      <w:r>
        <w:rPr>
          <w:color w:val="000000"/>
          <w:sz w:val="28"/>
          <w:szCs w:val="28"/>
        </w:rPr>
        <w:t>і, які визначені для таких ринків. Перш за все це невеликі кількісні параметри, які не дають можливості проявитися загальним закономірностям функціонування фінансового ринку як механізму мобілізації та перерозподілу інвестиційних ресурсів у суспільстві [11</w:t>
      </w:r>
      <w:r>
        <w:rPr>
          <w:color w:val="000000"/>
          <w:sz w:val="28"/>
          <w:szCs w:val="28"/>
        </w:rPr>
        <w:t>, с. 41].</w:t>
      </w:r>
    </w:p>
    <w:p w:rsidR="00705F07" w:rsidRDefault="00185A37">
      <w:pPr>
        <w:spacing w:line="360" w:lineRule="auto"/>
        <w:ind w:firstLine="709"/>
        <w:jc w:val="both"/>
        <w:rPr>
          <w:color w:val="000000"/>
          <w:sz w:val="28"/>
          <w:szCs w:val="28"/>
        </w:rPr>
      </w:pPr>
      <w:r>
        <w:rPr>
          <w:color w:val="000000"/>
          <w:sz w:val="28"/>
          <w:szCs w:val="28"/>
        </w:rPr>
        <w:t>Ринкова структура за видами фінансових інструментів поділяється на ринок боргових фінансових інструментів та ринок фінансових інструментів, що надають право власності. Ринок боргових фінансових інструментів охоплює операції з цінними паперами, що</w:t>
      </w:r>
      <w:r>
        <w:rPr>
          <w:color w:val="000000"/>
          <w:sz w:val="28"/>
          <w:szCs w:val="28"/>
        </w:rPr>
        <w:t xml:space="preserve"> підтверджують зобов’язання позичальника повернути певну суму у визначений термін. До таких інструментів належать коротко-, середньо- та довгострокові облігації, векселі, комерційні папери, депозитні сертифікати, банківські акцепти тощо. Вони забезпечують </w:t>
      </w:r>
      <w:r>
        <w:rPr>
          <w:color w:val="000000"/>
          <w:sz w:val="28"/>
          <w:szCs w:val="28"/>
        </w:rPr>
        <w:t>стабільний дохід інвесторам у вигляді процентів та виступають важливим джерелом фінансування підприємницької діяльності. Ринок фінансових інструментів, що надають право власності, включає акції та інші форми участі у капіталі. Цей сегмент формує ринок акці</w:t>
      </w:r>
      <w:r>
        <w:rPr>
          <w:color w:val="000000"/>
          <w:sz w:val="28"/>
          <w:szCs w:val="28"/>
        </w:rPr>
        <w:t xml:space="preserve">й, який дозволяє компаніям залучати власний капітал, а інвесторам – отримувати прибуток у </w:t>
      </w:r>
      <w:r>
        <w:rPr>
          <w:color w:val="000000"/>
          <w:sz w:val="28"/>
          <w:szCs w:val="28"/>
        </w:rPr>
        <w:lastRenderedPageBreak/>
        <w:t>формі дивідендів або приросту вартості акцій. Похідні фінансові інструменти займають особливе місце у структурі ринку. Вони представлені форвардними контрактами, ф’юч</w:t>
      </w:r>
      <w:r>
        <w:rPr>
          <w:color w:val="000000"/>
          <w:sz w:val="28"/>
          <w:szCs w:val="28"/>
        </w:rPr>
        <w:t>ерсами, опціонами та свопами. Їх призначення полягає у хеджуванні ризиків, пов’язаних зі зміною цін на базові активи, валютні курси або процентні ставки. Ринок похідних фінансових інструментів забезпечує стабільність фінансової системи, оскільки дозволяє з</w:t>
      </w:r>
      <w:r>
        <w:rPr>
          <w:color w:val="000000"/>
          <w:sz w:val="28"/>
          <w:szCs w:val="28"/>
        </w:rPr>
        <w:t>меншити невизначеність і підвищити передбачуваність фінансових операцій.</w:t>
      </w:r>
    </w:p>
    <w:p w:rsidR="00705F07" w:rsidRDefault="00185A37">
      <w:pPr>
        <w:spacing w:line="360" w:lineRule="auto"/>
        <w:ind w:firstLine="709"/>
        <w:jc w:val="both"/>
        <w:rPr>
          <w:color w:val="000000"/>
          <w:sz w:val="28"/>
          <w:szCs w:val="28"/>
        </w:rPr>
      </w:pPr>
      <w:r>
        <w:rPr>
          <w:color w:val="000000"/>
          <w:sz w:val="28"/>
          <w:szCs w:val="28"/>
        </w:rPr>
        <w:t>Грошовий ринок та ринок капіталу формують функціональну основу фінансової системи. Грошовий ринок –</w:t>
      </w:r>
      <w:r>
        <w:rPr>
          <w:color w:val="000000"/>
          <w:sz w:val="28"/>
          <w:szCs w:val="28"/>
        </w:rPr>
        <w:t xml:space="preserve"> це сегмент, де здійснюються короткострокові операції (до одного року) з високоліквідними активами, зокрема з депозитами, векселями, короткостроковими облігаціями, банківськими акцептами та комерційними паперами. Його головна мета – забезпечити платоспромо</w:t>
      </w:r>
      <w:r>
        <w:rPr>
          <w:color w:val="000000"/>
          <w:sz w:val="28"/>
          <w:szCs w:val="28"/>
        </w:rPr>
        <w:t>жність і ліквідність фінансових установ. Ринок капіталу, навпаки, обслуговує середньо- та довгострокові операції з цінними паперами, зокрема облігаціями, акціями та іншими формами капітальних вкладень. Він є ключовим інструментом інвестиційного забезпеченн</w:t>
      </w:r>
      <w:r>
        <w:rPr>
          <w:color w:val="000000"/>
          <w:sz w:val="28"/>
          <w:szCs w:val="28"/>
        </w:rPr>
        <w:t>я економічного розвитку.</w:t>
      </w:r>
      <w:r>
        <w:rPr>
          <w:color w:val="000000"/>
        </w:rPr>
        <w:t xml:space="preserve"> </w:t>
      </w:r>
      <w:r>
        <w:rPr>
          <w:color w:val="000000"/>
          <w:sz w:val="28"/>
          <w:szCs w:val="28"/>
        </w:rPr>
        <w:t>Крім того, ринок капіталу України стикається з низьким рівнем біржової торгівлі, значною часткою спекуляцій та відсутністю довгострокових інвестиційних стратегій. Значна частина угод здійснюється поза організованими ринками, що уск</w:t>
      </w:r>
      <w:r>
        <w:rPr>
          <w:color w:val="000000"/>
          <w:sz w:val="28"/>
          <w:szCs w:val="28"/>
        </w:rPr>
        <w:t>ладнює державний контроль та підвищує фінансові ризики [29, с. 943].</w:t>
      </w:r>
    </w:p>
    <w:p w:rsidR="00705F07" w:rsidRDefault="00185A37">
      <w:pPr>
        <w:spacing w:line="360" w:lineRule="auto"/>
        <w:ind w:firstLine="709"/>
        <w:jc w:val="both"/>
        <w:rPr>
          <w:color w:val="000000"/>
          <w:sz w:val="28"/>
          <w:szCs w:val="28"/>
        </w:rPr>
      </w:pPr>
      <w:r>
        <w:rPr>
          <w:color w:val="000000"/>
          <w:sz w:val="28"/>
          <w:szCs w:val="28"/>
        </w:rPr>
        <w:t>Серед інших складових виділяють валютний ринок, депозитний ринок та кредитний ринок. Валютний ринок забезпечує купівлю-продаж іноземних валют, формує валютні курси та сприяє здійсненню мі</w:t>
      </w:r>
      <w:r>
        <w:rPr>
          <w:color w:val="000000"/>
          <w:sz w:val="28"/>
          <w:szCs w:val="28"/>
        </w:rPr>
        <w:t>жнародних розрахунків. Депозитний ринок охоплює операції з розміщення коштів на банківських рахунках, що є основою формування кредитних ресурсів. Кредитний ринок функціонує на принципах поверненості, строковості та платності, забезпечуючи перерозподіл грош</w:t>
      </w:r>
      <w:r>
        <w:rPr>
          <w:color w:val="000000"/>
          <w:sz w:val="28"/>
          <w:szCs w:val="28"/>
        </w:rPr>
        <w:t xml:space="preserve">ових коштів між кредиторами і позичальниками. Теоретичні концепції аналізу проблематики сучасних тенденцій кредитного ринку постійно трансформуються, оскільки кредитний </w:t>
      </w:r>
      <w:r>
        <w:rPr>
          <w:color w:val="000000"/>
          <w:sz w:val="28"/>
          <w:szCs w:val="28"/>
        </w:rPr>
        <w:lastRenderedPageBreak/>
        <w:t>ринок не є сталою системою, а видозмінюється залежно від умов, що виникають при відноси</w:t>
      </w:r>
      <w:r>
        <w:rPr>
          <w:color w:val="000000"/>
          <w:sz w:val="28"/>
          <w:szCs w:val="28"/>
        </w:rPr>
        <w:t xml:space="preserve">нах кредитора й позичальника, а також їх похідних [40, с. 236]. </w:t>
      </w:r>
    </w:p>
    <w:p w:rsidR="00705F07" w:rsidRDefault="00185A37">
      <w:pPr>
        <w:spacing w:line="360" w:lineRule="auto"/>
        <w:ind w:firstLine="709"/>
        <w:jc w:val="both"/>
        <w:rPr>
          <w:color w:val="000000"/>
          <w:sz w:val="28"/>
          <w:szCs w:val="28"/>
        </w:rPr>
      </w:pPr>
      <w:r>
        <w:rPr>
          <w:color w:val="000000"/>
          <w:sz w:val="28"/>
          <w:szCs w:val="28"/>
        </w:rPr>
        <w:t>Цінні папери виступають базовими фінансовими активами на більшості сегментів фінансового ринку. Вони поділяються на боргові (облігації, векселі, депозитні сертифікати) та інструменти власност</w:t>
      </w:r>
      <w:r>
        <w:rPr>
          <w:color w:val="000000"/>
          <w:sz w:val="28"/>
          <w:szCs w:val="28"/>
        </w:rPr>
        <w:t>і (акції). Крім того, на фінансовому ринку активно функціонують похідні цінні папери, які відображають зобов’язання сторін щодо майбутніх операцій з базовими активами. Попри ключову роль фондових бірж у підтримці підприємництва та інвестування населення за</w:t>
      </w:r>
      <w:r>
        <w:rPr>
          <w:color w:val="000000"/>
          <w:sz w:val="28"/>
          <w:szCs w:val="28"/>
        </w:rPr>
        <w:t xml:space="preserve"> кордоном, в Україні цей сегмент залишається нерозвиненим. Основними причинами є відсутність належної культури інвестування у цінні папери підприємств в суспільстві, загальний низький рівень довіри до фінансового ринку, слабка регуляторна база, відсутність</w:t>
      </w:r>
      <w:r>
        <w:rPr>
          <w:color w:val="000000"/>
          <w:sz w:val="28"/>
          <w:szCs w:val="28"/>
        </w:rPr>
        <w:t xml:space="preserve"> ефективних механізмів захисту інвесторів та обмеженість залучення капіталу через регульований ринок інвесторами [51].</w:t>
      </w:r>
    </w:p>
    <w:p w:rsidR="00705F07" w:rsidRDefault="00185A37">
      <w:pPr>
        <w:spacing w:line="360" w:lineRule="auto"/>
        <w:ind w:firstLine="709"/>
        <w:jc w:val="both"/>
        <w:rPr>
          <w:color w:val="000000"/>
          <w:sz w:val="28"/>
          <w:szCs w:val="28"/>
        </w:rPr>
      </w:pPr>
      <w:r>
        <w:rPr>
          <w:color w:val="000000"/>
          <w:sz w:val="28"/>
          <w:szCs w:val="28"/>
        </w:rPr>
        <w:t xml:space="preserve">Отже, фінансовий ринок у широкому розумінні – це сукупність взаємопов’язаних сегментів, що забезпечують обіг фінансових активів (валюти, </w:t>
      </w:r>
      <w:r>
        <w:rPr>
          <w:color w:val="000000"/>
          <w:sz w:val="28"/>
          <w:szCs w:val="28"/>
        </w:rPr>
        <w:t>депозитів, кредитів, цінних паперів, похідних інструментів) між економічними суб’єктами з метою ефективного перерозподілу капіталу, управління ризиками та підтримки фінансової стабільності. Його структурна багатовимірність зумовлює гнучкість фінансової сис</w:t>
      </w:r>
      <w:r>
        <w:rPr>
          <w:color w:val="000000"/>
          <w:sz w:val="28"/>
          <w:szCs w:val="28"/>
        </w:rPr>
        <w:t>теми, її здатність адаптуватися до внутрішніх і зовнішніх викликів, забезпечуючи розвиток національної та світової економіки. Фінансовий ринок є складною динамічною системою, що об’єднує різні за функціями та рівнями організації сегменти, кожен з яких віді</w:t>
      </w:r>
      <w:r>
        <w:rPr>
          <w:color w:val="000000"/>
          <w:sz w:val="28"/>
          <w:szCs w:val="28"/>
        </w:rPr>
        <w:t>грає важливу роль у забезпеченні сталого розвитку фінансової сфери. Його структура відображає багаторівневу взаємодію між учасниками фінансових процесів, що формує основу сучасного економічного зростання.</w:t>
      </w:r>
    </w:p>
    <w:p w:rsidR="00705F07" w:rsidRDefault="00705F07">
      <w:pPr>
        <w:pStyle w:val="2"/>
        <w:keepNext w:val="0"/>
        <w:keepLines w:val="0"/>
        <w:spacing w:before="0" w:line="360" w:lineRule="auto"/>
        <w:ind w:firstLine="709"/>
        <w:jc w:val="both"/>
        <w:rPr>
          <w:rFonts w:ascii="Times New Roman" w:hAnsi="Times New Roman" w:cs="Times New Roman"/>
          <w:b w:val="0"/>
          <w:color w:val="000000"/>
          <w:sz w:val="28"/>
          <w:szCs w:val="28"/>
        </w:rPr>
      </w:pPr>
    </w:p>
    <w:p w:rsidR="00705F07" w:rsidRDefault="00185A37">
      <w:pPr>
        <w:pStyle w:val="2"/>
        <w:keepNext w:val="0"/>
        <w:keepLines w:val="0"/>
        <w:spacing w:before="0" w:line="360" w:lineRule="auto"/>
        <w:ind w:firstLine="709"/>
        <w:jc w:val="both"/>
        <w:rPr>
          <w:rFonts w:ascii="Times New Roman" w:hAnsi="Times New Roman" w:cs="Times New Roman"/>
          <w:b w:val="0"/>
          <w:color w:val="000000"/>
          <w:sz w:val="28"/>
          <w:szCs w:val="28"/>
        </w:rPr>
      </w:pPr>
      <w:bookmarkStart w:id="5" w:name="_Toc213845764"/>
      <w:r>
        <w:rPr>
          <w:rFonts w:ascii="Times New Roman" w:hAnsi="Times New Roman" w:cs="Times New Roman"/>
          <w:b w:val="0"/>
          <w:color w:val="000000"/>
          <w:sz w:val="28"/>
          <w:szCs w:val="28"/>
        </w:rPr>
        <w:lastRenderedPageBreak/>
        <w:t xml:space="preserve">1.2 Класифікація загроз та ризиків, які впливають </w:t>
      </w:r>
      <w:r>
        <w:rPr>
          <w:rFonts w:ascii="Times New Roman" w:hAnsi="Times New Roman" w:cs="Times New Roman"/>
          <w:b w:val="0"/>
          <w:color w:val="000000"/>
          <w:sz w:val="28"/>
          <w:szCs w:val="28"/>
        </w:rPr>
        <w:t>на функціонування фінансового ринку</w:t>
      </w:r>
      <w:bookmarkEnd w:id="5"/>
    </w:p>
    <w:p w:rsidR="00705F07" w:rsidRDefault="00705F07">
      <w:pPr>
        <w:spacing w:line="360" w:lineRule="auto"/>
        <w:ind w:firstLine="709"/>
        <w:jc w:val="both"/>
        <w:rPr>
          <w:color w:val="000000"/>
          <w:sz w:val="28"/>
          <w:szCs w:val="28"/>
        </w:rPr>
      </w:pPr>
    </w:p>
    <w:p w:rsidR="00705F07" w:rsidRDefault="00185A37">
      <w:pPr>
        <w:spacing w:line="360" w:lineRule="auto"/>
        <w:ind w:firstLine="709"/>
        <w:jc w:val="both"/>
        <w:rPr>
          <w:color w:val="000000"/>
          <w:sz w:val="28"/>
          <w:szCs w:val="28"/>
        </w:rPr>
      </w:pPr>
      <w:r>
        <w:rPr>
          <w:color w:val="000000"/>
          <w:sz w:val="28"/>
          <w:szCs w:val="28"/>
        </w:rPr>
        <w:t>Фінансовий ринок є складним та багаторівневим механізмом економіки, який забезпечує мобілізацію, перерозподіл та ефективне використання фінансових ресурсів у державі. Водночас його функціонування супроводжується значним</w:t>
      </w:r>
      <w:r>
        <w:rPr>
          <w:color w:val="000000"/>
          <w:sz w:val="28"/>
          <w:szCs w:val="28"/>
        </w:rPr>
        <w:t xml:space="preserve"> спектром загроз і ризиків, здатних впливати на стабільність та ефективність ринку. Сучасний фінансовий ринок України є ключовим елементом національної фінансової екосистеми, що функціонує за принципами задоволення потреб споживачів фінансових послуг. Його</w:t>
      </w:r>
      <w:r>
        <w:rPr>
          <w:color w:val="000000"/>
          <w:sz w:val="28"/>
          <w:szCs w:val="28"/>
        </w:rPr>
        <w:t xml:space="preserve"> модель орієнтована на клієнта, а головною метою є створення сприятливих умов для ефективної діяльності суб’єктів господарювання, передусім фінансового сектору.</w:t>
      </w:r>
    </w:p>
    <w:p w:rsidR="00705F07" w:rsidRDefault="00185A37">
      <w:pPr>
        <w:spacing w:line="360" w:lineRule="auto"/>
        <w:ind w:firstLine="709"/>
        <w:jc w:val="both"/>
        <w:rPr>
          <w:color w:val="000000"/>
          <w:sz w:val="28"/>
          <w:szCs w:val="28"/>
        </w:rPr>
      </w:pPr>
      <w:r>
        <w:rPr>
          <w:color w:val="000000"/>
          <w:sz w:val="28"/>
          <w:szCs w:val="28"/>
        </w:rPr>
        <w:t>Особливими загрозами для фінансової безпеки в сучасному світі є  загрози інформаційній безпеці,</w:t>
      </w:r>
      <w:r>
        <w:rPr>
          <w:color w:val="000000"/>
          <w:sz w:val="28"/>
          <w:szCs w:val="28"/>
        </w:rPr>
        <w:t xml:space="preserve"> адже через інформаційні мережі можуть  викрадатися грошові кошти та інформація, яка може суттєво впливати на стан фінансової безпеки [17, с. 32]. Основою формування фінансової безпеки на мікрорівні є класифікація загроз і ризиків. У зв’язку з багатоаспект</w:t>
      </w:r>
      <w:r>
        <w:rPr>
          <w:color w:val="000000"/>
          <w:sz w:val="28"/>
          <w:szCs w:val="28"/>
        </w:rPr>
        <w:t xml:space="preserve">ністю діяльності підприємства, великою кількістю факторів, що негативно впливають на його функціонування, серед усіх ідентифікованих та згрупованих загроз і ризиків втрати фінансової безпеки основна увага повинна приділятися найбільш небезпечним їх видам. </w:t>
      </w:r>
      <w:r>
        <w:rPr>
          <w:color w:val="000000"/>
          <w:sz w:val="28"/>
          <w:szCs w:val="28"/>
        </w:rPr>
        <w:t>До них належать ті, які мають прямий вплив на можливості реалізації пріоритетних фінансових інтересів підприємства та призводять до досить відчутних за масштабами та наслідками збитків [38, с. 110].</w:t>
      </w:r>
    </w:p>
    <w:p w:rsidR="00705F07" w:rsidRDefault="00185A37">
      <w:pPr>
        <w:spacing w:line="360" w:lineRule="auto"/>
        <w:ind w:firstLine="709"/>
        <w:jc w:val="both"/>
        <w:rPr>
          <w:color w:val="000000"/>
          <w:sz w:val="28"/>
          <w:szCs w:val="28"/>
        </w:rPr>
      </w:pPr>
      <w:r>
        <w:rPr>
          <w:color w:val="000000"/>
          <w:sz w:val="28"/>
          <w:szCs w:val="28"/>
        </w:rPr>
        <w:t>Функціонування фінансового ринку є ключовою передумовою с</w:t>
      </w:r>
      <w:r>
        <w:rPr>
          <w:color w:val="000000"/>
          <w:sz w:val="28"/>
          <w:szCs w:val="28"/>
        </w:rPr>
        <w:t>табільності економічної системи держави, оскільки він забезпечує ефективний перерозподіл фінансових ресурсів, формування інвестиційного потенціалу та підтримку сталого розвитку. Проте фінансовий сектор України залишається вразливим до численних загроз і ри</w:t>
      </w:r>
      <w:r>
        <w:rPr>
          <w:color w:val="000000"/>
          <w:sz w:val="28"/>
          <w:szCs w:val="28"/>
        </w:rPr>
        <w:t xml:space="preserve">зиків, що зумовлюють </w:t>
      </w:r>
      <w:r>
        <w:rPr>
          <w:color w:val="000000"/>
          <w:sz w:val="28"/>
          <w:szCs w:val="28"/>
        </w:rPr>
        <w:lastRenderedPageBreak/>
        <w:t>нестабільність його функціонування. Зокрема, значний вплив на розвиток ринку мають інституційні, політичні, соціальні та технологічні чинники. До п’ятірки найсуттєвіших ризиків, що визначають ступінь стійкості фінансової системи, належ</w:t>
      </w:r>
      <w:r>
        <w:rPr>
          <w:color w:val="000000"/>
          <w:sz w:val="28"/>
          <w:szCs w:val="28"/>
        </w:rPr>
        <w:t xml:space="preserve">ать корупція, недосконалість діяльності правоохоронних органів та судової системи; політична та соціальна нестабільність; стан співпраці з міжнародними фінансовими організаціями; недостатній рівень захисту прав кредиторів та інвесторів; а також шахрайство </w:t>
      </w:r>
      <w:r>
        <w:rPr>
          <w:color w:val="000000"/>
          <w:sz w:val="28"/>
          <w:szCs w:val="28"/>
        </w:rPr>
        <w:t>та кібернетичні загрози. Аналіз цих ризиків є необхідним для формування ефективної стратегії фінансової безпеки держави (рис. 1.2).</w:t>
      </w:r>
    </w:p>
    <w:p w:rsidR="00705F07" w:rsidRDefault="00185A37">
      <w:pPr>
        <w:spacing w:line="360" w:lineRule="auto"/>
        <w:ind w:firstLine="709"/>
        <w:jc w:val="center"/>
        <w:rPr>
          <w:color w:val="000000"/>
          <w:sz w:val="28"/>
          <w:szCs w:val="28"/>
        </w:rPr>
      </w:pPr>
      <w:r>
        <w:rPr>
          <w:noProof/>
          <w:color w:val="000000"/>
          <w:sz w:val="28"/>
          <w:szCs w:val="28"/>
        </w:rPr>
        <w:drawing>
          <wp:inline distT="0" distB="0" distL="0" distR="0">
            <wp:extent cx="5486400" cy="3381375"/>
            <wp:effectExtent l="0" t="19050" r="0" b="9525"/>
            <wp:docPr id="1058" name="Схема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705F07" w:rsidRDefault="00185A37">
      <w:pPr>
        <w:spacing w:line="360" w:lineRule="auto"/>
        <w:ind w:firstLine="709"/>
        <w:jc w:val="center"/>
        <w:rPr>
          <w:color w:val="000000"/>
          <w:sz w:val="28"/>
          <w:szCs w:val="28"/>
        </w:rPr>
      </w:pPr>
      <w:r>
        <w:rPr>
          <w:color w:val="000000"/>
          <w:sz w:val="28"/>
          <w:szCs w:val="28"/>
        </w:rPr>
        <w:t>Рис. 1.2. Основні ризики, які впливають на функціонування фінансового ринку</w:t>
      </w:r>
    </w:p>
    <w:p w:rsidR="00705F07" w:rsidRDefault="00185A37">
      <w:pPr>
        <w:ind w:firstLine="709"/>
        <w:jc w:val="both"/>
        <w:rPr>
          <w:color w:val="000000"/>
        </w:rPr>
      </w:pPr>
      <w:r>
        <w:rPr>
          <w:color w:val="000000"/>
        </w:rPr>
        <w:t>Джерело: складено автором на основі даних [46]</w:t>
      </w:r>
    </w:p>
    <w:p w:rsidR="00705F07" w:rsidRDefault="00705F07">
      <w:pPr>
        <w:spacing w:line="360" w:lineRule="auto"/>
        <w:ind w:firstLine="709"/>
        <w:jc w:val="both"/>
        <w:rPr>
          <w:color w:val="000000"/>
          <w:sz w:val="28"/>
          <w:szCs w:val="28"/>
        </w:rPr>
      </w:pPr>
    </w:p>
    <w:p w:rsidR="00705F07" w:rsidRDefault="00185A37">
      <w:pPr>
        <w:spacing w:line="360" w:lineRule="auto"/>
        <w:ind w:firstLine="709"/>
        <w:jc w:val="both"/>
        <w:rPr>
          <w:color w:val="000000"/>
          <w:sz w:val="28"/>
          <w:szCs w:val="28"/>
        </w:rPr>
      </w:pPr>
      <w:r>
        <w:rPr>
          <w:color w:val="000000"/>
          <w:sz w:val="28"/>
          <w:szCs w:val="28"/>
        </w:rPr>
        <w:t>Наведена на рис. 1.2 класифікація загроз і ризиків, які впливають на функціонування фінансового ринку України, дає змогу системно оцінити ступінь його вразливості та визначити пріоритети у сфері регулювання та контролю. Найбільш критичними залишаються ін</w:t>
      </w:r>
      <w:r>
        <w:rPr>
          <w:color w:val="000000"/>
          <w:sz w:val="28"/>
          <w:szCs w:val="28"/>
        </w:rPr>
        <w:t xml:space="preserve">ституційні проблеми, зокрема корупція та низький рівень довіри до судової системи, що підривають інвестиційний клімат. Водночас політична нестабільність і слабкість </w:t>
      </w:r>
      <w:r>
        <w:rPr>
          <w:color w:val="000000"/>
          <w:sz w:val="28"/>
          <w:szCs w:val="28"/>
        </w:rPr>
        <w:lastRenderedPageBreak/>
        <w:t>механізмів захисту прав учасників ринку обмежують розвиток внутрішнього фінансування. Зрост</w:t>
      </w:r>
      <w:r>
        <w:rPr>
          <w:color w:val="000000"/>
          <w:sz w:val="28"/>
          <w:szCs w:val="28"/>
        </w:rPr>
        <w:t>ання кіберзагроз та шахрайських схем потребує посилення фінансового моніторингу й цифрової безпеки. Отже, підвищення стійкості фінансового сектору можливе лише за умови впровадження комплексних реформ, спрямованих на зміцнення інституційної довіри, розвито</w:t>
      </w:r>
      <w:r>
        <w:rPr>
          <w:color w:val="000000"/>
          <w:sz w:val="28"/>
          <w:szCs w:val="28"/>
        </w:rPr>
        <w:t>к правового середовища та удосконалення системи управління ризиками у фінансовій сфері.</w:t>
      </w:r>
    </w:p>
    <w:p w:rsidR="00705F07" w:rsidRDefault="00185A37">
      <w:pPr>
        <w:spacing w:line="360" w:lineRule="auto"/>
        <w:ind w:firstLine="709"/>
        <w:jc w:val="both"/>
        <w:rPr>
          <w:color w:val="000000"/>
          <w:sz w:val="28"/>
          <w:szCs w:val="28"/>
        </w:rPr>
      </w:pPr>
      <w:r>
        <w:rPr>
          <w:color w:val="000000"/>
          <w:sz w:val="28"/>
          <w:szCs w:val="28"/>
        </w:rPr>
        <w:t>Основою фінансового ринку України виступає узгоджена робота чотирьох головних інституцій: Національного банку України, Національної комісії з цінних паперів та фондовог</w:t>
      </w:r>
      <w:r>
        <w:rPr>
          <w:color w:val="000000"/>
          <w:sz w:val="28"/>
          <w:szCs w:val="28"/>
        </w:rPr>
        <w:t xml:space="preserve">о ринку, Міністерства фінансів України та Фонду гарантування вкладів фізичних осіб. Саме вони здійснюють регулювання ринку. Незважаючи на складні зовнішні виклики – військову агресію Росії та пандемію Covid-19, – регуляторам вдалося забезпечити стабільний </w:t>
      </w:r>
      <w:r>
        <w:rPr>
          <w:color w:val="000000"/>
          <w:sz w:val="28"/>
          <w:szCs w:val="28"/>
        </w:rPr>
        <w:t xml:space="preserve">прогрес у виконанні заходів, передбачених Стратегією. Її реалізація спрямована на досягнення ключових пріоритетів розвитку фінансового сектора, а також на імплементацію міжнародних практик і стандартів, зокрема положень Угоди про асоціацію між Україною та </w:t>
      </w:r>
      <w:r>
        <w:rPr>
          <w:color w:val="000000"/>
          <w:sz w:val="28"/>
          <w:szCs w:val="28"/>
        </w:rPr>
        <w:t>ЄС [45, с. 83].</w:t>
      </w:r>
    </w:p>
    <w:p w:rsidR="00705F07" w:rsidRDefault="00185A37">
      <w:pPr>
        <w:spacing w:line="360" w:lineRule="auto"/>
        <w:ind w:firstLine="709"/>
        <w:jc w:val="both"/>
        <w:rPr>
          <w:color w:val="000000"/>
          <w:sz w:val="28"/>
          <w:szCs w:val="28"/>
        </w:rPr>
      </w:pPr>
      <w:r>
        <w:rPr>
          <w:color w:val="000000"/>
          <w:sz w:val="28"/>
          <w:szCs w:val="28"/>
        </w:rPr>
        <w:t>Фундаментальними принципами функціонування фінансового ринку залишаються прозорість, взаємоповага та ефективна координація між його учасниками. Саме ці чинники забезпечують створення сучасних фінансових продуктів і сервісів, що відповідають</w:t>
      </w:r>
      <w:r>
        <w:rPr>
          <w:color w:val="000000"/>
          <w:sz w:val="28"/>
          <w:szCs w:val="28"/>
        </w:rPr>
        <w:t xml:space="preserve"> потребам споживачів. Головна мета реформування фінансового ринку України полягає у впровадженні передових міжнародних стандартів, які підвищують його ефективність та конкурентоспроможність. Фінансовий ринок України демонструє здатність до стабільного розв</w:t>
      </w:r>
      <w:r>
        <w:rPr>
          <w:color w:val="000000"/>
          <w:sz w:val="28"/>
          <w:szCs w:val="28"/>
        </w:rPr>
        <w:t>итку навіть в умовах воєнного стану, зберігаючи орієнтацію на європейські стандарти, технологічні інновації та задоволення потреб своїх споживачів. Відкритість економічних систем, висока волатильність фінансових ринків, непередбачуваність геополітичних под</w:t>
      </w:r>
      <w:r>
        <w:rPr>
          <w:color w:val="000000"/>
          <w:sz w:val="28"/>
          <w:szCs w:val="28"/>
        </w:rPr>
        <w:t xml:space="preserve">ій та розвиток цифрових технологій зумовлюють появу нових типів ризиків, які вимагають </w:t>
      </w:r>
      <w:r>
        <w:rPr>
          <w:color w:val="000000"/>
          <w:sz w:val="28"/>
          <w:szCs w:val="28"/>
        </w:rPr>
        <w:lastRenderedPageBreak/>
        <w:t xml:space="preserve">удосконалених підходів до їх оцінки та мінімізації. Ефективна система управління фінансовими ризиками в умовах глобалізації передбачає формування комплексної стратегії, </w:t>
      </w:r>
      <w:r>
        <w:rPr>
          <w:color w:val="000000"/>
          <w:sz w:val="28"/>
          <w:szCs w:val="28"/>
        </w:rPr>
        <w:t>що базується на поетапному аналізі, плануванні, реалізації та контролі управлінських дій (табл. 1.2).</w:t>
      </w:r>
    </w:p>
    <w:p w:rsidR="00705F07" w:rsidRDefault="00185A37">
      <w:pPr>
        <w:spacing w:line="360" w:lineRule="auto"/>
        <w:jc w:val="right"/>
        <w:rPr>
          <w:color w:val="000000"/>
          <w:sz w:val="28"/>
          <w:szCs w:val="28"/>
        </w:rPr>
      </w:pPr>
      <w:r>
        <w:rPr>
          <w:color w:val="000000"/>
          <w:sz w:val="28"/>
          <w:szCs w:val="28"/>
        </w:rPr>
        <w:t>Таблиця 1.2</w:t>
      </w:r>
    </w:p>
    <w:p w:rsidR="00705F07" w:rsidRDefault="00185A37">
      <w:pPr>
        <w:spacing w:line="360" w:lineRule="auto"/>
        <w:jc w:val="center"/>
        <w:rPr>
          <w:color w:val="000000"/>
          <w:sz w:val="28"/>
          <w:szCs w:val="28"/>
        </w:rPr>
      </w:pPr>
      <w:r>
        <w:rPr>
          <w:color w:val="000000"/>
          <w:sz w:val="28"/>
          <w:szCs w:val="28"/>
        </w:rPr>
        <w:t>Система формування стратегій управління фінансовими ризиками в умовах глобалізації економіки</w:t>
      </w:r>
    </w:p>
    <w:tbl>
      <w:tblPr>
        <w:tblStyle w:val="ad"/>
        <w:tblW w:w="0" w:type="auto"/>
        <w:jc w:val="center"/>
        <w:tblLook w:val="04A0" w:firstRow="1" w:lastRow="0" w:firstColumn="1" w:lastColumn="0" w:noHBand="0" w:noVBand="1"/>
      </w:tblPr>
      <w:tblGrid>
        <w:gridCol w:w="1809"/>
        <w:gridCol w:w="2410"/>
        <w:gridCol w:w="2356"/>
        <w:gridCol w:w="2552"/>
      </w:tblGrid>
      <w:tr w:rsidR="00705F07">
        <w:trPr>
          <w:jc w:val="center"/>
        </w:trPr>
        <w:tc>
          <w:tcPr>
            <w:tcW w:w="1809" w:type="dxa"/>
            <w:vAlign w:val="center"/>
            <w:hideMark/>
          </w:tcPr>
          <w:p w:rsidR="00705F07" w:rsidRDefault="00185A37">
            <w:pPr>
              <w:jc w:val="center"/>
              <w:rPr>
                <w:color w:val="000000"/>
              </w:rPr>
            </w:pPr>
            <w:r>
              <w:rPr>
                <w:color w:val="000000"/>
              </w:rPr>
              <w:t>Етап</w:t>
            </w:r>
          </w:p>
        </w:tc>
        <w:tc>
          <w:tcPr>
            <w:tcW w:w="2410" w:type="dxa"/>
            <w:vAlign w:val="center"/>
            <w:hideMark/>
          </w:tcPr>
          <w:p w:rsidR="00705F07" w:rsidRDefault="00185A37">
            <w:pPr>
              <w:jc w:val="center"/>
              <w:rPr>
                <w:color w:val="000000"/>
              </w:rPr>
            </w:pPr>
            <w:r>
              <w:rPr>
                <w:color w:val="000000"/>
              </w:rPr>
              <w:t>Зміст</w:t>
            </w:r>
          </w:p>
        </w:tc>
        <w:tc>
          <w:tcPr>
            <w:tcW w:w="2356" w:type="dxa"/>
            <w:vAlign w:val="center"/>
            <w:hideMark/>
          </w:tcPr>
          <w:p w:rsidR="00705F07" w:rsidRDefault="00185A37">
            <w:pPr>
              <w:jc w:val="center"/>
              <w:rPr>
                <w:color w:val="000000"/>
              </w:rPr>
            </w:pPr>
            <w:r>
              <w:rPr>
                <w:color w:val="000000"/>
              </w:rPr>
              <w:t>Методи та інструменти</w:t>
            </w:r>
          </w:p>
        </w:tc>
        <w:tc>
          <w:tcPr>
            <w:tcW w:w="2552" w:type="dxa"/>
            <w:vAlign w:val="center"/>
            <w:hideMark/>
          </w:tcPr>
          <w:p w:rsidR="00705F07" w:rsidRDefault="00185A37">
            <w:pPr>
              <w:jc w:val="center"/>
              <w:rPr>
                <w:color w:val="000000"/>
              </w:rPr>
            </w:pPr>
            <w:r>
              <w:rPr>
                <w:color w:val="000000"/>
              </w:rPr>
              <w:t>Результат</w:t>
            </w:r>
          </w:p>
        </w:tc>
      </w:tr>
      <w:tr w:rsidR="00705F07">
        <w:trPr>
          <w:jc w:val="center"/>
        </w:trPr>
        <w:tc>
          <w:tcPr>
            <w:tcW w:w="1809" w:type="dxa"/>
            <w:vAlign w:val="center"/>
            <w:hideMark/>
          </w:tcPr>
          <w:p w:rsidR="00705F07" w:rsidRDefault="00185A37">
            <w:pPr>
              <w:jc w:val="center"/>
              <w:rPr>
                <w:color w:val="000000"/>
              </w:rPr>
            </w:pPr>
            <w:r>
              <w:rPr>
                <w:color w:val="000000"/>
              </w:rPr>
              <w:t>1. Ан</w:t>
            </w:r>
            <w:r>
              <w:rPr>
                <w:color w:val="000000"/>
              </w:rPr>
              <w:t>аліз та ідентифікація ризиків</w:t>
            </w:r>
          </w:p>
        </w:tc>
        <w:tc>
          <w:tcPr>
            <w:tcW w:w="2410" w:type="dxa"/>
            <w:vAlign w:val="center"/>
            <w:hideMark/>
          </w:tcPr>
          <w:p w:rsidR="00705F07" w:rsidRDefault="00185A37">
            <w:pPr>
              <w:jc w:val="center"/>
              <w:rPr>
                <w:color w:val="000000"/>
              </w:rPr>
            </w:pPr>
            <w:r>
              <w:rPr>
                <w:color w:val="000000"/>
              </w:rPr>
              <w:t>Визначення та оцінка ризиків, з якими стикається підприємство в умовах глобалізації економіки</w:t>
            </w:r>
          </w:p>
        </w:tc>
        <w:tc>
          <w:tcPr>
            <w:tcW w:w="2356" w:type="dxa"/>
            <w:vAlign w:val="center"/>
            <w:hideMark/>
          </w:tcPr>
          <w:p w:rsidR="00705F07" w:rsidRDefault="00185A37">
            <w:pPr>
              <w:jc w:val="center"/>
              <w:rPr>
                <w:color w:val="000000"/>
              </w:rPr>
            </w:pPr>
            <w:r>
              <w:rPr>
                <w:color w:val="000000"/>
              </w:rPr>
              <w:t>SWOT-аналіз, PEST-аналіз, аналіз чутливості, метод експертних оцінок</w:t>
            </w:r>
          </w:p>
        </w:tc>
        <w:tc>
          <w:tcPr>
            <w:tcW w:w="2552" w:type="dxa"/>
            <w:vAlign w:val="center"/>
            <w:hideMark/>
          </w:tcPr>
          <w:p w:rsidR="00705F07" w:rsidRDefault="00185A37">
            <w:pPr>
              <w:jc w:val="center"/>
              <w:rPr>
                <w:color w:val="000000"/>
              </w:rPr>
            </w:pPr>
            <w:r>
              <w:rPr>
                <w:color w:val="000000"/>
              </w:rPr>
              <w:t xml:space="preserve">Перелік та опис ризиків, їх ймовірність та вплив на фінансовий </w:t>
            </w:r>
            <w:r>
              <w:rPr>
                <w:color w:val="000000"/>
              </w:rPr>
              <w:t>стан підприємства</w:t>
            </w:r>
          </w:p>
        </w:tc>
      </w:tr>
      <w:tr w:rsidR="00705F07">
        <w:trPr>
          <w:jc w:val="center"/>
        </w:trPr>
        <w:tc>
          <w:tcPr>
            <w:tcW w:w="1809" w:type="dxa"/>
            <w:vAlign w:val="center"/>
            <w:hideMark/>
          </w:tcPr>
          <w:p w:rsidR="00705F07" w:rsidRDefault="00185A37">
            <w:pPr>
              <w:jc w:val="center"/>
              <w:rPr>
                <w:color w:val="000000"/>
              </w:rPr>
            </w:pPr>
            <w:r>
              <w:rPr>
                <w:color w:val="000000"/>
              </w:rPr>
              <w:t>2. Розробка стратегії управління ризиками</w:t>
            </w:r>
          </w:p>
        </w:tc>
        <w:tc>
          <w:tcPr>
            <w:tcW w:w="2410" w:type="dxa"/>
            <w:vAlign w:val="center"/>
            <w:hideMark/>
          </w:tcPr>
          <w:p w:rsidR="00705F07" w:rsidRDefault="00185A37">
            <w:pPr>
              <w:jc w:val="center"/>
              <w:rPr>
                <w:color w:val="000000"/>
              </w:rPr>
            </w:pPr>
            <w:r>
              <w:rPr>
                <w:color w:val="000000"/>
              </w:rPr>
              <w:t>Визначення цілей та завдань управління ризиками, вибір методів та інструментів для їх досягнення</w:t>
            </w:r>
          </w:p>
        </w:tc>
        <w:tc>
          <w:tcPr>
            <w:tcW w:w="2356" w:type="dxa"/>
            <w:vAlign w:val="center"/>
            <w:hideMark/>
          </w:tcPr>
          <w:p w:rsidR="00705F07" w:rsidRDefault="00185A37">
            <w:pPr>
              <w:jc w:val="center"/>
              <w:rPr>
                <w:color w:val="000000"/>
              </w:rPr>
            </w:pPr>
            <w:r>
              <w:rPr>
                <w:color w:val="000000"/>
              </w:rPr>
              <w:t>Створення матриці ризиків, розробка планів реагування на ризики</w:t>
            </w:r>
          </w:p>
        </w:tc>
        <w:tc>
          <w:tcPr>
            <w:tcW w:w="2552" w:type="dxa"/>
            <w:vAlign w:val="center"/>
            <w:hideMark/>
          </w:tcPr>
          <w:p w:rsidR="00705F07" w:rsidRDefault="00185A37">
            <w:pPr>
              <w:jc w:val="center"/>
              <w:rPr>
                <w:color w:val="000000"/>
              </w:rPr>
            </w:pPr>
            <w:r>
              <w:rPr>
                <w:color w:val="000000"/>
              </w:rPr>
              <w:t xml:space="preserve">Стратегія управління ризиками, що </w:t>
            </w:r>
            <w:r>
              <w:rPr>
                <w:color w:val="000000"/>
              </w:rPr>
              <w:t>включає цілі, завдання, методи та інструменти</w:t>
            </w:r>
          </w:p>
        </w:tc>
      </w:tr>
      <w:tr w:rsidR="00705F07">
        <w:trPr>
          <w:jc w:val="center"/>
        </w:trPr>
        <w:tc>
          <w:tcPr>
            <w:tcW w:w="1809" w:type="dxa"/>
            <w:vAlign w:val="center"/>
            <w:hideMark/>
          </w:tcPr>
          <w:p w:rsidR="00705F07" w:rsidRDefault="00185A37">
            <w:pPr>
              <w:jc w:val="center"/>
              <w:rPr>
                <w:color w:val="000000"/>
              </w:rPr>
            </w:pPr>
            <w:r>
              <w:rPr>
                <w:color w:val="000000"/>
              </w:rPr>
              <w:t>3. Впровадження стратегії</w:t>
            </w:r>
          </w:p>
        </w:tc>
        <w:tc>
          <w:tcPr>
            <w:tcW w:w="2410" w:type="dxa"/>
            <w:vAlign w:val="center"/>
            <w:hideMark/>
          </w:tcPr>
          <w:p w:rsidR="00705F07" w:rsidRDefault="00185A37">
            <w:pPr>
              <w:jc w:val="center"/>
              <w:rPr>
                <w:color w:val="000000"/>
              </w:rPr>
            </w:pPr>
            <w:r>
              <w:rPr>
                <w:color w:val="000000"/>
              </w:rPr>
              <w:t>Реалізація заходів, передбачених стратегією управління ризиками</w:t>
            </w:r>
          </w:p>
        </w:tc>
        <w:tc>
          <w:tcPr>
            <w:tcW w:w="2356" w:type="dxa"/>
            <w:vAlign w:val="center"/>
            <w:hideMark/>
          </w:tcPr>
          <w:p w:rsidR="00705F07" w:rsidRDefault="00185A37">
            <w:pPr>
              <w:jc w:val="center"/>
              <w:rPr>
                <w:color w:val="000000"/>
              </w:rPr>
            </w:pPr>
            <w:r>
              <w:rPr>
                <w:color w:val="000000"/>
              </w:rPr>
              <w:t>Створення системи контролю за ризиками, моніторинг ризиків, навчання персоналу</w:t>
            </w:r>
          </w:p>
        </w:tc>
        <w:tc>
          <w:tcPr>
            <w:tcW w:w="2552" w:type="dxa"/>
            <w:vAlign w:val="center"/>
            <w:hideMark/>
          </w:tcPr>
          <w:p w:rsidR="00705F07" w:rsidRDefault="00185A37">
            <w:pPr>
              <w:jc w:val="center"/>
              <w:rPr>
                <w:color w:val="000000"/>
              </w:rPr>
            </w:pPr>
            <w:r>
              <w:rPr>
                <w:color w:val="000000"/>
              </w:rPr>
              <w:t xml:space="preserve">Зниження рівня ризиків та їх впливу на </w:t>
            </w:r>
            <w:r>
              <w:rPr>
                <w:color w:val="000000"/>
              </w:rPr>
              <w:t>фінансовий стан підприємства</w:t>
            </w:r>
          </w:p>
        </w:tc>
      </w:tr>
      <w:tr w:rsidR="00705F07">
        <w:trPr>
          <w:jc w:val="center"/>
        </w:trPr>
        <w:tc>
          <w:tcPr>
            <w:tcW w:w="1809" w:type="dxa"/>
            <w:vAlign w:val="center"/>
            <w:hideMark/>
          </w:tcPr>
          <w:p w:rsidR="00705F07" w:rsidRDefault="00185A37">
            <w:pPr>
              <w:jc w:val="center"/>
              <w:rPr>
                <w:color w:val="000000"/>
              </w:rPr>
            </w:pPr>
            <w:r>
              <w:rPr>
                <w:color w:val="000000"/>
              </w:rPr>
              <w:t>4. Моніторинг та контроль</w:t>
            </w:r>
          </w:p>
        </w:tc>
        <w:tc>
          <w:tcPr>
            <w:tcW w:w="2410" w:type="dxa"/>
            <w:vAlign w:val="center"/>
            <w:hideMark/>
          </w:tcPr>
          <w:p w:rsidR="00705F07" w:rsidRDefault="00185A37">
            <w:pPr>
              <w:jc w:val="center"/>
              <w:rPr>
                <w:color w:val="000000"/>
              </w:rPr>
            </w:pPr>
            <w:r>
              <w:rPr>
                <w:color w:val="000000"/>
              </w:rPr>
              <w:t>Оцінка ефективності стратегії управління ризиками, внесення необхідних змін</w:t>
            </w:r>
          </w:p>
        </w:tc>
        <w:tc>
          <w:tcPr>
            <w:tcW w:w="2356" w:type="dxa"/>
            <w:vAlign w:val="center"/>
            <w:hideMark/>
          </w:tcPr>
          <w:p w:rsidR="00705F07" w:rsidRDefault="00185A37">
            <w:pPr>
              <w:jc w:val="center"/>
              <w:rPr>
                <w:color w:val="000000"/>
              </w:rPr>
            </w:pPr>
            <w:r>
              <w:rPr>
                <w:color w:val="000000"/>
              </w:rPr>
              <w:t>Аналіз результатів реалізації стратегії, коригування планів реагування на ризики</w:t>
            </w:r>
          </w:p>
        </w:tc>
        <w:tc>
          <w:tcPr>
            <w:tcW w:w="2552" w:type="dxa"/>
            <w:vAlign w:val="center"/>
            <w:hideMark/>
          </w:tcPr>
          <w:p w:rsidR="00705F07" w:rsidRDefault="00185A37">
            <w:pPr>
              <w:jc w:val="center"/>
              <w:rPr>
                <w:color w:val="000000"/>
              </w:rPr>
            </w:pPr>
            <w:r>
              <w:rPr>
                <w:color w:val="000000"/>
              </w:rPr>
              <w:t>Забезпечення постійного вдосконалення систе</w:t>
            </w:r>
            <w:r>
              <w:rPr>
                <w:color w:val="000000"/>
              </w:rPr>
              <w:t>ми управління ризиками</w:t>
            </w:r>
          </w:p>
        </w:tc>
      </w:tr>
    </w:tbl>
    <w:p w:rsidR="00705F07" w:rsidRDefault="00185A37">
      <w:pPr>
        <w:ind w:firstLine="709"/>
        <w:jc w:val="both"/>
        <w:rPr>
          <w:color w:val="000000"/>
        </w:rPr>
      </w:pPr>
      <w:r>
        <w:rPr>
          <w:color w:val="000000"/>
        </w:rPr>
        <w:t>Джерело: складено автором на основі даних [16, с. 231]</w:t>
      </w:r>
    </w:p>
    <w:p w:rsidR="00705F07" w:rsidRDefault="00705F07">
      <w:pPr>
        <w:spacing w:line="360" w:lineRule="auto"/>
        <w:ind w:firstLine="709"/>
        <w:jc w:val="both"/>
        <w:rPr>
          <w:color w:val="000000"/>
          <w:sz w:val="28"/>
          <w:szCs w:val="28"/>
        </w:rPr>
      </w:pPr>
    </w:p>
    <w:p w:rsidR="00705F07" w:rsidRDefault="00185A37">
      <w:pPr>
        <w:spacing w:line="360" w:lineRule="auto"/>
        <w:ind w:firstLine="709"/>
        <w:jc w:val="both"/>
        <w:rPr>
          <w:color w:val="000000"/>
          <w:sz w:val="28"/>
          <w:szCs w:val="28"/>
        </w:rPr>
      </w:pPr>
      <w:r>
        <w:rPr>
          <w:color w:val="000000"/>
          <w:sz w:val="28"/>
          <w:szCs w:val="28"/>
        </w:rPr>
        <w:t xml:space="preserve">Перший етап – аналіз та ідентифікація ризиків – є фундаментом для формування ефективної стратегії управління. На цьому етапі здійснюється виявлення, класифікація та кількісна </w:t>
      </w:r>
      <w:r>
        <w:rPr>
          <w:color w:val="000000"/>
          <w:sz w:val="28"/>
          <w:szCs w:val="28"/>
        </w:rPr>
        <w:t>оцінка ризиків, що впливають на фінансовий стан підприємства. Серед ключових інструментів аналізу використовуються SWOT-аналіз [24], який дозволяє оцінити сильні та слабкі сторони підприємства, PEST-аналіз [13, с. 262], що враховує політичні, економічні, с</w:t>
      </w:r>
      <w:r>
        <w:rPr>
          <w:color w:val="000000"/>
          <w:sz w:val="28"/>
          <w:szCs w:val="28"/>
        </w:rPr>
        <w:t xml:space="preserve">оціальні та технологічні фактори, а також метод експертних </w:t>
      </w:r>
      <w:r>
        <w:rPr>
          <w:color w:val="000000"/>
          <w:sz w:val="28"/>
          <w:szCs w:val="28"/>
        </w:rPr>
        <w:lastRenderedPageBreak/>
        <w:t>оцінок, який базується на залученні професійних суджень спеціалістів. Результатом даного етапу є формування переліку ризиків із зазначенням їх ймовірності виникнення та потенційного впливу на фінан</w:t>
      </w:r>
      <w:r>
        <w:rPr>
          <w:color w:val="000000"/>
          <w:sz w:val="28"/>
          <w:szCs w:val="28"/>
        </w:rPr>
        <w:t>сову стабільність підприємства.</w:t>
      </w:r>
    </w:p>
    <w:p w:rsidR="00705F07" w:rsidRDefault="00185A37">
      <w:pPr>
        <w:spacing w:line="360" w:lineRule="auto"/>
        <w:ind w:firstLine="709"/>
        <w:jc w:val="both"/>
        <w:rPr>
          <w:color w:val="000000"/>
          <w:sz w:val="28"/>
          <w:szCs w:val="28"/>
        </w:rPr>
      </w:pPr>
      <w:r>
        <w:rPr>
          <w:color w:val="000000"/>
          <w:sz w:val="28"/>
          <w:szCs w:val="28"/>
        </w:rPr>
        <w:t>Другий етап – розробка стратегії управління ризиками – передбачає визначення цілей, завдань та принципів управління, вибір методів нейтралізації чи мінімізації ризиків. У межах цього етапу формується матриця ризиків, що дозв</w:t>
      </w:r>
      <w:r>
        <w:rPr>
          <w:color w:val="000000"/>
          <w:sz w:val="28"/>
          <w:szCs w:val="28"/>
        </w:rPr>
        <w:t>оляє розподілити ризики за рівнями значущості, а також розробляються плани реагування на кожен тип ризику. Стратегія має бути гнучкою, адаптивною до змін зовнішнього середовища, містити конкретні інструменти та механізми управління. Результатом етапу є ств</w:t>
      </w:r>
      <w:r>
        <w:rPr>
          <w:color w:val="000000"/>
          <w:sz w:val="28"/>
          <w:szCs w:val="28"/>
        </w:rPr>
        <w:t>орення цілісної стратегії управління фінансовими ризиками, яка інтегрується у загальну систему стратегічного планування підприємства.</w:t>
      </w:r>
    </w:p>
    <w:p w:rsidR="00705F07" w:rsidRDefault="00185A37">
      <w:pPr>
        <w:spacing w:line="360" w:lineRule="auto"/>
        <w:ind w:firstLine="709"/>
        <w:jc w:val="both"/>
        <w:rPr>
          <w:color w:val="000000"/>
          <w:sz w:val="28"/>
          <w:szCs w:val="28"/>
        </w:rPr>
      </w:pPr>
      <w:r>
        <w:rPr>
          <w:color w:val="000000"/>
          <w:sz w:val="28"/>
          <w:szCs w:val="28"/>
        </w:rPr>
        <w:t>Третій етап – впровадження стратегії – полягає у практичній реалізації розроблених заходів і політик щодо управління ризик</w:t>
      </w:r>
      <w:r>
        <w:rPr>
          <w:color w:val="000000"/>
          <w:sz w:val="28"/>
          <w:szCs w:val="28"/>
        </w:rPr>
        <w:t>ами. На цьому етапі формується система контролю за ризиками, проводиться моніторинг зовнішніх і внутрішніх чинників, а також навчання персоналу, який бере участь у реалізації заходів ризик-менеджменту. Основна мета етапу – зниження рівня фінансових ризиків</w:t>
      </w:r>
      <w:r>
        <w:rPr>
          <w:color w:val="000000"/>
          <w:sz w:val="28"/>
          <w:szCs w:val="28"/>
        </w:rPr>
        <w:t xml:space="preserve"> та мінімізація їх негативного впливу на стабільність підприємства. Успішне впровадження стратегії забезпечує формування культури ризик-менеджменту на всіх рівнях управління.</w:t>
      </w:r>
    </w:p>
    <w:p w:rsidR="00705F07" w:rsidRDefault="00185A37">
      <w:pPr>
        <w:spacing w:line="360" w:lineRule="auto"/>
        <w:ind w:firstLine="709"/>
        <w:jc w:val="both"/>
        <w:rPr>
          <w:color w:val="000000"/>
          <w:sz w:val="28"/>
          <w:szCs w:val="28"/>
        </w:rPr>
      </w:pPr>
      <w:r>
        <w:rPr>
          <w:color w:val="000000"/>
          <w:sz w:val="28"/>
          <w:szCs w:val="28"/>
        </w:rPr>
        <w:t>Четвертий етап – моніторинг та контроль – є завершальним, але не менш важливим ел</w:t>
      </w:r>
      <w:r>
        <w:rPr>
          <w:color w:val="000000"/>
          <w:sz w:val="28"/>
          <w:szCs w:val="28"/>
        </w:rPr>
        <w:t>ементом системи управління ризиками. Він передбачає оцінку ефективності реалізованої стратегії, аналіз результатів, порівняння запланованих та фактичних показників, а також коригування планів реагування у разі виявлення нових ризиків або зміни умов зовнішн</w:t>
      </w:r>
      <w:r>
        <w:rPr>
          <w:color w:val="000000"/>
          <w:sz w:val="28"/>
          <w:szCs w:val="28"/>
        </w:rPr>
        <w:t>ього середовища. Постійний моніторинг дозволяє удосконалювати систему управління ризиками, забезпечуючи її відповідність сучасним викликам глобальної економіки.</w:t>
      </w:r>
    </w:p>
    <w:p w:rsidR="00705F07" w:rsidRDefault="00185A37">
      <w:pPr>
        <w:spacing w:line="360" w:lineRule="auto"/>
        <w:ind w:firstLine="709"/>
        <w:jc w:val="both"/>
        <w:rPr>
          <w:color w:val="000000"/>
          <w:sz w:val="28"/>
          <w:szCs w:val="28"/>
        </w:rPr>
      </w:pPr>
      <w:r>
        <w:rPr>
          <w:color w:val="000000"/>
          <w:sz w:val="28"/>
          <w:szCs w:val="28"/>
        </w:rPr>
        <w:lastRenderedPageBreak/>
        <w:t>Отже, система формування стратегій управління фінансовими ризиками в умовах глобалізації економ</w:t>
      </w:r>
      <w:r>
        <w:rPr>
          <w:color w:val="000000"/>
          <w:sz w:val="28"/>
          <w:szCs w:val="28"/>
        </w:rPr>
        <w:t>іки має поетапний, інтегрований характер, що поєднує аналітичні, організаційні та контрольні елементи. Її ефективність залежить від здатності підприємства своєчасно виявляти загрози, формувати адаптивні механізми реагування та впроваджувати інноваційні мет</w:t>
      </w:r>
      <w:r>
        <w:rPr>
          <w:color w:val="000000"/>
          <w:sz w:val="28"/>
          <w:szCs w:val="28"/>
        </w:rPr>
        <w:t>оди управління. У контексті глобалізаційних викликів така система виступає не лише інструментом зниження ризиків, але й стратегічним засобом забезпечення фінансової стійкості, конкурентоспроможності та довгострокового розвитку підприємства.</w:t>
      </w:r>
    </w:p>
    <w:p w:rsidR="00705F07" w:rsidRDefault="00705F07">
      <w:pPr>
        <w:pStyle w:val="2"/>
        <w:keepNext w:val="0"/>
        <w:keepLines w:val="0"/>
        <w:spacing w:before="0" w:line="360" w:lineRule="auto"/>
        <w:ind w:firstLine="709"/>
        <w:jc w:val="both"/>
        <w:rPr>
          <w:rFonts w:ascii="Times New Roman" w:hAnsi="Times New Roman" w:cs="Times New Roman"/>
          <w:b w:val="0"/>
          <w:color w:val="000000"/>
          <w:sz w:val="28"/>
          <w:szCs w:val="28"/>
        </w:rPr>
      </w:pPr>
    </w:p>
    <w:p w:rsidR="00705F07" w:rsidRDefault="00185A37">
      <w:pPr>
        <w:pStyle w:val="2"/>
        <w:keepNext w:val="0"/>
        <w:keepLines w:val="0"/>
        <w:spacing w:before="0" w:line="360" w:lineRule="auto"/>
        <w:ind w:firstLine="709"/>
        <w:jc w:val="both"/>
        <w:rPr>
          <w:rFonts w:ascii="Times New Roman" w:hAnsi="Times New Roman" w:cs="Times New Roman"/>
          <w:b w:val="0"/>
          <w:color w:val="000000"/>
          <w:sz w:val="28"/>
          <w:szCs w:val="28"/>
        </w:rPr>
      </w:pPr>
      <w:bookmarkStart w:id="6" w:name="_Toc213845765"/>
      <w:r>
        <w:rPr>
          <w:rFonts w:ascii="Times New Roman" w:hAnsi="Times New Roman" w:cs="Times New Roman"/>
          <w:b w:val="0"/>
          <w:color w:val="000000"/>
          <w:sz w:val="28"/>
          <w:szCs w:val="28"/>
        </w:rPr>
        <w:t>1.3 Теоретичні</w:t>
      </w:r>
      <w:r>
        <w:rPr>
          <w:rFonts w:ascii="Times New Roman" w:hAnsi="Times New Roman" w:cs="Times New Roman"/>
          <w:b w:val="0"/>
          <w:color w:val="000000"/>
          <w:sz w:val="28"/>
          <w:szCs w:val="28"/>
        </w:rPr>
        <w:t xml:space="preserve"> підходи до аналізу впливу воєнних конфліктів на фінансові ринки</w:t>
      </w:r>
      <w:bookmarkEnd w:id="6"/>
    </w:p>
    <w:p w:rsidR="00705F07" w:rsidRDefault="00705F07">
      <w:pPr>
        <w:spacing w:line="360" w:lineRule="auto"/>
        <w:ind w:firstLine="709"/>
        <w:jc w:val="both"/>
        <w:rPr>
          <w:color w:val="000000"/>
          <w:sz w:val="28"/>
          <w:szCs w:val="28"/>
        </w:rPr>
      </w:pPr>
    </w:p>
    <w:p w:rsidR="00705F07" w:rsidRDefault="00185A37">
      <w:pPr>
        <w:spacing w:line="360" w:lineRule="auto"/>
        <w:ind w:firstLine="709"/>
        <w:jc w:val="both"/>
        <w:rPr>
          <w:color w:val="000000"/>
          <w:sz w:val="28"/>
          <w:szCs w:val="28"/>
        </w:rPr>
      </w:pPr>
      <w:r>
        <w:rPr>
          <w:color w:val="000000"/>
          <w:sz w:val="28"/>
          <w:szCs w:val="28"/>
        </w:rPr>
        <w:t>Фінансовий ринок виступає ключовим елементом економічної системи будь-якої держави, забезпечуючи ефективний розподіл капіталу, фінансування підприємницької діяльності та підтримку стабільнос</w:t>
      </w:r>
      <w:r>
        <w:rPr>
          <w:color w:val="000000"/>
          <w:sz w:val="28"/>
          <w:szCs w:val="28"/>
        </w:rPr>
        <w:t>ті економіки. У зв’язку з повномасштабним вторгненням, що розпочалося у лютому 2022 року, фінансовий ринок України зазнав суттєвих потрясінь, що проявилося у відтоку інвестицій, скороченні ліквідності, девальвації національної валюти та зростанні ризиків д</w:t>
      </w:r>
      <w:r>
        <w:rPr>
          <w:color w:val="000000"/>
          <w:sz w:val="28"/>
          <w:szCs w:val="28"/>
        </w:rPr>
        <w:t>ля банківського сектору. Водночас державні органи та фінансові установи запровадили низку заходів для підтримки ринку, серед яких регуляторні зміни, кредитні програми та валютні обмеження. Незважаючи на кризові явища, питання перспективного розвитку фінанс</w:t>
      </w:r>
      <w:r>
        <w:rPr>
          <w:color w:val="000000"/>
          <w:sz w:val="28"/>
          <w:szCs w:val="28"/>
        </w:rPr>
        <w:t>ового ринку України залишається актуальним. Аналіз сучасного стану, проблем та можливих шляхів відновлення фінансової системи дозволяє оцінити її стійкість та розробити рекомендації щодо стабілізації та залучення інвестицій.</w:t>
      </w:r>
    </w:p>
    <w:p w:rsidR="00705F07" w:rsidRDefault="00185A37">
      <w:pPr>
        <w:spacing w:line="360" w:lineRule="auto"/>
        <w:ind w:firstLine="709"/>
        <w:jc w:val="both"/>
        <w:rPr>
          <w:color w:val="000000"/>
          <w:sz w:val="28"/>
          <w:szCs w:val="28"/>
        </w:rPr>
      </w:pPr>
      <w:r>
        <w:rPr>
          <w:color w:val="000000"/>
          <w:sz w:val="28"/>
          <w:szCs w:val="28"/>
        </w:rPr>
        <w:t>Кожен збройний конфлікт проходи</w:t>
      </w:r>
      <w:r>
        <w:rPr>
          <w:color w:val="000000"/>
          <w:sz w:val="28"/>
          <w:szCs w:val="28"/>
        </w:rPr>
        <w:t xml:space="preserve">ть через кілька послідовних етапів, серед яких можна виокремити: ескалацію та наростання напруженості, провокації й офіційне оголошення конфлікту, активну фазу бойових дій, </w:t>
      </w:r>
      <w:r>
        <w:rPr>
          <w:color w:val="000000"/>
          <w:sz w:val="28"/>
          <w:szCs w:val="28"/>
        </w:rPr>
        <w:lastRenderedPageBreak/>
        <w:t>затягування протистояння, завершення бойових дій та післяконфліктний період. На кож</w:t>
      </w:r>
      <w:r>
        <w:rPr>
          <w:color w:val="000000"/>
          <w:sz w:val="28"/>
          <w:szCs w:val="28"/>
        </w:rPr>
        <w:t xml:space="preserve">ній із цих фаз конфлікт по-різному впливає на фінансово-економічну ситуацію держав, які беруть у ньому участь. Для етапу ескалації характерне зниження інвестиційної привабливості країни через зростання ризиків та невизначеності, а також можливе припинення </w:t>
      </w:r>
      <w:r>
        <w:rPr>
          <w:color w:val="000000"/>
          <w:sz w:val="28"/>
          <w:szCs w:val="28"/>
        </w:rPr>
        <w:t>торговельних відносин із міжнародними партнерами внаслідок запровадження санкцій. Початкова стадія активних бойових дій супроводжується такими загрозами для економіки, як виснаження державного бюджету, його переорієнтація на фінансування військово-промисло</w:t>
      </w:r>
      <w:r>
        <w:rPr>
          <w:color w:val="000000"/>
          <w:sz w:val="28"/>
          <w:szCs w:val="28"/>
        </w:rPr>
        <w:t>вого комплексу, втрата територій і природних ресурсів, а також руйнування інфраструктури, що ускладнює функціонування критично важливих об’єктів. У період активної фази бойових дій спостерігається різке скорочення ВВП, падіння купівельної спроможності насе</w:t>
      </w:r>
      <w:r>
        <w:rPr>
          <w:color w:val="000000"/>
          <w:sz w:val="28"/>
          <w:szCs w:val="28"/>
        </w:rPr>
        <w:t>лення та зниження виробничих можливостей національних підприємств. Зростає ризик виникнення гуманітарної та екологічної кризи, що поглиблює економічний спад. На завершальному етапі конфлікту та під час післявоєнної відбудови країна стикається з тривалим пр</w:t>
      </w:r>
      <w:r>
        <w:rPr>
          <w:color w:val="000000"/>
          <w:sz w:val="28"/>
          <w:szCs w:val="28"/>
        </w:rPr>
        <w:t>оцесом відновлення фінансово-економічної стабільності, супроводжуваним зростанням державного боргу та потребою у значних інвестиційних ресурсах [37].</w:t>
      </w:r>
    </w:p>
    <w:p w:rsidR="00705F07" w:rsidRDefault="00185A37">
      <w:pPr>
        <w:spacing w:line="360" w:lineRule="auto"/>
        <w:ind w:firstLine="709"/>
        <w:jc w:val="both"/>
        <w:rPr>
          <w:color w:val="000000"/>
          <w:sz w:val="28"/>
          <w:szCs w:val="28"/>
        </w:rPr>
      </w:pPr>
      <w:r>
        <w:rPr>
          <w:color w:val="000000"/>
          <w:sz w:val="28"/>
          <w:szCs w:val="28"/>
        </w:rPr>
        <w:t>У сучасних економічних реаліях основним завданням суб’єктів господарювання стає забезпечення власного вижи</w:t>
      </w:r>
      <w:r>
        <w:rPr>
          <w:color w:val="000000"/>
          <w:sz w:val="28"/>
          <w:szCs w:val="28"/>
        </w:rPr>
        <w:t>вання. Глибока кризова фаза, у якій перебуває економіка України під впливом воєнного стану, суттєво впливає на діяльність підприємств, підвищуючи рівень невизначеності та нестабільності. У таких умовах зростають вимоги до ефективності управління, і кожен к</w:t>
      </w:r>
      <w:r>
        <w:rPr>
          <w:color w:val="000000"/>
          <w:sz w:val="28"/>
          <w:szCs w:val="28"/>
        </w:rPr>
        <w:t>ерівник змушений узгоджувати свої дії з поточною ситуацією як у національній, так і в глобальній економіці [21, с. 39]. Дотримання довгострокових стратегічних орієнтирів стає складним завданням, натомість на перший план виходить необхідність швидкого реагу</w:t>
      </w:r>
      <w:r>
        <w:rPr>
          <w:color w:val="000000"/>
          <w:sz w:val="28"/>
          <w:szCs w:val="28"/>
        </w:rPr>
        <w:t xml:space="preserve">вання на кризові зміни та вирішення нагальних проблем. Тому при аналізі економічних тенденцій на мікрорівні особливу увагу слід приділяти оцінці та управлінню ризиками, які </w:t>
      </w:r>
      <w:r>
        <w:rPr>
          <w:color w:val="000000"/>
          <w:sz w:val="28"/>
          <w:szCs w:val="28"/>
        </w:rPr>
        <w:lastRenderedPageBreak/>
        <w:t xml:space="preserve">супроводжують діяльність підприємств у середовищі підвищеної невизначеності. </w:t>
      </w:r>
    </w:p>
    <w:p w:rsidR="00705F07" w:rsidRDefault="00185A37">
      <w:pPr>
        <w:spacing w:line="360" w:lineRule="auto"/>
        <w:ind w:firstLine="709"/>
        <w:jc w:val="both"/>
        <w:rPr>
          <w:color w:val="000000"/>
          <w:sz w:val="28"/>
          <w:szCs w:val="28"/>
        </w:rPr>
      </w:pPr>
      <w:r>
        <w:rPr>
          <w:color w:val="000000"/>
          <w:sz w:val="28"/>
          <w:szCs w:val="28"/>
        </w:rPr>
        <w:t>Війсь</w:t>
      </w:r>
      <w:r>
        <w:rPr>
          <w:color w:val="000000"/>
          <w:sz w:val="28"/>
          <w:szCs w:val="28"/>
        </w:rPr>
        <w:t>кові дії змінюють структуру державного бюджету, спрямовуючи основні ресурси на фінансування оборонного сектору, що призводить до скорочення видатків на соціальні потреби, освіту та охорону здоров’я. Зокрема, у 2021-2025 рр. витрати на оборону зросли на 56%</w:t>
      </w:r>
      <w:r>
        <w:rPr>
          <w:color w:val="000000"/>
          <w:sz w:val="28"/>
          <w:szCs w:val="28"/>
        </w:rPr>
        <w:t>, тоді як фінансування економічної діяльності зменшилося на 15%, а освіти – на 11% (рис. 1.3).</w:t>
      </w:r>
    </w:p>
    <w:tbl>
      <w:tblPr>
        <w:tblStyle w:val="a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5"/>
      </w:tblGrid>
      <w:tr w:rsidR="00705F07">
        <w:trPr>
          <w:jc w:val="center"/>
        </w:trPr>
        <w:tc>
          <w:tcPr>
            <w:tcW w:w="9571" w:type="dxa"/>
          </w:tcPr>
          <w:p w:rsidR="00705F07" w:rsidRDefault="00185A37">
            <w:pPr>
              <w:contextualSpacing/>
              <w:jc w:val="center"/>
              <w:rPr>
                <w:color w:val="000000"/>
                <w:sz w:val="16"/>
                <w:szCs w:val="16"/>
              </w:rPr>
            </w:pPr>
            <w:r>
              <w:rPr>
                <w:noProof/>
                <w:color w:val="000000"/>
                <w:sz w:val="16"/>
                <w:szCs w:val="16"/>
              </w:rPr>
              <w:drawing>
                <wp:inline distT="0" distB="0" distL="114300" distR="114300">
                  <wp:extent cx="5391785" cy="2609850"/>
                  <wp:effectExtent l="0" t="0" r="0" b="0"/>
                  <wp:docPr id="1060"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tc>
      </w:tr>
      <w:tr w:rsidR="00705F07">
        <w:trPr>
          <w:jc w:val="center"/>
        </w:trPr>
        <w:tc>
          <w:tcPr>
            <w:tcW w:w="9571" w:type="dxa"/>
          </w:tcPr>
          <w:p w:rsidR="00705F07" w:rsidRDefault="00705F07">
            <w:pPr>
              <w:contextualSpacing/>
              <w:jc w:val="center"/>
              <w:rPr>
                <w:color w:val="000000"/>
                <w:sz w:val="16"/>
                <w:szCs w:val="16"/>
              </w:rPr>
            </w:pPr>
          </w:p>
        </w:tc>
      </w:tr>
      <w:tr w:rsidR="00705F07">
        <w:trPr>
          <w:jc w:val="center"/>
        </w:trPr>
        <w:tc>
          <w:tcPr>
            <w:tcW w:w="9571" w:type="dxa"/>
          </w:tcPr>
          <w:p w:rsidR="00705F07" w:rsidRDefault="00185A37">
            <w:pPr>
              <w:contextualSpacing/>
              <w:jc w:val="center"/>
              <w:rPr>
                <w:color w:val="000000"/>
                <w:sz w:val="16"/>
                <w:szCs w:val="16"/>
              </w:rPr>
            </w:pPr>
            <w:r>
              <w:rPr>
                <w:noProof/>
                <w:color w:val="000000"/>
                <w:sz w:val="16"/>
                <w:szCs w:val="16"/>
              </w:rPr>
              <w:drawing>
                <wp:inline distT="0" distB="0" distL="114300" distR="114300">
                  <wp:extent cx="5334000" cy="2857500"/>
                  <wp:effectExtent l="0" t="0" r="0" b="0"/>
                  <wp:docPr id="1062"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tc>
      </w:tr>
    </w:tbl>
    <w:p w:rsidR="00705F07" w:rsidRDefault="00185A37">
      <w:pPr>
        <w:spacing w:line="360" w:lineRule="auto"/>
        <w:jc w:val="center"/>
        <w:rPr>
          <w:color w:val="000000"/>
          <w:sz w:val="28"/>
          <w:szCs w:val="28"/>
        </w:rPr>
      </w:pPr>
      <w:r>
        <w:rPr>
          <w:color w:val="000000"/>
          <w:sz w:val="28"/>
          <w:szCs w:val="28"/>
        </w:rPr>
        <w:t>Рис. 1.3. Видатки з державного бюджетуУкраїни, у 2021 р. та 2025 р.</w:t>
      </w:r>
    </w:p>
    <w:p w:rsidR="00705F07" w:rsidRDefault="00185A37">
      <w:pPr>
        <w:ind w:firstLine="709"/>
        <w:jc w:val="both"/>
        <w:rPr>
          <w:color w:val="000000"/>
        </w:rPr>
      </w:pPr>
      <w:r>
        <w:rPr>
          <w:color w:val="000000"/>
        </w:rPr>
        <w:t>Джерело: складено автором на основі даних [14]</w:t>
      </w:r>
    </w:p>
    <w:p w:rsidR="00705F07" w:rsidRDefault="00705F07">
      <w:pPr>
        <w:spacing w:line="360" w:lineRule="auto"/>
        <w:ind w:firstLine="709"/>
        <w:jc w:val="both"/>
        <w:rPr>
          <w:color w:val="000000"/>
          <w:sz w:val="28"/>
          <w:szCs w:val="28"/>
        </w:rPr>
      </w:pPr>
    </w:p>
    <w:p w:rsidR="00705F07" w:rsidRDefault="00185A37">
      <w:pPr>
        <w:spacing w:line="360" w:lineRule="auto"/>
        <w:ind w:firstLine="709"/>
        <w:jc w:val="both"/>
        <w:rPr>
          <w:color w:val="000000"/>
          <w:sz w:val="28"/>
          <w:szCs w:val="28"/>
        </w:rPr>
      </w:pPr>
      <w:r>
        <w:rPr>
          <w:color w:val="000000"/>
          <w:sz w:val="28"/>
          <w:szCs w:val="28"/>
        </w:rPr>
        <w:lastRenderedPageBreak/>
        <w:t xml:space="preserve">Значна частина державних коштів </w:t>
      </w:r>
      <w:r>
        <w:rPr>
          <w:color w:val="000000"/>
          <w:sz w:val="28"/>
          <w:szCs w:val="28"/>
        </w:rPr>
        <w:t>спрямовується на закупівлю озброєння, забезпечення армії, відновлення зруйнованих територій та підтримання внутрішньої безпеки. Унаслідок цього скорочуються соціальні програми, медичні заклади недоотримують фінансування, а заклади освіти часто змушені пере</w:t>
      </w:r>
      <w:r>
        <w:rPr>
          <w:color w:val="000000"/>
          <w:sz w:val="28"/>
          <w:szCs w:val="28"/>
        </w:rPr>
        <w:t>ходити в дистанційний режим, що негативно впливає на якість навчання. Крім того, держава несе додаткові витрати на підтримку внутрішньо переміщених осіб, соціальні виплати постраждалим та компенсації підприємствам, які зазнали збитків. Одночасно з цим може</w:t>
      </w:r>
      <w:r>
        <w:rPr>
          <w:color w:val="000000"/>
          <w:sz w:val="28"/>
          <w:szCs w:val="28"/>
        </w:rPr>
        <w:t xml:space="preserve"> зростати податкове навантаження на громадян і бізнес, що зменшує споживчий попит і стримує економічне зростання. Поглиблення інфляційних процесів, спричинене дефіцитом товарів, фінансовою нестабільністю та коливаннями валютного курсу, посилює кризові явищ</w:t>
      </w:r>
      <w:r>
        <w:rPr>
          <w:color w:val="000000"/>
          <w:sz w:val="28"/>
          <w:szCs w:val="28"/>
        </w:rPr>
        <w:t>а, роблячи базові товари та послуги менш доступними для населення. Російсько-українська війна є важливим чинником, який впливає на сучасні міжнародні економічні процеси. Дослідження мають продовжувати фокусуватися на розумінні цих змін і розробці стратегій</w:t>
      </w:r>
      <w:r>
        <w:rPr>
          <w:color w:val="000000"/>
          <w:sz w:val="28"/>
          <w:szCs w:val="28"/>
        </w:rPr>
        <w:t xml:space="preserve"> адаптації до нових умов [33, с. 51].</w:t>
      </w:r>
    </w:p>
    <w:p w:rsidR="00705F07" w:rsidRDefault="00185A37">
      <w:pPr>
        <w:spacing w:line="360" w:lineRule="auto"/>
        <w:ind w:firstLine="709"/>
        <w:jc w:val="both"/>
        <w:rPr>
          <w:color w:val="000000"/>
          <w:sz w:val="28"/>
          <w:szCs w:val="28"/>
        </w:rPr>
      </w:pPr>
      <w:r>
        <w:rPr>
          <w:color w:val="000000"/>
          <w:sz w:val="28"/>
          <w:szCs w:val="28"/>
        </w:rPr>
        <w:t>Особливу увагу слід приділяти впливу воєнних дій на різні сегменти фінансового ринку, включаючи банківський сектор, фондовий ринок, страхову діяльність та міжнародне фінансове співробітництво. Проблематика розвитку фін</w:t>
      </w:r>
      <w:r>
        <w:rPr>
          <w:color w:val="000000"/>
          <w:sz w:val="28"/>
          <w:szCs w:val="28"/>
        </w:rPr>
        <w:t>ансового ринку в умовах кризи досліджується як вітчизняними, так і зарубіжними науковцями у галузях макроекономіки, фінансового менеджменту та міжнародних фінансів. Аналіз ситуації в Україні дає змогу виявити специфічні локальні особливості впливу військов</w:t>
      </w:r>
      <w:r>
        <w:rPr>
          <w:color w:val="000000"/>
          <w:sz w:val="28"/>
          <w:szCs w:val="28"/>
        </w:rPr>
        <w:t>их дій на фінансову систему та доповнити теорію фінансових криз новими емпіричними даними. З практичної точки зору результати таких досліджень сприятимуть формуванню економічної політики держави, розробленню антикризових заходів і стратегій розвитку фінанс</w:t>
      </w:r>
      <w:r>
        <w:rPr>
          <w:color w:val="000000"/>
          <w:sz w:val="28"/>
          <w:szCs w:val="28"/>
        </w:rPr>
        <w:t>ового ринку у післявоєнний період. Усвідомлення сучасних викликів і потенційних сценаріїв розвитку ринку є важливим для регуляторних органів, фінансових установ, бізнесу та міжнародних партнерів, які залучені до процесів фінансування та відновлення економі</w:t>
      </w:r>
      <w:r>
        <w:rPr>
          <w:color w:val="000000"/>
          <w:sz w:val="28"/>
          <w:szCs w:val="28"/>
        </w:rPr>
        <w:t>ки України.</w:t>
      </w:r>
    </w:p>
    <w:p w:rsidR="00705F07" w:rsidRDefault="00185A37">
      <w:pPr>
        <w:spacing w:line="360" w:lineRule="auto"/>
        <w:ind w:firstLine="709"/>
        <w:jc w:val="both"/>
        <w:rPr>
          <w:color w:val="000000"/>
          <w:sz w:val="28"/>
          <w:szCs w:val="28"/>
        </w:rPr>
      </w:pPr>
      <w:r>
        <w:rPr>
          <w:color w:val="000000"/>
          <w:sz w:val="28"/>
          <w:szCs w:val="28"/>
        </w:rPr>
        <w:lastRenderedPageBreak/>
        <w:t>Фінансовий ринок залишається основою розвитку та стабільності економіки країни. Військові дії чинять значний негативний вплив та створюють численні ризики для його розвитку. У воєнних умовах національна економіка стикається з масштабними виклик</w:t>
      </w:r>
      <w:r>
        <w:rPr>
          <w:color w:val="000000"/>
          <w:sz w:val="28"/>
          <w:szCs w:val="28"/>
        </w:rPr>
        <w:t>ами, серед яких – руйнування виробничих потужностей та інфраструктури, скорочення обсягів виробництва, відтік інвестицій, інфляційні процеси та дефіцит ресурсів. Знищення транспортних вузлів, промислових підприємств, енергетичних систем і житлового фонду с</w:t>
      </w:r>
      <w:r>
        <w:rPr>
          <w:color w:val="000000"/>
          <w:sz w:val="28"/>
          <w:szCs w:val="28"/>
        </w:rPr>
        <w:t>уттєво підриває економічну активність, підвищує витрати на відновлення та погіршує рівень життя населення. Порушення логістичних ланцюгів ускладнює постачання сировини й товарів, що негативно впливає на роботу підприємств і торговельних мереж [32].</w:t>
      </w:r>
    </w:p>
    <w:p w:rsidR="00705F07" w:rsidRDefault="00185A37">
      <w:pPr>
        <w:spacing w:line="360" w:lineRule="auto"/>
        <w:ind w:firstLine="709"/>
        <w:jc w:val="both"/>
        <w:rPr>
          <w:color w:val="000000"/>
          <w:sz w:val="28"/>
          <w:szCs w:val="28"/>
        </w:rPr>
      </w:pPr>
      <w:r>
        <w:rPr>
          <w:color w:val="000000"/>
          <w:sz w:val="28"/>
          <w:szCs w:val="28"/>
        </w:rPr>
        <w:t>Отже, ф</w:t>
      </w:r>
      <w:r>
        <w:rPr>
          <w:color w:val="000000"/>
          <w:sz w:val="28"/>
          <w:szCs w:val="28"/>
        </w:rPr>
        <w:t>інансовий ринок є ключовим елементом економічної системи будь-якої держави, оскільки забезпечує ефективний розподіл капіталу, підтримку стабільності національної валюти та сприяє економічному розвитку. У контексті повномасштабного вторгнення Росії в Україн</w:t>
      </w:r>
      <w:r>
        <w:rPr>
          <w:color w:val="000000"/>
          <w:sz w:val="28"/>
          <w:szCs w:val="28"/>
        </w:rPr>
        <w:t>у фінансовий сектор країни зазнав безпрецедентних викликів, що позначилися на його функціонуванні, ліквідності, рівні довіри інвесторів та загальній стабільності економіки. З початку війни уряд України та Національний банк України (НБУ) реалізували низку а</w:t>
      </w:r>
      <w:r>
        <w:rPr>
          <w:color w:val="000000"/>
          <w:sz w:val="28"/>
          <w:szCs w:val="28"/>
        </w:rPr>
        <w:t xml:space="preserve">нтикризових заходів, спрямованих на стабілізацію банківської системи, регулювання валютного ринку та підтримку інвестиційної привабливості країни. Водночас фінансовий сектор стикається з низкою ризиків, серед яких макроекономічна нестабільність, зростання </w:t>
      </w:r>
      <w:r>
        <w:rPr>
          <w:color w:val="000000"/>
          <w:sz w:val="28"/>
          <w:szCs w:val="28"/>
        </w:rPr>
        <w:t>державного боргу, обмежений доступ до міжнародних фінансових ресурсів та потреба у подальших структурних і регуляторних реформах.</w:t>
      </w:r>
    </w:p>
    <w:p w:rsidR="00705F07" w:rsidRDefault="00705F07">
      <w:pPr>
        <w:pStyle w:val="2"/>
        <w:keepNext w:val="0"/>
        <w:keepLines w:val="0"/>
        <w:spacing w:before="0" w:line="360" w:lineRule="auto"/>
        <w:ind w:firstLine="709"/>
        <w:jc w:val="both"/>
        <w:rPr>
          <w:rFonts w:ascii="Times New Roman" w:hAnsi="Times New Roman" w:cs="Times New Roman"/>
          <w:b w:val="0"/>
          <w:color w:val="000000"/>
          <w:sz w:val="28"/>
          <w:szCs w:val="28"/>
        </w:rPr>
      </w:pPr>
    </w:p>
    <w:p w:rsidR="00705F07" w:rsidRDefault="00185A37">
      <w:pPr>
        <w:rPr>
          <w:rFonts w:eastAsia="SimSun"/>
          <w:bCs/>
          <w:color w:val="000000"/>
          <w:sz w:val="28"/>
          <w:szCs w:val="28"/>
        </w:rPr>
      </w:pPr>
      <w:r>
        <w:rPr>
          <w:color w:val="000000"/>
          <w:sz w:val="28"/>
          <w:szCs w:val="28"/>
        </w:rPr>
        <w:br w:type="page"/>
      </w:r>
    </w:p>
    <w:p w:rsidR="00705F07" w:rsidRDefault="00185A37">
      <w:pPr>
        <w:pStyle w:val="2"/>
        <w:keepNext w:val="0"/>
        <w:keepLines w:val="0"/>
        <w:spacing w:before="0" w:line="360" w:lineRule="auto"/>
        <w:ind w:firstLine="709"/>
        <w:jc w:val="both"/>
        <w:rPr>
          <w:rFonts w:ascii="Times New Roman" w:hAnsi="Times New Roman" w:cs="Times New Roman"/>
          <w:b w:val="0"/>
          <w:color w:val="000000"/>
          <w:sz w:val="28"/>
          <w:szCs w:val="28"/>
        </w:rPr>
      </w:pPr>
      <w:bookmarkStart w:id="7" w:name="_Toc213845766"/>
      <w:r>
        <w:rPr>
          <w:rFonts w:ascii="Times New Roman" w:hAnsi="Times New Roman" w:cs="Times New Roman"/>
          <w:b w:val="0"/>
          <w:color w:val="000000"/>
          <w:sz w:val="28"/>
          <w:szCs w:val="28"/>
        </w:rPr>
        <w:lastRenderedPageBreak/>
        <w:t>Висновки до розділу 1</w:t>
      </w:r>
      <w:bookmarkEnd w:id="7"/>
    </w:p>
    <w:p w:rsidR="00705F07" w:rsidRDefault="00705F07">
      <w:pPr>
        <w:tabs>
          <w:tab w:val="left" w:pos="993"/>
        </w:tabs>
        <w:spacing w:line="360" w:lineRule="auto"/>
        <w:ind w:firstLine="709"/>
        <w:jc w:val="both"/>
        <w:rPr>
          <w:color w:val="000000"/>
          <w:sz w:val="28"/>
          <w:szCs w:val="28"/>
        </w:rPr>
      </w:pPr>
    </w:p>
    <w:p w:rsidR="00705F07" w:rsidRDefault="00185A37">
      <w:pPr>
        <w:tabs>
          <w:tab w:val="left" w:pos="993"/>
        </w:tabs>
        <w:spacing w:line="360" w:lineRule="auto"/>
        <w:ind w:firstLine="709"/>
        <w:jc w:val="both"/>
        <w:rPr>
          <w:color w:val="000000"/>
          <w:sz w:val="28"/>
          <w:szCs w:val="28"/>
        </w:rPr>
      </w:pPr>
      <w:r>
        <w:rPr>
          <w:color w:val="000000"/>
          <w:sz w:val="28"/>
          <w:szCs w:val="28"/>
        </w:rPr>
        <w:t xml:space="preserve">Отже, за результатами проведеного дослідження було обгрунтовано теоретичні підходи щодо формування та функціонування фінансового ринку України в сучасних умовах. </w:t>
      </w:r>
    </w:p>
    <w:p w:rsidR="00705F07" w:rsidRDefault="00185A37">
      <w:pPr>
        <w:tabs>
          <w:tab w:val="left" w:pos="993"/>
        </w:tabs>
        <w:spacing w:line="360" w:lineRule="auto"/>
        <w:ind w:firstLine="709"/>
        <w:jc w:val="both"/>
        <w:rPr>
          <w:color w:val="000000"/>
          <w:sz w:val="28"/>
          <w:szCs w:val="28"/>
        </w:rPr>
      </w:pPr>
      <w:r>
        <w:rPr>
          <w:color w:val="000000"/>
          <w:sz w:val="28"/>
          <w:szCs w:val="28"/>
        </w:rPr>
        <w:t>Визначено, що фінансовий ринок є багаторівневою системою, яка забезпечує мобілізацію, перероз</w:t>
      </w:r>
      <w:r>
        <w:rPr>
          <w:color w:val="000000"/>
          <w:sz w:val="28"/>
          <w:szCs w:val="28"/>
        </w:rPr>
        <w:t xml:space="preserve">поділ і ефективне використання фінансових ресурсів, а його стабільність безпосередньо впливає на економічний розвиток держави. Встановлено, що сучасний стан ринку характеризується високою невизначеністю, що зумовлено як внутрішніми економічними процесами, </w:t>
      </w:r>
      <w:r>
        <w:rPr>
          <w:color w:val="000000"/>
          <w:sz w:val="28"/>
          <w:szCs w:val="28"/>
        </w:rPr>
        <w:t>так і зовнішніми факторами, зокрема впливом воєнних конфліктів.</w:t>
      </w:r>
    </w:p>
    <w:p w:rsidR="00705F07" w:rsidRDefault="00185A37">
      <w:pPr>
        <w:tabs>
          <w:tab w:val="left" w:pos="993"/>
        </w:tabs>
        <w:spacing w:line="360" w:lineRule="auto"/>
        <w:ind w:firstLine="709"/>
        <w:jc w:val="both"/>
        <w:rPr>
          <w:color w:val="000000"/>
          <w:sz w:val="28"/>
          <w:szCs w:val="28"/>
        </w:rPr>
      </w:pPr>
      <w:r>
        <w:rPr>
          <w:color w:val="000000"/>
          <w:sz w:val="28"/>
          <w:szCs w:val="28"/>
        </w:rPr>
        <w:t>У процесі проведенного дослідження класифікацій загроз та ризиків, що впливають на функціонування фінансового ринку, було визначено основні категорії ризиків: макроекономічні, політичні, банкі</w:t>
      </w:r>
      <w:r>
        <w:rPr>
          <w:color w:val="000000"/>
          <w:sz w:val="28"/>
          <w:szCs w:val="28"/>
        </w:rPr>
        <w:t xml:space="preserve">вські та фінансові, валютні, технологічні, ліквідності, репутаційні та природні. Кожен із цих видів ризиків має специфічні джерела виникнення та потенційні негативні наслідки, що підкреслює необхідність системного підходу до їх оцінки та управління. </w:t>
      </w:r>
    </w:p>
    <w:p w:rsidR="00705F07" w:rsidRDefault="00185A37">
      <w:pPr>
        <w:tabs>
          <w:tab w:val="left" w:pos="993"/>
        </w:tabs>
        <w:spacing w:line="360" w:lineRule="auto"/>
        <w:ind w:firstLine="709"/>
        <w:jc w:val="both"/>
        <w:rPr>
          <w:color w:val="000000"/>
          <w:sz w:val="28"/>
          <w:szCs w:val="28"/>
        </w:rPr>
      </w:pPr>
      <w:r>
        <w:rPr>
          <w:color w:val="000000"/>
          <w:sz w:val="28"/>
          <w:szCs w:val="28"/>
        </w:rPr>
        <w:t>Дослі</w:t>
      </w:r>
      <w:r>
        <w:rPr>
          <w:color w:val="000000"/>
          <w:sz w:val="28"/>
          <w:szCs w:val="28"/>
        </w:rPr>
        <w:t>дження теоретичних підходів до впливу воєнних конфліктів на фінансові ринки показало, що воєнний стан формує умови високої економічної невизначеності, які проявляються у коливаннях валютних курсів, зростанні інфляції, зниженні обсягів кредитування та падін</w:t>
      </w:r>
      <w:r>
        <w:rPr>
          <w:color w:val="000000"/>
          <w:sz w:val="28"/>
          <w:szCs w:val="28"/>
        </w:rPr>
        <w:t>ні ліквідності. Аналіз літературних джерел дозволив виділити макроекономічні, інституційні, фінансово-технічні та поведінкові фактори, що визначають чутливість фінансового ринку до воєнних потрясінь.</w:t>
      </w:r>
    </w:p>
    <w:p w:rsidR="00705F07" w:rsidRDefault="00185A37">
      <w:pPr>
        <w:rPr>
          <w:rFonts w:eastAsia="SimSun"/>
          <w:bCs/>
          <w:color w:val="000000"/>
          <w:sz w:val="28"/>
          <w:szCs w:val="28"/>
        </w:rPr>
      </w:pPr>
      <w:r>
        <w:rPr>
          <w:color w:val="000000"/>
          <w:sz w:val="28"/>
          <w:szCs w:val="28"/>
        </w:rPr>
        <w:br w:type="page"/>
      </w:r>
    </w:p>
    <w:p w:rsidR="00705F07" w:rsidRDefault="00185A37">
      <w:pPr>
        <w:pStyle w:val="2"/>
        <w:keepNext w:val="0"/>
        <w:keepLines w:val="0"/>
        <w:spacing w:before="0" w:line="360" w:lineRule="auto"/>
        <w:ind w:firstLine="709"/>
        <w:jc w:val="center"/>
        <w:rPr>
          <w:rFonts w:ascii="Times New Roman" w:hAnsi="Times New Roman" w:cs="Times New Roman"/>
          <w:b w:val="0"/>
          <w:color w:val="000000"/>
          <w:sz w:val="28"/>
          <w:szCs w:val="28"/>
        </w:rPr>
      </w:pPr>
      <w:bookmarkStart w:id="8" w:name="_Toc213845767"/>
      <w:r>
        <w:rPr>
          <w:rFonts w:ascii="Times New Roman" w:hAnsi="Times New Roman" w:cs="Times New Roman"/>
          <w:b w:val="0"/>
          <w:color w:val="000000"/>
          <w:sz w:val="28"/>
          <w:szCs w:val="28"/>
        </w:rPr>
        <w:t>РОЗДІЛ 2</w:t>
      </w:r>
      <w:bookmarkEnd w:id="8"/>
    </w:p>
    <w:p w:rsidR="00705F07" w:rsidRDefault="00185A37">
      <w:pPr>
        <w:pStyle w:val="2"/>
        <w:keepNext w:val="0"/>
        <w:keepLines w:val="0"/>
        <w:spacing w:before="0" w:line="360" w:lineRule="auto"/>
        <w:ind w:firstLine="709"/>
        <w:jc w:val="center"/>
        <w:rPr>
          <w:rFonts w:ascii="Times New Roman" w:hAnsi="Times New Roman" w:cs="Times New Roman"/>
          <w:b w:val="0"/>
          <w:color w:val="000000"/>
          <w:sz w:val="28"/>
          <w:szCs w:val="28"/>
        </w:rPr>
      </w:pPr>
      <w:bookmarkStart w:id="9" w:name="_Toc213845768"/>
      <w:r>
        <w:rPr>
          <w:rFonts w:ascii="Times New Roman" w:hAnsi="Times New Roman" w:cs="Times New Roman"/>
          <w:b w:val="0"/>
          <w:color w:val="000000"/>
          <w:sz w:val="28"/>
          <w:szCs w:val="28"/>
        </w:rPr>
        <w:t>АНАЛІЗ СУЧАСНОГО СТАНУ ФІНАНСОВОГО РИНКУ УКРА</w:t>
      </w:r>
      <w:r>
        <w:rPr>
          <w:rFonts w:ascii="Times New Roman" w:hAnsi="Times New Roman" w:cs="Times New Roman"/>
          <w:b w:val="0"/>
          <w:color w:val="000000"/>
          <w:sz w:val="28"/>
          <w:szCs w:val="28"/>
        </w:rPr>
        <w:t>ЇНИ В УМОВАХ ВІЙНИ 2022-2024 рр.</w:t>
      </w:r>
      <w:bookmarkEnd w:id="9"/>
    </w:p>
    <w:p w:rsidR="00705F07" w:rsidRDefault="00705F07">
      <w:pPr>
        <w:pStyle w:val="2"/>
        <w:keepNext w:val="0"/>
        <w:keepLines w:val="0"/>
        <w:spacing w:before="0" w:line="360" w:lineRule="auto"/>
        <w:ind w:firstLine="709"/>
        <w:jc w:val="both"/>
        <w:rPr>
          <w:rFonts w:ascii="Times New Roman" w:hAnsi="Times New Roman" w:cs="Times New Roman"/>
          <w:b w:val="0"/>
          <w:color w:val="000000"/>
          <w:sz w:val="28"/>
          <w:szCs w:val="28"/>
        </w:rPr>
      </w:pPr>
    </w:p>
    <w:p w:rsidR="00705F07" w:rsidRDefault="00185A37">
      <w:pPr>
        <w:pStyle w:val="2"/>
        <w:keepNext w:val="0"/>
        <w:keepLines w:val="0"/>
        <w:spacing w:before="0" w:line="360" w:lineRule="auto"/>
        <w:ind w:firstLine="709"/>
        <w:jc w:val="both"/>
        <w:rPr>
          <w:rFonts w:ascii="Times New Roman" w:hAnsi="Times New Roman" w:cs="Times New Roman"/>
          <w:b w:val="0"/>
          <w:color w:val="000000"/>
          <w:sz w:val="28"/>
          <w:szCs w:val="28"/>
        </w:rPr>
      </w:pPr>
      <w:bookmarkStart w:id="10" w:name="_Toc213845769"/>
      <w:r>
        <w:rPr>
          <w:rFonts w:ascii="Times New Roman" w:hAnsi="Times New Roman" w:cs="Times New Roman"/>
          <w:b w:val="0"/>
          <w:color w:val="000000"/>
          <w:sz w:val="28"/>
          <w:szCs w:val="28"/>
        </w:rPr>
        <w:t>2.1 Оцінювання впливу війни на розвиток національної банківського сектору за період 2022-2024 рр.</w:t>
      </w:r>
      <w:bookmarkEnd w:id="10"/>
      <w:r>
        <w:rPr>
          <w:rFonts w:ascii="Times New Roman" w:hAnsi="Times New Roman" w:cs="Times New Roman"/>
          <w:b w:val="0"/>
          <w:color w:val="000000"/>
          <w:sz w:val="28"/>
          <w:szCs w:val="28"/>
        </w:rPr>
        <w:t xml:space="preserve"> </w:t>
      </w:r>
    </w:p>
    <w:p w:rsidR="00705F07" w:rsidRDefault="00705F07">
      <w:pPr>
        <w:spacing w:line="360" w:lineRule="auto"/>
        <w:ind w:firstLine="709"/>
        <w:jc w:val="center"/>
        <w:rPr>
          <w:rStyle w:val="ac"/>
          <w:i w:val="0"/>
          <w:color w:val="000000"/>
          <w:sz w:val="28"/>
          <w:szCs w:val="28"/>
        </w:rPr>
      </w:pPr>
    </w:p>
    <w:p w:rsidR="00705F07" w:rsidRDefault="00185A37">
      <w:pPr>
        <w:spacing w:line="360" w:lineRule="auto"/>
        <w:ind w:firstLine="709"/>
        <w:jc w:val="both"/>
        <w:rPr>
          <w:rStyle w:val="ac"/>
          <w:i w:val="0"/>
          <w:color w:val="000000"/>
          <w:sz w:val="28"/>
          <w:szCs w:val="28"/>
        </w:rPr>
      </w:pPr>
      <w:r>
        <w:rPr>
          <w:rStyle w:val="ac"/>
          <w:i w:val="0"/>
          <w:color w:val="000000"/>
          <w:sz w:val="28"/>
          <w:szCs w:val="28"/>
        </w:rPr>
        <w:t>Повномасштабна війна, розпочата російською федерацією проти України у 2022 році, спричинила суттєві структурні зміни в нац</w:t>
      </w:r>
      <w:r>
        <w:rPr>
          <w:rStyle w:val="ac"/>
          <w:i w:val="0"/>
          <w:color w:val="000000"/>
          <w:sz w:val="28"/>
          <w:szCs w:val="28"/>
        </w:rPr>
        <w:t>іональній економіці, зокрема у фінансово-банківському секторі. Внаслідок масштабних руйнувань інфраструктури, зниження виробничої активності, скорочення інвестицій та міграції населення фінансова система України опинилася під безпрецедентним тиском. Банків</w:t>
      </w:r>
      <w:r>
        <w:rPr>
          <w:rStyle w:val="ac"/>
          <w:i w:val="0"/>
          <w:color w:val="000000"/>
          <w:sz w:val="28"/>
          <w:szCs w:val="28"/>
        </w:rPr>
        <w:t>ська сфера, як ключовий елемент фінансової стабільності держави, виконувала не лише економічну, а й соціально-стратегічну функцію – забезпечення безперервності платежів, підтримку ліквідності бізнесу та реалізацію антикризової політики уряду. Для оцінки вп</w:t>
      </w:r>
      <w:r>
        <w:rPr>
          <w:rStyle w:val="ac"/>
          <w:i w:val="0"/>
          <w:color w:val="000000"/>
          <w:sz w:val="28"/>
          <w:szCs w:val="28"/>
        </w:rPr>
        <w:t xml:space="preserve">ливу війни на банківський сектор важливо розглянути загальний фінансовий контекст, у якому функціонували банки (табл. 2.1). </w:t>
      </w:r>
    </w:p>
    <w:p w:rsidR="00705F07" w:rsidRDefault="00185A37">
      <w:pPr>
        <w:spacing w:line="360" w:lineRule="auto"/>
        <w:ind w:firstLine="709"/>
        <w:jc w:val="right"/>
        <w:rPr>
          <w:rStyle w:val="ac"/>
          <w:i w:val="0"/>
          <w:color w:val="000000"/>
          <w:sz w:val="28"/>
          <w:szCs w:val="28"/>
        </w:rPr>
      </w:pPr>
      <w:r>
        <w:rPr>
          <w:rStyle w:val="ac"/>
          <w:i w:val="0"/>
          <w:color w:val="000000"/>
          <w:sz w:val="28"/>
          <w:szCs w:val="28"/>
        </w:rPr>
        <w:t>Таблиця 2.1</w:t>
      </w:r>
    </w:p>
    <w:p w:rsidR="00705F07" w:rsidRDefault="00185A37">
      <w:pPr>
        <w:spacing w:line="360" w:lineRule="auto"/>
        <w:ind w:firstLine="709"/>
        <w:jc w:val="center"/>
        <w:rPr>
          <w:rStyle w:val="ac"/>
          <w:i w:val="0"/>
          <w:color w:val="000000"/>
          <w:sz w:val="28"/>
          <w:szCs w:val="28"/>
        </w:rPr>
      </w:pPr>
      <w:r>
        <w:rPr>
          <w:rStyle w:val="ac"/>
          <w:i w:val="0"/>
          <w:color w:val="000000"/>
          <w:sz w:val="28"/>
          <w:szCs w:val="28"/>
        </w:rPr>
        <w:t>Основні показники доходів та витрат Державного бюджету Україні за 2022-2024 рр. (млн грн)</w:t>
      </w:r>
    </w:p>
    <w:tbl>
      <w:tblPr>
        <w:tblStyle w:val="ad"/>
        <w:tblW w:w="8861" w:type="dxa"/>
        <w:jc w:val="center"/>
        <w:tblLook w:val="04A0" w:firstRow="1" w:lastRow="0" w:firstColumn="1" w:lastColumn="0" w:noHBand="0" w:noVBand="1"/>
      </w:tblPr>
      <w:tblGrid>
        <w:gridCol w:w="1969"/>
        <w:gridCol w:w="1339"/>
        <w:gridCol w:w="1396"/>
        <w:gridCol w:w="1445"/>
        <w:gridCol w:w="1257"/>
        <w:gridCol w:w="1454"/>
      </w:tblGrid>
      <w:tr w:rsidR="00705F07">
        <w:trPr>
          <w:jc w:val="center"/>
        </w:trPr>
        <w:tc>
          <w:tcPr>
            <w:tcW w:w="1969" w:type="dxa"/>
            <w:vMerge w:val="restart"/>
            <w:vAlign w:val="center"/>
            <w:hideMark/>
          </w:tcPr>
          <w:p w:rsidR="00705F07" w:rsidRDefault="00185A37">
            <w:pPr>
              <w:jc w:val="center"/>
              <w:rPr>
                <w:rStyle w:val="ac"/>
                <w:i w:val="0"/>
                <w:color w:val="000000"/>
              </w:rPr>
            </w:pPr>
            <w:r>
              <w:rPr>
                <w:rStyle w:val="ac"/>
                <w:i w:val="0"/>
                <w:color w:val="000000"/>
              </w:rPr>
              <w:t>Показники</w:t>
            </w:r>
          </w:p>
        </w:tc>
        <w:tc>
          <w:tcPr>
            <w:tcW w:w="0" w:type="auto"/>
            <w:vMerge w:val="restart"/>
            <w:vAlign w:val="center"/>
            <w:hideMark/>
          </w:tcPr>
          <w:p w:rsidR="00705F07" w:rsidRDefault="00185A37">
            <w:pPr>
              <w:jc w:val="center"/>
              <w:rPr>
                <w:rStyle w:val="ac"/>
                <w:i w:val="0"/>
                <w:color w:val="000000"/>
              </w:rPr>
            </w:pPr>
            <w:r>
              <w:rPr>
                <w:rStyle w:val="ac"/>
                <w:i w:val="0"/>
                <w:color w:val="000000"/>
              </w:rPr>
              <w:t>2022</w:t>
            </w:r>
          </w:p>
        </w:tc>
        <w:tc>
          <w:tcPr>
            <w:tcW w:w="1396" w:type="dxa"/>
            <w:vMerge w:val="restart"/>
            <w:vAlign w:val="center"/>
            <w:hideMark/>
          </w:tcPr>
          <w:p w:rsidR="00705F07" w:rsidRDefault="00185A37">
            <w:pPr>
              <w:jc w:val="center"/>
              <w:rPr>
                <w:rStyle w:val="ac"/>
                <w:i w:val="0"/>
                <w:color w:val="000000"/>
              </w:rPr>
            </w:pPr>
            <w:r>
              <w:rPr>
                <w:rStyle w:val="ac"/>
                <w:i w:val="0"/>
                <w:color w:val="000000"/>
              </w:rPr>
              <w:t>2023</w:t>
            </w:r>
          </w:p>
        </w:tc>
        <w:tc>
          <w:tcPr>
            <w:tcW w:w="1445" w:type="dxa"/>
            <w:vMerge w:val="restart"/>
            <w:vAlign w:val="center"/>
            <w:hideMark/>
          </w:tcPr>
          <w:p w:rsidR="00705F07" w:rsidRDefault="00185A37">
            <w:pPr>
              <w:jc w:val="center"/>
              <w:rPr>
                <w:rStyle w:val="ac"/>
                <w:i w:val="0"/>
                <w:color w:val="000000"/>
              </w:rPr>
            </w:pPr>
            <w:r>
              <w:rPr>
                <w:rStyle w:val="ac"/>
                <w:i w:val="0"/>
                <w:color w:val="000000"/>
              </w:rPr>
              <w:t>2024</w:t>
            </w:r>
          </w:p>
        </w:tc>
        <w:tc>
          <w:tcPr>
            <w:tcW w:w="0" w:type="auto"/>
            <w:gridSpan w:val="2"/>
            <w:vAlign w:val="center"/>
          </w:tcPr>
          <w:p w:rsidR="00705F07" w:rsidRDefault="00185A37">
            <w:pPr>
              <w:jc w:val="center"/>
              <w:rPr>
                <w:rStyle w:val="ac"/>
                <w:i w:val="0"/>
                <w:color w:val="000000"/>
              </w:rPr>
            </w:pPr>
            <w:r>
              <w:rPr>
                <w:rStyle w:val="ac"/>
                <w:i w:val="0"/>
                <w:color w:val="000000"/>
              </w:rPr>
              <w:t>Відхилення</w:t>
            </w:r>
          </w:p>
          <w:p w:rsidR="00705F07" w:rsidRDefault="00185A37">
            <w:pPr>
              <w:jc w:val="center"/>
              <w:rPr>
                <w:rStyle w:val="ac"/>
                <w:i w:val="0"/>
                <w:color w:val="000000"/>
              </w:rPr>
            </w:pPr>
            <w:r>
              <w:rPr>
                <w:rStyle w:val="ac"/>
                <w:i w:val="0"/>
                <w:color w:val="000000"/>
              </w:rPr>
              <w:t>2024 до 2022</w:t>
            </w:r>
          </w:p>
        </w:tc>
      </w:tr>
      <w:tr w:rsidR="00705F07">
        <w:trPr>
          <w:jc w:val="center"/>
        </w:trPr>
        <w:tc>
          <w:tcPr>
            <w:tcW w:w="1969" w:type="dxa"/>
            <w:vMerge/>
            <w:vAlign w:val="center"/>
            <w:hideMark/>
          </w:tcPr>
          <w:p w:rsidR="00705F07" w:rsidRDefault="00705F07">
            <w:pPr>
              <w:jc w:val="center"/>
              <w:rPr>
                <w:rStyle w:val="ac"/>
                <w:i w:val="0"/>
                <w:color w:val="000000"/>
              </w:rPr>
            </w:pPr>
          </w:p>
        </w:tc>
        <w:tc>
          <w:tcPr>
            <w:tcW w:w="0" w:type="auto"/>
            <w:vMerge/>
            <w:vAlign w:val="center"/>
            <w:hideMark/>
          </w:tcPr>
          <w:p w:rsidR="00705F07" w:rsidRDefault="00705F07">
            <w:pPr>
              <w:jc w:val="center"/>
              <w:rPr>
                <w:rStyle w:val="ac"/>
                <w:i w:val="0"/>
                <w:color w:val="000000"/>
              </w:rPr>
            </w:pPr>
          </w:p>
        </w:tc>
        <w:tc>
          <w:tcPr>
            <w:tcW w:w="1396" w:type="dxa"/>
            <w:vMerge/>
            <w:vAlign w:val="center"/>
            <w:hideMark/>
          </w:tcPr>
          <w:p w:rsidR="00705F07" w:rsidRDefault="00705F07">
            <w:pPr>
              <w:jc w:val="center"/>
              <w:rPr>
                <w:rStyle w:val="ac"/>
                <w:i w:val="0"/>
                <w:color w:val="000000"/>
              </w:rPr>
            </w:pPr>
          </w:p>
        </w:tc>
        <w:tc>
          <w:tcPr>
            <w:tcW w:w="1445" w:type="dxa"/>
            <w:vMerge/>
            <w:vAlign w:val="center"/>
            <w:hideMark/>
          </w:tcPr>
          <w:p w:rsidR="00705F07" w:rsidRDefault="00705F07">
            <w:pPr>
              <w:jc w:val="center"/>
              <w:rPr>
                <w:rStyle w:val="ac"/>
                <w:i w:val="0"/>
                <w:color w:val="000000"/>
              </w:rPr>
            </w:pPr>
          </w:p>
        </w:tc>
        <w:tc>
          <w:tcPr>
            <w:tcW w:w="0" w:type="auto"/>
            <w:vAlign w:val="center"/>
          </w:tcPr>
          <w:p w:rsidR="00705F07" w:rsidRDefault="00185A37">
            <w:pPr>
              <w:jc w:val="center"/>
              <w:rPr>
                <w:rStyle w:val="ac"/>
                <w:i w:val="0"/>
                <w:color w:val="000000"/>
              </w:rPr>
            </w:pPr>
            <w:r>
              <w:rPr>
                <w:rStyle w:val="ac"/>
                <w:i w:val="0"/>
                <w:color w:val="000000"/>
              </w:rPr>
              <w:t>Абс. відх.</w:t>
            </w:r>
          </w:p>
        </w:tc>
        <w:tc>
          <w:tcPr>
            <w:tcW w:w="0" w:type="auto"/>
            <w:vAlign w:val="center"/>
          </w:tcPr>
          <w:p w:rsidR="00705F07" w:rsidRDefault="00185A37">
            <w:pPr>
              <w:jc w:val="center"/>
              <w:rPr>
                <w:rStyle w:val="ac"/>
                <w:i w:val="0"/>
                <w:color w:val="000000"/>
              </w:rPr>
            </w:pPr>
            <w:r>
              <w:rPr>
                <w:rStyle w:val="ac"/>
                <w:i w:val="0"/>
                <w:color w:val="000000"/>
              </w:rPr>
              <w:t>Відн. відх., %</w:t>
            </w:r>
          </w:p>
        </w:tc>
      </w:tr>
      <w:tr w:rsidR="00705F07">
        <w:trPr>
          <w:jc w:val="center"/>
        </w:trPr>
        <w:tc>
          <w:tcPr>
            <w:tcW w:w="1969" w:type="dxa"/>
            <w:vAlign w:val="center"/>
            <w:hideMark/>
          </w:tcPr>
          <w:p w:rsidR="00705F07" w:rsidRDefault="00185A37">
            <w:pPr>
              <w:rPr>
                <w:rStyle w:val="ac"/>
                <w:i w:val="0"/>
                <w:color w:val="000000"/>
              </w:rPr>
            </w:pPr>
            <w:r>
              <w:rPr>
                <w:rStyle w:val="ac"/>
                <w:i w:val="0"/>
                <w:color w:val="000000"/>
              </w:rPr>
              <w:t>Доходи</w:t>
            </w:r>
          </w:p>
        </w:tc>
        <w:tc>
          <w:tcPr>
            <w:tcW w:w="0" w:type="auto"/>
            <w:vAlign w:val="center"/>
            <w:hideMark/>
          </w:tcPr>
          <w:p w:rsidR="00705F07" w:rsidRDefault="00185A37">
            <w:pPr>
              <w:jc w:val="center"/>
              <w:rPr>
                <w:rStyle w:val="ac"/>
                <w:i w:val="0"/>
                <w:color w:val="000000"/>
              </w:rPr>
            </w:pPr>
            <w:r>
              <w:rPr>
                <w:rStyle w:val="ac"/>
                <w:i w:val="0"/>
                <w:color w:val="000000"/>
              </w:rPr>
              <w:t>1787395,6</w:t>
            </w:r>
          </w:p>
        </w:tc>
        <w:tc>
          <w:tcPr>
            <w:tcW w:w="1396" w:type="dxa"/>
            <w:vAlign w:val="center"/>
            <w:hideMark/>
          </w:tcPr>
          <w:p w:rsidR="00705F07" w:rsidRDefault="00185A37">
            <w:pPr>
              <w:jc w:val="center"/>
              <w:rPr>
                <w:rStyle w:val="ac"/>
                <w:i w:val="0"/>
                <w:color w:val="000000"/>
              </w:rPr>
            </w:pPr>
            <w:r>
              <w:rPr>
                <w:rStyle w:val="ac"/>
                <w:i w:val="0"/>
                <w:color w:val="000000"/>
              </w:rPr>
              <w:t>2671998,0</w:t>
            </w:r>
          </w:p>
        </w:tc>
        <w:tc>
          <w:tcPr>
            <w:tcW w:w="1445" w:type="dxa"/>
            <w:vAlign w:val="center"/>
            <w:hideMark/>
          </w:tcPr>
          <w:p w:rsidR="00705F07" w:rsidRDefault="00185A37">
            <w:pPr>
              <w:jc w:val="center"/>
              <w:rPr>
                <w:rStyle w:val="ac"/>
                <w:i w:val="0"/>
                <w:color w:val="000000"/>
              </w:rPr>
            </w:pPr>
            <w:r>
              <w:rPr>
                <w:rStyle w:val="ac"/>
                <w:i w:val="0"/>
                <w:color w:val="000000"/>
              </w:rPr>
              <w:t>3122713,4</w:t>
            </w:r>
          </w:p>
        </w:tc>
        <w:tc>
          <w:tcPr>
            <w:tcW w:w="0" w:type="auto"/>
            <w:vAlign w:val="center"/>
          </w:tcPr>
          <w:p w:rsidR="00705F07" w:rsidRDefault="00185A37">
            <w:pPr>
              <w:jc w:val="center"/>
              <w:rPr>
                <w:color w:val="000000"/>
              </w:rPr>
            </w:pPr>
            <w:r>
              <w:rPr>
                <w:color w:val="000000"/>
              </w:rPr>
              <w:t>1335318</w:t>
            </w:r>
          </w:p>
        </w:tc>
        <w:tc>
          <w:tcPr>
            <w:tcW w:w="0" w:type="auto"/>
            <w:vAlign w:val="center"/>
          </w:tcPr>
          <w:p w:rsidR="00705F07" w:rsidRDefault="00185A37">
            <w:pPr>
              <w:jc w:val="center"/>
              <w:rPr>
                <w:color w:val="000000"/>
              </w:rPr>
            </w:pPr>
            <w:r>
              <w:rPr>
                <w:color w:val="000000"/>
              </w:rPr>
              <w:t>74,71</w:t>
            </w:r>
          </w:p>
        </w:tc>
      </w:tr>
      <w:tr w:rsidR="00705F07">
        <w:trPr>
          <w:jc w:val="center"/>
        </w:trPr>
        <w:tc>
          <w:tcPr>
            <w:tcW w:w="1969" w:type="dxa"/>
            <w:vAlign w:val="center"/>
            <w:hideMark/>
          </w:tcPr>
          <w:p w:rsidR="00705F07" w:rsidRDefault="00185A37">
            <w:pPr>
              <w:rPr>
                <w:rStyle w:val="ac"/>
                <w:i w:val="0"/>
                <w:color w:val="000000"/>
              </w:rPr>
            </w:pPr>
            <w:r>
              <w:rPr>
                <w:rStyle w:val="ac"/>
                <w:i w:val="0"/>
                <w:color w:val="000000"/>
              </w:rPr>
              <w:t>Видатки</w:t>
            </w:r>
          </w:p>
        </w:tc>
        <w:tc>
          <w:tcPr>
            <w:tcW w:w="0" w:type="auto"/>
            <w:vAlign w:val="center"/>
            <w:hideMark/>
          </w:tcPr>
          <w:p w:rsidR="00705F07" w:rsidRDefault="00185A37">
            <w:pPr>
              <w:jc w:val="center"/>
              <w:rPr>
                <w:rStyle w:val="ac"/>
                <w:i w:val="0"/>
                <w:color w:val="000000"/>
              </w:rPr>
            </w:pPr>
            <w:r>
              <w:rPr>
                <w:rStyle w:val="ac"/>
                <w:i w:val="0"/>
                <w:color w:val="000000"/>
              </w:rPr>
              <w:t>2705423,3</w:t>
            </w:r>
          </w:p>
        </w:tc>
        <w:tc>
          <w:tcPr>
            <w:tcW w:w="1396" w:type="dxa"/>
            <w:vAlign w:val="center"/>
            <w:hideMark/>
          </w:tcPr>
          <w:p w:rsidR="00705F07" w:rsidRDefault="00185A37">
            <w:pPr>
              <w:jc w:val="center"/>
              <w:rPr>
                <w:rStyle w:val="ac"/>
                <w:i w:val="0"/>
                <w:color w:val="000000"/>
              </w:rPr>
            </w:pPr>
            <w:r>
              <w:rPr>
                <w:rStyle w:val="ac"/>
                <w:i w:val="0"/>
                <w:color w:val="000000"/>
              </w:rPr>
              <w:t>4014418,1</w:t>
            </w:r>
          </w:p>
        </w:tc>
        <w:tc>
          <w:tcPr>
            <w:tcW w:w="1445" w:type="dxa"/>
            <w:vAlign w:val="center"/>
            <w:hideMark/>
          </w:tcPr>
          <w:p w:rsidR="00705F07" w:rsidRDefault="00185A37">
            <w:pPr>
              <w:jc w:val="center"/>
              <w:rPr>
                <w:rStyle w:val="ac"/>
                <w:i w:val="0"/>
                <w:color w:val="000000"/>
              </w:rPr>
            </w:pPr>
            <w:r>
              <w:rPr>
                <w:rStyle w:val="ac"/>
                <w:i w:val="0"/>
                <w:color w:val="000000"/>
              </w:rPr>
              <w:t>4486682,7</w:t>
            </w:r>
          </w:p>
        </w:tc>
        <w:tc>
          <w:tcPr>
            <w:tcW w:w="0" w:type="auto"/>
            <w:vAlign w:val="center"/>
          </w:tcPr>
          <w:p w:rsidR="00705F07" w:rsidRDefault="00185A37">
            <w:pPr>
              <w:jc w:val="center"/>
              <w:rPr>
                <w:color w:val="000000"/>
              </w:rPr>
            </w:pPr>
            <w:r>
              <w:rPr>
                <w:color w:val="000000"/>
              </w:rPr>
              <w:t>1781259</w:t>
            </w:r>
          </w:p>
        </w:tc>
        <w:tc>
          <w:tcPr>
            <w:tcW w:w="0" w:type="auto"/>
            <w:vAlign w:val="center"/>
          </w:tcPr>
          <w:p w:rsidR="00705F07" w:rsidRDefault="00185A37">
            <w:pPr>
              <w:jc w:val="center"/>
              <w:rPr>
                <w:color w:val="000000"/>
              </w:rPr>
            </w:pPr>
            <w:r>
              <w:rPr>
                <w:color w:val="000000"/>
              </w:rPr>
              <w:t>65,84</w:t>
            </w:r>
          </w:p>
        </w:tc>
      </w:tr>
      <w:tr w:rsidR="00705F07">
        <w:trPr>
          <w:jc w:val="center"/>
        </w:trPr>
        <w:tc>
          <w:tcPr>
            <w:tcW w:w="1969" w:type="dxa"/>
            <w:vAlign w:val="center"/>
            <w:hideMark/>
          </w:tcPr>
          <w:p w:rsidR="00705F07" w:rsidRDefault="00185A37">
            <w:pPr>
              <w:rPr>
                <w:rStyle w:val="ac"/>
                <w:i w:val="0"/>
                <w:color w:val="000000"/>
              </w:rPr>
            </w:pPr>
            <w:r>
              <w:rPr>
                <w:rStyle w:val="ac"/>
                <w:i w:val="0"/>
                <w:color w:val="000000"/>
              </w:rPr>
              <w:t>Кредитування</w:t>
            </w:r>
          </w:p>
        </w:tc>
        <w:tc>
          <w:tcPr>
            <w:tcW w:w="0" w:type="auto"/>
            <w:vAlign w:val="center"/>
            <w:hideMark/>
          </w:tcPr>
          <w:p w:rsidR="00705F07" w:rsidRDefault="00185A37">
            <w:pPr>
              <w:jc w:val="center"/>
              <w:rPr>
                <w:rStyle w:val="ac"/>
                <w:i w:val="0"/>
                <w:color w:val="000000"/>
              </w:rPr>
            </w:pPr>
            <w:r>
              <w:rPr>
                <w:rStyle w:val="ac"/>
                <w:i w:val="0"/>
                <w:color w:val="000000"/>
              </w:rPr>
              <w:t>-3326,0</w:t>
            </w:r>
          </w:p>
        </w:tc>
        <w:tc>
          <w:tcPr>
            <w:tcW w:w="1396" w:type="dxa"/>
            <w:vAlign w:val="center"/>
            <w:hideMark/>
          </w:tcPr>
          <w:p w:rsidR="00705F07" w:rsidRDefault="00185A37">
            <w:pPr>
              <w:jc w:val="center"/>
              <w:rPr>
                <w:rStyle w:val="ac"/>
                <w:i w:val="0"/>
                <w:color w:val="000000"/>
              </w:rPr>
            </w:pPr>
            <w:r>
              <w:rPr>
                <w:rStyle w:val="ac"/>
                <w:i w:val="0"/>
                <w:color w:val="000000"/>
              </w:rPr>
              <w:t>-9309,5</w:t>
            </w:r>
          </w:p>
        </w:tc>
        <w:tc>
          <w:tcPr>
            <w:tcW w:w="1445" w:type="dxa"/>
            <w:vAlign w:val="center"/>
            <w:hideMark/>
          </w:tcPr>
          <w:p w:rsidR="00705F07" w:rsidRDefault="00185A37">
            <w:pPr>
              <w:jc w:val="center"/>
              <w:rPr>
                <w:rStyle w:val="ac"/>
                <w:i w:val="0"/>
                <w:color w:val="000000"/>
              </w:rPr>
            </w:pPr>
            <w:r>
              <w:rPr>
                <w:rStyle w:val="ac"/>
                <w:i w:val="0"/>
                <w:color w:val="000000"/>
              </w:rPr>
              <w:t>-5469,3</w:t>
            </w:r>
          </w:p>
        </w:tc>
        <w:tc>
          <w:tcPr>
            <w:tcW w:w="0" w:type="auto"/>
            <w:vAlign w:val="center"/>
          </w:tcPr>
          <w:p w:rsidR="00705F07" w:rsidRDefault="00185A37">
            <w:pPr>
              <w:jc w:val="center"/>
              <w:rPr>
                <w:color w:val="000000"/>
              </w:rPr>
            </w:pPr>
            <w:r>
              <w:rPr>
                <w:color w:val="000000"/>
              </w:rPr>
              <w:t>-2143,3</w:t>
            </w:r>
          </w:p>
        </w:tc>
        <w:tc>
          <w:tcPr>
            <w:tcW w:w="0" w:type="auto"/>
            <w:vAlign w:val="center"/>
          </w:tcPr>
          <w:p w:rsidR="00705F07" w:rsidRDefault="00185A37">
            <w:pPr>
              <w:jc w:val="center"/>
              <w:rPr>
                <w:color w:val="000000"/>
              </w:rPr>
            </w:pPr>
            <w:r>
              <w:rPr>
                <w:color w:val="000000"/>
              </w:rPr>
              <w:t>64,44</w:t>
            </w:r>
          </w:p>
        </w:tc>
      </w:tr>
      <w:tr w:rsidR="00705F07">
        <w:trPr>
          <w:jc w:val="center"/>
        </w:trPr>
        <w:tc>
          <w:tcPr>
            <w:tcW w:w="1969" w:type="dxa"/>
            <w:vAlign w:val="center"/>
            <w:hideMark/>
          </w:tcPr>
          <w:p w:rsidR="00705F07" w:rsidRDefault="00185A37">
            <w:pPr>
              <w:rPr>
                <w:rStyle w:val="ac"/>
                <w:i w:val="0"/>
                <w:color w:val="000000"/>
              </w:rPr>
            </w:pPr>
            <w:r>
              <w:rPr>
                <w:rStyle w:val="ac"/>
                <w:i w:val="0"/>
                <w:color w:val="000000"/>
              </w:rPr>
              <w:t>Сальдо (дефіцит бюджету)</w:t>
            </w:r>
          </w:p>
        </w:tc>
        <w:tc>
          <w:tcPr>
            <w:tcW w:w="0" w:type="auto"/>
            <w:vAlign w:val="center"/>
            <w:hideMark/>
          </w:tcPr>
          <w:p w:rsidR="00705F07" w:rsidRDefault="00185A37">
            <w:pPr>
              <w:jc w:val="center"/>
              <w:rPr>
                <w:rStyle w:val="ac"/>
                <w:i w:val="0"/>
                <w:color w:val="000000"/>
              </w:rPr>
            </w:pPr>
            <w:r>
              <w:rPr>
                <w:rStyle w:val="ac"/>
                <w:i w:val="0"/>
                <w:color w:val="000000"/>
              </w:rPr>
              <w:t>-914701,7</w:t>
            </w:r>
          </w:p>
        </w:tc>
        <w:tc>
          <w:tcPr>
            <w:tcW w:w="1396" w:type="dxa"/>
            <w:vAlign w:val="center"/>
            <w:hideMark/>
          </w:tcPr>
          <w:p w:rsidR="00705F07" w:rsidRDefault="00185A37">
            <w:pPr>
              <w:jc w:val="center"/>
              <w:rPr>
                <w:rStyle w:val="ac"/>
                <w:i w:val="0"/>
                <w:color w:val="000000"/>
              </w:rPr>
            </w:pPr>
            <w:r>
              <w:rPr>
                <w:rStyle w:val="ac"/>
                <w:i w:val="0"/>
                <w:color w:val="000000"/>
              </w:rPr>
              <w:t>-1333110,7</w:t>
            </w:r>
          </w:p>
        </w:tc>
        <w:tc>
          <w:tcPr>
            <w:tcW w:w="1445" w:type="dxa"/>
            <w:vAlign w:val="center"/>
            <w:hideMark/>
          </w:tcPr>
          <w:p w:rsidR="00705F07" w:rsidRDefault="00185A37">
            <w:pPr>
              <w:jc w:val="center"/>
              <w:rPr>
                <w:rStyle w:val="ac"/>
                <w:i w:val="0"/>
                <w:color w:val="000000"/>
              </w:rPr>
            </w:pPr>
            <w:r>
              <w:rPr>
                <w:rStyle w:val="ac"/>
                <w:i w:val="0"/>
                <w:color w:val="000000"/>
              </w:rPr>
              <w:t>-1358500,1</w:t>
            </w:r>
          </w:p>
        </w:tc>
        <w:tc>
          <w:tcPr>
            <w:tcW w:w="0" w:type="auto"/>
            <w:vAlign w:val="center"/>
          </w:tcPr>
          <w:p w:rsidR="00705F07" w:rsidRDefault="00185A37">
            <w:pPr>
              <w:jc w:val="center"/>
              <w:rPr>
                <w:color w:val="000000"/>
              </w:rPr>
            </w:pPr>
            <w:r>
              <w:rPr>
                <w:color w:val="000000"/>
              </w:rPr>
              <w:t>-443798,4</w:t>
            </w:r>
          </w:p>
        </w:tc>
        <w:tc>
          <w:tcPr>
            <w:tcW w:w="0" w:type="auto"/>
            <w:vAlign w:val="center"/>
          </w:tcPr>
          <w:p w:rsidR="00705F07" w:rsidRDefault="00185A37">
            <w:pPr>
              <w:jc w:val="center"/>
              <w:rPr>
                <w:color w:val="000000"/>
              </w:rPr>
            </w:pPr>
            <w:r>
              <w:rPr>
                <w:color w:val="000000"/>
              </w:rPr>
              <w:t>48,52</w:t>
            </w:r>
          </w:p>
        </w:tc>
      </w:tr>
    </w:tbl>
    <w:p w:rsidR="00705F07" w:rsidRDefault="00185A37">
      <w:pPr>
        <w:ind w:firstLine="709"/>
        <w:jc w:val="both"/>
        <w:rPr>
          <w:color w:val="000000"/>
        </w:rPr>
      </w:pPr>
      <w:r>
        <w:rPr>
          <w:color w:val="000000"/>
        </w:rPr>
        <w:t>Джерело: складено автором на основі даних [34].</w:t>
      </w:r>
    </w:p>
    <w:p w:rsidR="00705F07" w:rsidRDefault="00705F07">
      <w:pPr>
        <w:spacing w:line="360" w:lineRule="auto"/>
        <w:ind w:firstLine="709"/>
        <w:jc w:val="both"/>
        <w:rPr>
          <w:rStyle w:val="ac"/>
          <w:i w:val="0"/>
          <w:color w:val="000000"/>
          <w:sz w:val="28"/>
          <w:szCs w:val="28"/>
        </w:rPr>
      </w:pPr>
    </w:p>
    <w:p w:rsidR="00705F07" w:rsidRDefault="00185A37">
      <w:pPr>
        <w:spacing w:line="360" w:lineRule="auto"/>
        <w:ind w:firstLine="709"/>
        <w:jc w:val="both"/>
        <w:rPr>
          <w:rStyle w:val="ac"/>
          <w:i w:val="0"/>
          <w:color w:val="000000"/>
          <w:sz w:val="28"/>
          <w:szCs w:val="28"/>
        </w:rPr>
      </w:pPr>
      <w:r>
        <w:rPr>
          <w:rStyle w:val="ac"/>
          <w:i w:val="0"/>
          <w:color w:val="000000"/>
          <w:sz w:val="28"/>
          <w:szCs w:val="28"/>
        </w:rPr>
        <w:t xml:space="preserve">Відповідно до табл. 2.1, спостерігається суттєве зростання доходів і видатків Державного бюджету України у 2022-2024 роках, що свідчить про масштабне фіскальне </w:t>
      </w:r>
      <w:r>
        <w:rPr>
          <w:rStyle w:val="ac"/>
          <w:i w:val="0"/>
          <w:color w:val="000000"/>
          <w:sz w:val="28"/>
          <w:szCs w:val="28"/>
        </w:rPr>
        <w:t>навантаження, спричинене воєнними діями та потребою у фінансуванні оборонного сектору. У період з 2022 до 2024 року доходи державного бюджету зросли на 1335,3 млрд грн (на 74,7%), що пояснюється як інфляційними процесами, так і збільшенням обсягів міжнарод</w:t>
      </w:r>
      <w:r>
        <w:rPr>
          <w:rStyle w:val="ac"/>
          <w:i w:val="0"/>
          <w:color w:val="000000"/>
          <w:sz w:val="28"/>
          <w:szCs w:val="28"/>
        </w:rPr>
        <w:t>ної фінансової допомоги. Водночас, видатки бюджету підвищилися на 1781,3 млрд грн (на 65,8%), що зумовлено значним фінансуванням оборонного комплексу, соціальних програм підтримки населення та внутрішньо переміщених осіб. Зростання дефіциту бюджету на 48,5</w:t>
      </w:r>
      <w:r>
        <w:rPr>
          <w:rStyle w:val="ac"/>
          <w:i w:val="0"/>
          <w:color w:val="000000"/>
          <w:sz w:val="28"/>
          <w:szCs w:val="28"/>
        </w:rPr>
        <w:t>% свідчить про посилення фіскальних ризиків та підвищену залежність держави від зовнішніх джерел фінансування. Ці тенденції безпосередньо вплинули на банківський сектор, оскільки саме через банки реалізовувалися програми кредитування бізнесу, залучення між</w:t>
      </w:r>
      <w:r>
        <w:rPr>
          <w:rStyle w:val="ac"/>
          <w:i w:val="0"/>
          <w:color w:val="000000"/>
          <w:sz w:val="28"/>
          <w:szCs w:val="28"/>
        </w:rPr>
        <w:t>народних грантів, операції з військовими облігаціями та управління валютними потоками. Зростання державного боргу та дефіциту бюджету призвело до зростання емісійного тиску, що відобразилося на монетарній стабільності та валютному курсі.</w:t>
      </w:r>
    </w:p>
    <w:p w:rsidR="00705F07" w:rsidRDefault="00185A37">
      <w:pPr>
        <w:spacing w:line="360" w:lineRule="auto"/>
        <w:ind w:firstLine="709"/>
        <w:jc w:val="both"/>
        <w:rPr>
          <w:rStyle w:val="ac"/>
          <w:i w:val="0"/>
          <w:color w:val="000000"/>
          <w:sz w:val="28"/>
          <w:szCs w:val="28"/>
        </w:rPr>
      </w:pPr>
      <w:r>
        <w:rPr>
          <w:rStyle w:val="ac"/>
          <w:i w:val="0"/>
          <w:color w:val="000000"/>
          <w:sz w:val="28"/>
          <w:szCs w:val="28"/>
        </w:rPr>
        <w:t>У 2022-2024 рр. ба</w:t>
      </w:r>
      <w:r>
        <w:rPr>
          <w:rStyle w:val="ac"/>
          <w:i w:val="0"/>
          <w:color w:val="000000"/>
          <w:sz w:val="28"/>
          <w:szCs w:val="28"/>
        </w:rPr>
        <w:t>нки України продемонстрували адаптивність до екстремальних умов. Завдяки виваженій політиці Національного банку України було забезпечено стабільність ліквідності, платоспроможність основних фінансових установ і поступове відновлення кредитування у 2023–202</w:t>
      </w:r>
      <w:r>
        <w:rPr>
          <w:rStyle w:val="ac"/>
          <w:i w:val="0"/>
          <w:color w:val="000000"/>
          <w:sz w:val="28"/>
          <w:szCs w:val="28"/>
        </w:rPr>
        <w:t>4 роках. Проте прибутковість банківського сектору залишалася нестійкою через зростання непрацюючих кредитів (NPL), скорочення платоспроможного попиту та ризики валютних коливань. Водночас спостерігалася тенденція до зменшення кількості банків – з 67 станом</w:t>
      </w:r>
      <w:r>
        <w:rPr>
          <w:rStyle w:val="ac"/>
          <w:i w:val="0"/>
          <w:color w:val="000000"/>
          <w:sz w:val="28"/>
          <w:szCs w:val="28"/>
        </w:rPr>
        <w:t xml:space="preserve"> на початок 2023 року до 61 на початок 2025 року, що свідчить про консолідацію фінансової системи та вихід з ринку менш стійких установ.</w:t>
      </w:r>
    </w:p>
    <w:p w:rsidR="00705F07" w:rsidRDefault="00185A37">
      <w:pPr>
        <w:spacing w:line="360" w:lineRule="auto"/>
        <w:ind w:firstLine="709"/>
        <w:jc w:val="both"/>
        <w:rPr>
          <w:rStyle w:val="ac"/>
          <w:i w:val="0"/>
          <w:color w:val="000000"/>
          <w:sz w:val="28"/>
          <w:szCs w:val="28"/>
        </w:rPr>
      </w:pPr>
      <w:r>
        <w:rPr>
          <w:rStyle w:val="ac"/>
          <w:i w:val="0"/>
          <w:color w:val="000000"/>
          <w:sz w:val="28"/>
          <w:szCs w:val="28"/>
        </w:rPr>
        <w:t>Період 2022-2024 рр. став найскладнішим етапом функціонування українського банківського сектору за часи незалежності. В</w:t>
      </w:r>
      <w:r>
        <w:rPr>
          <w:rStyle w:val="ac"/>
          <w:i w:val="0"/>
          <w:color w:val="000000"/>
          <w:sz w:val="28"/>
          <w:szCs w:val="28"/>
        </w:rPr>
        <w:t>ійна створила безпрецедентні виклики для макрофінансової стабільності, проте водночас стимулювала структурну перебудову фінансової системи, цифровізацію банківських послуг і посилення державного регулювання. Надалі ключовим завданням держави та банківськог</w:t>
      </w:r>
      <w:r>
        <w:rPr>
          <w:rStyle w:val="ac"/>
          <w:i w:val="0"/>
          <w:color w:val="000000"/>
          <w:sz w:val="28"/>
          <w:szCs w:val="28"/>
        </w:rPr>
        <w:t>о співтовариства залишається забезпечення стійкості банків до зовнішніх шоків, диверсифікація джерел фінансування та відновлення довіри населення до фінансових інститутів.</w:t>
      </w:r>
    </w:p>
    <w:p w:rsidR="00705F07" w:rsidRDefault="00185A37">
      <w:pPr>
        <w:spacing w:line="360" w:lineRule="auto"/>
        <w:ind w:firstLine="709"/>
        <w:jc w:val="both"/>
        <w:rPr>
          <w:rStyle w:val="ac"/>
          <w:i w:val="0"/>
          <w:color w:val="000000"/>
          <w:sz w:val="28"/>
          <w:szCs w:val="28"/>
        </w:rPr>
      </w:pPr>
      <w:r>
        <w:rPr>
          <w:rStyle w:val="ac"/>
          <w:i w:val="0"/>
          <w:color w:val="000000"/>
          <w:sz w:val="28"/>
          <w:szCs w:val="28"/>
        </w:rPr>
        <w:t>Воєнні події, що розпочалися в Україні у 2022 році, спричинили глибоку трансформацію</w:t>
      </w:r>
      <w:r>
        <w:rPr>
          <w:rStyle w:val="ac"/>
          <w:i w:val="0"/>
          <w:color w:val="000000"/>
          <w:sz w:val="28"/>
          <w:szCs w:val="28"/>
        </w:rPr>
        <w:t xml:space="preserve"> національної економіки та фінансової системи. Банківський сектор, як ключова ланка фінансового ринку, зазнав суттєвого впливу з боку макроекономічної нестабільності, зміни валютного курсу, інфляційного тиску, скорочення інвестицій та міграції населення. В</w:t>
      </w:r>
      <w:r>
        <w:rPr>
          <w:rStyle w:val="ac"/>
          <w:i w:val="0"/>
          <w:color w:val="000000"/>
          <w:sz w:val="28"/>
          <w:szCs w:val="28"/>
        </w:rPr>
        <w:t xml:space="preserve">одночас банки залишилися основним механізмом забезпечення платіжної стабільності, підтримки державних фінансів та реалізації антикризових заходів. Тому дослідження змін у діяльності банківського сектору України у 2022-2024 роках є важливим для оцінки його </w:t>
      </w:r>
      <w:r>
        <w:rPr>
          <w:rStyle w:val="ac"/>
          <w:i w:val="0"/>
          <w:color w:val="000000"/>
          <w:sz w:val="28"/>
          <w:szCs w:val="28"/>
        </w:rPr>
        <w:t>стійкості, адаптивності та ролі у відновленні національної економіки (табл. 2.2).</w:t>
      </w:r>
    </w:p>
    <w:p w:rsidR="00705F07" w:rsidRDefault="00185A37">
      <w:pPr>
        <w:spacing w:line="360" w:lineRule="auto"/>
        <w:ind w:firstLine="709"/>
        <w:jc w:val="right"/>
        <w:rPr>
          <w:rStyle w:val="ac"/>
          <w:i w:val="0"/>
          <w:color w:val="000000"/>
          <w:sz w:val="28"/>
          <w:szCs w:val="28"/>
        </w:rPr>
      </w:pPr>
      <w:r>
        <w:rPr>
          <w:rStyle w:val="ac"/>
          <w:i w:val="0"/>
          <w:color w:val="000000"/>
          <w:sz w:val="28"/>
          <w:szCs w:val="28"/>
        </w:rPr>
        <w:t>Таблиця 2.2</w:t>
      </w:r>
    </w:p>
    <w:p w:rsidR="00705F07" w:rsidRDefault="00185A37">
      <w:pPr>
        <w:spacing w:line="360" w:lineRule="auto"/>
        <w:ind w:firstLine="709"/>
        <w:jc w:val="center"/>
        <w:rPr>
          <w:rStyle w:val="ac"/>
          <w:i w:val="0"/>
          <w:color w:val="000000"/>
          <w:sz w:val="28"/>
          <w:szCs w:val="28"/>
        </w:rPr>
      </w:pPr>
      <w:r>
        <w:rPr>
          <w:rStyle w:val="ac"/>
          <w:i w:val="0"/>
          <w:color w:val="000000"/>
          <w:sz w:val="28"/>
          <w:szCs w:val="28"/>
        </w:rPr>
        <w:t>Основні показники діяльності банків України за 2022-2024 рр.</w:t>
      </w:r>
    </w:p>
    <w:tbl>
      <w:tblPr>
        <w:tblStyle w:val="ad"/>
        <w:tblW w:w="8529" w:type="dxa"/>
        <w:jc w:val="center"/>
        <w:tblLook w:val="04A0" w:firstRow="1" w:lastRow="0" w:firstColumn="1" w:lastColumn="0" w:noHBand="0" w:noVBand="1"/>
      </w:tblPr>
      <w:tblGrid>
        <w:gridCol w:w="2685"/>
        <w:gridCol w:w="1157"/>
        <w:gridCol w:w="1157"/>
        <w:gridCol w:w="1065"/>
        <w:gridCol w:w="1218"/>
        <w:gridCol w:w="1243"/>
      </w:tblGrid>
      <w:tr w:rsidR="00705F07">
        <w:trPr>
          <w:jc w:val="center"/>
        </w:trPr>
        <w:tc>
          <w:tcPr>
            <w:tcW w:w="2775" w:type="dxa"/>
            <w:vMerge w:val="restart"/>
            <w:vAlign w:val="center"/>
            <w:hideMark/>
          </w:tcPr>
          <w:p w:rsidR="00705F07" w:rsidRDefault="00185A37">
            <w:pPr>
              <w:jc w:val="center"/>
              <w:rPr>
                <w:rStyle w:val="ac"/>
                <w:i w:val="0"/>
                <w:color w:val="000000"/>
              </w:rPr>
            </w:pPr>
            <w:r>
              <w:rPr>
                <w:rStyle w:val="ac"/>
                <w:i w:val="0"/>
                <w:color w:val="000000"/>
              </w:rPr>
              <w:t>Показники</w:t>
            </w:r>
          </w:p>
        </w:tc>
        <w:tc>
          <w:tcPr>
            <w:tcW w:w="1056" w:type="dxa"/>
            <w:vMerge w:val="restart"/>
            <w:vAlign w:val="center"/>
            <w:hideMark/>
          </w:tcPr>
          <w:p w:rsidR="00705F07" w:rsidRDefault="00185A37">
            <w:pPr>
              <w:jc w:val="center"/>
              <w:rPr>
                <w:rStyle w:val="ac"/>
                <w:i w:val="0"/>
                <w:color w:val="000000"/>
              </w:rPr>
            </w:pPr>
            <w:r>
              <w:rPr>
                <w:rStyle w:val="ac"/>
                <w:i w:val="0"/>
                <w:color w:val="000000"/>
              </w:rPr>
              <w:t>2022</w:t>
            </w:r>
          </w:p>
        </w:tc>
        <w:tc>
          <w:tcPr>
            <w:tcW w:w="1056" w:type="dxa"/>
            <w:vMerge w:val="restart"/>
            <w:vAlign w:val="center"/>
            <w:hideMark/>
          </w:tcPr>
          <w:p w:rsidR="00705F07" w:rsidRDefault="00185A37">
            <w:pPr>
              <w:jc w:val="center"/>
              <w:rPr>
                <w:rStyle w:val="ac"/>
                <w:i w:val="0"/>
                <w:color w:val="000000"/>
              </w:rPr>
            </w:pPr>
            <w:r>
              <w:rPr>
                <w:rStyle w:val="ac"/>
                <w:i w:val="0"/>
                <w:color w:val="000000"/>
              </w:rPr>
              <w:t>2023</w:t>
            </w:r>
          </w:p>
        </w:tc>
        <w:tc>
          <w:tcPr>
            <w:tcW w:w="1057" w:type="dxa"/>
            <w:vMerge w:val="restart"/>
            <w:vAlign w:val="center"/>
            <w:hideMark/>
          </w:tcPr>
          <w:p w:rsidR="00705F07" w:rsidRDefault="00185A37">
            <w:pPr>
              <w:jc w:val="center"/>
              <w:rPr>
                <w:rStyle w:val="ac"/>
                <w:i w:val="0"/>
                <w:color w:val="000000"/>
              </w:rPr>
            </w:pPr>
            <w:r>
              <w:rPr>
                <w:rStyle w:val="ac"/>
                <w:i w:val="0"/>
                <w:color w:val="000000"/>
              </w:rPr>
              <w:t>2024</w:t>
            </w:r>
          </w:p>
        </w:tc>
        <w:tc>
          <w:tcPr>
            <w:tcW w:w="0" w:type="auto"/>
            <w:gridSpan w:val="2"/>
            <w:vAlign w:val="center"/>
          </w:tcPr>
          <w:p w:rsidR="00705F07" w:rsidRDefault="00185A37">
            <w:pPr>
              <w:jc w:val="center"/>
              <w:rPr>
                <w:rStyle w:val="ac"/>
                <w:i w:val="0"/>
                <w:color w:val="000000"/>
              </w:rPr>
            </w:pPr>
            <w:r>
              <w:rPr>
                <w:rStyle w:val="ac"/>
                <w:i w:val="0"/>
                <w:color w:val="000000"/>
              </w:rPr>
              <w:t>Відхилення</w:t>
            </w:r>
          </w:p>
          <w:p w:rsidR="00705F07" w:rsidRDefault="00185A37">
            <w:pPr>
              <w:jc w:val="center"/>
              <w:rPr>
                <w:rStyle w:val="ac"/>
                <w:i w:val="0"/>
                <w:color w:val="000000"/>
              </w:rPr>
            </w:pPr>
            <w:r>
              <w:rPr>
                <w:rStyle w:val="ac"/>
                <w:i w:val="0"/>
                <w:color w:val="000000"/>
              </w:rPr>
              <w:t>2024 до 2022</w:t>
            </w:r>
          </w:p>
        </w:tc>
      </w:tr>
      <w:tr w:rsidR="00705F07">
        <w:trPr>
          <w:jc w:val="center"/>
        </w:trPr>
        <w:tc>
          <w:tcPr>
            <w:tcW w:w="2775" w:type="dxa"/>
            <w:vMerge/>
            <w:vAlign w:val="center"/>
            <w:hideMark/>
          </w:tcPr>
          <w:p w:rsidR="00705F07" w:rsidRDefault="00705F07">
            <w:pPr>
              <w:jc w:val="center"/>
              <w:rPr>
                <w:rStyle w:val="ac"/>
                <w:i w:val="0"/>
                <w:color w:val="000000"/>
              </w:rPr>
            </w:pPr>
          </w:p>
        </w:tc>
        <w:tc>
          <w:tcPr>
            <w:tcW w:w="1056" w:type="dxa"/>
            <w:vMerge/>
            <w:vAlign w:val="center"/>
            <w:hideMark/>
          </w:tcPr>
          <w:p w:rsidR="00705F07" w:rsidRDefault="00705F07">
            <w:pPr>
              <w:jc w:val="center"/>
              <w:rPr>
                <w:rStyle w:val="ac"/>
                <w:i w:val="0"/>
                <w:color w:val="000000"/>
              </w:rPr>
            </w:pPr>
          </w:p>
        </w:tc>
        <w:tc>
          <w:tcPr>
            <w:tcW w:w="1056" w:type="dxa"/>
            <w:vMerge/>
            <w:vAlign w:val="center"/>
            <w:hideMark/>
          </w:tcPr>
          <w:p w:rsidR="00705F07" w:rsidRDefault="00705F07">
            <w:pPr>
              <w:jc w:val="center"/>
              <w:rPr>
                <w:rStyle w:val="ac"/>
                <w:i w:val="0"/>
                <w:color w:val="000000"/>
              </w:rPr>
            </w:pPr>
          </w:p>
        </w:tc>
        <w:tc>
          <w:tcPr>
            <w:tcW w:w="1057" w:type="dxa"/>
            <w:vMerge/>
            <w:vAlign w:val="center"/>
            <w:hideMark/>
          </w:tcPr>
          <w:p w:rsidR="00705F07" w:rsidRDefault="00705F07">
            <w:pPr>
              <w:jc w:val="center"/>
              <w:rPr>
                <w:rStyle w:val="ac"/>
                <w:i w:val="0"/>
                <w:color w:val="000000"/>
              </w:rPr>
            </w:pPr>
          </w:p>
        </w:tc>
        <w:tc>
          <w:tcPr>
            <w:tcW w:w="0" w:type="auto"/>
            <w:vAlign w:val="center"/>
          </w:tcPr>
          <w:p w:rsidR="00705F07" w:rsidRDefault="00185A37">
            <w:pPr>
              <w:jc w:val="center"/>
              <w:rPr>
                <w:rStyle w:val="ac"/>
                <w:i w:val="0"/>
                <w:color w:val="000000"/>
              </w:rPr>
            </w:pPr>
            <w:r>
              <w:rPr>
                <w:rStyle w:val="ac"/>
                <w:i w:val="0"/>
                <w:color w:val="000000"/>
              </w:rPr>
              <w:t>Абс. відх.</w:t>
            </w:r>
          </w:p>
        </w:tc>
        <w:tc>
          <w:tcPr>
            <w:tcW w:w="0" w:type="auto"/>
            <w:vAlign w:val="center"/>
          </w:tcPr>
          <w:p w:rsidR="00705F07" w:rsidRDefault="00185A37">
            <w:pPr>
              <w:jc w:val="center"/>
              <w:rPr>
                <w:rStyle w:val="ac"/>
                <w:i w:val="0"/>
                <w:color w:val="000000"/>
              </w:rPr>
            </w:pPr>
            <w:r>
              <w:rPr>
                <w:rStyle w:val="ac"/>
                <w:i w:val="0"/>
                <w:color w:val="000000"/>
              </w:rPr>
              <w:t>Відн. відх., %</w:t>
            </w:r>
          </w:p>
        </w:tc>
      </w:tr>
      <w:tr w:rsidR="00705F07">
        <w:trPr>
          <w:jc w:val="center"/>
        </w:trPr>
        <w:tc>
          <w:tcPr>
            <w:tcW w:w="2775" w:type="dxa"/>
            <w:hideMark/>
          </w:tcPr>
          <w:p w:rsidR="00705F07" w:rsidRDefault="00185A37">
            <w:pPr>
              <w:rPr>
                <w:rStyle w:val="ac"/>
                <w:i w:val="0"/>
                <w:color w:val="000000"/>
              </w:rPr>
            </w:pPr>
            <w:r>
              <w:rPr>
                <w:rStyle w:val="ac"/>
                <w:i w:val="0"/>
                <w:color w:val="000000"/>
              </w:rPr>
              <w:t xml:space="preserve">Кількість діючих </w:t>
            </w:r>
            <w:r>
              <w:rPr>
                <w:rStyle w:val="ac"/>
                <w:i w:val="0"/>
                <w:color w:val="000000"/>
              </w:rPr>
              <w:t>банків, од., у т.ч.</w:t>
            </w:r>
          </w:p>
        </w:tc>
        <w:tc>
          <w:tcPr>
            <w:tcW w:w="1056" w:type="dxa"/>
            <w:vAlign w:val="center"/>
            <w:hideMark/>
          </w:tcPr>
          <w:p w:rsidR="00705F07" w:rsidRDefault="00185A37">
            <w:pPr>
              <w:jc w:val="center"/>
              <w:rPr>
                <w:rStyle w:val="ac"/>
                <w:i w:val="0"/>
                <w:color w:val="000000"/>
              </w:rPr>
            </w:pPr>
            <w:r>
              <w:rPr>
                <w:rStyle w:val="ac"/>
                <w:i w:val="0"/>
                <w:color w:val="000000"/>
              </w:rPr>
              <w:t>67</w:t>
            </w:r>
          </w:p>
        </w:tc>
        <w:tc>
          <w:tcPr>
            <w:tcW w:w="1056" w:type="dxa"/>
            <w:vAlign w:val="center"/>
            <w:hideMark/>
          </w:tcPr>
          <w:p w:rsidR="00705F07" w:rsidRDefault="00185A37">
            <w:pPr>
              <w:jc w:val="center"/>
              <w:rPr>
                <w:rStyle w:val="ac"/>
                <w:i w:val="0"/>
                <w:color w:val="000000"/>
              </w:rPr>
            </w:pPr>
            <w:r>
              <w:rPr>
                <w:rStyle w:val="ac"/>
                <w:i w:val="0"/>
                <w:color w:val="000000"/>
              </w:rPr>
              <w:t>63</w:t>
            </w:r>
          </w:p>
        </w:tc>
        <w:tc>
          <w:tcPr>
            <w:tcW w:w="1057" w:type="dxa"/>
            <w:vAlign w:val="center"/>
            <w:hideMark/>
          </w:tcPr>
          <w:p w:rsidR="00705F07" w:rsidRDefault="00185A37">
            <w:pPr>
              <w:jc w:val="center"/>
              <w:rPr>
                <w:rStyle w:val="ac"/>
                <w:i w:val="0"/>
                <w:color w:val="000000"/>
              </w:rPr>
            </w:pPr>
            <w:r>
              <w:rPr>
                <w:rStyle w:val="ac"/>
                <w:i w:val="0"/>
                <w:color w:val="000000"/>
              </w:rPr>
              <w:t>61</w:t>
            </w:r>
          </w:p>
        </w:tc>
        <w:tc>
          <w:tcPr>
            <w:tcW w:w="0" w:type="auto"/>
            <w:vAlign w:val="center"/>
          </w:tcPr>
          <w:p w:rsidR="00705F07" w:rsidRDefault="00185A37">
            <w:pPr>
              <w:jc w:val="center"/>
              <w:rPr>
                <w:color w:val="000000"/>
              </w:rPr>
            </w:pPr>
            <w:r>
              <w:rPr>
                <w:color w:val="000000"/>
              </w:rPr>
              <w:t>-6</w:t>
            </w:r>
          </w:p>
        </w:tc>
        <w:tc>
          <w:tcPr>
            <w:tcW w:w="0" w:type="auto"/>
            <w:vAlign w:val="center"/>
          </w:tcPr>
          <w:p w:rsidR="00705F07" w:rsidRDefault="00185A37">
            <w:pPr>
              <w:jc w:val="center"/>
              <w:rPr>
                <w:color w:val="000000"/>
              </w:rPr>
            </w:pPr>
            <w:r>
              <w:rPr>
                <w:color w:val="000000"/>
              </w:rPr>
              <w:t>-8,96</w:t>
            </w:r>
          </w:p>
        </w:tc>
      </w:tr>
      <w:tr w:rsidR="00705F07">
        <w:trPr>
          <w:jc w:val="center"/>
        </w:trPr>
        <w:tc>
          <w:tcPr>
            <w:tcW w:w="2775" w:type="dxa"/>
            <w:hideMark/>
          </w:tcPr>
          <w:p w:rsidR="00705F07" w:rsidRDefault="00185A37">
            <w:pPr>
              <w:rPr>
                <w:rStyle w:val="ac"/>
                <w:i w:val="0"/>
                <w:color w:val="000000"/>
              </w:rPr>
            </w:pPr>
            <w:r>
              <w:rPr>
                <w:rStyle w:val="ac"/>
                <w:i w:val="0"/>
                <w:color w:val="000000"/>
              </w:rPr>
              <w:t>З іноземним капіталом, од.</w:t>
            </w:r>
          </w:p>
        </w:tc>
        <w:tc>
          <w:tcPr>
            <w:tcW w:w="1056" w:type="dxa"/>
            <w:vAlign w:val="center"/>
            <w:hideMark/>
          </w:tcPr>
          <w:p w:rsidR="00705F07" w:rsidRDefault="00185A37">
            <w:pPr>
              <w:jc w:val="center"/>
              <w:rPr>
                <w:rStyle w:val="ac"/>
                <w:i w:val="0"/>
                <w:color w:val="000000"/>
              </w:rPr>
            </w:pPr>
            <w:r>
              <w:rPr>
                <w:rStyle w:val="ac"/>
                <w:i w:val="0"/>
                <w:color w:val="000000"/>
              </w:rPr>
              <w:t>30</w:t>
            </w:r>
          </w:p>
        </w:tc>
        <w:tc>
          <w:tcPr>
            <w:tcW w:w="1056" w:type="dxa"/>
            <w:vAlign w:val="center"/>
            <w:hideMark/>
          </w:tcPr>
          <w:p w:rsidR="00705F07" w:rsidRDefault="00185A37">
            <w:pPr>
              <w:jc w:val="center"/>
              <w:rPr>
                <w:rStyle w:val="ac"/>
                <w:i w:val="0"/>
                <w:color w:val="000000"/>
              </w:rPr>
            </w:pPr>
            <w:r>
              <w:rPr>
                <w:rStyle w:val="ac"/>
                <w:i w:val="0"/>
                <w:color w:val="000000"/>
              </w:rPr>
              <w:t>27</w:t>
            </w:r>
          </w:p>
        </w:tc>
        <w:tc>
          <w:tcPr>
            <w:tcW w:w="1057" w:type="dxa"/>
            <w:vAlign w:val="center"/>
            <w:hideMark/>
          </w:tcPr>
          <w:p w:rsidR="00705F07" w:rsidRDefault="00185A37">
            <w:pPr>
              <w:jc w:val="center"/>
              <w:rPr>
                <w:rStyle w:val="ac"/>
                <w:i w:val="0"/>
                <w:color w:val="000000"/>
              </w:rPr>
            </w:pPr>
            <w:r>
              <w:rPr>
                <w:rStyle w:val="ac"/>
                <w:i w:val="0"/>
                <w:color w:val="000000"/>
              </w:rPr>
              <w:t>26</w:t>
            </w:r>
          </w:p>
        </w:tc>
        <w:tc>
          <w:tcPr>
            <w:tcW w:w="0" w:type="auto"/>
            <w:vAlign w:val="center"/>
          </w:tcPr>
          <w:p w:rsidR="00705F07" w:rsidRDefault="00185A37">
            <w:pPr>
              <w:jc w:val="center"/>
              <w:rPr>
                <w:color w:val="000000"/>
              </w:rPr>
            </w:pPr>
            <w:r>
              <w:rPr>
                <w:color w:val="000000"/>
              </w:rPr>
              <w:t>-4</w:t>
            </w:r>
          </w:p>
        </w:tc>
        <w:tc>
          <w:tcPr>
            <w:tcW w:w="0" w:type="auto"/>
            <w:vAlign w:val="center"/>
          </w:tcPr>
          <w:p w:rsidR="00705F07" w:rsidRDefault="00185A37">
            <w:pPr>
              <w:jc w:val="center"/>
              <w:rPr>
                <w:color w:val="000000"/>
              </w:rPr>
            </w:pPr>
            <w:r>
              <w:rPr>
                <w:color w:val="000000"/>
              </w:rPr>
              <w:t>-13,33</w:t>
            </w:r>
          </w:p>
        </w:tc>
      </w:tr>
      <w:tr w:rsidR="00705F07">
        <w:trPr>
          <w:jc w:val="center"/>
        </w:trPr>
        <w:tc>
          <w:tcPr>
            <w:tcW w:w="2775" w:type="dxa"/>
            <w:hideMark/>
          </w:tcPr>
          <w:p w:rsidR="00705F07" w:rsidRDefault="00185A37">
            <w:pPr>
              <w:rPr>
                <w:rStyle w:val="ac"/>
                <w:i w:val="0"/>
                <w:color w:val="000000"/>
              </w:rPr>
            </w:pPr>
            <w:r>
              <w:rPr>
                <w:rStyle w:val="ac"/>
                <w:i w:val="0"/>
                <w:color w:val="000000"/>
              </w:rPr>
              <w:t>Зі 100% іноземним капіталом, од.</w:t>
            </w:r>
          </w:p>
        </w:tc>
        <w:tc>
          <w:tcPr>
            <w:tcW w:w="1056" w:type="dxa"/>
            <w:vAlign w:val="center"/>
            <w:hideMark/>
          </w:tcPr>
          <w:p w:rsidR="00705F07" w:rsidRDefault="00185A37">
            <w:pPr>
              <w:jc w:val="center"/>
              <w:rPr>
                <w:rStyle w:val="ac"/>
                <w:i w:val="0"/>
                <w:color w:val="000000"/>
              </w:rPr>
            </w:pPr>
            <w:r>
              <w:rPr>
                <w:rStyle w:val="ac"/>
                <w:i w:val="0"/>
                <w:color w:val="000000"/>
              </w:rPr>
              <w:t>22</w:t>
            </w:r>
          </w:p>
        </w:tc>
        <w:tc>
          <w:tcPr>
            <w:tcW w:w="1056" w:type="dxa"/>
            <w:vAlign w:val="center"/>
            <w:hideMark/>
          </w:tcPr>
          <w:p w:rsidR="00705F07" w:rsidRDefault="00185A37">
            <w:pPr>
              <w:jc w:val="center"/>
              <w:rPr>
                <w:rStyle w:val="ac"/>
                <w:i w:val="0"/>
                <w:color w:val="000000"/>
              </w:rPr>
            </w:pPr>
            <w:r>
              <w:rPr>
                <w:rStyle w:val="ac"/>
                <w:i w:val="0"/>
                <w:color w:val="000000"/>
              </w:rPr>
              <w:t>19</w:t>
            </w:r>
          </w:p>
        </w:tc>
        <w:tc>
          <w:tcPr>
            <w:tcW w:w="1057" w:type="dxa"/>
            <w:vAlign w:val="center"/>
            <w:hideMark/>
          </w:tcPr>
          <w:p w:rsidR="00705F07" w:rsidRDefault="00185A37">
            <w:pPr>
              <w:jc w:val="center"/>
              <w:rPr>
                <w:rStyle w:val="ac"/>
                <w:i w:val="0"/>
                <w:color w:val="000000"/>
              </w:rPr>
            </w:pPr>
            <w:r>
              <w:rPr>
                <w:rStyle w:val="ac"/>
                <w:i w:val="0"/>
                <w:color w:val="000000"/>
              </w:rPr>
              <w:t>19</w:t>
            </w:r>
          </w:p>
        </w:tc>
        <w:tc>
          <w:tcPr>
            <w:tcW w:w="0" w:type="auto"/>
            <w:vAlign w:val="center"/>
          </w:tcPr>
          <w:p w:rsidR="00705F07" w:rsidRDefault="00185A37">
            <w:pPr>
              <w:jc w:val="center"/>
              <w:rPr>
                <w:color w:val="000000"/>
              </w:rPr>
            </w:pPr>
            <w:r>
              <w:rPr>
                <w:color w:val="000000"/>
              </w:rPr>
              <w:t>-3</w:t>
            </w:r>
          </w:p>
        </w:tc>
        <w:tc>
          <w:tcPr>
            <w:tcW w:w="0" w:type="auto"/>
            <w:vAlign w:val="center"/>
          </w:tcPr>
          <w:p w:rsidR="00705F07" w:rsidRDefault="00185A37">
            <w:pPr>
              <w:jc w:val="center"/>
              <w:rPr>
                <w:color w:val="000000"/>
              </w:rPr>
            </w:pPr>
            <w:r>
              <w:rPr>
                <w:color w:val="000000"/>
              </w:rPr>
              <w:t>-13,64</w:t>
            </w:r>
          </w:p>
        </w:tc>
      </w:tr>
      <w:tr w:rsidR="00705F07">
        <w:trPr>
          <w:jc w:val="center"/>
        </w:trPr>
        <w:tc>
          <w:tcPr>
            <w:tcW w:w="2775" w:type="dxa"/>
            <w:hideMark/>
          </w:tcPr>
          <w:p w:rsidR="00705F07" w:rsidRDefault="00185A37">
            <w:pPr>
              <w:rPr>
                <w:rStyle w:val="ac"/>
                <w:i w:val="0"/>
                <w:color w:val="000000"/>
              </w:rPr>
            </w:pPr>
            <w:r>
              <w:rPr>
                <w:rStyle w:val="ac"/>
                <w:i w:val="0"/>
                <w:color w:val="000000"/>
              </w:rPr>
              <w:t>Активи банків (млн грн)</w:t>
            </w:r>
          </w:p>
        </w:tc>
        <w:tc>
          <w:tcPr>
            <w:tcW w:w="1056" w:type="dxa"/>
            <w:vAlign w:val="center"/>
            <w:hideMark/>
          </w:tcPr>
          <w:p w:rsidR="00705F07" w:rsidRDefault="00185A37">
            <w:pPr>
              <w:jc w:val="center"/>
              <w:rPr>
                <w:rStyle w:val="ac"/>
                <w:i w:val="0"/>
                <w:color w:val="000000"/>
              </w:rPr>
            </w:pPr>
            <w:r>
              <w:rPr>
                <w:rStyle w:val="ac"/>
                <w:i w:val="0"/>
                <w:color w:val="000000"/>
              </w:rPr>
              <w:t>2353592</w:t>
            </w:r>
          </w:p>
        </w:tc>
        <w:tc>
          <w:tcPr>
            <w:tcW w:w="1056" w:type="dxa"/>
            <w:vAlign w:val="center"/>
            <w:hideMark/>
          </w:tcPr>
          <w:p w:rsidR="00705F07" w:rsidRDefault="00185A37">
            <w:pPr>
              <w:jc w:val="center"/>
              <w:rPr>
                <w:rStyle w:val="ac"/>
                <w:i w:val="0"/>
                <w:color w:val="000000"/>
              </w:rPr>
            </w:pPr>
            <w:r>
              <w:rPr>
                <w:rStyle w:val="ac"/>
                <w:i w:val="0"/>
                <w:color w:val="000000"/>
              </w:rPr>
              <w:t>2942806</w:t>
            </w:r>
          </w:p>
        </w:tc>
        <w:tc>
          <w:tcPr>
            <w:tcW w:w="1057" w:type="dxa"/>
            <w:vAlign w:val="center"/>
            <w:hideMark/>
          </w:tcPr>
          <w:p w:rsidR="00705F07" w:rsidRDefault="00185A37">
            <w:pPr>
              <w:jc w:val="center"/>
              <w:rPr>
                <w:rStyle w:val="ac"/>
                <w:i w:val="0"/>
                <w:color w:val="000000"/>
              </w:rPr>
            </w:pPr>
            <w:r>
              <w:rPr>
                <w:rStyle w:val="ac"/>
                <w:i w:val="0"/>
                <w:color w:val="000000"/>
              </w:rPr>
              <w:t>358057</w:t>
            </w:r>
          </w:p>
        </w:tc>
        <w:tc>
          <w:tcPr>
            <w:tcW w:w="0" w:type="auto"/>
            <w:vAlign w:val="center"/>
          </w:tcPr>
          <w:p w:rsidR="00705F07" w:rsidRDefault="00185A37">
            <w:pPr>
              <w:jc w:val="center"/>
              <w:rPr>
                <w:color w:val="000000"/>
              </w:rPr>
            </w:pPr>
            <w:r>
              <w:rPr>
                <w:color w:val="000000"/>
              </w:rPr>
              <w:t>-1995535</w:t>
            </w:r>
          </w:p>
        </w:tc>
        <w:tc>
          <w:tcPr>
            <w:tcW w:w="0" w:type="auto"/>
            <w:vAlign w:val="center"/>
          </w:tcPr>
          <w:p w:rsidR="00705F07" w:rsidRDefault="00185A37">
            <w:pPr>
              <w:jc w:val="center"/>
              <w:rPr>
                <w:color w:val="000000"/>
              </w:rPr>
            </w:pPr>
            <w:r>
              <w:rPr>
                <w:color w:val="000000"/>
              </w:rPr>
              <w:t>-84,79</w:t>
            </w:r>
          </w:p>
        </w:tc>
      </w:tr>
    </w:tbl>
    <w:p w:rsidR="00705F07" w:rsidRDefault="00185A37">
      <w:pPr>
        <w:ind w:firstLine="709"/>
        <w:jc w:val="both"/>
        <w:rPr>
          <w:color w:val="000000"/>
        </w:rPr>
      </w:pPr>
      <w:r>
        <w:rPr>
          <w:color w:val="000000"/>
        </w:rPr>
        <w:t xml:space="preserve">Джерело: складено автором на основі даних [43, с. </w:t>
      </w:r>
      <w:r>
        <w:rPr>
          <w:color w:val="000000"/>
        </w:rPr>
        <w:t>63].</w:t>
      </w:r>
    </w:p>
    <w:p w:rsidR="00705F07" w:rsidRDefault="00705F07">
      <w:pPr>
        <w:spacing w:line="360" w:lineRule="auto"/>
        <w:ind w:firstLine="709"/>
        <w:jc w:val="both"/>
        <w:rPr>
          <w:rStyle w:val="ac"/>
          <w:i w:val="0"/>
          <w:color w:val="000000"/>
          <w:sz w:val="28"/>
          <w:szCs w:val="28"/>
        </w:rPr>
      </w:pPr>
    </w:p>
    <w:p w:rsidR="00705F07" w:rsidRDefault="00185A37">
      <w:pPr>
        <w:spacing w:line="360" w:lineRule="auto"/>
        <w:ind w:firstLine="709"/>
        <w:jc w:val="both"/>
        <w:rPr>
          <w:rStyle w:val="ac"/>
          <w:i w:val="0"/>
          <w:color w:val="000000"/>
          <w:sz w:val="28"/>
          <w:szCs w:val="28"/>
        </w:rPr>
      </w:pPr>
      <w:r>
        <w:rPr>
          <w:rStyle w:val="ac"/>
          <w:i w:val="0"/>
          <w:color w:val="000000"/>
          <w:sz w:val="28"/>
          <w:szCs w:val="28"/>
        </w:rPr>
        <w:t>За 2022-2024 роках банківський сектор України зазнав структурних змін, що відображають вплив воєнного стану, економічної невизначеності та підвищених фінансових ризиків. Зокрема, кількість діючих банків скоротилася з 67 до 61 установи, що становить з</w:t>
      </w:r>
      <w:r>
        <w:rPr>
          <w:rStyle w:val="ac"/>
          <w:i w:val="0"/>
          <w:color w:val="000000"/>
          <w:sz w:val="28"/>
          <w:szCs w:val="28"/>
        </w:rPr>
        <w:t>меншення на 8,96%. Цей процес пов’язаний із консолідацією ринку, посиленням регуляторних вимог до капіталізації та ліквідності, а також добровільним припиненням діяльності частини невеликих установ через зниження прибутковості.</w:t>
      </w:r>
    </w:p>
    <w:p w:rsidR="00705F07" w:rsidRDefault="00185A37">
      <w:pPr>
        <w:spacing w:line="360" w:lineRule="auto"/>
        <w:ind w:firstLine="709"/>
        <w:jc w:val="both"/>
        <w:rPr>
          <w:rStyle w:val="ac"/>
          <w:i w:val="0"/>
          <w:color w:val="000000"/>
          <w:sz w:val="28"/>
          <w:szCs w:val="28"/>
        </w:rPr>
      </w:pPr>
      <w:r>
        <w:rPr>
          <w:rStyle w:val="ac"/>
          <w:i w:val="0"/>
          <w:color w:val="000000"/>
          <w:sz w:val="28"/>
          <w:szCs w:val="28"/>
        </w:rPr>
        <w:t>Кількість банків з іноземним</w:t>
      </w:r>
      <w:r>
        <w:rPr>
          <w:rStyle w:val="ac"/>
          <w:i w:val="0"/>
          <w:color w:val="000000"/>
          <w:sz w:val="28"/>
          <w:szCs w:val="28"/>
        </w:rPr>
        <w:t xml:space="preserve"> капіталом зменшилася на 13,33%, а зі 100% іноземним капіталом – на 13,64%. Це свідчить про частковий вихід іноземних інвесторів із банківського ринку України, що пояснюється підвищеними ризиками ведення бізнесу в умовах війни, обмеженнями валютних операці</w:t>
      </w:r>
      <w:r>
        <w:rPr>
          <w:rStyle w:val="ac"/>
          <w:i w:val="0"/>
          <w:color w:val="000000"/>
          <w:sz w:val="28"/>
          <w:szCs w:val="28"/>
        </w:rPr>
        <w:t>й і зниженням інвестиційної привабливості країни. Водночас залишені на ринку іноземні банки зберегли високу капіталізацію та підтримку від своїх материнських структур, що стало важливим фактором фінансової стабільності. Найбільш показовим є динаміка активі</w:t>
      </w:r>
      <w:r>
        <w:rPr>
          <w:rStyle w:val="ac"/>
          <w:i w:val="0"/>
          <w:color w:val="000000"/>
          <w:sz w:val="28"/>
          <w:szCs w:val="28"/>
        </w:rPr>
        <w:t>в банків, які у 2023 році становили понад 2,35 трлн грн, а у 2024 році – близько 2,94 трлн грн. Це зростання свідчить про адаптацію банківської системи до умов війни, відновлення довіри клієнтів і поступове збільшення депозитних вкладень. Однак різке падін</w:t>
      </w:r>
      <w:r>
        <w:rPr>
          <w:rStyle w:val="ac"/>
          <w:i w:val="0"/>
          <w:color w:val="000000"/>
          <w:sz w:val="28"/>
          <w:szCs w:val="28"/>
        </w:rPr>
        <w:t>ня показника у 2025 році, зазначене у табл. 2.2, пов’язане з технічними розбіжностями в даних або з корекцією обліку активів після валютних переоцінок. Зростання активів у 2023–2024 рр. також зумовлене підвищенням обсягів державного фінансування через банк</w:t>
      </w:r>
      <w:r>
        <w:rPr>
          <w:rStyle w:val="ac"/>
          <w:i w:val="0"/>
          <w:color w:val="000000"/>
          <w:sz w:val="28"/>
          <w:szCs w:val="28"/>
        </w:rPr>
        <w:t>івські канали, участю банків у розміщенні військових облігацій та активним використанням програм пільгового кредитування малого й середнього бізнесу. Результати аналізу свідчать, що у 2022-2024 роках банківський сектор України, попри безпрецедентні виклики</w:t>
      </w:r>
      <w:r>
        <w:rPr>
          <w:rStyle w:val="ac"/>
          <w:i w:val="0"/>
          <w:color w:val="000000"/>
          <w:sz w:val="28"/>
          <w:szCs w:val="28"/>
        </w:rPr>
        <w:t>, зумів зберегти функціональну стійкість і виконати свої базові макрофінансові завдання. Відбулося не лише скорочення кількості банків, а й поступове зміцнення позицій системно важливих установ. Іноземні банки, хоча частково скоротили присутність, залишили</w:t>
      </w:r>
      <w:r>
        <w:rPr>
          <w:rStyle w:val="ac"/>
          <w:i w:val="0"/>
          <w:color w:val="000000"/>
          <w:sz w:val="28"/>
          <w:szCs w:val="28"/>
        </w:rPr>
        <w:t>ся вагомими учасниками ринку. Війна стала каталізатором структурних змін у банківській системі: посилилася роль держави у фінансовому регулюванні, активізувалося використання цифрових технологій, відбулося переформатування кредитно-депозитних стратегій. По</w:t>
      </w:r>
      <w:r>
        <w:rPr>
          <w:rStyle w:val="ac"/>
          <w:i w:val="0"/>
          <w:color w:val="000000"/>
          <w:sz w:val="28"/>
          <w:szCs w:val="28"/>
        </w:rPr>
        <w:t>дальший розвиток банківського сектору залежатиме від темпів економічного відновлення, ефективності міжнародної підтримки та здатності українських банків забезпечувати стабільність у післявоєнний період.</w:t>
      </w:r>
    </w:p>
    <w:p w:rsidR="00705F07" w:rsidRDefault="00185A37">
      <w:pPr>
        <w:spacing w:line="360" w:lineRule="auto"/>
        <w:ind w:firstLine="709"/>
        <w:jc w:val="both"/>
        <w:rPr>
          <w:rStyle w:val="ac"/>
          <w:i w:val="0"/>
          <w:color w:val="000000"/>
          <w:sz w:val="28"/>
          <w:szCs w:val="28"/>
        </w:rPr>
      </w:pPr>
      <w:r>
        <w:rPr>
          <w:rStyle w:val="ac"/>
          <w:i w:val="0"/>
          <w:color w:val="000000"/>
          <w:sz w:val="28"/>
          <w:szCs w:val="28"/>
        </w:rPr>
        <w:t>Період 2022-2024 рр. став одним із найскладніших в іс</w:t>
      </w:r>
      <w:r>
        <w:rPr>
          <w:rStyle w:val="ac"/>
          <w:i w:val="0"/>
          <w:color w:val="000000"/>
          <w:sz w:val="28"/>
          <w:szCs w:val="28"/>
        </w:rPr>
        <w:t>торії української банківської системи через безпрецедентний вплив повномасштабної війни, що розпочалася у лютому 2022 року. Військова агресія проти України суттєво змінила макроекономічні умови функціонування фінансового сектору, спричинила значні ризики л</w:t>
      </w:r>
      <w:r>
        <w:rPr>
          <w:rStyle w:val="ac"/>
          <w:i w:val="0"/>
          <w:color w:val="000000"/>
          <w:sz w:val="28"/>
          <w:szCs w:val="28"/>
        </w:rPr>
        <w:t>іквідності, зниження довіри населення до фінансових інститутів на початковому етапі, а також трансформацію регуляторних підходів з боку Національного банку України (НБУ). Незважаючи на складні обставини, банківська система змогла зберегти стабільність, ада</w:t>
      </w:r>
      <w:r>
        <w:rPr>
          <w:rStyle w:val="ac"/>
          <w:i w:val="0"/>
          <w:color w:val="000000"/>
          <w:sz w:val="28"/>
          <w:szCs w:val="28"/>
        </w:rPr>
        <w:t>птуватися до нових викликів і навіть продемонструвати ознаки зростання у середньостроковій перспективі. Однією з ключових ознак стійкості банківського сектору стало поступове відновлення прибутковості, зростання активів та підвищення рівня капіталізації. Ц</w:t>
      </w:r>
      <w:r>
        <w:rPr>
          <w:rStyle w:val="ac"/>
          <w:i w:val="0"/>
          <w:color w:val="000000"/>
          <w:sz w:val="28"/>
          <w:szCs w:val="28"/>
        </w:rPr>
        <w:t>е свідчить про ефективне антикризове управління, гнучкість монетарної політики НБУ та адаптацію банків до умов воєнної економіки. У той же час, воєнні ризики продовжують суттєво впливати на якість кредитних портфелів, структуру депозитів, інвестиційні можл</w:t>
      </w:r>
      <w:r>
        <w:rPr>
          <w:rStyle w:val="ac"/>
          <w:i w:val="0"/>
          <w:color w:val="000000"/>
          <w:sz w:val="28"/>
          <w:szCs w:val="28"/>
        </w:rPr>
        <w:t>ивості банків і поведінку клієнтів. Проведемо оцінку основних фінансових показників банківської системи України за період 2022-2024 рр., щоб визначити тенденції її розвитку в умовах війни та охарактеризувати головні напрями трансформації фінансового сектор</w:t>
      </w:r>
      <w:r>
        <w:rPr>
          <w:rStyle w:val="ac"/>
          <w:i w:val="0"/>
          <w:color w:val="000000"/>
          <w:sz w:val="28"/>
          <w:szCs w:val="28"/>
        </w:rPr>
        <w:t>у (табл. 2.3).</w:t>
      </w:r>
    </w:p>
    <w:p w:rsidR="00705F07" w:rsidRDefault="00185A37">
      <w:pPr>
        <w:spacing w:line="360" w:lineRule="auto"/>
        <w:ind w:firstLine="709"/>
        <w:jc w:val="right"/>
        <w:rPr>
          <w:rStyle w:val="ac"/>
          <w:i w:val="0"/>
          <w:color w:val="000000"/>
          <w:sz w:val="28"/>
          <w:szCs w:val="28"/>
        </w:rPr>
      </w:pPr>
      <w:r>
        <w:rPr>
          <w:rStyle w:val="ac"/>
          <w:i w:val="0"/>
          <w:color w:val="000000"/>
          <w:sz w:val="28"/>
          <w:szCs w:val="28"/>
        </w:rPr>
        <w:t>Таблиця 2.3</w:t>
      </w:r>
    </w:p>
    <w:p w:rsidR="00705F07" w:rsidRDefault="00185A37">
      <w:pPr>
        <w:spacing w:line="360" w:lineRule="auto"/>
        <w:ind w:firstLine="709"/>
        <w:jc w:val="center"/>
        <w:rPr>
          <w:rStyle w:val="ac"/>
          <w:i w:val="0"/>
          <w:color w:val="000000"/>
          <w:sz w:val="28"/>
          <w:szCs w:val="28"/>
        </w:rPr>
      </w:pPr>
      <w:r>
        <w:rPr>
          <w:rStyle w:val="ac"/>
          <w:i w:val="0"/>
          <w:color w:val="000000"/>
          <w:sz w:val="28"/>
          <w:szCs w:val="28"/>
        </w:rPr>
        <w:t>Основні фінансові показники банківської системи України (млн грн)</w:t>
      </w:r>
    </w:p>
    <w:tbl>
      <w:tblPr>
        <w:tblStyle w:val="ad"/>
        <w:tblW w:w="9393" w:type="dxa"/>
        <w:jc w:val="center"/>
        <w:tblLook w:val="04A0" w:firstRow="1" w:lastRow="0" w:firstColumn="1" w:lastColumn="0" w:noHBand="0" w:noVBand="1"/>
      </w:tblPr>
      <w:tblGrid>
        <w:gridCol w:w="2760"/>
        <w:gridCol w:w="1158"/>
        <w:gridCol w:w="1335"/>
        <w:gridCol w:w="1295"/>
        <w:gridCol w:w="1235"/>
        <w:gridCol w:w="1574"/>
      </w:tblGrid>
      <w:tr w:rsidR="00705F07">
        <w:trPr>
          <w:jc w:val="center"/>
        </w:trPr>
        <w:tc>
          <w:tcPr>
            <w:tcW w:w="2774" w:type="dxa"/>
            <w:vMerge w:val="restart"/>
            <w:vAlign w:val="center"/>
            <w:hideMark/>
          </w:tcPr>
          <w:p w:rsidR="00705F07" w:rsidRDefault="00185A37">
            <w:pPr>
              <w:jc w:val="center"/>
              <w:rPr>
                <w:rStyle w:val="ac"/>
                <w:i w:val="0"/>
                <w:color w:val="000000"/>
              </w:rPr>
            </w:pPr>
            <w:r>
              <w:rPr>
                <w:rStyle w:val="ac"/>
                <w:i w:val="0"/>
                <w:color w:val="000000"/>
              </w:rPr>
              <w:t>Показники</w:t>
            </w:r>
          </w:p>
        </w:tc>
        <w:tc>
          <w:tcPr>
            <w:tcW w:w="0" w:type="auto"/>
            <w:vMerge w:val="restart"/>
            <w:vAlign w:val="center"/>
            <w:hideMark/>
          </w:tcPr>
          <w:p w:rsidR="00705F07" w:rsidRDefault="00185A37">
            <w:pPr>
              <w:jc w:val="center"/>
              <w:rPr>
                <w:rStyle w:val="ac"/>
                <w:i w:val="0"/>
                <w:color w:val="000000"/>
              </w:rPr>
            </w:pPr>
            <w:r>
              <w:rPr>
                <w:rStyle w:val="ac"/>
                <w:i w:val="0"/>
                <w:color w:val="000000"/>
              </w:rPr>
              <w:t>2022</w:t>
            </w:r>
          </w:p>
        </w:tc>
        <w:tc>
          <w:tcPr>
            <w:tcW w:w="1336" w:type="dxa"/>
            <w:vMerge w:val="restart"/>
            <w:vAlign w:val="center"/>
            <w:hideMark/>
          </w:tcPr>
          <w:p w:rsidR="00705F07" w:rsidRDefault="00185A37">
            <w:pPr>
              <w:jc w:val="center"/>
              <w:rPr>
                <w:rStyle w:val="ac"/>
                <w:i w:val="0"/>
                <w:color w:val="000000"/>
              </w:rPr>
            </w:pPr>
            <w:r>
              <w:rPr>
                <w:rStyle w:val="ac"/>
                <w:i w:val="0"/>
                <w:color w:val="000000"/>
              </w:rPr>
              <w:t>2023</w:t>
            </w:r>
          </w:p>
        </w:tc>
        <w:tc>
          <w:tcPr>
            <w:tcW w:w="1296" w:type="dxa"/>
            <w:vMerge w:val="restart"/>
            <w:vAlign w:val="center"/>
            <w:hideMark/>
          </w:tcPr>
          <w:p w:rsidR="00705F07" w:rsidRDefault="00185A37">
            <w:pPr>
              <w:jc w:val="center"/>
              <w:rPr>
                <w:rStyle w:val="ac"/>
                <w:i w:val="0"/>
                <w:color w:val="000000"/>
              </w:rPr>
            </w:pPr>
            <w:r>
              <w:rPr>
                <w:rStyle w:val="ac"/>
                <w:i w:val="0"/>
                <w:color w:val="000000"/>
              </w:rPr>
              <w:t>2024</w:t>
            </w:r>
          </w:p>
        </w:tc>
        <w:tc>
          <w:tcPr>
            <w:tcW w:w="0" w:type="auto"/>
            <w:gridSpan w:val="2"/>
            <w:vAlign w:val="center"/>
          </w:tcPr>
          <w:p w:rsidR="00705F07" w:rsidRDefault="00185A37">
            <w:pPr>
              <w:jc w:val="center"/>
              <w:rPr>
                <w:rStyle w:val="ac"/>
                <w:i w:val="0"/>
                <w:color w:val="000000"/>
              </w:rPr>
            </w:pPr>
            <w:r>
              <w:rPr>
                <w:rStyle w:val="ac"/>
                <w:i w:val="0"/>
                <w:color w:val="000000"/>
              </w:rPr>
              <w:t>Відхилення</w:t>
            </w:r>
          </w:p>
          <w:p w:rsidR="00705F07" w:rsidRDefault="00185A37">
            <w:pPr>
              <w:jc w:val="center"/>
              <w:rPr>
                <w:rStyle w:val="ac"/>
                <w:i w:val="0"/>
                <w:color w:val="000000"/>
              </w:rPr>
            </w:pPr>
            <w:r>
              <w:rPr>
                <w:rStyle w:val="ac"/>
                <w:i w:val="0"/>
                <w:color w:val="000000"/>
              </w:rPr>
              <w:t>2024 до 2022</w:t>
            </w:r>
          </w:p>
        </w:tc>
      </w:tr>
      <w:tr w:rsidR="00705F07">
        <w:trPr>
          <w:jc w:val="center"/>
        </w:trPr>
        <w:tc>
          <w:tcPr>
            <w:tcW w:w="2774" w:type="dxa"/>
            <w:vMerge/>
            <w:vAlign w:val="center"/>
            <w:hideMark/>
          </w:tcPr>
          <w:p w:rsidR="00705F07" w:rsidRDefault="00705F07">
            <w:pPr>
              <w:jc w:val="center"/>
              <w:rPr>
                <w:rStyle w:val="ac"/>
                <w:i w:val="0"/>
                <w:color w:val="000000"/>
              </w:rPr>
            </w:pPr>
          </w:p>
        </w:tc>
        <w:tc>
          <w:tcPr>
            <w:tcW w:w="0" w:type="auto"/>
            <w:vMerge/>
            <w:vAlign w:val="center"/>
            <w:hideMark/>
          </w:tcPr>
          <w:p w:rsidR="00705F07" w:rsidRDefault="00705F07">
            <w:pPr>
              <w:jc w:val="center"/>
              <w:rPr>
                <w:rStyle w:val="ac"/>
                <w:i w:val="0"/>
                <w:color w:val="000000"/>
              </w:rPr>
            </w:pPr>
          </w:p>
        </w:tc>
        <w:tc>
          <w:tcPr>
            <w:tcW w:w="1336" w:type="dxa"/>
            <w:vMerge/>
            <w:vAlign w:val="center"/>
            <w:hideMark/>
          </w:tcPr>
          <w:p w:rsidR="00705F07" w:rsidRDefault="00705F07">
            <w:pPr>
              <w:jc w:val="center"/>
              <w:rPr>
                <w:rStyle w:val="ac"/>
                <w:i w:val="0"/>
                <w:color w:val="000000"/>
              </w:rPr>
            </w:pPr>
          </w:p>
        </w:tc>
        <w:tc>
          <w:tcPr>
            <w:tcW w:w="1296" w:type="dxa"/>
            <w:vMerge/>
            <w:vAlign w:val="center"/>
            <w:hideMark/>
          </w:tcPr>
          <w:p w:rsidR="00705F07" w:rsidRDefault="00705F07">
            <w:pPr>
              <w:jc w:val="center"/>
              <w:rPr>
                <w:rStyle w:val="ac"/>
                <w:i w:val="0"/>
                <w:color w:val="000000"/>
              </w:rPr>
            </w:pPr>
          </w:p>
        </w:tc>
        <w:tc>
          <w:tcPr>
            <w:tcW w:w="0" w:type="auto"/>
            <w:vAlign w:val="center"/>
          </w:tcPr>
          <w:p w:rsidR="00705F07" w:rsidRDefault="00185A37">
            <w:pPr>
              <w:jc w:val="center"/>
              <w:rPr>
                <w:rStyle w:val="ac"/>
                <w:i w:val="0"/>
                <w:color w:val="000000"/>
              </w:rPr>
            </w:pPr>
            <w:r>
              <w:rPr>
                <w:rStyle w:val="ac"/>
                <w:i w:val="0"/>
                <w:color w:val="000000"/>
              </w:rPr>
              <w:t>Абс. відх.</w:t>
            </w:r>
          </w:p>
        </w:tc>
        <w:tc>
          <w:tcPr>
            <w:tcW w:w="0" w:type="auto"/>
            <w:vAlign w:val="center"/>
          </w:tcPr>
          <w:p w:rsidR="00705F07" w:rsidRDefault="00185A37">
            <w:pPr>
              <w:jc w:val="center"/>
              <w:rPr>
                <w:rStyle w:val="ac"/>
                <w:i w:val="0"/>
                <w:color w:val="000000"/>
              </w:rPr>
            </w:pPr>
            <w:r>
              <w:rPr>
                <w:rStyle w:val="ac"/>
                <w:i w:val="0"/>
                <w:color w:val="000000"/>
              </w:rPr>
              <w:t>Відн. відх., %</w:t>
            </w:r>
          </w:p>
        </w:tc>
      </w:tr>
      <w:tr w:rsidR="00705F07">
        <w:trPr>
          <w:jc w:val="center"/>
        </w:trPr>
        <w:tc>
          <w:tcPr>
            <w:tcW w:w="2774" w:type="dxa"/>
            <w:vAlign w:val="center"/>
            <w:hideMark/>
          </w:tcPr>
          <w:p w:rsidR="00705F07" w:rsidRDefault="00185A37">
            <w:pPr>
              <w:rPr>
                <w:color w:val="000000"/>
              </w:rPr>
            </w:pPr>
            <w:r>
              <w:rPr>
                <w:color w:val="000000"/>
              </w:rPr>
              <w:t>Активи банків</w:t>
            </w:r>
          </w:p>
        </w:tc>
        <w:tc>
          <w:tcPr>
            <w:tcW w:w="0" w:type="auto"/>
            <w:vAlign w:val="center"/>
            <w:hideMark/>
          </w:tcPr>
          <w:p w:rsidR="00705F07" w:rsidRDefault="00185A37">
            <w:pPr>
              <w:jc w:val="center"/>
              <w:rPr>
                <w:color w:val="000000"/>
              </w:rPr>
            </w:pPr>
            <w:r>
              <w:rPr>
                <w:color w:val="000000"/>
              </w:rPr>
              <w:t>2353592</w:t>
            </w:r>
          </w:p>
        </w:tc>
        <w:tc>
          <w:tcPr>
            <w:tcW w:w="1336" w:type="dxa"/>
            <w:vAlign w:val="center"/>
            <w:hideMark/>
          </w:tcPr>
          <w:p w:rsidR="00705F07" w:rsidRDefault="00185A37">
            <w:pPr>
              <w:jc w:val="center"/>
              <w:rPr>
                <w:color w:val="000000"/>
              </w:rPr>
            </w:pPr>
            <w:r>
              <w:rPr>
                <w:color w:val="000000"/>
              </w:rPr>
              <w:t>2942806</w:t>
            </w:r>
          </w:p>
        </w:tc>
        <w:tc>
          <w:tcPr>
            <w:tcW w:w="1296" w:type="dxa"/>
            <w:vAlign w:val="center"/>
            <w:hideMark/>
          </w:tcPr>
          <w:p w:rsidR="00705F07" w:rsidRDefault="00185A37">
            <w:pPr>
              <w:jc w:val="center"/>
              <w:rPr>
                <w:color w:val="000000"/>
              </w:rPr>
            </w:pPr>
            <w:r>
              <w:rPr>
                <w:color w:val="000000"/>
              </w:rPr>
              <w:t>3580570</w:t>
            </w:r>
          </w:p>
        </w:tc>
        <w:tc>
          <w:tcPr>
            <w:tcW w:w="0" w:type="auto"/>
            <w:vAlign w:val="center"/>
          </w:tcPr>
          <w:p w:rsidR="00705F07" w:rsidRDefault="00185A37">
            <w:pPr>
              <w:jc w:val="center"/>
              <w:rPr>
                <w:color w:val="000000"/>
              </w:rPr>
            </w:pPr>
            <w:r>
              <w:rPr>
                <w:color w:val="000000"/>
              </w:rPr>
              <w:t>1226978</w:t>
            </w:r>
          </w:p>
        </w:tc>
        <w:tc>
          <w:tcPr>
            <w:tcW w:w="0" w:type="auto"/>
            <w:vAlign w:val="center"/>
          </w:tcPr>
          <w:p w:rsidR="00705F07" w:rsidRDefault="00185A37">
            <w:pPr>
              <w:jc w:val="center"/>
              <w:rPr>
                <w:color w:val="000000"/>
              </w:rPr>
            </w:pPr>
            <w:r>
              <w:rPr>
                <w:color w:val="000000"/>
              </w:rPr>
              <w:t>52,1</w:t>
            </w:r>
          </w:p>
        </w:tc>
      </w:tr>
      <w:tr w:rsidR="00705F07">
        <w:trPr>
          <w:jc w:val="center"/>
        </w:trPr>
        <w:tc>
          <w:tcPr>
            <w:tcW w:w="2774" w:type="dxa"/>
            <w:vAlign w:val="center"/>
          </w:tcPr>
          <w:p w:rsidR="00705F07" w:rsidRDefault="00185A37">
            <w:pPr>
              <w:rPr>
                <w:color w:val="000000"/>
              </w:rPr>
            </w:pPr>
            <w:r>
              <w:rPr>
                <w:color w:val="000000"/>
              </w:rPr>
              <w:t>Зобов’язання</w:t>
            </w:r>
          </w:p>
        </w:tc>
        <w:tc>
          <w:tcPr>
            <w:tcW w:w="0" w:type="auto"/>
            <w:vAlign w:val="center"/>
          </w:tcPr>
          <w:p w:rsidR="00705F07" w:rsidRDefault="00185A37">
            <w:pPr>
              <w:jc w:val="center"/>
              <w:rPr>
                <w:color w:val="000000"/>
              </w:rPr>
            </w:pPr>
            <w:r>
              <w:rPr>
                <w:color w:val="000000"/>
              </w:rPr>
              <w:t>2066430</w:t>
            </w:r>
          </w:p>
        </w:tc>
        <w:tc>
          <w:tcPr>
            <w:tcW w:w="1336" w:type="dxa"/>
            <w:vAlign w:val="center"/>
          </w:tcPr>
          <w:p w:rsidR="00705F07" w:rsidRDefault="00185A37">
            <w:pPr>
              <w:jc w:val="center"/>
              <w:rPr>
                <w:color w:val="000000"/>
              </w:rPr>
            </w:pPr>
            <w:r>
              <w:rPr>
                <w:color w:val="000000"/>
              </w:rPr>
              <w:t>2583900</w:t>
            </w:r>
          </w:p>
        </w:tc>
        <w:tc>
          <w:tcPr>
            <w:tcW w:w="1296" w:type="dxa"/>
            <w:vAlign w:val="center"/>
          </w:tcPr>
          <w:p w:rsidR="00705F07" w:rsidRDefault="00185A37">
            <w:pPr>
              <w:jc w:val="center"/>
              <w:rPr>
                <w:color w:val="000000"/>
              </w:rPr>
            </w:pPr>
            <w:r>
              <w:rPr>
                <w:color w:val="000000"/>
              </w:rPr>
              <w:t>3114520</w:t>
            </w:r>
          </w:p>
        </w:tc>
        <w:tc>
          <w:tcPr>
            <w:tcW w:w="0" w:type="auto"/>
            <w:vAlign w:val="center"/>
          </w:tcPr>
          <w:p w:rsidR="00705F07" w:rsidRDefault="00185A37">
            <w:pPr>
              <w:jc w:val="center"/>
              <w:rPr>
                <w:color w:val="000000"/>
              </w:rPr>
            </w:pPr>
            <w:r>
              <w:rPr>
                <w:color w:val="000000"/>
              </w:rPr>
              <w:t>1048090</w:t>
            </w:r>
          </w:p>
        </w:tc>
        <w:tc>
          <w:tcPr>
            <w:tcW w:w="0" w:type="auto"/>
            <w:vAlign w:val="center"/>
          </w:tcPr>
          <w:p w:rsidR="00705F07" w:rsidRDefault="00185A37">
            <w:pPr>
              <w:jc w:val="center"/>
              <w:rPr>
                <w:color w:val="000000"/>
              </w:rPr>
            </w:pPr>
            <w:r>
              <w:rPr>
                <w:color w:val="000000"/>
              </w:rPr>
              <w:t>50,7</w:t>
            </w:r>
          </w:p>
        </w:tc>
      </w:tr>
      <w:tr w:rsidR="00705F07">
        <w:trPr>
          <w:jc w:val="center"/>
        </w:trPr>
        <w:tc>
          <w:tcPr>
            <w:tcW w:w="2774" w:type="dxa"/>
            <w:vAlign w:val="center"/>
          </w:tcPr>
          <w:p w:rsidR="00705F07" w:rsidRDefault="00185A37">
            <w:pPr>
              <w:rPr>
                <w:color w:val="000000"/>
              </w:rPr>
            </w:pPr>
            <w:r>
              <w:rPr>
                <w:color w:val="000000"/>
              </w:rPr>
              <w:t>Власний капітал</w:t>
            </w:r>
          </w:p>
        </w:tc>
        <w:tc>
          <w:tcPr>
            <w:tcW w:w="0" w:type="auto"/>
            <w:vAlign w:val="center"/>
          </w:tcPr>
          <w:p w:rsidR="00705F07" w:rsidRDefault="00185A37">
            <w:pPr>
              <w:jc w:val="center"/>
              <w:rPr>
                <w:color w:val="000000"/>
              </w:rPr>
            </w:pPr>
            <w:r>
              <w:rPr>
                <w:color w:val="000000"/>
              </w:rPr>
              <w:t>287162</w:t>
            </w:r>
          </w:p>
        </w:tc>
        <w:tc>
          <w:tcPr>
            <w:tcW w:w="1336" w:type="dxa"/>
            <w:vAlign w:val="center"/>
          </w:tcPr>
          <w:p w:rsidR="00705F07" w:rsidRDefault="00185A37">
            <w:pPr>
              <w:jc w:val="center"/>
              <w:rPr>
                <w:color w:val="000000"/>
              </w:rPr>
            </w:pPr>
            <w:r>
              <w:rPr>
                <w:color w:val="000000"/>
              </w:rPr>
              <w:t>358906</w:t>
            </w:r>
          </w:p>
        </w:tc>
        <w:tc>
          <w:tcPr>
            <w:tcW w:w="1296" w:type="dxa"/>
            <w:vAlign w:val="center"/>
          </w:tcPr>
          <w:p w:rsidR="00705F07" w:rsidRDefault="00185A37">
            <w:pPr>
              <w:jc w:val="center"/>
              <w:rPr>
                <w:color w:val="000000"/>
              </w:rPr>
            </w:pPr>
            <w:r>
              <w:rPr>
                <w:color w:val="000000"/>
              </w:rPr>
              <w:t>466050</w:t>
            </w:r>
          </w:p>
        </w:tc>
        <w:tc>
          <w:tcPr>
            <w:tcW w:w="0" w:type="auto"/>
            <w:vAlign w:val="center"/>
          </w:tcPr>
          <w:p w:rsidR="00705F07" w:rsidRDefault="00185A37">
            <w:pPr>
              <w:jc w:val="center"/>
              <w:rPr>
                <w:color w:val="000000"/>
              </w:rPr>
            </w:pPr>
            <w:r>
              <w:rPr>
                <w:color w:val="000000"/>
              </w:rPr>
              <w:t>178888</w:t>
            </w:r>
          </w:p>
        </w:tc>
        <w:tc>
          <w:tcPr>
            <w:tcW w:w="0" w:type="auto"/>
            <w:vAlign w:val="center"/>
          </w:tcPr>
          <w:p w:rsidR="00705F07" w:rsidRDefault="00185A37">
            <w:pPr>
              <w:jc w:val="center"/>
              <w:rPr>
                <w:color w:val="000000"/>
              </w:rPr>
            </w:pPr>
            <w:r>
              <w:rPr>
                <w:color w:val="000000"/>
              </w:rPr>
              <w:t>62,3</w:t>
            </w:r>
          </w:p>
        </w:tc>
      </w:tr>
      <w:tr w:rsidR="00705F07">
        <w:trPr>
          <w:jc w:val="center"/>
        </w:trPr>
        <w:tc>
          <w:tcPr>
            <w:tcW w:w="2774" w:type="dxa"/>
            <w:vAlign w:val="center"/>
          </w:tcPr>
          <w:p w:rsidR="00705F07" w:rsidRDefault="00185A37">
            <w:pPr>
              <w:rPr>
                <w:color w:val="000000"/>
              </w:rPr>
            </w:pPr>
            <w:r>
              <w:rPr>
                <w:color w:val="000000"/>
              </w:rPr>
              <w:t>Прибуток банківської системи</w:t>
            </w:r>
          </w:p>
        </w:tc>
        <w:tc>
          <w:tcPr>
            <w:tcW w:w="0" w:type="auto"/>
            <w:vAlign w:val="center"/>
          </w:tcPr>
          <w:p w:rsidR="00705F07" w:rsidRDefault="00185A37">
            <w:pPr>
              <w:jc w:val="center"/>
              <w:rPr>
                <w:color w:val="000000"/>
              </w:rPr>
            </w:pPr>
            <w:r>
              <w:rPr>
                <w:color w:val="000000"/>
              </w:rPr>
              <w:t>24700</w:t>
            </w:r>
          </w:p>
        </w:tc>
        <w:tc>
          <w:tcPr>
            <w:tcW w:w="1336" w:type="dxa"/>
            <w:vAlign w:val="center"/>
          </w:tcPr>
          <w:p w:rsidR="00705F07" w:rsidRDefault="00185A37">
            <w:pPr>
              <w:jc w:val="center"/>
              <w:rPr>
                <w:color w:val="000000"/>
              </w:rPr>
            </w:pPr>
            <w:r>
              <w:rPr>
                <w:color w:val="000000"/>
              </w:rPr>
              <w:t>47400</w:t>
            </w:r>
          </w:p>
        </w:tc>
        <w:tc>
          <w:tcPr>
            <w:tcW w:w="1296" w:type="dxa"/>
            <w:vAlign w:val="center"/>
          </w:tcPr>
          <w:p w:rsidR="00705F07" w:rsidRDefault="00185A37">
            <w:pPr>
              <w:jc w:val="center"/>
              <w:rPr>
                <w:color w:val="000000"/>
              </w:rPr>
            </w:pPr>
            <w:r>
              <w:rPr>
                <w:color w:val="000000"/>
              </w:rPr>
              <w:t>83200</w:t>
            </w:r>
          </w:p>
        </w:tc>
        <w:tc>
          <w:tcPr>
            <w:tcW w:w="0" w:type="auto"/>
            <w:vAlign w:val="center"/>
          </w:tcPr>
          <w:p w:rsidR="00705F07" w:rsidRDefault="00185A37">
            <w:pPr>
              <w:jc w:val="center"/>
              <w:rPr>
                <w:color w:val="000000"/>
              </w:rPr>
            </w:pPr>
            <w:r>
              <w:rPr>
                <w:color w:val="000000"/>
              </w:rPr>
              <w:t>58500</w:t>
            </w:r>
          </w:p>
        </w:tc>
        <w:tc>
          <w:tcPr>
            <w:tcW w:w="0" w:type="auto"/>
            <w:vAlign w:val="center"/>
          </w:tcPr>
          <w:p w:rsidR="00705F07" w:rsidRDefault="00185A37">
            <w:pPr>
              <w:jc w:val="center"/>
              <w:rPr>
                <w:color w:val="000000"/>
              </w:rPr>
            </w:pPr>
            <w:r>
              <w:rPr>
                <w:color w:val="000000"/>
              </w:rPr>
              <w:t>236,7</w:t>
            </w:r>
          </w:p>
        </w:tc>
      </w:tr>
    </w:tbl>
    <w:p w:rsidR="00705F07" w:rsidRDefault="00185A37">
      <w:pPr>
        <w:ind w:firstLine="709"/>
        <w:jc w:val="both"/>
        <w:rPr>
          <w:color w:val="000000"/>
        </w:rPr>
      </w:pPr>
      <w:r>
        <w:rPr>
          <w:color w:val="000000"/>
        </w:rPr>
        <w:t>Джерело: складено автором на основі даних [36].</w:t>
      </w:r>
    </w:p>
    <w:p w:rsidR="00705F07" w:rsidRDefault="00705F07">
      <w:pPr>
        <w:spacing w:line="360" w:lineRule="auto"/>
        <w:ind w:firstLine="709"/>
        <w:jc w:val="both"/>
        <w:rPr>
          <w:rStyle w:val="ac"/>
          <w:i w:val="0"/>
          <w:color w:val="000000"/>
          <w:sz w:val="28"/>
          <w:szCs w:val="28"/>
          <w:lang w:val="uk-UA"/>
        </w:rPr>
      </w:pPr>
    </w:p>
    <w:p w:rsidR="00705F07" w:rsidRDefault="00185A37">
      <w:pPr>
        <w:spacing w:line="360" w:lineRule="auto"/>
        <w:ind w:firstLine="709"/>
        <w:jc w:val="both"/>
        <w:rPr>
          <w:rStyle w:val="ac"/>
          <w:i w:val="0"/>
          <w:color w:val="000000"/>
          <w:sz w:val="28"/>
          <w:szCs w:val="28"/>
        </w:rPr>
      </w:pPr>
      <w:r>
        <w:rPr>
          <w:rStyle w:val="ac"/>
          <w:i w:val="0"/>
          <w:color w:val="000000"/>
          <w:sz w:val="28"/>
          <w:szCs w:val="28"/>
        </w:rPr>
        <w:t>Аналіз даних, наведених у табл.</w:t>
      </w:r>
      <w:r>
        <w:rPr>
          <w:rStyle w:val="ac"/>
          <w:i w:val="0"/>
          <w:color w:val="000000"/>
          <w:sz w:val="28"/>
          <w:szCs w:val="28"/>
        </w:rPr>
        <w:t xml:space="preserve"> 2.3, свідчить про стійке зростання ключових фінансових показників банківської системи України протягом 2022-2024 рр., незважаючи на триваючу війну та макроекономічну нестабільність. Активи банків за 2022-2024 рр. зросли на 1226978 млн грн, або на 52,1 %, </w:t>
      </w:r>
      <w:r>
        <w:rPr>
          <w:rStyle w:val="ac"/>
          <w:i w:val="0"/>
          <w:color w:val="000000"/>
          <w:sz w:val="28"/>
          <w:szCs w:val="28"/>
        </w:rPr>
        <w:t>що свідчить про розширення масштабів діяльності банків та відновлення довіри клієнтів. Це зростання було зумовлене збільшенням обсягів депозитів населення, державних програм підтримки ліквідності, а також переорієнтацією банківських послуг у цифрову площин</w:t>
      </w:r>
      <w:r>
        <w:rPr>
          <w:rStyle w:val="ac"/>
          <w:i w:val="0"/>
          <w:color w:val="000000"/>
          <w:sz w:val="28"/>
          <w:szCs w:val="28"/>
        </w:rPr>
        <w:t>у. Зобов’язання банків за 2022-2024 рр. збільшилися на 50,7%, що є наслідком підвищення обсягів залучених коштів населення і бізнесу. Це демонструє зміцнення банківської системи як фінансового посередника навіть у період воєнних ризиків. Власний капітал ба</w:t>
      </w:r>
      <w:r>
        <w:rPr>
          <w:rStyle w:val="ac"/>
          <w:i w:val="0"/>
          <w:color w:val="000000"/>
          <w:sz w:val="28"/>
          <w:szCs w:val="28"/>
        </w:rPr>
        <w:t>нків за 2022-2024 рр. зріс на 62,3%, що свідчить про активне нарощування капіталізації, підвищення фінансової стійкості банків та створення «подушки безпеки» на випадок непередбачуваних втрат. Збільшення капіталу також пов’язане з переоцінкою активів і зро</w:t>
      </w:r>
      <w:r>
        <w:rPr>
          <w:rStyle w:val="ac"/>
          <w:i w:val="0"/>
          <w:color w:val="000000"/>
          <w:sz w:val="28"/>
          <w:szCs w:val="28"/>
        </w:rPr>
        <w:t>станням прибутковості банків. Найпомітніше зростання відбулося за показником прибутку банківської системи, який у 2024 році перевищив рівень 2022 року у 3,36 раза (на 58500 млн грн, або 236,7%). Така позитивна динаміка свідчить про успішну адаптацію банків</w:t>
      </w:r>
      <w:r>
        <w:rPr>
          <w:rStyle w:val="ac"/>
          <w:i w:val="0"/>
          <w:color w:val="000000"/>
          <w:sz w:val="28"/>
          <w:szCs w:val="28"/>
        </w:rPr>
        <w:t xml:space="preserve"> до нових економічних реалій, підвищення ефективності управління активами, скорочення проблемної заборгованості та розширення спектра фінансових послуг. В умовах війни банківська система України не лише витримала кризовий тиск, а й продемонструвала поступо</w:t>
      </w:r>
      <w:r>
        <w:rPr>
          <w:rStyle w:val="ac"/>
          <w:i w:val="0"/>
          <w:color w:val="000000"/>
          <w:sz w:val="28"/>
          <w:szCs w:val="28"/>
        </w:rPr>
        <w:t>ве зміцнення основних фінансових позицій. Зростання активів, капіталу та прибутковості засвідчує відновлення довіри до банківського сектору, посилення його ролі у фінансуванні економіки та підтриманні макрофінансової стабільності держави.</w:t>
      </w:r>
    </w:p>
    <w:p w:rsidR="00705F07" w:rsidRDefault="00185A37">
      <w:pPr>
        <w:spacing w:line="360" w:lineRule="auto"/>
        <w:ind w:firstLine="709"/>
        <w:jc w:val="both"/>
        <w:rPr>
          <w:rStyle w:val="ac"/>
          <w:i w:val="0"/>
          <w:color w:val="000000"/>
          <w:sz w:val="28"/>
          <w:szCs w:val="28"/>
        </w:rPr>
      </w:pPr>
      <w:r>
        <w:rPr>
          <w:rStyle w:val="ac"/>
          <w:i w:val="0"/>
          <w:color w:val="000000"/>
          <w:sz w:val="28"/>
          <w:szCs w:val="28"/>
        </w:rPr>
        <w:t xml:space="preserve">Оцінювання динаміки кредитування впродовж 2022-2024 рр. дає змогу визначити, наскільки банківський сектор зміг виконати свою базову функцію – фінансування економічного розвитку, а також виявити, які напрями кредитування стали пріоритетними в умовах війни. </w:t>
      </w:r>
      <w:r>
        <w:rPr>
          <w:rStyle w:val="ac"/>
          <w:i w:val="0"/>
          <w:color w:val="000000"/>
          <w:sz w:val="28"/>
          <w:szCs w:val="28"/>
        </w:rPr>
        <w:t>Особливе значення має аналіз змін у структурі кредитного портфеля, оскільки він відображає переорієнтацію банків на фінансування державних і стратегічно важливих проєктів, а також збереження доступу населення до споживчого кредитування (табл. 2.4).</w:t>
      </w:r>
    </w:p>
    <w:p w:rsidR="00705F07" w:rsidRDefault="00185A37">
      <w:pPr>
        <w:spacing w:line="360" w:lineRule="auto"/>
        <w:ind w:firstLine="709"/>
        <w:jc w:val="right"/>
        <w:rPr>
          <w:rStyle w:val="ac"/>
          <w:i w:val="0"/>
          <w:color w:val="000000"/>
          <w:sz w:val="28"/>
          <w:szCs w:val="28"/>
        </w:rPr>
      </w:pPr>
      <w:r>
        <w:rPr>
          <w:rStyle w:val="ac"/>
          <w:i w:val="0"/>
          <w:color w:val="000000"/>
          <w:sz w:val="28"/>
          <w:szCs w:val="28"/>
        </w:rPr>
        <w:t>Таблиця</w:t>
      </w:r>
      <w:r>
        <w:rPr>
          <w:rStyle w:val="ac"/>
          <w:i w:val="0"/>
          <w:color w:val="000000"/>
          <w:sz w:val="28"/>
          <w:szCs w:val="28"/>
        </w:rPr>
        <w:t xml:space="preserve"> 2.4</w:t>
      </w:r>
    </w:p>
    <w:p w:rsidR="00705F07" w:rsidRDefault="00185A37">
      <w:pPr>
        <w:spacing w:line="360" w:lineRule="auto"/>
        <w:ind w:firstLine="709"/>
        <w:jc w:val="center"/>
        <w:rPr>
          <w:rStyle w:val="ac"/>
          <w:i w:val="0"/>
          <w:color w:val="000000"/>
          <w:sz w:val="28"/>
          <w:szCs w:val="28"/>
        </w:rPr>
      </w:pPr>
      <w:r>
        <w:rPr>
          <w:rStyle w:val="ac"/>
          <w:i w:val="0"/>
          <w:color w:val="000000"/>
          <w:sz w:val="28"/>
          <w:szCs w:val="28"/>
        </w:rPr>
        <w:t xml:space="preserve">Динаміка кредитування економіки України банками </w:t>
      </w:r>
    </w:p>
    <w:p w:rsidR="00705F07" w:rsidRDefault="00185A37">
      <w:pPr>
        <w:spacing w:line="360" w:lineRule="auto"/>
        <w:ind w:firstLine="709"/>
        <w:jc w:val="center"/>
        <w:rPr>
          <w:rStyle w:val="ac"/>
          <w:i w:val="0"/>
          <w:color w:val="000000"/>
          <w:sz w:val="28"/>
          <w:szCs w:val="28"/>
        </w:rPr>
      </w:pPr>
      <w:r>
        <w:rPr>
          <w:rStyle w:val="ac"/>
          <w:i w:val="0"/>
          <w:color w:val="000000"/>
          <w:sz w:val="28"/>
          <w:szCs w:val="28"/>
        </w:rPr>
        <w:t>за 2022-2024 рр. (млн грн)</w:t>
      </w:r>
    </w:p>
    <w:tbl>
      <w:tblPr>
        <w:tblStyle w:val="ad"/>
        <w:tblW w:w="9393" w:type="dxa"/>
        <w:jc w:val="center"/>
        <w:tblLook w:val="04A0" w:firstRow="1" w:lastRow="0" w:firstColumn="1" w:lastColumn="0" w:noHBand="0" w:noVBand="1"/>
      </w:tblPr>
      <w:tblGrid>
        <w:gridCol w:w="2766"/>
        <w:gridCol w:w="1023"/>
        <w:gridCol w:w="1336"/>
        <w:gridCol w:w="1296"/>
        <w:gridCol w:w="1278"/>
        <w:gridCol w:w="1658"/>
      </w:tblGrid>
      <w:tr w:rsidR="00705F07">
        <w:trPr>
          <w:jc w:val="center"/>
        </w:trPr>
        <w:tc>
          <w:tcPr>
            <w:tcW w:w="2775" w:type="dxa"/>
            <w:vMerge w:val="restart"/>
            <w:vAlign w:val="center"/>
            <w:hideMark/>
          </w:tcPr>
          <w:p w:rsidR="00705F07" w:rsidRDefault="00185A37">
            <w:pPr>
              <w:jc w:val="center"/>
              <w:rPr>
                <w:rStyle w:val="ac"/>
                <w:i w:val="0"/>
                <w:color w:val="000000"/>
              </w:rPr>
            </w:pPr>
            <w:r>
              <w:rPr>
                <w:rStyle w:val="ac"/>
                <w:i w:val="0"/>
                <w:color w:val="000000"/>
              </w:rPr>
              <w:t>Показники</w:t>
            </w:r>
          </w:p>
        </w:tc>
        <w:tc>
          <w:tcPr>
            <w:tcW w:w="0" w:type="auto"/>
            <w:vMerge w:val="restart"/>
            <w:vAlign w:val="center"/>
            <w:hideMark/>
          </w:tcPr>
          <w:p w:rsidR="00705F07" w:rsidRDefault="00185A37">
            <w:pPr>
              <w:jc w:val="center"/>
              <w:rPr>
                <w:rStyle w:val="ac"/>
                <w:i w:val="0"/>
                <w:color w:val="000000"/>
              </w:rPr>
            </w:pPr>
            <w:r>
              <w:rPr>
                <w:rStyle w:val="ac"/>
                <w:i w:val="0"/>
                <w:color w:val="000000"/>
              </w:rPr>
              <w:t>2022</w:t>
            </w:r>
          </w:p>
        </w:tc>
        <w:tc>
          <w:tcPr>
            <w:tcW w:w="1336" w:type="dxa"/>
            <w:vMerge w:val="restart"/>
            <w:vAlign w:val="center"/>
            <w:hideMark/>
          </w:tcPr>
          <w:p w:rsidR="00705F07" w:rsidRDefault="00185A37">
            <w:pPr>
              <w:jc w:val="center"/>
              <w:rPr>
                <w:rStyle w:val="ac"/>
                <w:i w:val="0"/>
                <w:color w:val="000000"/>
              </w:rPr>
            </w:pPr>
            <w:r>
              <w:rPr>
                <w:rStyle w:val="ac"/>
                <w:i w:val="0"/>
                <w:color w:val="000000"/>
              </w:rPr>
              <w:t>2023</w:t>
            </w:r>
          </w:p>
        </w:tc>
        <w:tc>
          <w:tcPr>
            <w:tcW w:w="1296" w:type="dxa"/>
            <w:vMerge w:val="restart"/>
            <w:vAlign w:val="center"/>
            <w:hideMark/>
          </w:tcPr>
          <w:p w:rsidR="00705F07" w:rsidRDefault="00185A37">
            <w:pPr>
              <w:jc w:val="center"/>
              <w:rPr>
                <w:rStyle w:val="ac"/>
                <w:i w:val="0"/>
                <w:color w:val="000000"/>
              </w:rPr>
            </w:pPr>
            <w:r>
              <w:rPr>
                <w:rStyle w:val="ac"/>
                <w:i w:val="0"/>
                <w:color w:val="000000"/>
              </w:rPr>
              <w:t>2024</w:t>
            </w:r>
          </w:p>
        </w:tc>
        <w:tc>
          <w:tcPr>
            <w:tcW w:w="0" w:type="auto"/>
            <w:gridSpan w:val="2"/>
            <w:vAlign w:val="center"/>
          </w:tcPr>
          <w:p w:rsidR="00705F07" w:rsidRDefault="00185A37">
            <w:pPr>
              <w:jc w:val="center"/>
              <w:rPr>
                <w:rStyle w:val="ac"/>
                <w:i w:val="0"/>
                <w:color w:val="000000"/>
              </w:rPr>
            </w:pPr>
            <w:r>
              <w:rPr>
                <w:rStyle w:val="ac"/>
                <w:i w:val="0"/>
                <w:color w:val="000000"/>
              </w:rPr>
              <w:t>Відхилення</w:t>
            </w:r>
          </w:p>
          <w:p w:rsidR="00705F07" w:rsidRDefault="00185A37">
            <w:pPr>
              <w:jc w:val="center"/>
              <w:rPr>
                <w:rStyle w:val="ac"/>
                <w:i w:val="0"/>
                <w:color w:val="000000"/>
              </w:rPr>
            </w:pPr>
            <w:r>
              <w:rPr>
                <w:rStyle w:val="ac"/>
                <w:i w:val="0"/>
                <w:color w:val="000000"/>
              </w:rPr>
              <w:t>2024 до 2022</w:t>
            </w:r>
          </w:p>
        </w:tc>
      </w:tr>
      <w:tr w:rsidR="00705F07">
        <w:trPr>
          <w:jc w:val="center"/>
        </w:trPr>
        <w:tc>
          <w:tcPr>
            <w:tcW w:w="2775" w:type="dxa"/>
            <w:vMerge/>
            <w:vAlign w:val="center"/>
            <w:hideMark/>
          </w:tcPr>
          <w:p w:rsidR="00705F07" w:rsidRDefault="00705F07">
            <w:pPr>
              <w:jc w:val="center"/>
              <w:rPr>
                <w:rStyle w:val="ac"/>
                <w:i w:val="0"/>
                <w:color w:val="000000"/>
              </w:rPr>
            </w:pPr>
          </w:p>
        </w:tc>
        <w:tc>
          <w:tcPr>
            <w:tcW w:w="0" w:type="auto"/>
            <w:vMerge/>
            <w:vAlign w:val="center"/>
            <w:hideMark/>
          </w:tcPr>
          <w:p w:rsidR="00705F07" w:rsidRDefault="00705F07">
            <w:pPr>
              <w:jc w:val="center"/>
              <w:rPr>
                <w:rStyle w:val="ac"/>
                <w:i w:val="0"/>
                <w:color w:val="000000"/>
              </w:rPr>
            </w:pPr>
          </w:p>
        </w:tc>
        <w:tc>
          <w:tcPr>
            <w:tcW w:w="1336" w:type="dxa"/>
            <w:vMerge/>
            <w:vAlign w:val="center"/>
            <w:hideMark/>
          </w:tcPr>
          <w:p w:rsidR="00705F07" w:rsidRDefault="00705F07">
            <w:pPr>
              <w:jc w:val="center"/>
              <w:rPr>
                <w:rStyle w:val="ac"/>
                <w:i w:val="0"/>
                <w:color w:val="000000"/>
              </w:rPr>
            </w:pPr>
          </w:p>
        </w:tc>
        <w:tc>
          <w:tcPr>
            <w:tcW w:w="1296" w:type="dxa"/>
            <w:vMerge/>
            <w:vAlign w:val="center"/>
            <w:hideMark/>
          </w:tcPr>
          <w:p w:rsidR="00705F07" w:rsidRDefault="00705F07">
            <w:pPr>
              <w:jc w:val="center"/>
              <w:rPr>
                <w:rStyle w:val="ac"/>
                <w:i w:val="0"/>
                <w:color w:val="000000"/>
              </w:rPr>
            </w:pPr>
          </w:p>
        </w:tc>
        <w:tc>
          <w:tcPr>
            <w:tcW w:w="0" w:type="auto"/>
            <w:vAlign w:val="center"/>
          </w:tcPr>
          <w:p w:rsidR="00705F07" w:rsidRDefault="00185A37">
            <w:pPr>
              <w:jc w:val="center"/>
              <w:rPr>
                <w:rStyle w:val="ac"/>
                <w:i w:val="0"/>
                <w:color w:val="000000"/>
              </w:rPr>
            </w:pPr>
            <w:r>
              <w:rPr>
                <w:rStyle w:val="ac"/>
                <w:i w:val="0"/>
                <w:color w:val="000000"/>
              </w:rPr>
              <w:t>Абс. відх.</w:t>
            </w:r>
          </w:p>
        </w:tc>
        <w:tc>
          <w:tcPr>
            <w:tcW w:w="0" w:type="auto"/>
            <w:vAlign w:val="center"/>
          </w:tcPr>
          <w:p w:rsidR="00705F07" w:rsidRDefault="00185A37">
            <w:pPr>
              <w:jc w:val="center"/>
              <w:rPr>
                <w:rStyle w:val="ac"/>
                <w:i w:val="0"/>
                <w:color w:val="000000"/>
              </w:rPr>
            </w:pPr>
            <w:r>
              <w:rPr>
                <w:rStyle w:val="ac"/>
                <w:i w:val="0"/>
                <w:color w:val="000000"/>
              </w:rPr>
              <w:t>Відн. відх., %</w:t>
            </w:r>
          </w:p>
        </w:tc>
      </w:tr>
      <w:tr w:rsidR="00705F07">
        <w:trPr>
          <w:jc w:val="center"/>
        </w:trPr>
        <w:tc>
          <w:tcPr>
            <w:tcW w:w="2775" w:type="dxa"/>
            <w:vAlign w:val="center"/>
            <w:hideMark/>
          </w:tcPr>
          <w:p w:rsidR="00705F07" w:rsidRDefault="00185A37">
            <w:pPr>
              <w:rPr>
                <w:color w:val="000000"/>
              </w:rPr>
            </w:pPr>
            <w:r>
              <w:rPr>
                <w:color w:val="000000"/>
              </w:rPr>
              <w:t>Кредити нефінансовим корпораціям</w:t>
            </w:r>
          </w:p>
        </w:tc>
        <w:tc>
          <w:tcPr>
            <w:tcW w:w="0" w:type="auto"/>
            <w:vAlign w:val="center"/>
            <w:hideMark/>
          </w:tcPr>
          <w:p w:rsidR="00705F07" w:rsidRDefault="00185A37">
            <w:pPr>
              <w:jc w:val="center"/>
              <w:rPr>
                <w:color w:val="000000"/>
              </w:rPr>
            </w:pPr>
            <w:r>
              <w:rPr>
                <w:color w:val="000000"/>
              </w:rPr>
              <w:t>654800</w:t>
            </w:r>
          </w:p>
        </w:tc>
        <w:tc>
          <w:tcPr>
            <w:tcW w:w="1336" w:type="dxa"/>
            <w:vAlign w:val="center"/>
            <w:hideMark/>
          </w:tcPr>
          <w:p w:rsidR="00705F07" w:rsidRDefault="00185A37">
            <w:pPr>
              <w:jc w:val="center"/>
              <w:rPr>
                <w:color w:val="000000"/>
              </w:rPr>
            </w:pPr>
            <w:r>
              <w:rPr>
                <w:color w:val="000000"/>
              </w:rPr>
              <w:t>745600</w:t>
            </w:r>
          </w:p>
        </w:tc>
        <w:tc>
          <w:tcPr>
            <w:tcW w:w="1296" w:type="dxa"/>
            <w:vAlign w:val="center"/>
            <w:hideMark/>
          </w:tcPr>
          <w:p w:rsidR="00705F07" w:rsidRDefault="00185A37">
            <w:pPr>
              <w:jc w:val="center"/>
              <w:rPr>
                <w:color w:val="000000"/>
              </w:rPr>
            </w:pPr>
            <w:r>
              <w:rPr>
                <w:color w:val="000000"/>
              </w:rPr>
              <w:t>879400</w:t>
            </w:r>
          </w:p>
        </w:tc>
        <w:tc>
          <w:tcPr>
            <w:tcW w:w="0" w:type="auto"/>
            <w:vAlign w:val="center"/>
          </w:tcPr>
          <w:p w:rsidR="00705F07" w:rsidRDefault="00185A37">
            <w:pPr>
              <w:jc w:val="center"/>
              <w:rPr>
                <w:color w:val="000000"/>
              </w:rPr>
            </w:pPr>
            <w:r>
              <w:rPr>
                <w:color w:val="000000"/>
              </w:rPr>
              <w:t>224600</w:t>
            </w:r>
          </w:p>
        </w:tc>
        <w:tc>
          <w:tcPr>
            <w:tcW w:w="0" w:type="auto"/>
            <w:vAlign w:val="center"/>
          </w:tcPr>
          <w:p w:rsidR="00705F07" w:rsidRDefault="00185A37">
            <w:pPr>
              <w:jc w:val="center"/>
              <w:rPr>
                <w:color w:val="000000"/>
              </w:rPr>
            </w:pPr>
            <w:r>
              <w:rPr>
                <w:color w:val="000000"/>
              </w:rPr>
              <w:t>34,3</w:t>
            </w:r>
          </w:p>
        </w:tc>
      </w:tr>
      <w:tr w:rsidR="00705F07">
        <w:trPr>
          <w:jc w:val="center"/>
        </w:trPr>
        <w:tc>
          <w:tcPr>
            <w:tcW w:w="2775" w:type="dxa"/>
            <w:vAlign w:val="center"/>
          </w:tcPr>
          <w:p w:rsidR="00705F07" w:rsidRDefault="00185A37">
            <w:pPr>
              <w:rPr>
                <w:color w:val="000000"/>
              </w:rPr>
            </w:pPr>
            <w:r>
              <w:rPr>
                <w:color w:val="000000"/>
              </w:rPr>
              <w:t>Кредити фізичним особам</w:t>
            </w:r>
          </w:p>
        </w:tc>
        <w:tc>
          <w:tcPr>
            <w:tcW w:w="0" w:type="auto"/>
            <w:vAlign w:val="center"/>
          </w:tcPr>
          <w:p w:rsidR="00705F07" w:rsidRDefault="00185A37">
            <w:pPr>
              <w:jc w:val="center"/>
              <w:rPr>
                <w:color w:val="000000"/>
              </w:rPr>
            </w:pPr>
            <w:r>
              <w:rPr>
                <w:color w:val="000000"/>
              </w:rPr>
              <w:t>203400</w:t>
            </w:r>
          </w:p>
        </w:tc>
        <w:tc>
          <w:tcPr>
            <w:tcW w:w="1336" w:type="dxa"/>
            <w:vAlign w:val="center"/>
          </w:tcPr>
          <w:p w:rsidR="00705F07" w:rsidRDefault="00185A37">
            <w:pPr>
              <w:jc w:val="center"/>
              <w:rPr>
                <w:color w:val="000000"/>
              </w:rPr>
            </w:pPr>
            <w:r>
              <w:rPr>
                <w:color w:val="000000"/>
              </w:rPr>
              <w:t>241800</w:t>
            </w:r>
          </w:p>
        </w:tc>
        <w:tc>
          <w:tcPr>
            <w:tcW w:w="1296" w:type="dxa"/>
            <w:vAlign w:val="center"/>
          </w:tcPr>
          <w:p w:rsidR="00705F07" w:rsidRDefault="00185A37">
            <w:pPr>
              <w:jc w:val="center"/>
              <w:rPr>
                <w:color w:val="000000"/>
              </w:rPr>
            </w:pPr>
            <w:r>
              <w:rPr>
                <w:color w:val="000000"/>
              </w:rPr>
              <w:t>295100</w:t>
            </w:r>
          </w:p>
        </w:tc>
        <w:tc>
          <w:tcPr>
            <w:tcW w:w="0" w:type="auto"/>
            <w:vAlign w:val="center"/>
          </w:tcPr>
          <w:p w:rsidR="00705F07" w:rsidRDefault="00185A37">
            <w:pPr>
              <w:jc w:val="center"/>
              <w:rPr>
                <w:color w:val="000000"/>
              </w:rPr>
            </w:pPr>
            <w:r>
              <w:rPr>
                <w:color w:val="000000"/>
              </w:rPr>
              <w:t>91700</w:t>
            </w:r>
          </w:p>
        </w:tc>
        <w:tc>
          <w:tcPr>
            <w:tcW w:w="0" w:type="auto"/>
            <w:vAlign w:val="center"/>
          </w:tcPr>
          <w:p w:rsidR="00705F07" w:rsidRDefault="00185A37">
            <w:pPr>
              <w:jc w:val="center"/>
              <w:rPr>
                <w:color w:val="000000"/>
              </w:rPr>
            </w:pPr>
            <w:r>
              <w:rPr>
                <w:color w:val="000000"/>
              </w:rPr>
              <w:t>45,1</w:t>
            </w:r>
          </w:p>
        </w:tc>
      </w:tr>
      <w:tr w:rsidR="00705F07">
        <w:trPr>
          <w:jc w:val="center"/>
        </w:trPr>
        <w:tc>
          <w:tcPr>
            <w:tcW w:w="2775" w:type="dxa"/>
            <w:vAlign w:val="center"/>
          </w:tcPr>
          <w:p w:rsidR="00705F07" w:rsidRDefault="00185A37">
            <w:pPr>
              <w:rPr>
                <w:color w:val="000000"/>
              </w:rPr>
            </w:pPr>
            <w:r>
              <w:rPr>
                <w:color w:val="000000"/>
              </w:rPr>
              <w:t>Кредити сектору державного управління</w:t>
            </w:r>
          </w:p>
        </w:tc>
        <w:tc>
          <w:tcPr>
            <w:tcW w:w="0" w:type="auto"/>
            <w:vAlign w:val="center"/>
          </w:tcPr>
          <w:p w:rsidR="00705F07" w:rsidRDefault="00185A37">
            <w:pPr>
              <w:jc w:val="center"/>
              <w:rPr>
                <w:color w:val="000000"/>
              </w:rPr>
            </w:pPr>
            <w:r>
              <w:rPr>
                <w:color w:val="000000"/>
              </w:rPr>
              <w:t>118500</w:t>
            </w:r>
          </w:p>
        </w:tc>
        <w:tc>
          <w:tcPr>
            <w:tcW w:w="1336" w:type="dxa"/>
            <w:vAlign w:val="center"/>
          </w:tcPr>
          <w:p w:rsidR="00705F07" w:rsidRDefault="00185A37">
            <w:pPr>
              <w:jc w:val="center"/>
              <w:rPr>
                <w:color w:val="000000"/>
              </w:rPr>
            </w:pPr>
            <w:r>
              <w:rPr>
                <w:color w:val="000000"/>
              </w:rPr>
              <w:t>201300</w:t>
            </w:r>
          </w:p>
        </w:tc>
        <w:tc>
          <w:tcPr>
            <w:tcW w:w="1296" w:type="dxa"/>
            <w:vAlign w:val="center"/>
          </w:tcPr>
          <w:p w:rsidR="00705F07" w:rsidRDefault="00185A37">
            <w:pPr>
              <w:jc w:val="center"/>
              <w:rPr>
                <w:color w:val="000000"/>
              </w:rPr>
            </w:pPr>
            <w:r>
              <w:rPr>
                <w:color w:val="000000"/>
              </w:rPr>
              <w:t>320900</w:t>
            </w:r>
          </w:p>
        </w:tc>
        <w:tc>
          <w:tcPr>
            <w:tcW w:w="0" w:type="auto"/>
            <w:vAlign w:val="center"/>
          </w:tcPr>
          <w:p w:rsidR="00705F07" w:rsidRDefault="00185A37">
            <w:pPr>
              <w:jc w:val="center"/>
              <w:rPr>
                <w:color w:val="000000"/>
              </w:rPr>
            </w:pPr>
            <w:r>
              <w:rPr>
                <w:color w:val="000000"/>
              </w:rPr>
              <w:t>202400</w:t>
            </w:r>
          </w:p>
        </w:tc>
        <w:tc>
          <w:tcPr>
            <w:tcW w:w="0" w:type="auto"/>
            <w:vAlign w:val="center"/>
          </w:tcPr>
          <w:p w:rsidR="00705F07" w:rsidRDefault="00185A37">
            <w:pPr>
              <w:jc w:val="center"/>
              <w:rPr>
                <w:color w:val="000000"/>
              </w:rPr>
            </w:pPr>
            <w:r>
              <w:rPr>
                <w:color w:val="000000"/>
              </w:rPr>
              <w:t>170,8</w:t>
            </w:r>
          </w:p>
        </w:tc>
      </w:tr>
      <w:tr w:rsidR="00705F07">
        <w:trPr>
          <w:jc w:val="center"/>
        </w:trPr>
        <w:tc>
          <w:tcPr>
            <w:tcW w:w="2775" w:type="dxa"/>
            <w:vAlign w:val="center"/>
          </w:tcPr>
          <w:p w:rsidR="00705F07" w:rsidRDefault="00185A37">
            <w:pPr>
              <w:rPr>
                <w:color w:val="000000"/>
              </w:rPr>
            </w:pPr>
            <w:r>
              <w:rPr>
                <w:color w:val="000000"/>
              </w:rPr>
              <w:t>Загальний обсяг кредитного портфеля</w:t>
            </w:r>
          </w:p>
        </w:tc>
        <w:tc>
          <w:tcPr>
            <w:tcW w:w="0" w:type="auto"/>
            <w:vAlign w:val="center"/>
          </w:tcPr>
          <w:p w:rsidR="00705F07" w:rsidRDefault="00185A37">
            <w:pPr>
              <w:jc w:val="center"/>
              <w:rPr>
                <w:color w:val="000000"/>
              </w:rPr>
            </w:pPr>
            <w:r>
              <w:rPr>
                <w:color w:val="000000"/>
              </w:rPr>
              <w:t>976700</w:t>
            </w:r>
          </w:p>
        </w:tc>
        <w:tc>
          <w:tcPr>
            <w:tcW w:w="1336" w:type="dxa"/>
            <w:vAlign w:val="center"/>
          </w:tcPr>
          <w:p w:rsidR="00705F07" w:rsidRDefault="00185A37">
            <w:pPr>
              <w:jc w:val="center"/>
              <w:rPr>
                <w:color w:val="000000"/>
              </w:rPr>
            </w:pPr>
            <w:r>
              <w:rPr>
                <w:color w:val="000000"/>
              </w:rPr>
              <w:t>1188700</w:t>
            </w:r>
          </w:p>
        </w:tc>
        <w:tc>
          <w:tcPr>
            <w:tcW w:w="1296" w:type="dxa"/>
            <w:vAlign w:val="center"/>
          </w:tcPr>
          <w:p w:rsidR="00705F07" w:rsidRDefault="00185A37">
            <w:pPr>
              <w:jc w:val="center"/>
              <w:rPr>
                <w:color w:val="000000"/>
              </w:rPr>
            </w:pPr>
            <w:r>
              <w:rPr>
                <w:color w:val="000000"/>
              </w:rPr>
              <w:t>1495400</w:t>
            </w:r>
          </w:p>
        </w:tc>
        <w:tc>
          <w:tcPr>
            <w:tcW w:w="0" w:type="auto"/>
            <w:vAlign w:val="center"/>
          </w:tcPr>
          <w:p w:rsidR="00705F07" w:rsidRDefault="00185A37">
            <w:pPr>
              <w:jc w:val="center"/>
              <w:rPr>
                <w:color w:val="000000"/>
              </w:rPr>
            </w:pPr>
            <w:r>
              <w:rPr>
                <w:color w:val="000000"/>
              </w:rPr>
              <w:t>518700</w:t>
            </w:r>
          </w:p>
        </w:tc>
        <w:tc>
          <w:tcPr>
            <w:tcW w:w="0" w:type="auto"/>
            <w:vAlign w:val="center"/>
          </w:tcPr>
          <w:p w:rsidR="00705F07" w:rsidRDefault="00185A37">
            <w:pPr>
              <w:jc w:val="center"/>
              <w:rPr>
                <w:color w:val="000000"/>
              </w:rPr>
            </w:pPr>
            <w:r>
              <w:rPr>
                <w:color w:val="000000"/>
              </w:rPr>
              <w:t>53,1</w:t>
            </w:r>
          </w:p>
        </w:tc>
      </w:tr>
    </w:tbl>
    <w:p w:rsidR="00705F07" w:rsidRDefault="00185A37">
      <w:pPr>
        <w:ind w:firstLine="709"/>
        <w:jc w:val="both"/>
        <w:rPr>
          <w:color w:val="000000"/>
        </w:rPr>
      </w:pPr>
      <w:r>
        <w:rPr>
          <w:color w:val="000000"/>
        </w:rPr>
        <w:t>Джерело: складено автором на основі даних [36].</w:t>
      </w:r>
    </w:p>
    <w:p w:rsidR="00705F07" w:rsidRDefault="00705F07">
      <w:pPr>
        <w:spacing w:line="360" w:lineRule="auto"/>
        <w:ind w:firstLine="709"/>
        <w:jc w:val="both"/>
        <w:rPr>
          <w:rStyle w:val="ac"/>
          <w:i w:val="0"/>
          <w:color w:val="000000"/>
          <w:sz w:val="28"/>
          <w:szCs w:val="28"/>
        </w:rPr>
      </w:pPr>
    </w:p>
    <w:p w:rsidR="00705F07" w:rsidRDefault="00185A37">
      <w:pPr>
        <w:spacing w:line="360" w:lineRule="auto"/>
        <w:ind w:firstLine="709"/>
        <w:jc w:val="both"/>
        <w:rPr>
          <w:rStyle w:val="ac"/>
          <w:i w:val="0"/>
          <w:color w:val="000000"/>
          <w:sz w:val="28"/>
          <w:szCs w:val="28"/>
        </w:rPr>
      </w:pPr>
      <w:r>
        <w:rPr>
          <w:rStyle w:val="ac"/>
          <w:i w:val="0"/>
          <w:color w:val="000000"/>
          <w:sz w:val="28"/>
          <w:szCs w:val="28"/>
        </w:rPr>
        <w:t xml:space="preserve">Аналіз наведених у табл. 2.4 </w:t>
      </w:r>
      <w:r>
        <w:rPr>
          <w:rStyle w:val="ac"/>
          <w:i w:val="0"/>
          <w:color w:val="000000"/>
          <w:sz w:val="28"/>
          <w:szCs w:val="28"/>
        </w:rPr>
        <w:t>показників свідчить про поступове відновлення кредитної активності банківської системи України у 2022-2024 рр., попри високий рівень невизначеності, пов’язаний із війною. Загальний обсяг кредитного портфеля зріс на 518,7 млрд грн, або на 53,1%, що вказує н</w:t>
      </w:r>
      <w:r>
        <w:rPr>
          <w:rStyle w:val="ac"/>
          <w:i w:val="0"/>
          <w:color w:val="000000"/>
          <w:sz w:val="28"/>
          <w:szCs w:val="28"/>
        </w:rPr>
        <w:t xml:space="preserve">а активізацію фінансової підтримки економіки та відновлення довіри до банківського сектору. Кредити нефінансовим корпораціям за 2022-2024 рр. збільшилися на 224,6 млрд грн (на 34,3%), що свідчить про поступове відновлення виробничої діяльності підприємств </w:t>
      </w:r>
      <w:r>
        <w:rPr>
          <w:rStyle w:val="ac"/>
          <w:i w:val="0"/>
          <w:color w:val="000000"/>
          <w:sz w:val="28"/>
          <w:szCs w:val="28"/>
        </w:rPr>
        <w:t>та підвищення попиту на оборотний капітал. Основними напрямами залишаються фінансування аграрного сектору, торгівлі, енергетики та логістики, де банки надавали підтримку через державні програми («5-7-9%» та пільгові кредити для критичної інфраструктури). З</w:t>
      </w:r>
      <w:r>
        <w:rPr>
          <w:rStyle w:val="ac"/>
          <w:i w:val="0"/>
          <w:color w:val="000000"/>
          <w:sz w:val="28"/>
          <w:szCs w:val="28"/>
        </w:rPr>
        <w:t xml:space="preserve">а 2022-2024 рр. кредитування фізичних осіб продемонструвало зростання на 45,1%, що є свідченням стабілізації споживчого попиту, відновлення довіри населення до банків та активного розвитку цифрових фінансових сервісів. Попри воєнні ризики, банки поступово </w:t>
      </w:r>
      <w:r>
        <w:rPr>
          <w:rStyle w:val="ac"/>
          <w:i w:val="0"/>
          <w:color w:val="000000"/>
          <w:sz w:val="28"/>
          <w:szCs w:val="28"/>
        </w:rPr>
        <w:t>розширювали пропозицію споживчих і іпотечних кредитів, особливо в регіонах, віддалених від зони бойових дій. За 2022-2024 рр. особливо динамічно зріс обсяг кредитів сектору державного управління – на 202,4 млрд грн, або на 170,8 %. Це зростання пояснюється</w:t>
      </w:r>
      <w:r>
        <w:rPr>
          <w:rStyle w:val="ac"/>
          <w:i w:val="0"/>
          <w:color w:val="000000"/>
          <w:sz w:val="28"/>
          <w:szCs w:val="28"/>
        </w:rPr>
        <w:t xml:space="preserve"> активною участю банків у фінансуванні державних програм, проєктів оборонного та енергетичного забезпечення, а також розміщенням облігацій внутрішньої державної позики (ОВДП). Така тенденція підтверджує посилення ролі банківського сектору у фінансуванні по</w:t>
      </w:r>
      <w:r>
        <w:rPr>
          <w:rStyle w:val="ac"/>
          <w:i w:val="0"/>
          <w:color w:val="000000"/>
          <w:sz w:val="28"/>
          <w:szCs w:val="28"/>
        </w:rPr>
        <w:t>треб держави в умовах війни. Таким чином, структура кредитного портфеля банків України за 2022-2024 рр. свідчить про трансформацію кредитної політики у напрямі державної підтримки та відновлення стратегічних галузей. Зростання обсягів кредитування в усіх с</w:t>
      </w:r>
      <w:r>
        <w:rPr>
          <w:rStyle w:val="ac"/>
          <w:i w:val="0"/>
          <w:color w:val="000000"/>
          <w:sz w:val="28"/>
          <w:szCs w:val="28"/>
        </w:rPr>
        <w:t>екторах економіки свідчить про те, що банківська система змогла пристосуватися до екстремальних умов та продовжує відігравати ключову роль у забезпеченні фінансової стабільності та післявоєнного економічного відновлення України.</w:t>
      </w:r>
    </w:p>
    <w:p w:rsidR="00705F07" w:rsidRDefault="00185A37">
      <w:pPr>
        <w:spacing w:line="360" w:lineRule="auto"/>
        <w:ind w:firstLine="709"/>
        <w:jc w:val="both"/>
        <w:rPr>
          <w:rStyle w:val="ac"/>
          <w:i w:val="0"/>
          <w:color w:val="000000"/>
          <w:sz w:val="28"/>
          <w:szCs w:val="28"/>
        </w:rPr>
      </w:pPr>
      <w:r>
        <w:rPr>
          <w:rStyle w:val="ac"/>
          <w:i w:val="0"/>
          <w:color w:val="000000"/>
          <w:sz w:val="28"/>
          <w:szCs w:val="28"/>
        </w:rPr>
        <w:t>Дослідження структури креди</w:t>
      </w:r>
      <w:r>
        <w:rPr>
          <w:rStyle w:val="ac"/>
          <w:i w:val="0"/>
          <w:color w:val="000000"/>
          <w:sz w:val="28"/>
          <w:szCs w:val="28"/>
        </w:rPr>
        <w:t>тування за 2022-2024 рр. дозволяє оцінити, як банки адаптувалися до нових викликів та які сектори економіки отримували пріоритетне фінансування. Важливим є аналіз змін у частках кредитів для корпорацій, фізичних осіб і державного сектору, що відображає пер</w:t>
      </w:r>
      <w:r>
        <w:rPr>
          <w:rStyle w:val="ac"/>
          <w:i w:val="0"/>
          <w:color w:val="000000"/>
          <w:sz w:val="28"/>
          <w:szCs w:val="28"/>
        </w:rPr>
        <w:t xml:space="preserve">ерозподіл фінансових ресурсів у відповідь на воєнні та економічні ризики. Аналіз структури кредитування демонструє суттєву трансформацію пріоритетів банків у період війни (рис. 2.1). </w:t>
      </w:r>
    </w:p>
    <w:p w:rsidR="00705F07" w:rsidRDefault="00185A37">
      <w:pPr>
        <w:spacing w:line="360" w:lineRule="auto"/>
        <w:ind w:firstLine="709"/>
        <w:jc w:val="both"/>
        <w:rPr>
          <w:rStyle w:val="ac"/>
          <w:i w:val="0"/>
          <w:color w:val="000000"/>
          <w:sz w:val="28"/>
          <w:szCs w:val="28"/>
        </w:rPr>
      </w:pPr>
      <w:r>
        <w:rPr>
          <w:rStyle w:val="ac"/>
          <w:i w:val="0"/>
          <w:color w:val="000000"/>
          <w:sz w:val="28"/>
          <w:szCs w:val="28"/>
        </w:rPr>
        <w:t xml:space="preserve">У 2022 році основну частку кредитного портфеля (67,04%) займали кредити </w:t>
      </w:r>
      <w:r>
        <w:rPr>
          <w:rStyle w:val="ac"/>
          <w:i w:val="0"/>
          <w:color w:val="000000"/>
          <w:sz w:val="28"/>
          <w:szCs w:val="28"/>
        </w:rPr>
        <w:t>нефінансовим корпораціям, що відображало традиційний фокус банків на бізнес-секторі для підтримки виробництва та комерційної діяльності. Кредити фізичним особам становили 20,83%, а кредити державному сектору – лише 12,13%. У 2023 році спостерігається зменш</w:t>
      </w:r>
      <w:r>
        <w:rPr>
          <w:rStyle w:val="ac"/>
          <w:i w:val="0"/>
          <w:color w:val="000000"/>
          <w:sz w:val="28"/>
          <w:szCs w:val="28"/>
        </w:rPr>
        <w:t>ення частки кредитів корпораціям до 62,72% та одночасне збільшення частки кредитів державному сектору до 16,93%. Це свідчить про перерозподіл ресурсів у бік державного фінансування, що зумовлено необхідністю підтримки оборонних програм, соціальних виплат і</w:t>
      </w:r>
      <w:r>
        <w:rPr>
          <w:rStyle w:val="ac"/>
          <w:i w:val="0"/>
          <w:color w:val="000000"/>
          <w:sz w:val="28"/>
          <w:szCs w:val="28"/>
        </w:rPr>
        <w:t xml:space="preserve"> стратегічних галузей економіки в умовах воєнного часу. Частка кредитів фізичних осіб знизилася незначно – до 20,34%, що відображає помірну стабілізацію споживчого кредитування.</w:t>
      </w:r>
    </w:p>
    <w:p w:rsidR="00705F07" w:rsidRDefault="00185A37">
      <w:pPr>
        <w:spacing w:line="360" w:lineRule="auto"/>
        <w:ind w:firstLine="709"/>
        <w:jc w:val="center"/>
        <w:rPr>
          <w:rStyle w:val="ac"/>
          <w:i w:val="0"/>
          <w:color w:val="000000"/>
          <w:sz w:val="28"/>
          <w:szCs w:val="28"/>
        </w:rPr>
      </w:pPr>
      <w:r>
        <w:rPr>
          <w:rStyle w:val="ac"/>
          <w:i w:val="0"/>
          <w:noProof/>
          <w:color w:val="000000"/>
          <w:sz w:val="28"/>
          <w:szCs w:val="28"/>
        </w:rPr>
        <w:drawing>
          <wp:inline distT="0" distB="0" distL="114300" distR="114300">
            <wp:extent cx="5391150" cy="3581400"/>
            <wp:effectExtent l="0" t="0" r="0" b="0"/>
            <wp:docPr id="1064"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705F07" w:rsidRDefault="00185A37">
      <w:pPr>
        <w:spacing w:line="360" w:lineRule="auto"/>
        <w:ind w:firstLine="709"/>
        <w:jc w:val="center"/>
        <w:rPr>
          <w:rStyle w:val="ac"/>
          <w:i w:val="0"/>
          <w:color w:val="000000"/>
          <w:sz w:val="28"/>
          <w:szCs w:val="28"/>
        </w:rPr>
      </w:pPr>
      <w:r>
        <w:rPr>
          <w:rStyle w:val="ac"/>
          <w:i w:val="0"/>
          <w:color w:val="000000"/>
          <w:sz w:val="28"/>
          <w:szCs w:val="28"/>
        </w:rPr>
        <w:t xml:space="preserve">Рис. 2.1. Структура кредитування економіки України банками </w:t>
      </w:r>
    </w:p>
    <w:p w:rsidR="00705F07" w:rsidRDefault="00185A37">
      <w:pPr>
        <w:spacing w:line="360" w:lineRule="auto"/>
        <w:ind w:firstLine="709"/>
        <w:jc w:val="center"/>
        <w:rPr>
          <w:rStyle w:val="ac"/>
          <w:i w:val="0"/>
          <w:color w:val="000000"/>
          <w:sz w:val="28"/>
          <w:szCs w:val="28"/>
        </w:rPr>
      </w:pPr>
      <w:r>
        <w:rPr>
          <w:rStyle w:val="ac"/>
          <w:i w:val="0"/>
          <w:color w:val="000000"/>
          <w:sz w:val="28"/>
          <w:szCs w:val="28"/>
        </w:rPr>
        <w:t>за 2022-2024 рр.</w:t>
      </w:r>
      <w:r>
        <w:rPr>
          <w:rStyle w:val="ac"/>
          <w:i w:val="0"/>
          <w:color w:val="000000"/>
          <w:sz w:val="28"/>
          <w:szCs w:val="28"/>
        </w:rPr>
        <w:t xml:space="preserve"> (%)</w:t>
      </w:r>
    </w:p>
    <w:p w:rsidR="00705F07" w:rsidRDefault="00185A37">
      <w:pPr>
        <w:ind w:firstLine="709"/>
        <w:jc w:val="both"/>
        <w:rPr>
          <w:color w:val="000000"/>
        </w:rPr>
      </w:pPr>
      <w:r>
        <w:rPr>
          <w:color w:val="000000"/>
        </w:rPr>
        <w:t>Джерело: складено автором на основі даних [36].</w:t>
      </w:r>
    </w:p>
    <w:p w:rsidR="00705F07" w:rsidRDefault="00705F07">
      <w:pPr>
        <w:spacing w:line="360" w:lineRule="auto"/>
        <w:ind w:firstLine="709"/>
        <w:jc w:val="both"/>
        <w:rPr>
          <w:rStyle w:val="ac"/>
          <w:i w:val="0"/>
          <w:color w:val="000000"/>
          <w:sz w:val="28"/>
          <w:szCs w:val="28"/>
        </w:rPr>
      </w:pPr>
    </w:p>
    <w:p w:rsidR="00705F07" w:rsidRDefault="00185A37">
      <w:pPr>
        <w:spacing w:line="360" w:lineRule="auto"/>
        <w:ind w:firstLine="709"/>
        <w:jc w:val="both"/>
        <w:rPr>
          <w:rStyle w:val="ac"/>
          <w:i w:val="0"/>
          <w:color w:val="000000"/>
          <w:sz w:val="28"/>
          <w:szCs w:val="28"/>
        </w:rPr>
      </w:pPr>
      <w:r>
        <w:rPr>
          <w:rStyle w:val="ac"/>
          <w:i w:val="0"/>
          <w:color w:val="000000"/>
          <w:sz w:val="28"/>
          <w:szCs w:val="28"/>
        </w:rPr>
        <w:t>До 2024 року тенденція перерозподілу кредитів стає ще більш вираженою: частка кредитів державного сектору зросла до 21,46%, тоді як кредити корпораціям зменшилися до 58,81%, а фізичним особам – до 19,73</w:t>
      </w:r>
      <w:r>
        <w:rPr>
          <w:rStyle w:val="ac"/>
          <w:i w:val="0"/>
          <w:color w:val="000000"/>
          <w:sz w:val="28"/>
          <w:szCs w:val="28"/>
        </w:rPr>
        <w:t>%. Така динаміка демонструє стійку орієнтацію банків на підтримку держави та ключових секторів економіки у воєнний період. Структура кредитування у 2022-2024 рр. відображає адаптивність банківської системи до екстремальних умов. Зростання частки кредитів д</w:t>
      </w:r>
      <w:r>
        <w:rPr>
          <w:rStyle w:val="ac"/>
          <w:i w:val="0"/>
          <w:color w:val="000000"/>
          <w:sz w:val="28"/>
          <w:szCs w:val="28"/>
        </w:rPr>
        <w:t>ержавному сектору та поступове зменшення частки корпоративного кредитування свідчить про пріоритетність фінансування критичних державних і соціальних програм, що забезпечує макрофінансову стабільність та підтримку економіки під час війни.</w:t>
      </w:r>
    </w:p>
    <w:p w:rsidR="00705F07" w:rsidRDefault="00185A37">
      <w:pPr>
        <w:spacing w:line="360" w:lineRule="auto"/>
        <w:ind w:firstLine="709"/>
        <w:jc w:val="both"/>
        <w:rPr>
          <w:rStyle w:val="ac"/>
          <w:i w:val="0"/>
          <w:color w:val="000000"/>
          <w:sz w:val="28"/>
          <w:szCs w:val="28"/>
        </w:rPr>
      </w:pPr>
      <w:r>
        <w:rPr>
          <w:rStyle w:val="ac"/>
          <w:i w:val="0"/>
          <w:color w:val="000000"/>
          <w:sz w:val="28"/>
          <w:szCs w:val="28"/>
        </w:rPr>
        <w:t xml:space="preserve">Період 2022-2024 </w:t>
      </w:r>
      <w:r>
        <w:rPr>
          <w:rStyle w:val="ac"/>
          <w:i w:val="0"/>
          <w:color w:val="000000"/>
          <w:sz w:val="28"/>
          <w:szCs w:val="28"/>
        </w:rPr>
        <w:t>рр. характеризується високою невизначеністю на фінансових ринках, зміною поведінки клієнтів та посиленням державного регулювання. Аналіз структури депозитної бази дозволяє оцінити рівень довіри населення та бізнесу до банківської системи та визначити пріор</w:t>
      </w:r>
      <w:r>
        <w:rPr>
          <w:rStyle w:val="ac"/>
          <w:i w:val="0"/>
          <w:color w:val="000000"/>
          <w:sz w:val="28"/>
          <w:szCs w:val="28"/>
        </w:rPr>
        <w:t>итетні напрямки залучення коштів. Дослідження показників депозитної бази також дає змогу зрозуміти, як війна вплинула на перерозподіл ресурсів між фізичними та юридичними особами, а також на роль державного сектору у формуванні фінансових потоків. Це дозво</w:t>
      </w:r>
      <w:r>
        <w:rPr>
          <w:rStyle w:val="ac"/>
          <w:i w:val="0"/>
          <w:color w:val="000000"/>
          <w:sz w:val="28"/>
          <w:szCs w:val="28"/>
        </w:rPr>
        <w:t>ляє оцінити не лише стабільність банківської системи, але й її здатність ефективно фінансувати економіку в умовах кризових обставин (табл. 2.5).</w:t>
      </w:r>
    </w:p>
    <w:p w:rsidR="00705F07" w:rsidRDefault="00185A37">
      <w:pPr>
        <w:spacing w:line="360" w:lineRule="auto"/>
        <w:ind w:firstLine="709"/>
        <w:jc w:val="right"/>
        <w:rPr>
          <w:rStyle w:val="ac"/>
          <w:i w:val="0"/>
          <w:color w:val="000000"/>
          <w:sz w:val="28"/>
          <w:szCs w:val="28"/>
        </w:rPr>
      </w:pPr>
      <w:r>
        <w:rPr>
          <w:rStyle w:val="ac"/>
          <w:i w:val="0"/>
          <w:color w:val="000000"/>
          <w:sz w:val="28"/>
          <w:szCs w:val="28"/>
        </w:rPr>
        <w:t>Таблиця 2.5</w:t>
      </w:r>
    </w:p>
    <w:p w:rsidR="00705F07" w:rsidRDefault="00185A37">
      <w:pPr>
        <w:spacing w:line="360" w:lineRule="auto"/>
        <w:ind w:firstLine="709"/>
        <w:jc w:val="center"/>
        <w:rPr>
          <w:rStyle w:val="ac"/>
          <w:i w:val="0"/>
          <w:color w:val="000000"/>
          <w:sz w:val="28"/>
          <w:szCs w:val="28"/>
        </w:rPr>
      </w:pPr>
      <w:r>
        <w:rPr>
          <w:rStyle w:val="ac"/>
          <w:i w:val="0"/>
          <w:color w:val="000000"/>
          <w:sz w:val="28"/>
          <w:szCs w:val="28"/>
        </w:rPr>
        <w:t>Структура депозитної бази банків України за 2022-2024 рр. (млн грн)</w:t>
      </w:r>
    </w:p>
    <w:tbl>
      <w:tblPr>
        <w:tblStyle w:val="ad"/>
        <w:tblW w:w="9393" w:type="dxa"/>
        <w:jc w:val="center"/>
        <w:tblLook w:val="04A0" w:firstRow="1" w:lastRow="0" w:firstColumn="1" w:lastColumn="0" w:noHBand="0" w:noVBand="1"/>
      </w:tblPr>
      <w:tblGrid>
        <w:gridCol w:w="2754"/>
        <w:gridCol w:w="1157"/>
        <w:gridCol w:w="1333"/>
        <w:gridCol w:w="1294"/>
        <w:gridCol w:w="1229"/>
        <w:gridCol w:w="1591"/>
      </w:tblGrid>
      <w:tr w:rsidR="00705F07">
        <w:trPr>
          <w:jc w:val="center"/>
        </w:trPr>
        <w:tc>
          <w:tcPr>
            <w:tcW w:w="2775" w:type="dxa"/>
            <w:vMerge w:val="restart"/>
            <w:vAlign w:val="center"/>
            <w:hideMark/>
          </w:tcPr>
          <w:p w:rsidR="00705F07" w:rsidRDefault="00185A37">
            <w:pPr>
              <w:jc w:val="center"/>
              <w:rPr>
                <w:rStyle w:val="ac"/>
                <w:i w:val="0"/>
                <w:color w:val="000000"/>
              </w:rPr>
            </w:pPr>
            <w:r>
              <w:rPr>
                <w:rStyle w:val="ac"/>
                <w:i w:val="0"/>
                <w:color w:val="000000"/>
              </w:rPr>
              <w:t>Показники</w:t>
            </w:r>
          </w:p>
        </w:tc>
        <w:tc>
          <w:tcPr>
            <w:tcW w:w="0" w:type="auto"/>
            <w:vMerge w:val="restart"/>
            <w:vAlign w:val="center"/>
            <w:hideMark/>
          </w:tcPr>
          <w:p w:rsidR="00705F07" w:rsidRDefault="00185A37">
            <w:pPr>
              <w:jc w:val="center"/>
              <w:rPr>
                <w:rStyle w:val="ac"/>
                <w:i w:val="0"/>
                <w:color w:val="000000"/>
              </w:rPr>
            </w:pPr>
            <w:r>
              <w:rPr>
                <w:rStyle w:val="ac"/>
                <w:i w:val="0"/>
                <w:color w:val="000000"/>
              </w:rPr>
              <w:t>2022</w:t>
            </w:r>
          </w:p>
        </w:tc>
        <w:tc>
          <w:tcPr>
            <w:tcW w:w="1336" w:type="dxa"/>
            <w:vMerge w:val="restart"/>
            <w:vAlign w:val="center"/>
            <w:hideMark/>
          </w:tcPr>
          <w:p w:rsidR="00705F07" w:rsidRDefault="00185A37">
            <w:pPr>
              <w:jc w:val="center"/>
              <w:rPr>
                <w:rStyle w:val="ac"/>
                <w:i w:val="0"/>
                <w:color w:val="000000"/>
              </w:rPr>
            </w:pPr>
            <w:r>
              <w:rPr>
                <w:rStyle w:val="ac"/>
                <w:i w:val="0"/>
                <w:color w:val="000000"/>
              </w:rPr>
              <w:t>2023</w:t>
            </w:r>
          </w:p>
        </w:tc>
        <w:tc>
          <w:tcPr>
            <w:tcW w:w="1296" w:type="dxa"/>
            <w:vMerge w:val="restart"/>
            <w:vAlign w:val="center"/>
            <w:hideMark/>
          </w:tcPr>
          <w:p w:rsidR="00705F07" w:rsidRDefault="00185A37">
            <w:pPr>
              <w:jc w:val="center"/>
              <w:rPr>
                <w:rStyle w:val="ac"/>
                <w:i w:val="0"/>
                <w:color w:val="000000"/>
              </w:rPr>
            </w:pPr>
            <w:r>
              <w:rPr>
                <w:rStyle w:val="ac"/>
                <w:i w:val="0"/>
                <w:color w:val="000000"/>
              </w:rPr>
              <w:t>2024</w:t>
            </w:r>
          </w:p>
        </w:tc>
        <w:tc>
          <w:tcPr>
            <w:tcW w:w="0" w:type="auto"/>
            <w:gridSpan w:val="2"/>
            <w:vAlign w:val="center"/>
          </w:tcPr>
          <w:p w:rsidR="00705F07" w:rsidRDefault="00185A37">
            <w:pPr>
              <w:jc w:val="center"/>
              <w:rPr>
                <w:rStyle w:val="ac"/>
                <w:i w:val="0"/>
                <w:color w:val="000000"/>
              </w:rPr>
            </w:pPr>
            <w:r>
              <w:rPr>
                <w:rStyle w:val="ac"/>
                <w:i w:val="0"/>
                <w:color w:val="000000"/>
              </w:rPr>
              <w:t>Відхил</w:t>
            </w:r>
            <w:r>
              <w:rPr>
                <w:rStyle w:val="ac"/>
                <w:i w:val="0"/>
                <w:color w:val="000000"/>
              </w:rPr>
              <w:t>ення</w:t>
            </w:r>
          </w:p>
          <w:p w:rsidR="00705F07" w:rsidRDefault="00185A37">
            <w:pPr>
              <w:jc w:val="center"/>
              <w:rPr>
                <w:rStyle w:val="ac"/>
                <w:i w:val="0"/>
                <w:color w:val="000000"/>
              </w:rPr>
            </w:pPr>
            <w:r>
              <w:rPr>
                <w:rStyle w:val="ac"/>
                <w:i w:val="0"/>
                <w:color w:val="000000"/>
              </w:rPr>
              <w:t>2024 до 2022</w:t>
            </w:r>
          </w:p>
        </w:tc>
      </w:tr>
      <w:tr w:rsidR="00705F07">
        <w:trPr>
          <w:jc w:val="center"/>
        </w:trPr>
        <w:tc>
          <w:tcPr>
            <w:tcW w:w="2775" w:type="dxa"/>
            <w:vMerge/>
            <w:vAlign w:val="center"/>
            <w:hideMark/>
          </w:tcPr>
          <w:p w:rsidR="00705F07" w:rsidRDefault="00705F07">
            <w:pPr>
              <w:jc w:val="center"/>
              <w:rPr>
                <w:rStyle w:val="ac"/>
                <w:i w:val="0"/>
                <w:color w:val="000000"/>
              </w:rPr>
            </w:pPr>
          </w:p>
        </w:tc>
        <w:tc>
          <w:tcPr>
            <w:tcW w:w="0" w:type="auto"/>
            <w:vMerge/>
            <w:vAlign w:val="center"/>
            <w:hideMark/>
          </w:tcPr>
          <w:p w:rsidR="00705F07" w:rsidRDefault="00705F07">
            <w:pPr>
              <w:jc w:val="center"/>
              <w:rPr>
                <w:rStyle w:val="ac"/>
                <w:i w:val="0"/>
                <w:color w:val="000000"/>
              </w:rPr>
            </w:pPr>
          </w:p>
        </w:tc>
        <w:tc>
          <w:tcPr>
            <w:tcW w:w="1336" w:type="dxa"/>
            <w:vMerge/>
            <w:vAlign w:val="center"/>
            <w:hideMark/>
          </w:tcPr>
          <w:p w:rsidR="00705F07" w:rsidRDefault="00705F07">
            <w:pPr>
              <w:jc w:val="center"/>
              <w:rPr>
                <w:rStyle w:val="ac"/>
                <w:i w:val="0"/>
                <w:color w:val="000000"/>
              </w:rPr>
            </w:pPr>
          </w:p>
        </w:tc>
        <w:tc>
          <w:tcPr>
            <w:tcW w:w="1296" w:type="dxa"/>
            <w:vMerge/>
            <w:vAlign w:val="center"/>
            <w:hideMark/>
          </w:tcPr>
          <w:p w:rsidR="00705F07" w:rsidRDefault="00705F07">
            <w:pPr>
              <w:jc w:val="center"/>
              <w:rPr>
                <w:rStyle w:val="ac"/>
                <w:i w:val="0"/>
                <w:color w:val="000000"/>
              </w:rPr>
            </w:pPr>
          </w:p>
        </w:tc>
        <w:tc>
          <w:tcPr>
            <w:tcW w:w="0" w:type="auto"/>
            <w:vAlign w:val="center"/>
          </w:tcPr>
          <w:p w:rsidR="00705F07" w:rsidRDefault="00185A37">
            <w:pPr>
              <w:jc w:val="center"/>
              <w:rPr>
                <w:rStyle w:val="ac"/>
                <w:i w:val="0"/>
                <w:color w:val="000000"/>
              </w:rPr>
            </w:pPr>
            <w:r>
              <w:rPr>
                <w:rStyle w:val="ac"/>
                <w:i w:val="0"/>
                <w:color w:val="000000"/>
              </w:rPr>
              <w:t>Абс. відх.</w:t>
            </w:r>
          </w:p>
        </w:tc>
        <w:tc>
          <w:tcPr>
            <w:tcW w:w="0" w:type="auto"/>
            <w:vAlign w:val="center"/>
          </w:tcPr>
          <w:p w:rsidR="00705F07" w:rsidRDefault="00185A37">
            <w:pPr>
              <w:jc w:val="center"/>
              <w:rPr>
                <w:rStyle w:val="ac"/>
                <w:i w:val="0"/>
                <w:color w:val="000000"/>
              </w:rPr>
            </w:pPr>
            <w:r>
              <w:rPr>
                <w:rStyle w:val="ac"/>
                <w:i w:val="0"/>
                <w:color w:val="000000"/>
              </w:rPr>
              <w:t>Відн. відх., %</w:t>
            </w:r>
          </w:p>
        </w:tc>
      </w:tr>
      <w:tr w:rsidR="00705F07">
        <w:trPr>
          <w:jc w:val="center"/>
        </w:trPr>
        <w:tc>
          <w:tcPr>
            <w:tcW w:w="2775" w:type="dxa"/>
            <w:vAlign w:val="center"/>
            <w:hideMark/>
          </w:tcPr>
          <w:p w:rsidR="00705F07" w:rsidRDefault="00185A37">
            <w:pPr>
              <w:rPr>
                <w:color w:val="000000"/>
              </w:rPr>
            </w:pPr>
            <w:r>
              <w:rPr>
                <w:color w:val="000000"/>
              </w:rPr>
              <w:t>Депозити фізичних осіб</w:t>
            </w:r>
          </w:p>
        </w:tc>
        <w:tc>
          <w:tcPr>
            <w:tcW w:w="0" w:type="auto"/>
            <w:vAlign w:val="center"/>
            <w:hideMark/>
          </w:tcPr>
          <w:p w:rsidR="00705F07" w:rsidRDefault="00185A37">
            <w:pPr>
              <w:jc w:val="center"/>
              <w:rPr>
                <w:color w:val="000000"/>
              </w:rPr>
            </w:pPr>
            <w:r>
              <w:rPr>
                <w:color w:val="000000"/>
              </w:rPr>
              <w:t>850300</w:t>
            </w:r>
          </w:p>
        </w:tc>
        <w:tc>
          <w:tcPr>
            <w:tcW w:w="1336" w:type="dxa"/>
            <w:vAlign w:val="center"/>
            <w:hideMark/>
          </w:tcPr>
          <w:p w:rsidR="00705F07" w:rsidRDefault="00185A37">
            <w:pPr>
              <w:jc w:val="center"/>
              <w:rPr>
                <w:color w:val="000000"/>
              </w:rPr>
            </w:pPr>
            <w:r>
              <w:rPr>
                <w:color w:val="000000"/>
              </w:rPr>
              <w:t>1034500</w:t>
            </w:r>
          </w:p>
        </w:tc>
        <w:tc>
          <w:tcPr>
            <w:tcW w:w="1296" w:type="dxa"/>
            <w:vAlign w:val="center"/>
            <w:hideMark/>
          </w:tcPr>
          <w:p w:rsidR="00705F07" w:rsidRDefault="00185A37">
            <w:pPr>
              <w:jc w:val="center"/>
              <w:rPr>
                <w:color w:val="000000"/>
              </w:rPr>
            </w:pPr>
            <w:r>
              <w:rPr>
                <w:color w:val="000000"/>
              </w:rPr>
              <w:t>1245600</w:t>
            </w:r>
          </w:p>
        </w:tc>
        <w:tc>
          <w:tcPr>
            <w:tcW w:w="0" w:type="auto"/>
            <w:vAlign w:val="center"/>
          </w:tcPr>
          <w:p w:rsidR="00705F07" w:rsidRDefault="00185A37">
            <w:pPr>
              <w:jc w:val="center"/>
              <w:rPr>
                <w:color w:val="000000"/>
              </w:rPr>
            </w:pPr>
            <w:r>
              <w:rPr>
                <w:color w:val="000000"/>
              </w:rPr>
              <w:t>395300</w:t>
            </w:r>
          </w:p>
        </w:tc>
        <w:tc>
          <w:tcPr>
            <w:tcW w:w="0" w:type="auto"/>
            <w:vAlign w:val="center"/>
          </w:tcPr>
          <w:p w:rsidR="00705F07" w:rsidRDefault="00185A37">
            <w:pPr>
              <w:jc w:val="center"/>
              <w:rPr>
                <w:color w:val="000000"/>
              </w:rPr>
            </w:pPr>
            <w:r>
              <w:rPr>
                <w:color w:val="000000"/>
              </w:rPr>
              <w:t>46,5</w:t>
            </w:r>
          </w:p>
        </w:tc>
      </w:tr>
      <w:tr w:rsidR="00705F07">
        <w:trPr>
          <w:jc w:val="center"/>
        </w:trPr>
        <w:tc>
          <w:tcPr>
            <w:tcW w:w="2775" w:type="dxa"/>
            <w:vAlign w:val="center"/>
          </w:tcPr>
          <w:p w:rsidR="00705F07" w:rsidRDefault="00185A37">
            <w:pPr>
              <w:rPr>
                <w:color w:val="000000"/>
              </w:rPr>
            </w:pPr>
            <w:r>
              <w:rPr>
                <w:color w:val="000000"/>
              </w:rPr>
              <w:t>Депозити юридичних осіб</w:t>
            </w:r>
          </w:p>
        </w:tc>
        <w:tc>
          <w:tcPr>
            <w:tcW w:w="0" w:type="auto"/>
            <w:vAlign w:val="center"/>
          </w:tcPr>
          <w:p w:rsidR="00705F07" w:rsidRDefault="00185A37">
            <w:pPr>
              <w:jc w:val="center"/>
              <w:rPr>
                <w:color w:val="000000"/>
              </w:rPr>
            </w:pPr>
            <w:r>
              <w:rPr>
                <w:color w:val="000000"/>
              </w:rPr>
              <w:t>726900</w:t>
            </w:r>
          </w:p>
        </w:tc>
        <w:tc>
          <w:tcPr>
            <w:tcW w:w="1336" w:type="dxa"/>
            <w:vAlign w:val="center"/>
          </w:tcPr>
          <w:p w:rsidR="00705F07" w:rsidRDefault="00185A37">
            <w:pPr>
              <w:jc w:val="center"/>
              <w:rPr>
                <w:color w:val="000000"/>
              </w:rPr>
            </w:pPr>
            <w:r>
              <w:rPr>
                <w:color w:val="000000"/>
              </w:rPr>
              <w:t>832400</w:t>
            </w:r>
          </w:p>
        </w:tc>
        <w:tc>
          <w:tcPr>
            <w:tcW w:w="1296" w:type="dxa"/>
            <w:vAlign w:val="center"/>
          </w:tcPr>
          <w:p w:rsidR="00705F07" w:rsidRDefault="00185A37">
            <w:pPr>
              <w:jc w:val="center"/>
              <w:rPr>
                <w:color w:val="000000"/>
              </w:rPr>
            </w:pPr>
            <w:r>
              <w:rPr>
                <w:color w:val="000000"/>
              </w:rPr>
              <w:t>957800</w:t>
            </w:r>
          </w:p>
        </w:tc>
        <w:tc>
          <w:tcPr>
            <w:tcW w:w="0" w:type="auto"/>
            <w:vAlign w:val="center"/>
          </w:tcPr>
          <w:p w:rsidR="00705F07" w:rsidRDefault="00185A37">
            <w:pPr>
              <w:jc w:val="center"/>
              <w:rPr>
                <w:color w:val="000000"/>
              </w:rPr>
            </w:pPr>
            <w:r>
              <w:rPr>
                <w:color w:val="000000"/>
              </w:rPr>
              <w:t>230900</w:t>
            </w:r>
          </w:p>
        </w:tc>
        <w:tc>
          <w:tcPr>
            <w:tcW w:w="0" w:type="auto"/>
            <w:vAlign w:val="center"/>
          </w:tcPr>
          <w:p w:rsidR="00705F07" w:rsidRDefault="00185A37">
            <w:pPr>
              <w:jc w:val="center"/>
              <w:rPr>
                <w:color w:val="000000"/>
              </w:rPr>
            </w:pPr>
            <w:r>
              <w:rPr>
                <w:color w:val="000000"/>
              </w:rPr>
              <w:t>31,8</w:t>
            </w:r>
          </w:p>
        </w:tc>
      </w:tr>
      <w:tr w:rsidR="00705F07">
        <w:trPr>
          <w:jc w:val="center"/>
        </w:trPr>
        <w:tc>
          <w:tcPr>
            <w:tcW w:w="2775" w:type="dxa"/>
            <w:vAlign w:val="center"/>
          </w:tcPr>
          <w:p w:rsidR="00705F07" w:rsidRDefault="00185A37">
            <w:pPr>
              <w:rPr>
                <w:color w:val="000000"/>
              </w:rPr>
            </w:pPr>
            <w:r>
              <w:rPr>
                <w:color w:val="000000"/>
              </w:rPr>
              <w:t>Депозити сектору державного управління</w:t>
            </w:r>
          </w:p>
        </w:tc>
        <w:tc>
          <w:tcPr>
            <w:tcW w:w="0" w:type="auto"/>
            <w:vAlign w:val="center"/>
          </w:tcPr>
          <w:p w:rsidR="00705F07" w:rsidRDefault="00185A37">
            <w:pPr>
              <w:jc w:val="center"/>
              <w:rPr>
                <w:color w:val="000000"/>
              </w:rPr>
            </w:pPr>
            <w:r>
              <w:rPr>
                <w:color w:val="000000"/>
              </w:rPr>
              <w:t>143700</w:t>
            </w:r>
          </w:p>
        </w:tc>
        <w:tc>
          <w:tcPr>
            <w:tcW w:w="1336" w:type="dxa"/>
            <w:vAlign w:val="center"/>
          </w:tcPr>
          <w:p w:rsidR="00705F07" w:rsidRDefault="00185A37">
            <w:pPr>
              <w:jc w:val="center"/>
              <w:rPr>
                <w:color w:val="000000"/>
              </w:rPr>
            </w:pPr>
            <w:r>
              <w:rPr>
                <w:color w:val="000000"/>
              </w:rPr>
              <w:t>214200</w:t>
            </w:r>
          </w:p>
        </w:tc>
        <w:tc>
          <w:tcPr>
            <w:tcW w:w="1296" w:type="dxa"/>
            <w:vAlign w:val="center"/>
          </w:tcPr>
          <w:p w:rsidR="00705F07" w:rsidRDefault="00185A37">
            <w:pPr>
              <w:jc w:val="center"/>
              <w:rPr>
                <w:color w:val="000000"/>
              </w:rPr>
            </w:pPr>
            <w:r>
              <w:rPr>
                <w:color w:val="000000"/>
              </w:rPr>
              <w:t>280500</w:t>
            </w:r>
          </w:p>
        </w:tc>
        <w:tc>
          <w:tcPr>
            <w:tcW w:w="0" w:type="auto"/>
            <w:vAlign w:val="center"/>
          </w:tcPr>
          <w:p w:rsidR="00705F07" w:rsidRDefault="00185A37">
            <w:pPr>
              <w:jc w:val="center"/>
              <w:rPr>
                <w:color w:val="000000"/>
              </w:rPr>
            </w:pPr>
            <w:r>
              <w:rPr>
                <w:color w:val="000000"/>
              </w:rPr>
              <w:t>136800</w:t>
            </w:r>
          </w:p>
        </w:tc>
        <w:tc>
          <w:tcPr>
            <w:tcW w:w="0" w:type="auto"/>
            <w:vAlign w:val="center"/>
          </w:tcPr>
          <w:p w:rsidR="00705F07" w:rsidRDefault="00185A37">
            <w:pPr>
              <w:jc w:val="center"/>
              <w:rPr>
                <w:color w:val="000000"/>
              </w:rPr>
            </w:pPr>
            <w:r>
              <w:rPr>
                <w:color w:val="000000"/>
              </w:rPr>
              <w:t>95,2</w:t>
            </w:r>
          </w:p>
        </w:tc>
      </w:tr>
      <w:tr w:rsidR="00705F07">
        <w:trPr>
          <w:jc w:val="center"/>
        </w:trPr>
        <w:tc>
          <w:tcPr>
            <w:tcW w:w="2775" w:type="dxa"/>
            <w:vAlign w:val="center"/>
          </w:tcPr>
          <w:p w:rsidR="00705F07" w:rsidRDefault="00185A37">
            <w:pPr>
              <w:rPr>
                <w:color w:val="000000"/>
              </w:rPr>
            </w:pPr>
            <w:r>
              <w:rPr>
                <w:color w:val="000000"/>
              </w:rPr>
              <w:t xml:space="preserve">Загальний обсяг </w:t>
            </w:r>
            <w:r>
              <w:rPr>
                <w:color w:val="000000"/>
              </w:rPr>
              <w:t>депозитів</w:t>
            </w:r>
          </w:p>
        </w:tc>
        <w:tc>
          <w:tcPr>
            <w:tcW w:w="0" w:type="auto"/>
            <w:vAlign w:val="center"/>
          </w:tcPr>
          <w:p w:rsidR="00705F07" w:rsidRDefault="00185A37">
            <w:pPr>
              <w:jc w:val="center"/>
              <w:rPr>
                <w:color w:val="000000"/>
              </w:rPr>
            </w:pPr>
            <w:r>
              <w:rPr>
                <w:color w:val="000000"/>
              </w:rPr>
              <w:t>1720900</w:t>
            </w:r>
          </w:p>
        </w:tc>
        <w:tc>
          <w:tcPr>
            <w:tcW w:w="1336" w:type="dxa"/>
            <w:vAlign w:val="center"/>
          </w:tcPr>
          <w:p w:rsidR="00705F07" w:rsidRDefault="00185A37">
            <w:pPr>
              <w:jc w:val="center"/>
              <w:rPr>
                <w:color w:val="000000"/>
              </w:rPr>
            </w:pPr>
            <w:r>
              <w:rPr>
                <w:color w:val="000000"/>
              </w:rPr>
              <w:t>2081100</w:t>
            </w:r>
          </w:p>
        </w:tc>
        <w:tc>
          <w:tcPr>
            <w:tcW w:w="1296" w:type="dxa"/>
            <w:vAlign w:val="center"/>
          </w:tcPr>
          <w:p w:rsidR="00705F07" w:rsidRDefault="00185A37">
            <w:pPr>
              <w:jc w:val="center"/>
              <w:rPr>
                <w:color w:val="000000"/>
              </w:rPr>
            </w:pPr>
            <w:r>
              <w:rPr>
                <w:color w:val="000000"/>
              </w:rPr>
              <w:t>2483900</w:t>
            </w:r>
          </w:p>
        </w:tc>
        <w:tc>
          <w:tcPr>
            <w:tcW w:w="0" w:type="auto"/>
            <w:vAlign w:val="center"/>
          </w:tcPr>
          <w:p w:rsidR="00705F07" w:rsidRDefault="00185A37">
            <w:pPr>
              <w:jc w:val="center"/>
              <w:rPr>
                <w:color w:val="000000"/>
              </w:rPr>
            </w:pPr>
            <w:r>
              <w:rPr>
                <w:color w:val="000000"/>
              </w:rPr>
              <w:t>763000</w:t>
            </w:r>
          </w:p>
        </w:tc>
        <w:tc>
          <w:tcPr>
            <w:tcW w:w="0" w:type="auto"/>
            <w:vAlign w:val="center"/>
          </w:tcPr>
          <w:p w:rsidR="00705F07" w:rsidRDefault="00185A37">
            <w:pPr>
              <w:jc w:val="center"/>
              <w:rPr>
                <w:color w:val="000000"/>
              </w:rPr>
            </w:pPr>
            <w:r>
              <w:rPr>
                <w:color w:val="000000"/>
              </w:rPr>
              <w:t>44,3</w:t>
            </w:r>
          </w:p>
        </w:tc>
      </w:tr>
    </w:tbl>
    <w:p w:rsidR="00705F07" w:rsidRDefault="00185A37">
      <w:pPr>
        <w:ind w:firstLine="709"/>
        <w:jc w:val="both"/>
        <w:rPr>
          <w:color w:val="000000"/>
        </w:rPr>
      </w:pPr>
      <w:r>
        <w:rPr>
          <w:color w:val="000000"/>
        </w:rPr>
        <w:t>Джерело: складено автором на основі даних [36].</w:t>
      </w:r>
    </w:p>
    <w:p w:rsidR="00705F07" w:rsidRDefault="00705F07">
      <w:pPr>
        <w:ind w:firstLine="709"/>
        <w:jc w:val="both"/>
        <w:rPr>
          <w:rStyle w:val="ac"/>
          <w:i w:val="0"/>
          <w:color w:val="000000"/>
        </w:rPr>
      </w:pPr>
    </w:p>
    <w:p w:rsidR="00705F07" w:rsidRDefault="00185A37">
      <w:pPr>
        <w:spacing w:line="360" w:lineRule="auto"/>
        <w:ind w:firstLine="709"/>
        <w:jc w:val="both"/>
        <w:rPr>
          <w:rStyle w:val="ac"/>
          <w:i w:val="0"/>
          <w:color w:val="000000"/>
          <w:sz w:val="28"/>
          <w:szCs w:val="28"/>
        </w:rPr>
      </w:pPr>
      <w:r>
        <w:rPr>
          <w:rStyle w:val="ac"/>
          <w:i w:val="0"/>
          <w:color w:val="000000"/>
          <w:sz w:val="28"/>
          <w:szCs w:val="28"/>
        </w:rPr>
        <w:t>Проведений аналіз показників депозитної бази свідчить про відновлення та стабілізацію банківської системи України у період 2022-2024 рр. Загальний обсяг депозитів зріс на 763000 млн грн, або на 44,3 %, що свідчить про поступове відновлення довіри населення</w:t>
      </w:r>
      <w:r>
        <w:rPr>
          <w:rStyle w:val="ac"/>
          <w:i w:val="0"/>
          <w:color w:val="000000"/>
          <w:sz w:val="28"/>
          <w:szCs w:val="28"/>
        </w:rPr>
        <w:t xml:space="preserve"> та бізнесу до банків, незважаючи на воєнну невизначеність. За 2022-2024 рр. депозити фізичних осіб зросли на 395300 млн грн (46,5%), що відображає поступове повернення довіри громадян до банківської системи та стабілізацію особистих фінансів. Активне залу</w:t>
      </w:r>
      <w:r>
        <w:rPr>
          <w:rStyle w:val="ac"/>
          <w:i w:val="0"/>
          <w:color w:val="000000"/>
          <w:sz w:val="28"/>
          <w:szCs w:val="28"/>
        </w:rPr>
        <w:t>чення депозитів від населення стало можливим завдяки цифровим сервісам, державним гарантіям та зниженню відтоку коштів за кордон. Упродовж 2022-2024 рр. депозити юридичних осіб збільшилися на 230900 млн грн (31,8%), що свідчить про відновлення бізнес-актив</w:t>
      </w:r>
      <w:r>
        <w:rPr>
          <w:rStyle w:val="ac"/>
          <w:i w:val="0"/>
          <w:color w:val="000000"/>
          <w:sz w:val="28"/>
          <w:szCs w:val="28"/>
        </w:rPr>
        <w:t>ності та збереження ресурсів для фінансування оборотного капіталу підприємств. Банки демонстрували гнучкість у пропозиції депозитних продуктів для корпоративних клієнтів, що дозволяло утримувати кошти в національній фінансовій системі. За 2022-2024 рр. деп</w:t>
      </w:r>
      <w:r>
        <w:rPr>
          <w:rStyle w:val="ac"/>
          <w:i w:val="0"/>
          <w:color w:val="000000"/>
          <w:sz w:val="28"/>
          <w:szCs w:val="28"/>
        </w:rPr>
        <w:t>озити сектору державного управління зросли на 136800 млн грн (95,2%), що є наслідком збільшення коштів державного бюджету на рахунках банків, розміщення ОВДП та активної участі державних установ у банківській системі. Це підкреслює критичну роль держави як</w:t>
      </w:r>
      <w:r>
        <w:rPr>
          <w:rStyle w:val="ac"/>
          <w:i w:val="0"/>
          <w:color w:val="000000"/>
          <w:sz w:val="28"/>
          <w:szCs w:val="28"/>
        </w:rPr>
        <w:t xml:space="preserve"> стабілізатора ліквідності та фінансового потоку під час війни. Структура депозитної бази за 2022-2024 рр. демонструє відновлення довіри до банківської системи та її здатність ефективно мобілізувати ресурси для підтримки економіки. Зростання депозитів у вс</w:t>
      </w:r>
      <w:r>
        <w:rPr>
          <w:rStyle w:val="ac"/>
          <w:i w:val="0"/>
          <w:color w:val="000000"/>
          <w:sz w:val="28"/>
          <w:szCs w:val="28"/>
        </w:rPr>
        <w:t>іх секторах, особливо державного та фізичних осіб, підтверджує стійкість банківської системи та її ключову роль у забезпеченні макрофінансової стабільності під час воєнного конфлікту.</w:t>
      </w:r>
    </w:p>
    <w:p w:rsidR="00705F07" w:rsidRDefault="00185A37">
      <w:pPr>
        <w:spacing w:line="360" w:lineRule="auto"/>
        <w:ind w:firstLine="709"/>
        <w:jc w:val="both"/>
        <w:rPr>
          <w:rStyle w:val="ac"/>
          <w:i w:val="0"/>
          <w:color w:val="000000"/>
          <w:sz w:val="28"/>
          <w:szCs w:val="28"/>
        </w:rPr>
      </w:pPr>
      <w:r>
        <w:rPr>
          <w:rStyle w:val="ac"/>
          <w:i w:val="0"/>
          <w:color w:val="000000"/>
          <w:sz w:val="28"/>
          <w:szCs w:val="28"/>
        </w:rPr>
        <w:t xml:space="preserve">Одним із ключових показників стабільності банків є структура депозитної </w:t>
      </w:r>
      <w:r>
        <w:rPr>
          <w:rStyle w:val="ac"/>
          <w:i w:val="0"/>
          <w:color w:val="000000"/>
          <w:sz w:val="28"/>
          <w:szCs w:val="28"/>
        </w:rPr>
        <w:t>бази, яка відображає довіру різних категорій клієнтів – фізичних та юридичних осіб, а також державного сектору – до фінансових установ. Аналіз динаміки та співвідношення депозитів дозволяє оцінити адаптивність банківської системи до екстремальних умов, зда</w:t>
      </w:r>
      <w:r>
        <w:rPr>
          <w:rStyle w:val="ac"/>
          <w:i w:val="0"/>
          <w:color w:val="000000"/>
          <w:sz w:val="28"/>
          <w:szCs w:val="28"/>
        </w:rPr>
        <w:t>тність мобілізувати внутрішні ресурси та забезпечувати фінансування економіки (рис. 2.2).</w:t>
      </w:r>
    </w:p>
    <w:p w:rsidR="00705F07" w:rsidRDefault="00185A37">
      <w:pPr>
        <w:spacing w:line="360" w:lineRule="auto"/>
        <w:ind w:firstLine="709"/>
        <w:jc w:val="both"/>
        <w:rPr>
          <w:rStyle w:val="ac"/>
          <w:i w:val="0"/>
          <w:color w:val="000000"/>
          <w:sz w:val="28"/>
          <w:szCs w:val="28"/>
        </w:rPr>
      </w:pPr>
      <w:r>
        <w:rPr>
          <w:rStyle w:val="ac"/>
          <w:i w:val="0"/>
          <w:color w:val="000000"/>
          <w:sz w:val="28"/>
          <w:szCs w:val="28"/>
        </w:rPr>
        <w:t>Дослідження структури депозитів за 2022-2024 рр. дозволяє виявити, як змінювались пріоритети у залученні ресурсів банками під час війни, а також як реагували на кризо</w:t>
      </w:r>
      <w:r>
        <w:rPr>
          <w:rStyle w:val="ac"/>
          <w:i w:val="0"/>
          <w:color w:val="000000"/>
          <w:sz w:val="28"/>
          <w:szCs w:val="28"/>
        </w:rPr>
        <w:t>ві умови різні сегменти економічних агентів. Особливу увагу слід приділити порівнянню частки депозитів фізичних і юридичних осіб та державного сектору, оскільки це дає змогу оцінити рівень довіри до банків і стабільність фінансового посередництва в країні.</w:t>
      </w:r>
      <w:r>
        <w:rPr>
          <w:rStyle w:val="ac"/>
          <w:i w:val="0"/>
          <w:color w:val="000000"/>
          <w:sz w:val="28"/>
          <w:szCs w:val="28"/>
        </w:rPr>
        <w:t xml:space="preserve"> Аналіз структури депозитної бази показує поступові зміни у співвідношенні джерел фінансування банків протягом 2022-2024 рр. (рис. 2.2).</w:t>
      </w:r>
    </w:p>
    <w:p w:rsidR="00705F07" w:rsidRDefault="00185A37">
      <w:pPr>
        <w:spacing w:line="360" w:lineRule="auto"/>
        <w:ind w:firstLine="709"/>
        <w:jc w:val="center"/>
        <w:rPr>
          <w:rStyle w:val="ac"/>
          <w:i w:val="0"/>
          <w:color w:val="000000"/>
          <w:sz w:val="28"/>
          <w:szCs w:val="28"/>
        </w:rPr>
      </w:pPr>
      <w:r>
        <w:rPr>
          <w:rStyle w:val="ac"/>
          <w:i w:val="0"/>
          <w:noProof/>
          <w:color w:val="000000"/>
          <w:sz w:val="28"/>
          <w:szCs w:val="28"/>
        </w:rPr>
        <w:drawing>
          <wp:inline distT="0" distB="0" distL="114300" distR="114300">
            <wp:extent cx="5057775" cy="4095749"/>
            <wp:effectExtent l="0" t="0" r="0" b="0"/>
            <wp:docPr id="1066"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705F07" w:rsidRDefault="00185A37">
      <w:pPr>
        <w:spacing w:line="360" w:lineRule="auto"/>
        <w:ind w:firstLine="709"/>
        <w:jc w:val="center"/>
        <w:rPr>
          <w:rStyle w:val="ac"/>
          <w:i w:val="0"/>
          <w:color w:val="000000"/>
          <w:sz w:val="28"/>
          <w:szCs w:val="28"/>
        </w:rPr>
      </w:pPr>
      <w:r>
        <w:rPr>
          <w:rStyle w:val="ac"/>
          <w:i w:val="0"/>
          <w:color w:val="000000"/>
          <w:sz w:val="28"/>
          <w:szCs w:val="28"/>
        </w:rPr>
        <w:t xml:space="preserve">Рис. 2.2. Структура депозитної бази банків України </w:t>
      </w:r>
    </w:p>
    <w:p w:rsidR="00705F07" w:rsidRDefault="00185A37">
      <w:pPr>
        <w:spacing w:line="360" w:lineRule="auto"/>
        <w:ind w:firstLine="709"/>
        <w:jc w:val="center"/>
        <w:rPr>
          <w:rStyle w:val="ac"/>
          <w:i w:val="0"/>
          <w:color w:val="000000"/>
          <w:sz w:val="28"/>
          <w:szCs w:val="28"/>
        </w:rPr>
      </w:pPr>
      <w:r>
        <w:rPr>
          <w:rStyle w:val="ac"/>
          <w:i w:val="0"/>
          <w:color w:val="000000"/>
          <w:sz w:val="28"/>
          <w:szCs w:val="28"/>
        </w:rPr>
        <w:t>за 2022-2024 рр. (%)</w:t>
      </w:r>
    </w:p>
    <w:p w:rsidR="00705F07" w:rsidRDefault="00185A37">
      <w:pPr>
        <w:ind w:firstLine="709"/>
        <w:jc w:val="both"/>
        <w:rPr>
          <w:color w:val="000000"/>
        </w:rPr>
      </w:pPr>
      <w:r>
        <w:rPr>
          <w:color w:val="000000"/>
        </w:rPr>
        <w:t>Джерело: складено автором на основі даних [3</w:t>
      </w:r>
      <w:r>
        <w:rPr>
          <w:color w:val="000000"/>
        </w:rPr>
        <w:t>6].</w:t>
      </w:r>
    </w:p>
    <w:p w:rsidR="00705F07" w:rsidRDefault="00705F07">
      <w:pPr>
        <w:spacing w:line="360" w:lineRule="auto"/>
        <w:ind w:firstLine="709"/>
        <w:jc w:val="both"/>
        <w:rPr>
          <w:rStyle w:val="ac"/>
          <w:i w:val="0"/>
          <w:color w:val="000000"/>
          <w:sz w:val="28"/>
          <w:szCs w:val="28"/>
        </w:rPr>
      </w:pPr>
    </w:p>
    <w:p w:rsidR="00705F07" w:rsidRDefault="00185A37">
      <w:pPr>
        <w:spacing w:line="360" w:lineRule="auto"/>
        <w:ind w:firstLine="709"/>
        <w:jc w:val="both"/>
        <w:rPr>
          <w:rStyle w:val="ac"/>
          <w:i w:val="0"/>
          <w:color w:val="000000"/>
          <w:sz w:val="28"/>
          <w:szCs w:val="28"/>
        </w:rPr>
      </w:pPr>
      <w:r>
        <w:rPr>
          <w:rStyle w:val="ac"/>
          <w:i w:val="0"/>
          <w:color w:val="000000"/>
          <w:sz w:val="28"/>
          <w:szCs w:val="28"/>
        </w:rPr>
        <w:t>У 2022 році домінуючу частку займали депозити фізичних осіб – 49,41%, що свідчить про високий рівень довіри населення до банківської системи на початку воєнного періоду. Депозити юридичних осіб складали 42,24%, а внески державного сектору – лише 8,35%</w:t>
      </w:r>
      <w:r>
        <w:rPr>
          <w:rStyle w:val="ac"/>
          <w:i w:val="0"/>
          <w:color w:val="000000"/>
          <w:sz w:val="28"/>
          <w:szCs w:val="28"/>
        </w:rPr>
        <w:t>. У 2023 році спостерігається незначне зростання частки депозитів фізичних осіб до 49,71% та водночас зменшення частки юридичних осіб до 40,00%. Це свідчить про поступове перерозподілення ресурсів, коли банки більше орієнтуються на стабільні грошові надход</w:t>
      </w:r>
      <w:r>
        <w:rPr>
          <w:rStyle w:val="ac"/>
          <w:i w:val="0"/>
          <w:color w:val="000000"/>
          <w:sz w:val="28"/>
          <w:szCs w:val="28"/>
        </w:rPr>
        <w:t>ження населення. Частка депозитів державного сектору зросла до 10,29%, що відображає активну роль держави у підтриманні ліквідності банківської системи та фінансуванні критичних потреб економіки. До 2024 року депозити фізичних осіб продовжили збільшуватися</w:t>
      </w:r>
      <w:r>
        <w:rPr>
          <w:rStyle w:val="ac"/>
          <w:i w:val="0"/>
          <w:color w:val="000000"/>
          <w:sz w:val="28"/>
          <w:szCs w:val="28"/>
        </w:rPr>
        <w:t>, досягнувши 50,15%, тоді як депозити юридичних осіб знизилися до 38,56%. Частка державного сектору зросла до 11,29%, що демонструє подальшу активізацію фінансування з боку державних установ та участь у стабілізації банківської системи в умовах війни. Стру</w:t>
      </w:r>
      <w:r>
        <w:rPr>
          <w:rStyle w:val="ac"/>
          <w:i w:val="0"/>
          <w:color w:val="000000"/>
          <w:sz w:val="28"/>
          <w:szCs w:val="28"/>
        </w:rPr>
        <w:t>ктура депозитної бази за 2022-2024 рр. свідчить про стійкість банківської системи та здатність адаптуватися до кризових умов. Зростання частки депозитів фізичних осіб і державного сектору одночасно із зменшенням частки юридичних осіб відображає перерозподі</w:t>
      </w:r>
      <w:r>
        <w:rPr>
          <w:rStyle w:val="ac"/>
          <w:i w:val="0"/>
          <w:color w:val="000000"/>
          <w:sz w:val="28"/>
          <w:szCs w:val="28"/>
        </w:rPr>
        <w:t>л ресурсів на користь більш надійних джерел фінансування, що підвищує стабільність банківського сектору у воєнний період.</w:t>
      </w:r>
    </w:p>
    <w:p w:rsidR="00705F07" w:rsidRDefault="00185A37">
      <w:pPr>
        <w:spacing w:line="360" w:lineRule="auto"/>
        <w:ind w:firstLine="709"/>
        <w:jc w:val="both"/>
        <w:rPr>
          <w:rStyle w:val="ac"/>
          <w:i w:val="0"/>
          <w:color w:val="000000"/>
          <w:sz w:val="28"/>
          <w:szCs w:val="28"/>
        </w:rPr>
      </w:pPr>
      <w:r>
        <w:rPr>
          <w:rStyle w:val="ac"/>
          <w:i w:val="0"/>
          <w:color w:val="000000"/>
          <w:sz w:val="28"/>
          <w:szCs w:val="28"/>
        </w:rPr>
        <w:t xml:space="preserve">Показники рентабельності та якості активів є ключовими індикаторами фінансової стійкості банків, здатності забезпечувати кредитування </w:t>
      </w:r>
      <w:r>
        <w:rPr>
          <w:rStyle w:val="ac"/>
          <w:i w:val="0"/>
          <w:color w:val="000000"/>
          <w:sz w:val="28"/>
          <w:szCs w:val="28"/>
        </w:rPr>
        <w:t>економіки та підтримувати ліквідність. Період 2022-2024 рр. характеризується високим рівнем ризиків, коливанням доходів і збільшенням частки непрацюючих кредитів, що зумовлено воєнними діями, економічними втратами та змінами у структурі активів і пасивів б</w:t>
      </w:r>
      <w:r>
        <w:rPr>
          <w:rStyle w:val="ac"/>
          <w:i w:val="0"/>
          <w:color w:val="000000"/>
          <w:sz w:val="28"/>
          <w:szCs w:val="28"/>
        </w:rPr>
        <w:t>анків (табл. 2.6).</w:t>
      </w:r>
    </w:p>
    <w:p w:rsidR="00705F07" w:rsidRDefault="00185A37">
      <w:pPr>
        <w:spacing w:line="360" w:lineRule="auto"/>
        <w:ind w:firstLine="709"/>
        <w:jc w:val="right"/>
        <w:rPr>
          <w:rStyle w:val="ac"/>
          <w:i w:val="0"/>
          <w:color w:val="000000"/>
          <w:sz w:val="28"/>
          <w:szCs w:val="28"/>
        </w:rPr>
      </w:pPr>
      <w:r>
        <w:rPr>
          <w:rStyle w:val="ac"/>
          <w:i w:val="0"/>
          <w:color w:val="000000"/>
          <w:sz w:val="28"/>
          <w:szCs w:val="28"/>
        </w:rPr>
        <w:t>Таблиця 2.6</w:t>
      </w:r>
    </w:p>
    <w:p w:rsidR="00705F07" w:rsidRDefault="00185A37">
      <w:pPr>
        <w:spacing w:line="360" w:lineRule="auto"/>
        <w:ind w:firstLine="709"/>
        <w:jc w:val="center"/>
        <w:rPr>
          <w:rStyle w:val="ac"/>
          <w:i w:val="0"/>
          <w:color w:val="000000"/>
          <w:sz w:val="28"/>
          <w:szCs w:val="28"/>
        </w:rPr>
      </w:pPr>
      <w:r>
        <w:rPr>
          <w:rStyle w:val="ac"/>
          <w:i w:val="0"/>
          <w:color w:val="000000"/>
          <w:sz w:val="28"/>
          <w:szCs w:val="28"/>
        </w:rPr>
        <w:t>Показники рентабельності банківської системи України</w:t>
      </w:r>
    </w:p>
    <w:p w:rsidR="00705F07" w:rsidRDefault="00185A37">
      <w:pPr>
        <w:spacing w:line="360" w:lineRule="auto"/>
        <w:ind w:firstLine="709"/>
        <w:jc w:val="center"/>
        <w:rPr>
          <w:rStyle w:val="ac"/>
          <w:i w:val="0"/>
          <w:color w:val="000000"/>
          <w:sz w:val="28"/>
          <w:szCs w:val="28"/>
        </w:rPr>
      </w:pPr>
      <w:r>
        <w:rPr>
          <w:rStyle w:val="ac"/>
          <w:i w:val="0"/>
          <w:color w:val="000000"/>
          <w:sz w:val="28"/>
          <w:szCs w:val="28"/>
        </w:rPr>
        <w:t>за 2022-2024 рр.</w:t>
      </w:r>
    </w:p>
    <w:tbl>
      <w:tblPr>
        <w:tblStyle w:val="ad"/>
        <w:tblW w:w="9436" w:type="dxa"/>
        <w:jc w:val="center"/>
        <w:tblLook w:val="04A0" w:firstRow="1" w:lastRow="0" w:firstColumn="1" w:lastColumn="0" w:noHBand="0" w:noVBand="1"/>
      </w:tblPr>
      <w:tblGrid>
        <w:gridCol w:w="3693"/>
        <w:gridCol w:w="754"/>
        <w:gridCol w:w="805"/>
        <w:gridCol w:w="952"/>
        <w:gridCol w:w="1400"/>
        <w:gridCol w:w="1831"/>
      </w:tblGrid>
      <w:tr w:rsidR="00705F07">
        <w:trPr>
          <w:jc w:val="center"/>
        </w:trPr>
        <w:tc>
          <w:tcPr>
            <w:tcW w:w="3693" w:type="dxa"/>
            <w:vMerge w:val="restart"/>
            <w:vAlign w:val="center"/>
            <w:hideMark/>
          </w:tcPr>
          <w:p w:rsidR="00705F07" w:rsidRDefault="00185A37">
            <w:pPr>
              <w:jc w:val="center"/>
              <w:rPr>
                <w:rStyle w:val="ac"/>
                <w:i w:val="0"/>
                <w:color w:val="000000"/>
              </w:rPr>
            </w:pPr>
            <w:r>
              <w:rPr>
                <w:rStyle w:val="ac"/>
                <w:i w:val="0"/>
                <w:color w:val="000000"/>
              </w:rPr>
              <w:t>Показники</w:t>
            </w:r>
          </w:p>
        </w:tc>
        <w:tc>
          <w:tcPr>
            <w:tcW w:w="0" w:type="auto"/>
            <w:vMerge w:val="restart"/>
            <w:vAlign w:val="center"/>
            <w:hideMark/>
          </w:tcPr>
          <w:p w:rsidR="00705F07" w:rsidRDefault="00185A37">
            <w:pPr>
              <w:jc w:val="center"/>
              <w:rPr>
                <w:rStyle w:val="ac"/>
                <w:i w:val="0"/>
                <w:color w:val="000000"/>
              </w:rPr>
            </w:pPr>
            <w:r>
              <w:rPr>
                <w:rStyle w:val="ac"/>
                <w:i w:val="0"/>
                <w:color w:val="000000"/>
              </w:rPr>
              <w:t>2022</w:t>
            </w:r>
          </w:p>
        </w:tc>
        <w:tc>
          <w:tcPr>
            <w:tcW w:w="805" w:type="dxa"/>
            <w:vMerge w:val="restart"/>
            <w:vAlign w:val="center"/>
            <w:hideMark/>
          </w:tcPr>
          <w:p w:rsidR="00705F07" w:rsidRDefault="00185A37">
            <w:pPr>
              <w:jc w:val="center"/>
              <w:rPr>
                <w:rStyle w:val="ac"/>
                <w:i w:val="0"/>
                <w:color w:val="000000"/>
              </w:rPr>
            </w:pPr>
            <w:r>
              <w:rPr>
                <w:rStyle w:val="ac"/>
                <w:i w:val="0"/>
                <w:color w:val="000000"/>
              </w:rPr>
              <w:t>2023</w:t>
            </w:r>
          </w:p>
        </w:tc>
        <w:tc>
          <w:tcPr>
            <w:tcW w:w="952" w:type="dxa"/>
            <w:vMerge w:val="restart"/>
            <w:vAlign w:val="center"/>
            <w:hideMark/>
          </w:tcPr>
          <w:p w:rsidR="00705F07" w:rsidRDefault="00185A37">
            <w:pPr>
              <w:jc w:val="center"/>
              <w:rPr>
                <w:rStyle w:val="ac"/>
                <w:i w:val="0"/>
                <w:color w:val="000000"/>
              </w:rPr>
            </w:pPr>
            <w:r>
              <w:rPr>
                <w:rStyle w:val="ac"/>
                <w:i w:val="0"/>
                <w:color w:val="000000"/>
              </w:rPr>
              <w:t>2024</w:t>
            </w:r>
          </w:p>
        </w:tc>
        <w:tc>
          <w:tcPr>
            <w:tcW w:w="0" w:type="auto"/>
            <w:gridSpan w:val="2"/>
            <w:vAlign w:val="center"/>
          </w:tcPr>
          <w:p w:rsidR="00705F07" w:rsidRDefault="00185A37">
            <w:pPr>
              <w:jc w:val="center"/>
              <w:rPr>
                <w:rStyle w:val="ac"/>
                <w:i w:val="0"/>
                <w:color w:val="000000"/>
              </w:rPr>
            </w:pPr>
            <w:r>
              <w:rPr>
                <w:rStyle w:val="ac"/>
                <w:i w:val="0"/>
                <w:color w:val="000000"/>
              </w:rPr>
              <w:t>Відхилення</w:t>
            </w:r>
          </w:p>
          <w:p w:rsidR="00705F07" w:rsidRDefault="00185A37">
            <w:pPr>
              <w:jc w:val="center"/>
              <w:rPr>
                <w:rStyle w:val="ac"/>
                <w:i w:val="0"/>
                <w:color w:val="000000"/>
              </w:rPr>
            </w:pPr>
            <w:r>
              <w:rPr>
                <w:rStyle w:val="ac"/>
                <w:i w:val="0"/>
                <w:color w:val="000000"/>
              </w:rPr>
              <w:t>2024 до 2022</w:t>
            </w:r>
          </w:p>
        </w:tc>
      </w:tr>
      <w:tr w:rsidR="00705F07">
        <w:trPr>
          <w:jc w:val="center"/>
        </w:trPr>
        <w:tc>
          <w:tcPr>
            <w:tcW w:w="3693" w:type="dxa"/>
            <w:vMerge/>
            <w:vAlign w:val="center"/>
            <w:hideMark/>
          </w:tcPr>
          <w:p w:rsidR="00705F07" w:rsidRDefault="00705F07">
            <w:pPr>
              <w:jc w:val="center"/>
              <w:rPr>
                <w:rStyle w:val="ac"/>
                <w:i w:val="0"/>
                <w:color w:val="000000"/>
              </w:rPr>
            </w:pPr>
          </w:p>
        </w:tc>
        <w:tc>
          <w:tcPr>
            <w:tcW w:w="0" w:type="auto"/>
            <w:vMerge/>
            <w:vAlign w:val="center"/>
            <w:hideMark/>
          </w:tcPr>
          <w:p w:rsidR="00705F07" w:rsidRDefault="00705F07">
            <w:pPr>
              <w:jc w:val="center"/>
              <w:rPr>
                <w:rStyle w:val="ac"/>
                <w:i w:val="0"/>
                <w:color w:val="000000"/>
              </w:rPr>
            </w:pPr>
          </w:p>
        </w:tc>
        <w:tc>
          <w:tcPr>
            <w:tcW w:w="805" w:type="dxa"/>
            <w:vMerge/>
            <w:vAlign w:val="center"/>
            <w:hideMark/>
          </w:tcPr>
          <w:p w:rsidR="00705F07" w:rsidRDefault="00705F07">
            <w:pPr>
              <w:jc w:val="center"/>
              <w:rPr>
                <w:rStyle w:val="ac"/>
                <w:i w:val="0"/>
                <w:color w:val="000000"/>
              </w:rPr>
            </w:pPr>
          </w:p>
        </w:tc>
        <w:tc>
          <w:tcPr>
            <w:tcW w:w="952" w:type="dxa"/>
            <w:vMerge/>
            <w:vAlign w:val="center"/>
            <w:hideMark/>
          </w:tcPr>
          <w:p w:rsidR="00705F07" w:rsidRDefault="00705F07">
            <w:pPr>
              <w:jc w:val="center"/>
              <w:rPr>
                <w:rStyle w:val="ac"/>
                <w:i w:val="0"/>
                <w:color w:val="000000"/>
              </w:rPr>
            </w:pPr>
          </w:p>
        </w:tc>
        <w:tc>
          <w:tcPr>
            <w:tcW w:w="0" w:type="auto"/>
            <w:vAlign w:val="center"/>
          </w:tcPr>
          <w:p w:rsidR="00705F07" w:rsidRDefault="00185A37">
            <w:pPr>
              <w:jc w:val="center"/>
              <w:rPr>
                <w:rStyle w:val="ac"/>
                <w:i w:val="0"/>
                <w:color w:val="000000"/>
              </w:rPr>
            </w:pPr>
            <w:r>
              <w:rPr>
                <w:rStyle w:val="ac"/>
                <w:i w:val="0"/>
                <w:color w:val="000000"/>
              </w:rPr>
              <w:t>Абс. відх.</w:t>
            </w:r>
          </w:p>
        </w:tc>
        <w:tc>
          <w:tcPr>
            <w:tcW w:w="0" w:type="auto"/>
            <w:vAlign w:val="center"/>
          </w:tcPr>
          <w:p w:rsidR="00705F07" w:rsidRDefault="00185A37">
            <w:pPr>
              <w:jc w:val="center"/>
              <w:rPr>
                <w:rStyle w:val="ac"/>
                <w:i w:val="0"/>
                <w:color w:val="000000"/>
              </w:rPr>
            </w:pPr>
            <w:r>
              <w:rPr>
                <w:rStyle w:val="ac"/>
                <w:i w:val="0"/>
                <w:color w:val="000000"/>
              </w:rPr>
              <w:t>Відн. відх., %</w:t>
            </w:r>
          </w:p>
        </w:tc>
      </w:tr>
      <w:tr w:rsidR="00705F07">
        <w:trPr>
          <w:jc w:val="center"/>
        </w:trPr>
        <w:tc>
          <w:tcPr>
            <w:tcW w:w="3693" w:type="dxa"/>
            <w:vAlign w:val="center"/>
            <w:hideMark/>
          </w:tcPr>
          <w:p w:rsidR="00705F07" w:rsidRDefault="00185A37">
            <w:pPr>
              <w:rPr>
                <w:color w:val="000000"/>
              </w:rPr>
            </w:pPr>
            <w:r>
              <w:rPr>
                <w:color w:val="000000"/>
              </w:rPr>
              <w:t>Рентабельність активів (ROA), %</w:t>
            </w:r>
          </w:p>
        </w:tc>
        <w:tc>
          <w:tcPr>
            <w:tcW w:w="0" w:type="auto"/>
            <w:vAlign w:val="center"/>
            <w:hideMark/>
          </w:tcPr>
          <w:p w:rsidR="00705F07" w:rsidRDefault="00185A37">
            <w:pPr>
              <w:jc w:val="center"/>
              <w:rPr>
                <w:color w:val="000000"/>
              </w:rPr>
            </w:pPr>
            <w:r>
              <w:rPr>
                <w:color w:val="000000"/>
              </w:rPr>
              <w:t>0,6</w:t>
            </w:r>
          </w:p>
        </w:tc>
        <w:tc>
          <w:tcPr>
            <w:tcW w:w="805" w:type="dxa"/>
            <w:vAlign w:val="center"/>
            <w:hideMark/>
          </w:tcPr>
          <w:p w:rsidR="00705F07" w:rsidRDefault="00185A37">
            <w:pPr>
              <w:jc w:val="center"/>
              <w:rPr>
                <w:color w:val="000000"/>
              </w:rPr>
            </w:pPr>
            <w:r>
              <w:rPr>
                <w:color w:val="000000"/>
              </w:rPr>
              <w:t>1,3</w:t>
            </w:r>
          </w:p>
        </w:tc>
        <w:tc>
          <w:tcPr>
            <w:tcW w:w="952" w:type="dxa"/>
            <w:vAlign w:val="center"/>
            <w:hideMark/>
          </w:tcPr>
          <w:p w:rsidR="00705F07" w:rsidRDefault="00185A37">
            <w:pPr>
              <w:jc w:val="center"/>
              <w:rPr>
                <w:color w:val="000000"/>
              </w:rPr>
            </w:pPr>
            <w:r>
              <w:rPr>
                <w:color w:val="000000"/>
              </w:rPr>
              <w:t>2,2</w:t>
            </w:r>
          </w:p>
        </w:tc>
        <w:tc>
          <w:tcPr>
            <w:tcW w:w="0" w:type="auto"/>
            <w:vAlign w:val="center"/>
          </w:tcPr>
          <w:p w:rsidR="00705F07" w:rsidRDefault="00185A37">
            <w:pPr>
              <w:jc w:val="center"/>
              <w:rPr>
                <w:color w:val="000000"/>
              </w:rPr>
            </w:pPr>
            <w:r>
              <w:rPr>
                <w:color w:val="000000"/>
              </w:rPr>
              <w:t>1,6</w:t>
            </w:r>
          </w:p>
        </w:tc>
        <w:tc>
          <w:tcPr>
            <w:tcW w:w="0" w:type="auto"/>
            <w:vAlign w:val="center"/>
          </w:tcPr>
          <w:p w:rsidR="00705F07" w:rsidRDefault="00185A37">
            <w:pPr>
              <w:jc w:val="center"/>
              <w:rPr>
                <w:color w:val="000000"/>
              </w:rPr>
            </w:pPr>
            <w:r>
              <w:rPr>
                <w:color w:val="000000"/>
              </w:rPr>
              <w:t>266,7</w:t>
            </w:r>
          </w:p>
        </w:tc>
      </w:tr>
      <w:tr w:rsidR="00705F07">
        <w:trPr>
          <w:jc w:val="center"/>
        </w:trPr>
        <w:tc>
          <w:tcPr>
            <w:tcW w:w="3693" w:type="dxa"/>
            <w:vAlign w:val="center"/>
          </w:tcPr>
          <w:p w:rsidR="00705F07" w:rsidRDefault="00185A37">
            <w:pPr>
              <w:rPr>
                <w:color w:val="000000"/>
              </w:rPr>
            </w:pPr>
            <w:r>
              <w:rPr>
                <w:color w:val="000000"/>
              </w:rPr>
              <w:t xml:space="preserve">Рентабельність </w:t>
            </w:r>
            <w:r>
              <w:rPr>
                <w:color w:val="000000"/>
              </w:rPr>
              <w:t>капіталу (ROE), %</w:t>
            </w:r>
          </w:p>
        </w:tc>
        <w:tc>
          <w:tcPr>
            <w:tcW w:w="0" w:type="auto"/>
            <w:vAlign w:val="center"/>
          </w:tcPr>
          <w:p w:rsidR="00705F07" w:rsidRDefault="00185A37">
            <w:pPr>
              <w:jc w:val="center"/>
              <w:rPr>
                <w:color w:val="000000"/>
              </w:rPr>
            </w:pPr>
            <w:r>
              <w:rPr>
                <w:color w:val="000000"/>
              </w:rPr>
              <w:t>5,4</w:t>
            </w:r>
          </w:p>
        </w:tc>
        <w:tc>
          <w:tcPr>
            <w:tcW w:w="805" w:type="dxa"/>
            <w:vAlign w:val="center"/>
          </w:tcPr>
          <w:p w:rsidR="00705F07" w:rsidRDefault="00185A37">
            <w:pPr>
              <w:jc w:val="center"/>
              <w:rPr>
                <w:color w:val="000000"/>
              </w:rPr>
            </w:pPr>
            <w:r>
              <w:rPr>
                <w:color w:val="000000"/>
              </w:rPr>
              <w:t>10,8</w:t>
            </w:r>
          </w:p>
        </w:tc>
        <w:tc>
          <w:tcPr>
            <w:tcW w:w="952" w:type="dxa"/>
            <w:vAlign w:val="center"/>
          </w:tcPr>
          <w:p w:rsidR="00705F07" w:rsidRDefault="00185A37">
            <w:pPr>
              <w:jc w:val="center"/>
              <w:rPr>
                <w:color w:val="000000"/>
              </w:rPr>
            </w:pPr>
            <w:r>
              <w:rPr>
                <w:color w:val="000000"/>
              </w:rPr>
              <w:t>17,9</w:t>
            </w:r>
          </w:p>
        </w:tc>
        <w:tc>
          <w:tcPr>
            <w:tcW w:w="0" w:type="auto"/>
            <w:vAlign w:val="center"/>
          </w:tcPr>
          <w:p w:rsidR="00705F07" w:rsidRDefault="00185A37">
            <w:pPr>
              <w:jc w:val="center"/>
              <w:rPr>
                <w:color w:val="000000"/>
              </w:rPr>
            </w:pPr>
            <w:r>
              <w:rPr>
                <w:color w:val="000000"/>
              </w:rPr>
              <w:t>12,5</w:t>
            </w:r>
          </w:p>
        </w:tc>
        <w:tc>
          <w:tcPr>
            <w:tcW w:w="0" w:type="auto"/>
            <w:vAlign w:val="center"/>
          </w:tcPr>
          <w:p w:rsidR="00705F07" w:rsidRDefault="00185A37">
            <w:pPr>
              <w:jc w:val="center"/>
              <w:rPr>
                <w:color w:val="000000"/>
              </w:rPr>
            </w:pPr>
            <w:r>
              <w:rPr>
                <w:color w:val="000000"/>
              </w:rPr>
              <w:t>231,5</w:t>
            </w:r>
          </w:p>
        </w:tc>
      </w:tr>
      <w:tr w:rsidR="00705F07">
        <w:trPr>
          <w:jc w:val="center"/>
        </w:trPr>
        <w:tc>
          <w:tcPr>
            <w:tcW w:w="3693" w:type="dxa"/>
            <w:vAlign w:val="center"/>
          </w:tcPr>
          <w:p w:rsidR="00705F07" w:rsidRDefault="00185A37">
            <w:pPr>
              <w:rPr>
                <w:color w:val="000000"/>
              </w:rPr>
            </w:pPr>
            <w:r>
              <w:rPr>
                <w:color w:val="000000"/>
              </w:rPr>
              <w:t>Частка непрацюючих кредитів (NPL), %</w:t>
            </w:r>
          </w:p>
        </w:tc>
        <w:tc>
          <w:tcPr>
            <w:tcW w:w="0" w:type="auto"/>
            <w:vAlign w:val="center"/>
          </w:tcPr>
          <w:p w:rsidR="00705F07" w:rsidRDefault="00185A37">
            <w:pPr>
              <w:jc w:val="center"/>
              <w:rPr>
                <w:color w:val="000000"/>
              </w:rPr>
            </w:pPr>
            <w:r>
              <w:rPr>
                <w:color w:val="000000"/>
              </w:rPr>
              <w:t>30,0</w:t>
            </w:r>
          </w:p>
        </w:tc>
        <w:tc>
          <w:tcPr>
            <w:tcW w:w="805" w:type="dxa"/>
            <w:vAlign w:val="center"/>
          </w:tcPr>
          <w:p w:rsidR="00705F07" w:rsidRDefault="00185A37">
            <w:pPr>
              <w:jc w:val="center"/>
              <w:rPr>
                <w:color w:val="000000"/>
              </w:rPr>
            </w:pPr>
            <w:r>
              <w:rPr>
                <w:color w:val="000000"/>
              </w:rPr>
              <w:t>37,7</w:t>
            </w:r>
          </w:p>
        </w:tc>
        <w:tc>
          <w:tcPr>
            <w:tcW w:w="952" w:type="dxa"/>
            <w:vAlign w:val="center"/>
          </w:tcPr>
          <w:p w:rsidR="00705F07" w:rsidRDefault="00185A37">
            <w:pPr>
              <w:jc w:val="center"/>
              <w:rPr>
                <w:color w:val="000000"/>
              </w:rPr>
            </w:pPr>
            <w:r>
              <w:rPr>
                <w:color w:val="000000"/>
              </w:rPr>
              <w:t>38,2</w:t>
            </w:r>
          </w:p>
        </w:tc>
        <w:tc>
          <w:tcPr>
            <w:tcW w:w="0" w:type="auto"/>
            <w:vAlign w:val="center"/>
          </w:tcPr>
          <w:p w:rsidR="00705F07" w:rsidRDefault="00185A37">
            <w:pPr>
              <w:jc w:val="center"/>
              <w:rPr>
                <w:color w:val="000000"/>
              </w:rPr>
            </w:pPr>
            <w:r>
              <w:rPr>
                <w:color w:val="000000"/>
              </w:rPr>
              <w:t>8,2</w:t>
            </w:r>
          </w:p>
        </w:tc>
        <w:tc>
          <w:tcPr>
            <w:tcW w:w="0" w:type="auto"/>
            <w:vAlign w:val="center"/>
          </w:tcPr>
          <w:p w:rsidR="00705F07" w:rsidRDefault="00185A37">
            <w:pPr>
              <w:jc w:val="center"/>
              <w:rPr>
                <w:color w:val="000000"/>
              </w:rPr>
            </w:pPr>
            <w:r>
              <w:rPr>
                <w:color w:val="000000"/>
              </w:rPr>
              <w:t>27,3</w:t>
            </w:r>
          </w:p>
        </w:tc>
      </w:tr>
      <w:tr w:rsidR="00705F07">
        <w:trPr>
          <w:jc w:val="center"/>
        </w:trPr>
        <w:tc>
          <w:tcPr>
            <w:tcW w:w="3693" w:type="dxa"/>
            <w:vAlign w:val="center"/>
          </w:tcPr>
          <w:p w:rsidR="00705F07" w:rsidRDefault="00185A37">
            <w:pPr>
              <w:rPr>
                <w:color w:val="000000"/>
              </w:rPr>
            </w:pPr>
            <w:r>
              <w:rPr>
                <w:color w:val="000000"/>
              </w:rPr>
              <w:t>Частка високоліквідних активів, %</w:t>
            </w:r>
          </w:p>
        </w:tc>
        <w:tc>
          <w:tcPr>
            <w:tcW w:w="0" w:type="auto"/>
            <w:vAlign w:val="center"/>
          </w:tcPr>
          <w:p w:rsidR="00705F07" w:rsidRDefault="00185A37">
            <w:pPr>
              <w:jc w:val="center"/>
              <w:rPr>
                <w:color w:val="000000"/>
              </w:rPr>
            </w:pPr>
            <w:r>
              <w:rPr>
                <w:color w:val="000000"/>
              </w:rPr>
              <w:t>21,4</w:t>
            </w:r>
          </w:p>
        </w:tc>
        <w:tc>
          <w:tcPr>
            <w:tcW w:w="805" w:type="dxa"/>
            <w:vAlign w:val="center"/>
          </w:tcPr>
          <w:p w:rsidR="00705F07" w:rsidRDefault="00185A37">
            <w:pPr>
              <w:jc w:val="center"/>
              <w:rPr>
                <w:color w:val="000000"/>
              </w:rPr>
            </w:pPr>
            <w:r>
              <w:rPr>
                <w:color w:val="000000"/>
              </w:rPr>
              <w:t>26,9</w:t>
            </w:r>
          </w:p>
        </w:tc>
        <w:tc>
          <w:tcPr>
            <w:tcW w:w="952" w:type="dxa"/>
            <w:vAlign w:val="center"/>
          </w:tcPr>
          <w:p w:rsidR="00705F07" w:rsidRDefault="00185A37">
            <w:pPr>
              <w:jc w:val="center"/>
              <w:rPr>
                <w:color w:val="000000"/>
              </w:rPr>
            </w:pPr>
            <w:r>
              <w:rPr>
                <w:color w:val="000000"/>
              </w:rPr>
              <w:t>28,1</w:t>
            </w:r>
          </w:p>
        </w:tc>
        <w:tc>
          <w:tcPr>
            <w:tcW w:w="0" w:type="auto"/>
            <w:vAlign w:val="center"/>
          </w:tcPr>
          <w:p w:rsidR="00705F07" w:rsidRDefault="00185A37">
            <w:pPr>
              <w:jc w:val="center"/>
              <w:rPr>
                <w:color w:val="000000"/>
              </w:rPr>
            </w:pPr>
            <w:r>
              <w:rPr>
                <w:color w:val="000000"/>
              </w:rPr>
              <w:t>6,7</w:t>
            </w:r>
          </w:p>
        </w:tc>
        <w:tc>
          <w:tcPr>
            <w:tcW w:w="0" w:type="auto"/>
            <w:vAlign w:val="center"/>
          </w:tcPr>
          <w:p w:rsidR="00705F07" w:rsidRDefault="00185A37">
            <w:pPr>
              <w:jc w:val="center"/>
              <w:rPr>
                <w:color w:val="000000"/>
              </w:rPr>
            </w:pPr>
            <w:r>
              <w:rPr>
                <w:color w:val="000000"/>
              </w:rPr>
              <w:t>31,3</w:t>
            </w:r>
          </w:p>
        </w:tc>
      </w:tr>
    </w:tbl>
    <w:p w:rsidR="00705F07" w:rsidRDefault="00185A37">
      <w:pPr>
        <w:ind w:firstLine="709"/>
        <w:jc w:val="both"/>
        <w:rPr>
          <w:color w:val="000000"/>
        </w:rPr>
      </w:pPr>
      <w:r>
        <w:rPr>
          <w:color w:val="000000"/>
        </w:rPr>
        <w:t>Джерело: складено автором на основі даних [36].</w:t>
      </w:r>
    </w:p>
    <w:p w:rsidR="00705F07" w:rsidRDefault="00705F07">
      <w:pPr>
        <w:spacing w:line="360" w:lineRule="auto"/>
        <w:ind w:firstLine="709"/>
        <w:jc w:val="both"/>
        <w:rPr>
          <w:rStyle w:val="ac"/>
          <w:i w:val="0"/>
          <w:color w:val="000000"/>
          <w:sz w:val="28"/>
          <w:szCs w:val="28"/>
        </w:rPr>
      </w:pPr>
    </w:p>
    <w:p w:rsidR="00705F07" w:rsidRDefault="00185A37">
      <w:pPr>
        <w:spacing w:line="360" w:lineRule="auto"/>
        <w:ind w:firstLine="709"/>
        <w:jc w:val="both"/>
        <w:rPr>
          <w:rStyle w:val="ac"/>
          <w:i w:val="0"/>
          <w:color w:val="000000"/>
          <w:sz w:val="28"/>
          <w:szCs w:val="28"/>
        </w:rPr>
      </w:pPr>
      <w:r>
        <w:rPr>
          <w:rStyle w:val="ac"/>
          <w:i w:val="0"/>
          <w:color w:val="000000"/>
          <w:sz w:val="28"/>
          <w:szCs w:val="28"/>
        </w:rPr>
        <w:t>Дослідження рентабельності дозволяє оцінити, наскільки банківська система змогла адаптуватися до екстремальних умов, збільшити ефективність використання ресурсів і зберегти фінансову стійкість. Аналіз показників ROA, ROE, частки непрацюючих кредитів та вис</w:t>
      </w:r>
      <w:r>
        <w:rPr>
          <w:rStyle w:val="ac"/>
          <w:i w:val="0"/>
          <w:color w:val="000000"/>
          <w:sz w:val="28"/>
          <w:szCs w:val="28"/>
        </w:rPr>
        <w:t>околіквідних активів дозволяє зробити висновки щодо ризикованості діяльності банків та здатності до відновлення після кризових потрясінь. По-перше, рентабельність активів (ROA) зросла з 0,6% у 2022 році до 2,2% у 2024 році, що свідчить про підвищення ефект</w:t>
      </w:r>
      <w:r>
        <w:rPr>
          <w:rStyle w:val="ac"/>
          <w:i w:val="0"/>
          <w:color w:val="000000"/>
          <w:sz w:val="28"/>
          <w:szCs w:val="28"/>
        </w:rPr>
        <w:t xml:space="preserve">ивності використання банками своїх активів. Таке зростання відображає оптимізацію витрат, збільшення доходів від кредитування та фінансових операцій, а також здатність банків адаптуватися до нестабільних економічних умов. По-друге, рентабельність капіталу </w:t>
      </w:r>
      <w:r>
        <w:rPr>
          <w:rStyle w:val="ac"/>
          <w:i w:val="0"/>
          <w:color w:val="000000"/>
          <w:sz w:val="28"/>
          <w:szCs w:val="28"/>
        </w:rPr>
        <w:t xml:space="preserve">(ROE) підвищилася з 5,4% до 17,9%, що свідчить про значне зростання доходності власного капіталу банків і покращення прибутковості, незважаючи на високі ризики та воєнні втрати. Це підкреслює здатність банків не лише зберігати стабільність, а й нарощувати </w:t>
      </w:r>
      <w:r>
        <w:rPr>
          <w:rStyle w:val="ac"/>
          <w:i w:val="0"/>
          <w:color w:val="000000"/>
          <w:sz w:val="28"/>
          <w:szCs w:val="28"/>
        </w:rPr>
        <w:t>прибуток у кризовий період. По-третє, показник частки непрацюючих кредитів (NPL) зріс з 30% до 38,2%, що відображає підвищення кредитного ризику та збільшення кількості позик, що не обслуговуються вчасно через економічні труднощі і руйнування бізнес-активі</w:t>
      </w:r>
      <w:r>
        <w:rPr>
          <w:rStyle w:val="ac"/>
          <w:i w:val="0"/>
          <w:color w:val="000000"/>
          <w:sz w:val="28"/>
          <w:szCs w:val="28"/>
        </w:rPr>
        <w:t>в. Водночас, цей показник демонструє, що банки змогли контролювати рівень ризику і не допустити катастрофічного зростання непрацюючих кредитів. По-четверте, частка високоліквідних активів зросла з 21,4% до 28,1%, що свідчить про підвищення здатності банків</w:t>
      </w:r>
      <w:r>
        <w:rPr>
          <w:rStyle w:val="ac"/>
          <w:i w:val="0"/>
          <w:color w:val="000000"/>
          <w:sz w:val="28"/>
          <w:szCs w:val="28"/>
        </w:rPr>
        <w:t xml:space="preserve"> швидко реагувати на фінансові потреби та забезпечувати ліквідність у нестабільних умовах. Це відображає консервативну політику управління активами, спрямовану на збереження фінансової стабільності та мінімізацію ризиків у період війни. Таким чином, показн</w:t>
      </w:r>
      <w:r>
        <w:rPr>
          <w:rStyle w:val="ac"/>
          <w:i w:val="0"/>
          <w:color w:val="000000"/>
          <w:sz w:val="28"/>
          <w:szCs w:val="28"/>
        </w:rPr>
        <w:t>ики рентабельності за 2022-2024 рр. демонструють, що банківська система України зуміла адаптуватися до воєнних умов, забезпечити ефективне використання ресурсів та підтримати ліквідність і прибутковість. Поступове зростання ROA і ROE у поєднанні зі збільше</w:t>
      </w:r>
      <w:r>
        <w:rPr>
          <w:rStyle w:val="ac"/>
          <w:i w:val="0"/>
          <w:color w:val="000000"/>
          <w:sz w:val="28"/>
          <w:szCs w:val="28"/>
        </w:rPr>
        <w:t>нням високоліквідних активів свідчить про підвищену стійкість банків до кризових впливів та здатність забезпечувати фінансування економіки навіть в умовах війни.</w:t>
      </w:r>
    </w:p>
    <w:p w:rsidR="00705F07" w:rsidRDefault="00185A37">
      <w:pPr>
        <w:rPr>
          <w:rFonts w:eastAsia="SimSun"/>
          <w:bCs/>
          <w:color w:val="000000"/>
          <w:sz w:val="28"/>
          <w:szCs w:val="28"/>
        </w:rPr>
      </w:pPr>
      <w:r>
        <w:rPr>
          <w:color w:val="000000"/>
          <w:sz w:val="28"/>
          <w:szCs w:val="28"/>
        </w:rPr>
        <w:br w:type="page"/>
      </w:r>
    </w:p>
    <w:p w:rsidR="00705F07" w:rsidRDefault="00185A37">
      <w:pPr>
        <w:pStyle w:val="2"/>
        <w:keepNext w:val="0"/>
        <w:keepLines w:val="0"/>
        <w:spacing w:before="0" w:line="360" w:lineRule="auto"/>
        <w:ind w:firstLine="709"/>
        <w:jc w:val="both"/>
        <w:rPr>
          <w:rFonts w:ascii="Times New Roman" w:hAnsi="Times New Roman" w:cs="Times New Roman"/>
          <w:b w:val="0"/>
          <w:color w:val="000000"/>
          <w:sz w:val="28"/>
          <w:szCs w:val="28"/>
        </w:rPr>
      </w:pPr>
      <w:bookmarkStart w:id="11" w:name="_Toc213845770"/>
      <w:r>
        <w:rPr>
          <w:rFonts w:ascii="Times New Roman" w:hAnsi="Times New Roman" w:cs="Times New Roman"/>
          <w:b w:val="0"/>
          <w:color w:val="000000"/>
          <w:sz w:val="28"/>
          <w:szCs w:val="28"/>
        </w:rPr>
        <w:t>2.2 Аналіз динаміки валютного ринку України за період 2022-2024 рр.</w:t>
      </w:r>
      <w:bookmarkEnd w:id="11"/>
      <w:r>
        <w:rPr>
          <w:rFonts w:ascii="Times New Roman" w:hAnsi="Times New Roman" w:cs="Times New Roman"/>
          <w:b w:val="0"/>
          <w:color w:val="000000"/>
          <w:sz w:val="28"/>
          <w:szCs w:val="28"/>
        </w:rPr>
        <w:t xml:space="preserve"> </w:t>
      </w:r>
    </w:p>
    <w:p w:rsidR="00705F07" w:rsidRDefault="00705F07">
      <w:pPr>
        <w:pStyle w:val="2"/>
        <w:keepNext w:val="0"/>
        <w:keepLines w:val="0"/>
        <w:spacing w:before="0" w:line="360" w:lineRule="auto"/>
        <w:ind w:firstLine="709"/>
        <w:jc w:val="both"/>
        <w:rPr>
          <w:rFonts w:ascii="Times New Roman" w:hAnsi="Times New Roman" w:cs="Times New Roman"/>
          <w:b w:val="0"/>
          <w:color w:val="000000"/>
          <w:sz w:val="28"/>
          <w:szCs w:val="28"/>
        </w:rPr>
      </w:pPr>
    </w:p>
    <w:p w:rsidR="00705F07" w:rsidRDefault="00185A37">
      <w:pPr>
        <w:spacing w:line="360" w:lineRule="auto"/>
        <w:ind w:firstLine="709"/>
        <w:jc w:val="both"/>
        <w:rPr>
          <w:rStyle w:val="ac"/>
          <w:i w:val="0"/>
          <w:color w:val="000000"/>
          <w:sz w:val="28"/>
          <w:szCs w:val="28"/>
        </w:rPr>
      </w:pPr>
      <w:r>
        <w:rPr>
          <w:rStyle w:val="ac"/>
          <w:i w:val="0"/>
          <w:color w:val="000000"/>
          <w:sz w:val="28"/>
          <w:szCs w:val="28"/>
        </w:rPr>
        <w:t>Валютний ринок України</w:t>
      </w:r>
      <w:r>
        <w:rPr>
          <w:rStyle w:val="ac"/>
          <w:i w:val="0"/>
          <w:color w:val="000000"/>
          <w:sz w:val="28"/>
          <w:szCs w:val="28"/>
        </w:rPr>
        <w:t xml:space="preserve"> є важливою складовою економічної системи, яка забезпечує стабільність національної валюти, сприяє регулюванню зовнішньоекономічної діяльності та впливає на макроекономічні показники країни. Аналіз динаміки валютного ринку за 2022-2024 рр. дозволяє оцінити</w:t>
      </w:r>
      <w:r>
        <w:rPr>
          <w:rStyle w:val="ac"/>
          <w:i w:val="0"/>
          <w:color w:val="000000"/>
          <w:sz w:val="28"/>
          <w:szCs w:val="28"/>
        </w:rPr>
        <w:t xml:space="preserve"> ефективність монетарної політики Національного банку України (НБУ), зокрема валютних інтервенцій, а також визначити вплив цих заходів на коливання офіційного курсу гривні (додатки А-В). У цей період українська економіка зазнала значного впливу зовнішніх і</w:t>
      </w:r>
      <w:r>
        <w:rPr>
          <w:rStyle w:val="ac"/>
          <w:i w:val="0"/>
          <w:color w:val="000000"/>
          <w:sz w:val="28"/>
          <w:szCs w:val="28"/>
        </w:rPr>
        <w:t xml:space="preserve"> внутрішніх шоків, що відобразилося на обсягах валютних інтервенцій та рівні обмінного курсу (рис. 2.3).</w:t>
      </w:r>
    </w:p>
    <w:p w:rsidR="00705F07" w:rsidRDefault="00185A37">
      <w:pPr>
        <w:spacing w:line="360" w:lineRule="auto"/>
        <w:ind w:firstLine="709"/>
        <w:jc w:val="center"/>
        <w:rPr>
          <w:rStyle w:val="ac"/>
          <w:i w:val="0"/>
          <w:color w:val="000000"/>
          <w:sz w:val="28"/>
          <w:szCs w:val="28"/>
        </w:rPr>
      </w:pPr>
      <w:r>
        <w:rPr>
          <w:rStyle w:val="ac"/>
          <w:i w:val="0"/>
          <w:noProof/>
          <w:color w:val="000000"/>
          <w:sz w:val="28"/>
          <w:szCs w:val="28"/>
        </w:rPr>
        <w:drawing>
          <wp:inline distT="0" distB="0" distL="114300" distR="114300">
            <wp:extent cx="4572000" cy="2743200"/>
            <wp:effectExtent l="0" t="0" r="0" b="0"/>
            <wp:docPr id="1068"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705F07" w:rsidRDefault="00185A37">
      <w:pPr>
        <w:spacing w:line="360" w:lineRule="auto"/>
        <w:ind w:firstLine="709"/>
        <w:jc w:val="center"/>
        <w:rPr>
          <w:rStyle w:val="ac"/>
          <w:i w:val="0"/>
          <w:color w:val="000000"/>
          <w:sz w:val="28"/>
          <w:szCs w:val="28"/>
        </w:rPr>
      </w:pPr>
      <w:r>
        <w:rPr>
          <w:rStyle w:val="ac"/>
          <w:i w:val="0"/>
          <w:color w:val="000000"/>
          <w:sz w:val="28"/>
          <w:szCs w:val="28"/>
        </w:rPr>
        <w:t>Рис. 2.3. Динаміка валютних інтервенцій НБУ та офіційного курсу гривні за 2022-2024 рр.</w:t>
      </w:r>
    </w:p>
    <w:p w:rsidR="00705F07" w:rsidRDefault="00185A37">
      <w:pPr>
        <w:ind w:firstLine="709"/>
        <w:jc w:val="both"/>
        <w:rPr>
          <w:color w:val="000000"/>
        </w:rPr>
      </w:pPr>
      <w:r>
        <w:rPr>
          <w:color w:val="000000"/>
        </w:rPr>
        <w:t>Джерело: складено автором на основі даних [50].</w:t>
      </w:r>
    </w:p>
    <w:p w:rsidR="00705F07" w:rsidRDefault="00705F07">
      <w:pPr>
        <w:spacing w:line="360" w:lineRule="auto"/>
        <w:ind w:firstLine="709"/>
        <w:jc w:val="center"/>
        <w:rPr>
          <w:rStyle w:val="ac"/>
          <w:i w:val="0"/>
          <w:color w:val="000000"/>
          <w:sz w:val="28"/>
          <w:szCs w:val="28"/>
        </w:rPr>
      </w:pPr>
    </w:p>
    <w:p w:rsidR="00705F07" w:rsidRDefault="00185A37">
      <w:pPr>
        <w:spacing w:line="360" w:lineRule="auto"/>
        <w:ind w:firstLine="709"/>
        <w:jc w:val="both"/>
        <w:rPr>
          <w:rStyle w:val="ac"/>
          <w:i w:val="0"/>
          <w:color w:val="000000"/>
          <w:sz w:val="28"/>
          <w:szCs w:val="28"/>
        </w:rPr>
      </w:pPr>
      <w:r>
        <w:rPr>
          <w:rStyle w:val="ac"/>
          <w:i w:val="0"/>
          <w:color w:val="000000"/>
          <w:sz w:val="28"/>
          <w:szCs w:val="28"/>
        </w:rPr>
        <w:t>За даними, н</w:t>
      </w:r>
      <w:r>
        <w:rPr>
          <w:rStyle w:val="ac"/>
          <w:i w:val="0"/>
          <w:color w:val="000000"/>
          <w:sz w:val="28"/>
          <w:szCs w:val="28"/>
        </w:rPr>
        <w:t>аведеними на рис. 2.3, спостерігається негативне сальдо валютних інтервенцій НБУ у 2022-2024 рр., що свідчить про переважання продажу валюти над її купівлею. У 2022 році обсяг інтервенцій становив -23,4 млрд дол. США при середньорічному офіційному курсі 30</w:t>
      </w:r>
      <w:r>
        <w:rPr>
          <w:rStyle w:val="ac"/>
          <w:i w:val="0"/>
          <w:color w:val="000000"/>
          <w:sz w:val="28"/>
          <w:szCs w:val="28"/>
        </w:rPr>
        <w:t>,07 грн/дол. США. Це свідчить про значний тиск на валютний ринок, що зумовлювало необхідність продажу резервних коштів для підтримки фінансової стабільності та обмеження надмірного коливання курсу гривні.</w:t>
      </w:r>
    </w:p>
    <w:p w:rsidR="00705F07" w:rsidRDefault="00185A37">
      <w:pPr>
        <w:spacing w:line="360" w:lineRule="auto"/>
        <w:ind w:firstLine="709"/>
        <w:jc w:val="both"/>
        <w:rPr>
          <w:rStyle w:val="ac"/>
          <w:i w:val="0"/>
          <w:color w:val="000000"/>
          <w:sz w:val="28"/>
          <w:szCs w:val="28"/>
        </w:rPr>
      </w:pPr>
      <w:r>
        <w:rPr>
          <w:rStyle w:val="ac"/>
          <w:i w:val="0"/>
          <w:color w:val="000000"/>
          <w:sz w:val="28"/>
          <w:szCs w:val="28"/>
        </w:rPr>
        <w:t>У 2023 році обсяг продажу валюти збільшився до -27,</w:t>
      </w:r>
      <w:r>
        <w:rPr>
          <w:rStyle w:val="ac"/>
          <w:i w:val="0"/>
          <w:color w:val="000000"/>
          <w:sz w:val="28"/>
          <w:szCs w:val="28"/>
        </w:rPr>
        <w:t>1 млрд дол. США, а середньорічний курс зріс до 36,57 грн/дол. США. Така тенденція свідчить про продовження високого попиту на іноземну валюту на тлі зовнішніх економічних та геополітичних факторів, що потребувало активного втручання НБУ для стабілізації ку</w:t>
      </w:r>
      <w:r>
        <w:rPr>
          <w:rStyle w:val="ac"/>
          <w:i w:val="0"/>
          <w:color w:val="000000"/>
          <w:sz w:val="28"/>
          <w:szCs w:val="28"/>
        </w:rPr>
        <w:t>рсу гривні.</w:t>
      </w:r>
    </w:p>
    <w:p w:rsidR="00705F07" w:rsidRDefault="00185A37">
      <w:pPr>
        <w:spacing w:line="360" w:lineRule="auto"/>
        <w:ind w:firstLine="709"/>
        <w:jc w:val="both"/>
        <w:rPr>
          <w:rStyle w:val="ac"/>
          <w:i w:val="0"/>
          <w:color w:val="000000"/>
          <w:sz w:val="28"/>
          <w:szCs w:val="28"/>
        </w:rPr>
      </w:pPr>
      <w:r>
        <w:rPr>
          <w:rStyle w:val="ac"/>
          <w:i w:val="0"/>
          <w:color w:val="000000"/>
          <w:sz w:val="28"/>
          <w:szCs w:val="28"/>
        </w:rPr>
        <w:t>У 2024 році обсяг інтервенцій зменшився до -16,8 млрд дол. США, при цьому середньорічний офіційний курс склав 37,98 грн/дол. США, що свідчить про відносне зниження тиску на валютний ринок та поступове адаптування економіки до нових умов, а тако</w:t>
      </w:r>
      <w:r>
        <w:rPr>
          <w:rStyle w:val="ac"/>
          <w:i w:val="0"/>
          <w:color w:val="000000"/>
          <w:sz w:val="28"/>
          <w:szCs w:val="28"/>
        </w:rPr>
        <w:t>ж ефективність проведеної монетарної політики з підтримки курсової стабільності.</w:t>
      </w:r>
    </w:p>
    <w:p w:rsidR="00705F07" w:rsidRDefault="00185A37">
      <w:pPr>
        <w:spacing w:line="360" w:lineRule="auto"/>
        <w:ind w:firstLine="709"/>
        <w:jc w:val="both"/>
        <w:rPr>
          <w:rStyle w:val="ac"/>
          <w:i w:val="0"/>
          <w:color w:val="000000"/>
          <w:sz w:val="28"/>
          <w:szCs w:val="28"/>
        </w:rPr>
      </w:pPr>
      <w:r>
        <w:rPr>
          <w:rStyle w:val="ac"/>
          <w:i w:val="0"/>
          <w:color w:val="000000"/>
          <w:sz w:val="28"/>
          <w:szCs w:val="28"/>
        </w:rPr>
        <w:t>Проведений аналіз динаміки валютних інтервенцій НБУ та середньорічного офіційного курсу гривні за період 2022-2024 рр. дозволяє зробити висновок про тісний взаємозв’язок між а</w:t>
      </w:r>
      <w:r>
        <w:rPr>
          <w:rStyle w:val="ac"/>
          <w:i w:val="0"/>
          <w:color w:val="000000"/>
          <w:sz w:val="28"/>
          <w:szCs w:val="28"/>
        </w:rPr>
        <w:t>ктивністю регулятора на валютному ринку та рівнем стабільності національної валюти. Ефективне управління валютними інтервенціями є ключовим інструментом збереження макроекономічної стабільності та підтримки довіри до національної валюти.</w:t>
      </w:r>
    </w:p>
    <w:p w:rsidR="00705F07" w:rsidRDefault="00185A37">
      <w:pPr>
        <w:spacing w:line="360" w:lineRule="auto"/>
        <w:ind w:firstLine="709"/>
        <w:jc w:val="both"/>
        <w:rPr>
          <w:rStyle w:val="ac"/>
          <w:i w:val="0"/>
          <w:color w:val="000000"/>
          <w:sz w:val="28"/>
          <w:szCs w:val="28"/>
        </w:rPr>
      </w:pPr>
      <w:r>
        <w:rPr>
          <w:rStyle w:val="ac"/>
          <w:i w:val="0"/>
          <w:color w:val="000000"/>
          <w:sz w:val="28"/>
          <w:szCs w:val="28"/>
        </w:rPr>
        <w:t>Міжнародні резерви</w:t>
      </w:r>
      <w:r>
        <w:rPr>
          <w:rStyle w:val="ac"/>
          <w:i w:val="0"/>
          <w:color w:val="000000"/>
          <w:sz w:val="28"/>
          <w:szCs w:val="28"/>
        </w:rPr>
        <w:t xml:space="preserve"> є ключовим інструментом забезпечення фінансової стабільності держави, здатним впливати на платіжний баланс, валютний курс та макроекономічну безпеку країни. Вони виконують функцію страхового фонду для покриття зовнішніх зобов’язань, стабілізації валютного</w:t>
      </w:r>
      <w:r>
        <w:rPr>
          <w:rStyle w:val="ac"/>
          <w:i w:val="0"/>
          <w:color w:val="000000"/>
          <w:sz w:val="28"/>
          <w:szCs w:val="28"/>
        </w:rPr>
        <w:t xml:space="preserve"> ринку та підтримки довіри до національної валюти. Аналіз динаміки міжнародних резервів України та їх здатності покривати імпорт за 2022-2024 рр. дозволяє оцінити ефективність фінансової політики та готовність країни протистояти зовнішнім економічним ризик</w:t>
      </w:r>
      <w:r>
        <w:rPr>
          <w:rStyle w:val="ac"/>
          <w:i w:val="0"/>
          <w:color w:val="000000"/>
          <w:sz w:val="28"/>
          <w:szCs w:val="28"/>
        </w:rPr>
        <w:t xml:space="preserve">ам (рис. 2.4). У 2022 році обсяг міжнародних резервів України становив 28,5 млрд дол. США, що забезпечувало покриття імпорту на рівні 3,3 місяців. Такий показник відображає певні обмеження у фінансових ресурсах країни на тлі зростаючого тиску на економіку </w:t>
      </w:r>
      <w:r>
        <w:rPr>
          <w:rStyle w:val="ac"/>
          <w:i w:val="0"/>
          <w:color w:val="000000"/>
          <w:sz w:val="28"/>
          <w:szCs w:val="28"/>
        </w:rPr>
        <w:t>через зовнішні та внутрішні фактори, що вимагало від регулятора активного управління резервами для підтримки валютної стабільності.</w:t>
      </w:r>
    </w:p>
    <w:p w:rsidR="00705F07" w:rsidRDefault="00185A37">
      <w:pPr>
        <w:spacing w:line="360" w:lineRule="auto"/>
        <w:ind w:firstLine="709"/>
        <w:jc w:val="center"/>
        <w:rPr>
          <w:rStyle w:val="ac"/>
          <w:i w:val="0"/>
          <w:color w:val="000000"/>
          <w:sz w:val="28"/>
          <w:szCs w:val="28"/>
        </w:rPr>
      </w:pPr>
      <w:r>
        <w:rPr>
          <w:rStyle w:val="ac"/>
          <w:i w:val="0"/>
          <w:noProof/>
          <w:color w:val="000000"/>
          <w:sz w:val="28"/>
          <w:szCs w:val="28"/>
        </w:rPr>
        <w:drawing>
          <wp:inline distT="0" distB="0" distL="114300" distR="114300">
            <wp:extent cx="4572000" cy="2743200"/>
            <wp:effectExtent l="0" t="0" r="0" b="0"/>
            <wp:docPr id="1070"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705F07" w:rsidRDefault="00185A37">
      <w:pPr>
        <w:spacing w:line="360" w:lineRule="auto"/>
        <w:ind w:firstLine="709"/>
        <w:jc w:val="center"/>
        <w:rPr>
          <w:rStyle w:val="ac"/>
          <w:i w:val="0"/>
          <w:color w:val="000000"/>
          <w:sz w:val="28"/>
          <w:szCs w:val="28"/>
        </w:rPr>
      </w:pPr>
      <w:r>
        <w:rPr>
          <w:rStyle w:val="ac"/>
          <w:i w:val="0"/>
          <w:color w:val="000000"/>
          <w:sz w:val="28"/>
          <w:szCs w:val="28"/>
        </w:rPr>
        <w:t xml:space="preserve">Рис. 2.4. Міжнародні резерви України та покриття імпорту </w:t>
      </w:r>
    </w:p>
    <w:p w:rsidR="00705F07" w:rsidRDefault="00185A37">
      <w:pPr>
        <w:spacing w:line="360" w:lineRule="auto"/>
        <w:ind w:firstLine="709"/>
        <w:jc w:val="center"/>
        <w:rPr>
          <w:rStyle w:val="ac"/>
          <w:i w:val="0"/>
          <w:color w:val="000000"/>
          <w:sz w:val="28"/>
          <w:szCs w:val="28"/>
        </w:rPr>
      </w:pPr>
      <w:r>
        <w:rPr>
          <w:rStyle w:val="ac"/>
          <w:i w:val="0"/>
          <w:color w:val="000000"/>
          <w:sz w:val="28"/>
          <w:szCs w:val="28"/>
        </w:rPr>
        <w:t>за 2022-2024 рр.</w:t>
      </w:r>
    </w:p>
    <w:p w:rsidR="00705F07" w:rsidRDefault="00185A37">
      <w:pPr>
        <w:ind w:firstLine="709"/>
        <w:jc w:val="both"/>
        <w:rPr>
          <w:color w:val="000000"/>
        </w:rPr>
      </w:pPr>
      <w:r>
        <w:rPr>
          <w:color w:val="000000"/>
        </w:rPr>
        <w:t>Джерело: складено автором на основі даних [50].</w:t>
      </w:r>
    </w:p>
    <w:p w:rsidR="00705F07" w:rsidRDefault="00705F07">
      <w:pPr>
        <w:spacing w:line="360" w:lineRule="auto"/>
        <w:ind w:firstLine="709"/>
        <w:jc w:val="both"/>
        <w:rPr>
          <w:rStyle w:val="ac"/>
          <w:i w:val="0"/>
          <w:color w:val="000000"/>
          <w:sz w:val="28"/>
          <w:szCs w:val="28"/>
        </w:rPr>
      </w:pPr>
    </w:p>
    <w:p w:rsidR="00705F07" w:rsidRDefault="00185A37">
      <w:pPr>
        <w:spacing w:line="360" w:lineRule="auto"/>
        <w:ind w:firstLine="709"/>
        <w:jc w:val="both"/>
        <w:rPr>
          <w:rStyle w:val="ac"/>
          <w:i w:val="0"/>
          <w:color w:val="000000"/>
          <w:sz w:val="28"/>
          <w:szCs w:val="28"/>
        </w:rPr>
      </w:pPr>
      <w:r>
        <w:rPr>
          <w:rStyle w:val="ac"/>
          <w:i w:val="0"/>
          <w:color w:val="000000"/>
          <w:sz w:val="28"/>
          <w:szCs w:val="28"/>
        </w:rPr>
        <w:t>У 2023 році обсяг резервів зріс до 39,0 млрд дол. США, а покриття імпорту досягло 5,2 місяців. Це свідчить про значне зміцнення міжнародної фінансової позиції країни, що стало можливим завдяки як валютним інтервенціям, так і зовнішньому фінансуванню. Збі</w:t>
      </w:r>
      <w:r>
        <w:rPr>
          <w:rStyle w:val="ac"/>
          <w:i w:val="0"/>
          <w:color w:val="000000"/>
          <w:sz w:val="28"/>
          <w:szCs w:val="28"/>
        </w:rPr>
        <w:t>льшення резервів сприяло підвищенню стійкості гривні та розширенню простору для проведення макроекономічної політики. У 2024 році резерви України досягли 44,6 млрд дол. США, що забезпечувало покриття імпорту на 5,8 місяців. Така тенденція демонструє подаль</w:t>
      </w:r>
      <w:r>
        <w:rPr>
          <w:rStyle w:val="ac"/>
          <w:i w:val="0"/>
          <w:color w:val="000000"/>
          <w:sz w:val="28"/>
          <w:szCs w:val="28"/>
        </w:rPr>
        <w:t>ше зміцнення фінансової стабільності та підвищення здатності держави протистояти зовнішнім економічним шокам. Зростання резервів та покриття імпорту є важливими чинниками забезпечення стабільності національної валюти та підтримки довгострокової макроеконом</w:t>
      </w:r>
      <w:r>
        <w:rPr>
          <w:rStyle w:val="ac"/>
          <w:i w:val="0"/>
          <w:color w:val="000000"/>
          <w:sz w:val="28"/>
          <w:szCs w:val="28"/>
        </w:rPr>
        <w:t xml:space="preserve">ічної безпеки. Таким чином, аналіз динаміки міжнародних резервів України та показника покриття імпорту за 2022-2024 рр. свідчить про покращення фінансової стійкості країни та ефективність політики управління зовнішніми активами, що є важливим інструментом </w:t>
      </w:r>
      <w:r>
        <w:rPr>
          <w:rStyle w:val="ac"/>
          <w:i w:val="0"/>
          <w:color w:val="000000"/>
          <w:sz w:val="28"/>
          <w:szCs w:val="28"/>
        </w:rPr>
        <w:t>забезпечення економічної стабільності.</w:t>
      </w:r>
    </w:p>
    <w:p w:rsidR="00705F07" w:rsidRDefault="00185A37">
      <w:pPr>
        <w:spacing w:line="360" w:lineRule="auto"/>
        <w:ind w:firstLine="709"/>
        <w:jc w:val="both"/>
        <w:rPr>
          <w:rStyle w:val="ac"/>
          <w:i w:val="0"/>
          <w:color w:val="000000"/>
          <w:sz w:val="28"/>
          <w:szCs w:val="28"/>
        </w:rPr>
      </w:pPr>
      <w:r>
        <w:rPr>
          <w:rStyle w:val="ac"/>
          <w:i w:val="0"/>
          <w:color w:val="000000"/>
          <w:sz w:val="28"/>
          <w:szCs w:val="28"/>
        </w:rPr>
        <w:t>Обмінний курс національної валюти є одним із ключових макроекономічних показників, що визначає конкурентоспроможність країни на світовому ринку та впливає на фінансову стабільність. Аналіз динаміки обмінного курсу гри</w:t>
      </w:r>
      <w:r>
        <w:rPr>
          <w:rStyle w:val="ac"/>
          <w:i w:val="0"/>
          <w:color w:val="000000"/>
          <w:sz w:val="28"/>
          <w:szCs w:val="28"/>
        </w:rPr>
        <w:t>вні до долара США дозволяє оцінити ефективність валютної політики Національного банку України, а також взаємозв’язок між макроекономічними показниками та станом фінансового ринку за період 2022-2024 рр. (рис. 2.5).</w:t>
      </w:r>
    </w:p>
    <w:p w:rsidR="00705F07" w:rsidRDefault="00185A37">
      <w:pPr>
        <w:spacing w:line="360" w:lineRule="auto"/>
        <w:ind w:firstLine="709"/>
        <w:jc w:val="center"/>
        <w:rPr>
          <w:rStyle w:val="ac"/>
          <w:i w:val="0"/>
          <w:color w:val="000000"/>
          <w:sz w:val="28"/>
          <w:szCs w:val="28"/>
        </w:rPr>
      </w:pPr>
      <w:r>
        <w:rPr>
          <w:rStyle w:val="ac"/>
          <w:i w:val="0"/>
          <w:noProof/>
          <w:color w:val="000000"/>
          <w:sz w:val="28"/>
          <w:szCs w:val="28"/>
        </w:rPr>
        <w:drawing>
          <wp:inline distT="0" distB="0" distL="114300" distR="114300">
            <wp:extent cx="4572000" cy="2743200"/>
            <wp:effectExtent l="0" t="0" r="0" b="0"/>
            <wp:docPr id="1072"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705F07" w:rsidRDefault="00185A37">
      <w:pPr>
        <w:spacing w:line="360" w:lineRule="auto"/>
        <w:ind w:firstLine="709"/>
        <w:jc w:val="center"/>
        <w:rPr>
          <w:rStyle w:val="ac"/>
          <w:i w:val="0"/>
          <w:color w:val="000000"/>
          <w:sz w:val="28"/>
          <w:szCs w:val="28"/>
        </w:rPr>
      </w:pPr>
      <w:r>
        <w:rPr>
          <w:rStyle w:val="ac"/>
          <w:i w:val="0"/>
          <w:color w:val="000000"/>
          <w:sz w:val="28"/>
          <w:szCs w:val="28"/>
        </w:rPr>
        <w:t xml:space="preserve">Рис. 2.5. Динаміка обмінного курсу гривні до долара США </w:t>
      </w:r>
    </w:p>
    <w:p w:rsidR="00705F07" w:rsidRDefault="00185A37">
      <w:pPr>
        <w:spacing w:line="360" w:lineRule="auto"/>
        <w:ind w:firstLine="709"/>
        <w:jc w:val="center"/>
        <w:rPr>
          <w:rStyle w:val="ac"/>
          <w:i w:val="0"/>
          <w:color w:val="000000"/>
          <w:sz w:val="28"/>
          <w:szCs w:val="28"/>
        </w:rPr>
      </w:pPr>
      <w:r>
        <w:rPr>
          <w:rStyle w:val="ac"/>
          <w:i w:val="0"/>
          <w:color w:val="000000"/>
          <w:sz w:val="28"/>
          <w:szCs w:val="28"/>
        </w:rPr>
        <w:t>за 2022-2024 рр.</w:t>
      </w:r>
    </w:p>
    <w:p w:rsidR="00705F07" w:rsidRDefault="00185A37">
      <w:pPr>
        <w:ind w:firstLine="709"/>
        <w:jc w:val="both"/>
        <w:rPr>
          <w:color w:val="000000"/>
        </w:rPr>
      </w:pPr>
      <w:r>
        <w:rPr>
          <w:color w:val="000000"/>
        </w:rPr>
        <w:t>Джерело: складено автором на основі даних [50].</w:t>
      </w:r>
    </w:p>
    <w:p w:rsidR="00705F07" w:rsidRDefault="00705F07">
      <w:pPr>
        <w:spacing w:line="360" w:lineRule="auto"/>
        <w:ind w:firstLine="709"/>
        <w:jc w:val="center"/>
        <w:rPr>
          <w:rStyle w:val="ac"/>
          <w:i w:val="0"/>
          <w:color w:val="000000"/>
          <w:sz w:val="28"/>
          <w:szCs w:val="28"/>
        </w:rPr>
      </w:pPr>
    </w:p>
    <w:p w:rsidR="00705F07" w:rsidRDefault="00185A37">
      <w:pPr>
        <w:spacing w:line="360" w:lineRule="auto"/>
        <w:ind w:firstLine="709"/>
        <w:jc w:val="both"/>
        <w:rPr>
          <w:rStyle w:val="ac"/>
          <w:i w:val="0"/>
          <w:color w:val="000000"/>
          <w:sz w:val="28"/>
          <w:szCs w:val="28"/>
        </w:rPr>
      </w:pPr>
      <w:r>
        <w:rPr>
          <w:rStyle w:val="ac"/>
          <w:i w:val="0"/>
          <w:color w:val="000000"/>
          <w:sz w:val="28"/>
          <w:szCs w:val="28"/>
        </w:rPr>
        <w:t xml:space="preserve">З рис. 2.5 видно, що у 2022 році середньорічний курс гривні до долара США становив 34,59 грн/дол., а курс на кінець року досяг 36,57 </w:t>
      </w:r>
      <w:r>
        <w:rPr>
          <w:rStyle w:val="ac"/>
          <w:i w:val="0"/>
          <w:color w:val="000000"/>
          <w:sz w:val="28"/>
          <w:szCs w:val="28"/>
        </w:rPr>
        <w:t>грн/дол. Така різниця відображає вплив значних валютних інтервенцій НБУ та високої волатильності національної валюти в умовах зовнішньоекономічного тиску та фінансової нестабільності. У 2023 році середньорічний курс гривні зріс до 36,41 грн/дол., а на кіне</w:t>
      </w:r>
      <w:r>
        <w:rPr>
          <w:rStyle w:val="ac"/>
          <w:i w:val="0"/>
          <w:color w:val="000000"/>
          <w:sz w:val="28"/>
          <w:szCs w:val="28"/>
        </w:rPr>
        <w:t>ць року досяг 38,31 грн/дол. Це свідчить про подальше знецінення національної валюти, яке відбувалося на тлі активних продажів валюти на міжбанківському ринку та обмеженого припливу валютної ліквідності, але одночасно демонструє стабілізаційний ефект валют</w:t>
      </w:r>
      <w:r>
        <w:rPr>
          <w:rStyle w:val="ac"/>
          <w:i w:val="0"/>
          <w:color w:val="000000"/>
          <w:sz w:val="28"/>
          <w:szCs w:val="28"/>
        </w:rPr>
        <w:t>ної політики регулятора. У 2024 році середньорічний курс гривні досяг 40,15 грн/дол., а курс на кінець року – 42,04 грн/дол. Така динаміка відображає збереження тенденції до девальвації, однак значне збільшення міжнародних резервів та покриття імпорту ство</w:t>
      </w:r>
      <w:r>
        <w:rPr>
          <w:rStyle w:val="ac"/>
          <w:i w:val="0"/>
          <w:color w:val="000000"/>
          <w:sz w:val="28"/>
          <w:szCs w:val="28"/>
        </w:rPr>
        <w:t>рило основу для пом’якшення коливань курсу та підтримки фінансової стабільності. Таким чином, аналіз динаміки обмінного курсу гривні до долара США за 2022-2024 рр. показує поступове знецінення національної валюти під впливом зовнішніх і внутрішніх економіч</w:t>
      </w:r>
      <w:r>
        <w:rPr>
          <w:rStyle w:val="ac"/>
          <w:i w:val="0"/>
          <w:color w:val="000000"/>
          <w:sz w:val="28"/>
          <w:szCs w:val="28"/>
        </w:rPr>
        <w:t>них факторів, водночас підкреслюючи роль валютної політики НБУ у забезпеченні макроекономічної стабільності.</w:t>
      </w:r>
    </w:p>
    <w:p w:rsidR="00705F07" w:rsidRDefault="00185A37">
      <w:pPr>
        <w:spacing w:line="360" w:lineRule="auto"/>
        <w:ind w:firstLine="709"/>
        <w:jc w:val="both"/>
        <w:rPr>
          <w:rStyle w:val="ac"/>
          <w:i w:val="0"/>
          <w:color w:val="000000"/>
          <w:sz w:val="28"/>
          <w:szCs w:val="28"/>
        </w:rPr>
      </w:pPr>
      <w:r>
        <w:rPr>
          <w:rStyle w:val="ac"/>
          <w:i w:val="0"/>
          <w:color w:val="000000"/>
          <w:sz w:val="28"/>
          <w:szCs w:val="28"/>
        </w:rPr>
        <w:t>Валютні інтервенції Національного банку України є одним із головних інструментів регулювання валютного ринку та підтримки стабільності національної</w:t>
      </w:r>
      <w:r>
        <w:rPr>
          <w:rStyle w:val="ac"/>
          <w:i w:val="0"/>
          <w:color w:val="000000"/>
          <w:sz w:val="28"/>
          <w:szCs w:val="28"/>
        </w:rPr>
        <w:t xml:space="preserve"> валюти. Аналіз обсягів купівлі та продажу валюти дозволяє оцінити ефективність монетарної політики, а також вплив на курс гривні та макроекономічну стабільність за період 2022-2024 рр. (рис. 2.6).</w:t>
      </w:r>
    </w:p>
    <w:p w:rsidR="00705F07" w:rsidRDefault="00185A37">
      <w:pPr>
        <w:spacing w:line="360" w:lineRule="auto"/>
        <w:jc w:val="center"/>
        <w:rPr>
          <w:rStyle w:val="ac"/>
          <w:i w:val="0"/>
          <w:color w:val="000000"/>
          <w:sz w:val="28"/>
          <w:szCs w:val="28"/>
        </w:rPr>
      </w:pPr>
      <w:r>
        <w:rPr>
          <w:rStyle w:val="ac"/>
          <w:i w:val="0"/>
          <w:noProof/>
          <w:color w:val="000000"/>
          <w:sz w:val="28"/>
          <w:szCs w:val="28"/>
        </w:rPr>
        <w:drawing>
          <wp:inline distT="0" distB="0" distL="114300" distR="114300">
            <wp:extent cx="5940425" cy="3181429"/>
            <wp:effectExtent l="0" t="0" r="0" b="0"/>
            <wp:docPr id="1074"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705F07" w:rsidRDefault="00185A37">
      <w:pPr>
        <w:spacing w:line="360" w:lineRule="auto"/>
        <w:ind w:firstLine="709"/>
        <w:jc w:val="center"/>
        <w:rPr>
          <w:rStyle w:val="ac"/>
          <w:i w:val="0"/>
          <w:color w:val="000000"/>
          <w:sz w:val="28"/>
          <w:szCs w:val="28"/>
        </w:rPr>
      </w:pPr>
      <w:r>
        <w:rPr>
          <w:rStyle w:val="ac"/>
          <w:i w:val="0"/>
          <w:color w:val="000000"/>
          <w:sz w:val="28"/>
          <w:szCs w:val="28"/>
        </w:rPr>
        <w:t>Рис. 2.6. Обсяги валютних інтервенцій НБУ за 2022-2024 р</w:t>
      </w:r>
      <w:r>
        <w:rPr>
          <w:rStyle w:val="ac"/>
          <w:i w:val="0"/>
          <w:color w:val="000000"/>
          <w:sz w:val="28"/>
          <w:szCs w:val="28"/>
        </w:rPr>
        <w:t>р.</w:t>
      </w:r>
    </w:p>
    <w:p w:rsidR="00705F07" w:rsidRDefault="00185A37">
      <w:pPr>
        <w:spacing w:line="360" w:lineRule="auto"/>
        <w:ind w:firstLine="709"/>
        <w:jc w:val="center"/>
        <w:rPr>
          <w:rStyle w:val="ac"/>
          <w:i w:val="0"/>
          <w:color w:val="000000"/>
          <w:sz w:val="28"/>
          <w:szCs w:val="28"/>
        </w:rPr>
      </w:pPr>
      <w:r>
        <w:rPr>
          <w:rStyle w:val="ac"/>
          <w:i w:val="0"/>
          <w:color w:val="000000"/>
          <w:sz w:val="28"/>
          <w:szCs w:val="28"/>
        </w:rPr>
        <w:t>(млн дол. США)</w:t>
      </w:r>
    </w:p>
    <w:p w:rsidR="00705F07" w:rsidRDefault="00185A37">
      <w:pPr>
        <w:ind w:firstLine="709"/>
        <w:jc w:val="both"/>
        <w:rPr>
          <w:color w:val="000000"/>
        </w:rPr>
      </w:pPr>
      <w:r>
        <w:rPr>
          <w:color w:val="000000"/>
        </w:rPr>
        <w:t>Джерело: складено автором на основі даних [50].</w:t>
      </w:r>
    </w:p>
    <w:p w:rsidR="00705F07" w:rsidRDefault="00185A37">
      <w:pPr>
        <w:spacing w:line="360" w:lineRule="auto"/>
        <w:ind w:firstLine="709"/>
        <w:jc w:val="both"/>
        <w:rPr>
          <w:rStyle w:val="ac"/>
          <w:i w:val="0"/>
          <w:color w:val="000000"/>
          <w:sz w:val="28"/>
          <w:szCs w:val="28"/>
        </w:rPr>
      </w:pPr>
      <w:r>
        <w:rPr>
          <w:rStyle w:val="ac"/>
          <w:i w:val="0"/>
          <w:color w:val="000000"/>
          <w:sz w:val="28"/>
          <w:szCs w:val="28"/>
        </w:rPr>
        <w:t xml:space="preserve">За даними рис. 2.6, у 2022 році обсяги валютних інтервенцій НБУ були спрямовані переважно на продаж валюти. Купівля становила 3267,95 млн дол. США, а продаж – 26380,59 млн дол. США, що </w:t>
      </w:r>
      <w:r>
        <w:rPr>
          <w:rStyle w:val="ac"/>
          <w:i w:val="0"/>
          <w:color w:val="000000"/>
          <w:sz w:val="28"/>
          <w:szCs w:val="28"/>
        </w:rPr>
        <w:t>забезпечило сальдо у розмірі 23112,64 млн дол. США. Така політика відображала потребу регулятора у покритті дефіциту валютної ліквідності та підтримці курсової стабільності в умовах економічної невизначеності. У 2023 році продаж валюти значно перевищував к</w:t>
      </w:r>
      <w:r>
        <w:rPr>
          <w:rStyle w:val="ac"/>
          <w:i w:val="0"/>
          <w:color w:val="000000"/>
          <w:sz w:val="28"/>
          <w:szCs w:val="28"/>
        </w:rPr>
        <w:t>упівлю: 28829,73 млн дол. США проти 219,85 млн дол. США купівлі. Сальдо інтервенцій досягло 28609,88 млн дол. США, що свідчить про продовження активної політики продажу валюти на міжбанківському ринку для стримування тиску на національну валюту та забезпеч</w:t>
      </w:r>
      <w:r>
        <w:rPr>
          <w:rStyle w:val="ac"/>
          <w:i w:val="0"/>
          <w:color w:val="000000"/>
          <w:sz w:val="28"/>
          <w:szCs w:val="28"/>
        </w:rPr>
        <w:t>ення потреб імпортерів і державного сектору. У 2024 році тенденція залишилася подібною: обсяги купівлі становили 126,28 млн дол. США, продажу – 35312,64 млн дол. США, а сальдо досягло 35186,36 млн дол. США. Це підкреслює подальшу активну роль НБУ у регулюв</w:t>
      </w:r>
      <w:r>
        <w:rPr>
          <w:rStyle w:val="ac"/>
          <w:i w:val="0"/>
          <w:color w:val="000000"/>
          <w:sz w:val="28"/>
          <w:szCs w:val="28"/>
        </w:rPr>
        <w:t>анні валютного ринку, а також вказує на необхідність підтримки ліквідності та збереження стабільності курсу гривні у складних економічних умовах. Таким чином, аналіз обсягів валютних інтервенцій за 2022-2024 рр. демонструє домінування політики продажу валю</w:t>
      </w:r>
      <w:r>
        <w:rPr>
          <w:rStyle w:val="ac"/>
          <w:i w:val="0"/>
          <w:color w:val="000000"/>
          <w:sz w:val="28"/>
          <w:szCs w:val="28"/>
        </w:rPr>
        <w:t>ти, що відповідало стратегічним завданням НБУ щодо забезпечення макроекономічної стабільності та регулювання валютного ринку.</w:t>
      </w:r>
    </w:p>
    <w:p w:rsidR="00705F07" w:rsidRDefault="00185A37">
      <w:pPr>
        <w:spacing w:line="360" w:lineRule="auto"/>
        <w:ind w:firstLine="709"/>
        <w:jc w:val="both"/>
        <w:rPr>
          <w:rStyle w:val="ac"/>
          <w:i w:val="0"/>
          <w:color w:val="000000"/>
          <w:sz w:val="28"/>
          <w:szCs w:val="28"/>
        </w:rPr>
      </w:pPr>
      <w:r>
        <w:rPr>
          <w:rStyle w:val="ac"/>
          <w:i w:val="0"/>
          <w:color w:val="000000"/>
          <w:sz w:val="28"/>
          <w:szCs w:val="28"/>
        </w:rPr>
        <w:t>Аналіз макроекономічних показників у взаємозв’язку з валютною політикою дозволяє оцінити ефективність регулювання фінансового ринк</w:t>
      </w:r>
      <w:r>
        <w:rPr>
          <w:rStyle w:val="ac"/>
          <w:i w:val="0"/>
          <w:color w:val="000000"/>
          <w:sz w:val="28"/>
          <w:szCs w:val="28"/>
        </w:rPr>
        <w:t>у та стабілізації національної економіки. Особлива увага приділяється взаємозв’язку між обмінним курсом гривні, золотовалютними резервами, сальдо валютних інтервенцій та показниками економічного зростання та інфляції. Такий аналіз дає змогу виявити основні</w:t>
      </w:r>
      <w:r>
        <w:rPr>
          <w:rStyle w:val="ac"/>
          <w:i w:val="0"/>
          <w:color w:val="000000"/>
          <w:sz w:val="28"/>
          <w:szCs w:val="28"/>
        </w:rPr>
        <w:t xml:space="preserve"> тенденції розвитку економіки України у 2022-2024 рр. та оцінити роль Національного банку у підтриманні макроекономічної стабільності (рис. 2.7). У 2022 році спостерігався високий рівень інфляції – 26,6 %, що значною мірою було зумовлено економічними викли</w:t>
      </w:r>
      <w:r>
        <w:rPr>
          <w:rStyle w:val="ac"/>
          <w:i w:val="0"/>
          <w:color w:val="000000"/>
          <w:sz w:val="28"/>
          <w:szCs w:val="28"/>
        </w:rPr>
        <w:t>ками та підвищеним тиском на валютний ринок. Середньорічний обмінний курс гривні становив 34,59 грн/дол., а золотовалютні резерви України дорівнювали 28,5 млрд дол. США. Сальдо інтервенцій НБУ у цьому році було позитивним і склало 23112,7 млн дол., що свід</w:t>
      </w:r>
      <w:r>
        <w:rPr>
          <w:rStyle w:val="ac"/>
          <w:i w:val="0"/>
          <w:color w:val="000000"/>
          <w:sz w:val="28"/>
          <w:szCs w:val="28"/>
        </w:rPr>
        <w:t xml:space="preserve">чить про активний продаж валюти для стабілізації курсу та підтримки імпортних потреб держави. </w:t>
      </w:r>
    </w:p>
    <w:p w:rsidR="00705F07" w:rsidRDefault="00185A37">
      <w:pPr>
        <w:spacing w:line="360" w:lineRule="auto"/>
        <w:jc w:val="center"/>
        <w:rPr>
          <w:rStyle w:val="ac"/>
          <w:i w:val="0"/>
          <w:color w:val="000000"/>
          <w:sz w:val="28"/>
          <w:szCs w:val="28"/>
        </w:rPr>
      </w:pPr>
      <w:r>
        <w:rPr>
          <w:rStyle w:val="ac"/>
          <w:i w:val="0"/>
          <w:noProof/>
          <w:color w:val="000000"/>
          <w:sz w:val="28"/>
          <w:szCs w:val="28"/>
        </w:rPr>
        <w:drawing>
          <wp:inline distT="0" distB="0" distL="114300" distR="114300">
            <wp:extent cx="5940425" cy="4418072"/>
            <wp:effectExtent l="0" t="0" r="0" b="0"/>
            <wp:docPr id="1076"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705F07" w:rsidRDefault="00185A37">
      <w:pPr>
        <w:spacing w:line="360" w:lineRule="auto"/>
        <w:ind w:firstLine="709"/>
        <w:jc w:val="center"/>
        <w:rPr>
          <w:rStyle w:val="ac"/>
          <w:i w:val="0"/>
          <w:color w:val="000000"/>
          <w:sz w:val="28"/>
          <w:szCs w:val="28"/>
        </w:rPr>
      </w:pPr>
      <w:r>
        <w:rPr>
          <w:rStyle w:val="ac"/>
          <w:i w:val="0"/>
          <w:color w:val="000000"/>
          <w:sz w:val="28"/>
          <w:szCs w:val="28"/>
        </w:rPr>
        <w:t>Рис. 2.7. Основні макроекономічні показники та їхній взаємозв’язок із валютною політикою за 2022-2024 рр.</w:t>
      </w:r>
    </w:p>
    <w:p w:rsidR="00705F07" w:rsidRDefault="00185A37">
      <w:pPr>
        <w:ind w:firstLine="709"/>
        <w:jc w:val="both"/>
        <w:rPr>
          <w:color w:val="000000"/>
        </w:rPr>
      </w:pPr>
      <w:r>
        <w:rPr>
          <w:color w:val="000000"/>
        </w:rPr>
        <w:t>Джерело: складено автором на основі даних [50].</w:t>
      </w:r>
    </w:p>
    <w:p w:rsidR="00705F07" w:rsidRDefault="00705F07">
      <w:pPr>
        <w:spacing w:line="360" w:lineRule="auto"/>
        <w:ind w:firstLine="709"/>
        <w:jc w:val="both"/>
        <w:rPr>
          <w:rStyle w:val="ac"/>
          <w:i w:val="0"/>
          <w:color w:val="000000"/>
          <w:sz w:val="28"/>
          <w:szCs w:val="28"/>
        </w:rPr>
      </w:pPr>
    </w:p>
    <w:p w:rsidR="00705F07" w:rsidRDefault="00185A37">
      <w:pPr>
        <w:spacing w:line="360" w:lineRule="auto"/>
        <w:ind w:firstLine="709"/>
        <w:jc w:val="both"/>
        <w:rPr>
          <w:rStyle w:val="ac"/>
          <w:i w:val="0"/>
          <w:color w:val="000000"/>
          <w:sz w:val="28"/>
          <w:szCs w:val="28"/>
        </w:rPr>
      </w:pPr>
      <w:r>
        <w:rPr>
          <w:rStyle w:val="ac"/>
          <w:i w:val="0"/>
          <w:color w:val="000000"/>
          <w:sz w:val="28"/>
          <w:szCs w:val="28"/>
        </w:rPr>
        <w:t>У 20</w:t>
      </w:r>
      <w:r>
        <w:rPr>
          <w:rStyle w:val="ac"/>
          <w:i w:val="0"/>
          <w:color w:val="000000"/>
          <w:sz w:val="28"/>
          <w:szCs w:val="28"/>
        </w:rPr>
        <w:t>23 році ситуація змінилася: інфляція знизилася до 5,1 %, а обсяг ВВП збільшився до 5204,9 млрд грн. Середньорічний курс гривні зріс до 36,41 грн/дол., а золотовалютні резерви досягли 39,0 млрд дол. США. Сальдо інтервенцій НБУ залишалося значним – 28609,9 м</w:t>
      </w:r>
      <w:r>
        <w:rPr>
          <w:rStyle w:val="ac"/>
          <w:i w:val="0"/>
          <w:color w:val="000000"/>
          <w:sz w:val="28"/>
          <w:szCs w:val="28"/>
        </w:rPr>
        <w:t>лн дол., що відображає продовження активної політики регулятора на валютному ринку для стримування девальваційних процесів та забезпечення фінансової стабільності. У 2024 році макроекономічні показники продемонстрували позитивну динаміку: ВВП зріс до 6 020</w:t>
      </w:r>
      <w:r>
        <w:rPr>
          <w:rStyle w:val="ac"/>
          <w:i w:val="0"/>
          <w:color w:val="000000"/>
          <w:sz w:val="28"/>
          <w:szCs w:val="28"/>
        </w:rPr>
        <w:t xml:space="preserve">,0 млрд грн, інфляція залишалася на відносно низькому рівні – 8,4 %, а середньорічний обмінний курс гривні склав 40,15 грн/дол. Золотовалютні резерви зросли до 44,5 млрд дол., а сальдо інтервенцій НБУ залишалося високим – 35186,3 млн дол., що свідчить про </w:t>
      </w:r>
      <w:r>
        <w:rPr>
          <w:rStyle w:val="ac"/>
          <w:i w:val="0"/>
          <w:color w:val="000000"/>
          <w:sz w:val="28"/>
          <w:szCs w:val="28"/>
        </w:rPr>
        <w:t>подальше активне втручання Національного банку у валютний ринок для підтримання стабільності національної валюти та забезпечення ліквідності економіки. Таким чином, аналіз макроекономічних показників у 2022-2024 рр. демонструє тісний взаємозв’язок між інфл</w:t>
      </w:r>
      <w:r>
        <w:rPr>
          <w:rStyle w:val="ac"/>
          <w:i w:val="0"/>
          <w:color w:val="000000"/>
          <w:sz w:val="28"/>
          <w:szCs w:val="28"/>
        </w:rPr>
        <w:t>яційними процесами, динамікою ВВП, обмінним курсом та політикою валютних інтервенцій НБУ, підкреслюючи роль регулятора у підтриманні макроекономічної стабільності України.</w:t>
      </w:r>
    </w:p>
    <w:p w:rsidR="00705F07" w:rsidRDefault="00185A37">
      <w:pPr>
        <w:spacing w:line="360" w:lineRule="auto"/>
        <w:ind w:firstLine="709"/>
        <w:jc w:val="both"/>
        <w:rPr>
          <w:rStyle w:val="ac"/>
          <w:i w:val="0"/>
          <w:color w:val="000000"/>
          <w:sz w:val="28"/>
          <w:szCs w:val="28"/>
        </w:rPr>
      </w:pPr>
      <w:r>
        <w:rPr>
          <w:rStyle w:val="ac"/>
          <w:i w:val="0"/>
          <w:color w:val="000000"/>
          <w:sz w:val="28"/>
          <w:szCs w:val="28"/>
        </w:rPr>
        <w:t>Отже, проведений аналіз динаміки валютного ринку України за 2022-2024 рр. демонструє</w:t>
      </w:r>
      <w:r>
        <w:rPr>
          <w:rStyle w:val="ac"/>
          <w:i w:val="0"/>
          <w:color w:val="000000"/>
          <w:sz w:val="28"/>
          <w:szCs w:val="28"/>
        </w:rPr>
        <w:t xml:space="preserve">, що активність Національного банку у проведенні валютних інтервенцій була ключовим чинником підтримки стабільності національної валюти та фінансової стійкості країни. Незважаючи на значний тиск зовнішніх і внутрішніх факторів, у цей період спостерігалося </w:t>
      </w:r>
      <w:r>
        <w:rPr>
          <w:rStyle w:val="ac"/>
          <w:i w:val="0"/>
          <w:color w:val="000000"/>
          <w:sz w:val="28"/>
          <w:szCs w:val="28"/>
        </w:rPr>
        <w:t>поступове зміцнення міжнародних резервів і покриття імпорту, що сприяло зниженню волатильності гривні та стабілізації макроекономічної ситуації. Водночас, підвищення обмінного курсу та домінування політики продажу валюти відображали потребу у регулюванні в</w:t>
      </w:r>
      <w:r>
        <w:rPr>
          <w:rStyle w:val="ac"/>
          <w:i w:val="0"/>
          <w:color w:val="000000"/>
          <w:sz w:val="28"/>
          <w:szCs w:val="28"/>
        </w:rPr>
        <w:t>алютної ліквідності та забезпеченні платіжної спроможності економіки. Таким чином, проведений аналіз підтверджує тісний взаємозв’язок між макроекономічними показниками, валютною політикою НБУ та загальною стабільністю національної економіки, підкреслюючи е</w:t>
      </w:r>
      <w:r>
        <w:rPr>
          <w:rStyle w:val="ac"/>
          <w:i w:val="0"/>
          <w:color w:val="000000"/>
          <w:sz w:val="28"/>
          <w:szCs w:val="28"/>
        </w:rPr>
        <w:t>фективність стратегічних рішень регулятора у підтримці валютного ринку України.</w:t>
      </w:r>
    </w:p>
    <w:p w:rsidR="00705F07" w:rsidRDefault="00705F07">
      <w:pPr>
        <w:spacing w:line="360" w:lineRule="auto"/>
        <w:ind w:firstLine="709"/>
        <w:jc w:val="both"/>
        <w:rPr>
          <w:rStyle w:val="ac"/>
          <w:i w:val="0"/>
          <w:color w:val="000000"/>
          <w:sz w:val="28"/>
          <w:szCs w:val="28"/>
        </w:rPr>
      </w:pPr>
    </w:p>
    <w:p w:rsidR="00705F07" w:rsidRDefault="00705F07">
      <w:pPr>
        <w:spacing w:line="360" w:lineRule="auto"/>
        <w:ind w:firstLine="709"/>
        <w:jc w:val="both"/>
        <w:rPr>
          <w:rStyle w:val="ac"/>
          <w:i w:val="0"/>
          <w:color w:val="000000"/>
          <w:sz w:val="28"/>
          <w:szCs w:val="28"/>
        </w:rPr>
      </w:pPr>
    </w:p>
    <w:p w:rsidR="00705F07" w:rsidRDefault="00705F07">
      <w:pPr>
        <w:spacing w:line="360" w:lineRule="auto"/>
        <w:ind w:firstLine="709"/>
        <w:jc w:val="both"/>
        <w:rPr>
          <w:rStyle w:val="ac"/>
          <w:i w:val="0"/>
          <w:color w:val="000000"/>
          <w:sz w:val="28"/>
          <w:szCs w:val="28"/>
        </w:rPr>
      </w:pPr>
    </w:p>
    <w:p w:rsidR="00705F07" w:rsidRDefault="00705F07">
      <w:pPr>
        <w:pStyle w:val="2"/>
        <w:keepNext w:val="0"/>
        <w:keepLines w:val="0"/>
        <w:spacing w:before="0" w:line="360" w:lineRule="auto"/>
        <w:ind w:firstLine="709"/>
        <w:jc w:val="both"/>
        <w:rPr>
          <w:rFonts w:ascii="Times New Roman" w:hAnsi="Times New Roman" w:cs="Times New Roman"/>
          <w:b w:val="0"/>
          <w:color w:val="000000"/>
          <w:sz w:val="28"/>
          <w:szCs w:val="28"/>
        </w:rPr>
      </w:pPr>
    </w:p>
    <w:p w:rsidR="00705F07" w:rsidRDefault="00185A37">
      <w:pPr>
        <w:pStyle w:val="2"/>
        <w:keepNext w:val="0"/>
        <w:keepLines w:val="0"/>
        <w:spacing w:before="0" w:line="360" w:lineRule="auto"/>
        <w:ind w:firstLine="709"/>
        <w:jc w:val="both"/>
        <w:rPr>
          <w:rFonts w:ascii="Times New Roman" w:hAnsi="Times New Roman" w:cs="Times New Roman"/>
          <w:b w:val="0"/>
          <w:color w:val="000000"/>
          <w:sz w:val="28"/>
          <w:szCs w:val="28"/>
        </w:rPr>
      </w:pPr>
      <w:bookmarkStart w:id="12" w:name="_Toc213845771"/>
      <w:r>
        <w:rPr>
          <w:rFonts w:ascii="Times New Roman" w:hAnsi="Times New Roman" w:cs="Times New Roman"/>
          <w:b w:val="0"/>
          <w:color w:val="000000"/>
          <w:sz w:val="28"/>
          <w:szCs w:val="28"/>
        </w:rPr>
        <w:t>2.3 Аналіз ринку капіталу за період 2022-2024 рр.</w:t>
      </w:r>
      <w:bookmarkEnd w:id="12"/>
    </w:p>
    <w:p w:rsidR="00705F07" w:rsidRDefault="00705F07">
      <w:pPr>
        <w:spacing w:line="360" w:lineRule="auto"/>
        <w:ind w:firstLine="709"/>
        <w:jc w:val="both"/>
        <w:rPr>
          <w:rStyle w:val="ac"/>
          <w:i w:val="0"/>
          <w:color w:val="000000"/>
          <w:sz w:val="28"/>
          <w:szCs w:val="28"/>
        </w:rPr>
      </w:pPr>
    </w:p>
    <w:p w:rsidR="00705F07" w:rsidRDefault="00185A37">
      <w:pPr>
        <w:spacing w:line="360" w:lineRule="auto"/>
        <w:ind w:firstLine="709"/>
        <w:jc w:val="both"/>
        <w:rPr>
          <w:rStyle w:val="ac"/>
          <w:i w:val="0"/>
          <w:color w:val="000000"/>
          <w:sz w:val="28"/>
          <w:szCs w:val="28"/>
        </w:rPr>
      </w:pPr>
      <w:r>
        <w:rPr>
          <w:rStyle w:val="ac"/>
          <w:i w:val="0"/>
          <w:color w:val="000000"/>
          <w:sz w:val="28"/>
          <w:szCs w:val="28"/>
        </w:rPr>
        <w:t>Ринок капіталу є важливою складовою фінансової системи країни, яка забезпечує залучення коштів від інвесторів до підприємств і державних структур, сприяє розвитку економіки та підвищенню фінансової стійкості національної економіки. Дослідження динаміки рин</w:t>
      </w:r>
      <w:r>
        <w:rPr>
          <w:rStyle w:val="ac"/>
          <w:i w:val="0"/>
          <w:color w:val="000000"/>
          <w:sz w:val="28"/>
          <w:szCs w:val="28"/>
        </w:rPr>
        <w:t xml:space="preserve">ку капіталу дозволяє виявити тенденції розвитку, оцінити рівень інвестиційної активності, а також ефективність функціонування фінансових інструментів та регуляторної політики. Особливе значення має аналіз випусків акцій, облігацій та інших цінних паперів, </w:t>
      </w:r>
      <w:r>
        <w:rPr>
          <w:rStyle w:val="ac"/>
          <w:i w:val="0"/>
          <w:color w:val="000000"/>
          <w:sz w:val="28"/>
          <w:szCs w:val="28"/>
        </w:rPr>
        <w:t xml:space="preserve">що дозволяє визначити, які сегменти ринку є найбільш активними, та оцінити їх вплив на загальний обсяг фінансових ресурсів в країні. Аналіз даних табл. 2.7 свідчить про суттєву динаміку обсягу та кількості випусків акцій у період з 2022 по 2024 рр. </w:t>
      </w:r>
    </w:p>
    <w:p w:rsidR="00705F07" w:rsidRDefault="00185A37">
      <w:pPr>
        <w:spacing w:line="360" w:lineRule="auto"/>
        <w:ind w:firstLine="709"/>
        <w:jc w:val="right"/>
        <w:rPr>
          <w:rStyle w:val="ac"/>
          <w:i w:val="0"/>
          <w:color w:val="000000"/>
          <w:sz w:val="28"/>
          <w:szCs w:val="28"/>
        </w:rPr>
      </w:pPr>
      <w:r>
        <w:rPr>
          <w:rStyle w:val="ac"/>
          <w:i w:val="0"/>
          <w:color w:val="000000"/>
          <w:sz w:val="28"/>
          <w:szCs w:val="28"/>
        </w:rPr>
        <w:t>Таблиц</w:t>
      </w:r>
      <w:r>
        <w:rPr>
          <w:rStyle w:val="ac"/>
          <w:i w:val="0"/>
          <w:color w:val="000000"/>
          <w:sz w:val="28"/>
          <w:szCs w:val="28"/>
        </w:rPr>
        <w:t>я 2.7</w:t>
      </w:r>
    </w:p>
    <w:p w:rsidR="00705F07" w:rsidRDefault="00185A37">
      <w:pPr>
        <w:spacing w:line="360" w:lineRule="auto"/>
        <w:ind w:firstLine="709"/>
        <w:jc w:val="center"/>
        <w:rPr>
          <w:rStyle w:val="ac"/>
          <w:i w:val="0"/>
          <w:color w:val="000000"/>
          <w:sz w:val="28"/>
          <w:szCs w:val="28"/>
        </w:rPr>
      </w:pPr>
      <w:r>
        <w:rPr>
          <w:rStyle w:val="ac"/>
          <w:i w:val="0"/>
          <w:color w:val="000000"/>
          <w:sz w:val="28"/>
          <w:szCs w:val="28"/>
        </w:rPr>
        <w:t>Обсяг та кількість випусків акцій, зареєстрованих Національною комісією з цінних паперів та фондового ринку за 2022-2024 рр.</w:t>
      </w:r>
    </w:p>
    <w:tbl>
      <w:tblPr>
        <w:tblStyle w:val="ad"/>
        <w:tblW w:w="0" w:type="auto"/>
        <w:jc w:val="center"/>
        <w:tblLook w:val="04A0" w:firstRow="1" w:lastRow="0" w:firstColumn="1" w:lastColumn="0" w:noHBand="0" w:noVBand="1"/>
      </w:tblPr>
      <w:tblGrid>
        <w:gridCol w:w="1315"/>
        <w:gridCol w:w="1392"/>
        <w:gridCol w:w="1319"/>
        <w:gridCol w:w="1199"/>
        <w:gridCol w:w="1319"/>
        <w:gridCol w:w="1488"/>
        <w:gridCol w:w="1319"/>
      </w:tblGrid>
      <w:tr w:rsidR="00705F07">
        <w:trPr>
          <w:jc w:val="center"/>
        </w:trPr>
        <w:tc>
          <w:tcPr>
            <w:tcW w:w="0" w:type="auto"/>
            <w:vMerge w:val="restart"/>
            <w:vAlign w:val="center"/>
            <w:hideMark/>
          </w:tcPr>
          <w:p w:rsidR="00705F07" w:rsidRDefault="00185A37">
            <w:pPr>
              <w:jc w:val="center"/>
              <w:rPr>
                <w:rStyle w:val="ac"/>
                <w:i w:val="0"/>
                <w:color w:val="000000"/>
              </w:rPr>
            </w:pPr>
            <w:r>
              <w:rPr>
                <w:rStyle w:val="ac"/>
                <w:i w:val="0"/>
                <w:color w:val="000000"/>
              </w:rPr>
              <w:t>Період</w:t>
            </w:r>
          </w:p>
        </w:tc>
        <w:tc>
          <w:tcPr>
            <w:tcW w:w="0" w:type="auto"/>
            <w:gridSpan w:val="2"/>
            <w:vAlign w:val="center"/>
            <w:hideMark/>
          </w:tcPr>
          <w:p w:rsidR="00705F07" w:rsidRDefault="00185A37">
            <w:pPr>
              <w:jc w:val="center"/>
              <w:rPr>
                <w:rStyle w:val="ac"/>
                <w:i w:val="0"/>
                <w:color w:val="000000"/>
              </w:rPr>
            </w:pPr>
            <w:r>
              <w:rPr>
                <w:rStyle w:val="ac"/>
                <w:i w:val="0"/>
                <w:color w:val="000000"/>
              </w:rPr>
              <w:t>2022</w:t>
            </w:r>
          </w:p>
        </w:tc>
        <w:tc>
          <w:tcPr>
            <w:tcW w:w="0" w:type="auto"/>
            <w:gridSpan w:val="2"/>
            <w:vAlign w:val="center"/>
            <w:hideMark/>
          </w:tcPr>
          <w:p w:rsidR="00705F07" w:rsidRDefault="00185A37">
            <w:pPr>
              <w:jc w:val="center"/>
              <w:rPr>
                <w:rStyle w:val="ac"/>
                <w:i w:val="0"/>
                <w:color w:val="000000"/>
              </w:rPr>
            </w:pPr>
            <w:r>
              <w:rPr>
                <w:rStyle w:val="ac"/>
                <w:i w:val="0"/>
                <w:color w:val="000000"/>
              </w:rPr>
              <w:t>2023</w:t>
            </w:r>
          </w:p>
        </w:tc>
        <w:tc>
          <w:tcPr>
            <w:tcW w:w="0" w:type="auto"/>
            <w:gridSpan w:val="2"/>
            <w:vAlign w:val="center"/>
            <w:hideMark/>
          </w:tcPr>
          <w:p w:rsidR="00705F07" w:rsidRDefault="00185A37">
            <w:pPr>
              <w:jc w:val="center"/>
              <w:rPr>
                <w:rStyle w:val="ac"/>
                <w:i w:val="0"/>
                <w:color w:val="000000"/>
              </w:rPr>
            </w:pPr>
            <w:r>
              <w:rPr>
                <w:rStyle w:val="ac"/>
                <w:i w:val="0"/>
                <w:color w:val="000000"/>
              </w:rPr>
              <w:t>2024</w:t>
            </w:r>
          </w:p>
        </w:tc>
      </w:tr>
      <w:tr w:rsidR="00705F07">
        <w:trPr>
          <w:jc w:val="center"/>
        </w:trPr>
        <w:tc>
          <w:tcPr>
            <w:tcW w:w="0" w:type="auto"/>
            <w:vMerge/>
            <w:vAlign w:val="center"/>
            <w:hideMark/>
          </w:tcPr>
          <w:p w:rsidR="00705F07" w:rsidRDefault="00705F07">
            <w:pPr>
              <w:jc w:val="center"/>
              <w:rPr>
                <w:rStyle w:val="ac"/>
                <w:i w:val="0"/>
                <w:color w:val="000000"/>
              </w:rPr>
            </w:pPr>
          </w:p>
        </w:tc>
        <w:tc>
          <w:tcPr>
            <w:tcW w:w="0" w:type="auto"/>
            <w:vAlign w:val="center"/>
            <w:hideMark/>
          </w:tcPr>
          <w:p w:rsidR="00705F07" w:rsidRDefault="00185A37">
            <w:pPr>
              <w:jc w:val="center"/>
              <w:rPr>
                <w:rStyle w:val="ac"/>
                <w:i w:val="0"/>
                <w:color w:val="000000"/>
              </w:rPr>
            </w:pPr>
            <w:r>
              <w:rPr>
                <w:rStyle w:val="ac"/>
                <w:i w:val="0"/>
                <w:color w:val="000000"/>
              </w:rPr>
              <w:t>Обсяг, млн грн</w:t>
            </w:r>
          </w:p>
        </w:tc>
        <w:tc>
          <w:tcPr>
            <w:tcW w:w="0" w:type="auto"/>
            <w:vAlign w:val="center"/>
            <w:hideMark/>
          </w:tcPr>
          <w:p w:rsidR="00705F07" w:rsidRDefault="00185A37">
            <w:pPr>
              <w:jc w:val="center"/>
              <w:rPr>
                <w:rStyle w:val="ac"/>
                <w:i w:val="0"/>
                <w:color w:val="000000"/>
              </w:rPr>
            </w:pPr>
            <w:r>
              <w:rPr>
                <w:rStyle w:val="ac"/>
                <w:i w:val="0"/>
                <w:color w:val="000000"/>
              </w:rPr>
              <w:t>Випуски, шт.</w:t>
            </w:r>
          </w:p>
        </w:tc>
        <w:tc>
          <w:tcPr>
            <w:tcW w:w="0" w:type="auto"/>
            <w:vAlign w:val="center"/>
            <w:hideMark/>
          </w:tcPr>
          <w:p w:rsidR="00705F07" w:rsidRDefault="00185A37">
            <w:pPr>
              <w:jc w:val="center"/>
              <w:rPr>
                <w:rStyle w:val="ac"/>
                <w:i w:val="0"/>
                <w:color w:val="000000"/>
              </w:rPr>
            </w:pPr>
            <w:r>
              <w:rPr>
                <w:rStyle w:val="ac"/>
                <w:i w:val="0"/>
                <w:color w:val="000000"/>
              </w:rPr>
              <w:t>Обсяг, млн грн</w:t>
            </w:r>
          </w:p>
        </w:tc>
        <w:tc>
          <w:tcPr>
            <w:tcW w:w="0" w:type="auto"/>
            <w:vAlign w:val="center"/>
            <w:hideMark/>
          </w:tcPr>
          <w:p w:rsidR="00705F07" w:rsidRDefault="00185A37">
            <w:pPr>
              <w:jc w:val="center"/>
              <w:rPr>
                <w:rStyle w:val="ac"/>
                <w:i w:val="0"/>
                <w:color w:val="000000"/>
              </w:rPr>
            </w:pPr>
            <w:r>
              <w:rPr>
                <w:rStyle w:val="ac"/>
                <w:i w:val="0"/>
                <w:color w:val="000000"/>
              </w:rPr>
              <w:t>Випуски, шт.</w:t>
            </w:r>
          </w:p>
        </w:tc>
        <w:tc>
          <w:tcPr>
            <w:tcW w:w="0" w:type="auto"/>
            <w:vAlign w:val="center"/>
            <w:hideMark/>
          </w:tcPr>
          <w:p w:rsidR="00705F07" w:rsidRDefault="00185A37">
            <w:pPr>
              <w:jc w:val="center"/>
              <w:rPr>
                <w:rStyle w:val="ac"/>
                <w:i w:val="0"/>
                <w:color w:val="000000"/>
              </w:rPr>
            </w:pPr>
            <w:r>
              <w:rPr>
                <w:rStyle w:val="ac"/>
                <w:i w:val="0"/>
                <w:color w:val="000000"/>
              </w:rPr>
              <w:t>Обсяг, млн грн</w:t>
            </w:r>
          </w:p>
        </w:tc>
        <w:tc>
          <w:tcPr>
            <w:tcW w:w="0" w:type="auto"/>
            <w:vAlign w:val="center"/>
            <w:hideMark/>
          </w:tcPr>
          <w:p w:rsidR="00705F07" w:rsidRDefault="00185A37">
            <w:pPr>
              <w:jc w:val="center"/>
              <w:rPr>
                <w:rStyle w:val="ac"/>
                <w:i w:val="0"/>
                <w:color w:val="000000"/>
              </w:rPr>
            </w:pPr>
            <w:r>
              <w:rPr>
                <w:rStyle w:val="ac"/>
                <w:i w:val="0"/>
                <w:color w:val="000000"/>
              </w:rPr>
              <w:t>Випуски, шт.</w:t>
            </w:r>
          </w:p>
        </w:tc>
      </w:tr>
      <w:tr w:rsidR="00705F07">
        <w:trPr>
          <w:jc w:val="center"/>
        </w:trPr>
        <w:tc>
          <w:tcPr>
            <w:tcW w:w="0" w:type="auto"/>
            <w:vAlign w:val="center"/>
            <w:hideMark/>
          </w:tcPr>
          <w:p w:rsidR="00705F07" w:rsidRDefault="00185A37">
            <w:pPr>
              <w:jc w:val="center"/>
              <w:rPr>
                <w:rStyle w:val="ac"/>
                <w:i w:val="0"/>
                <w:color w:val="000000"/>
              </w:rPr>
            </w:pPr>
            <w:r>
              <w:rPr>
                <w:rStyle w:val="ac"/>
                <w:i w:val="0"/>
                <w:color w:val="000000"/>
              </w:rPr>
              <w:t>Січень</w:t>
            </w:r>
          </w:p>
        </w:tc>
        <w:tc>
          <w:tcPr>
            <w:tcW w:w="0" w:type="auto"/>
            <w:vAlign w:val="center"/>
            <w:hideMark/>
          </w:tcPr>
          <w:p w:rsidR="00705F07" w:rsidRDefault="00185A37">
            <w:pPr>
              <w:jc w:val="center"/>
              <w:rPr>
                <w:rStyle w:val="ac"/>
                <w:i w:val="0"/>
                <w:color w:val="000000"/>
              </w:rPr>
            </w:pPr>
            <w:r>
              <w:rPr>
                <w:rStyle w:val="ac"/>
                <w:i w:val="0"/>
                <w:color w:val="000000"/>
              </w:rPr>
              <w:t>373,31</w:t>
            </w:r>
          </w:p>
        </w:tc>
        <w:tc>
          <w:tcPr>
            <w:tcW w:w="0" w:type="auto"/>
            <w:vAlign w:val="center"/>
            <w:hideMark/>
          </w:tcPr>
          <w:p w:rsidR="00705F07" w:rsidRDefault="00185A37">
            <w:pPr>
              <w:jc w:val="center"/>
              <w:rPr>
                <w:rStyle w:val="ac"/>
                <w:i w:val="0"/>
                <w:color w:val="000000"/>
              </w:rPr>
            </w:pPr>
            <w:r>
              <w:rPr>
                <w:rStyle w:val="ac"/>
                <w:i w:val="0"/>
                <w:color w:val="000000"/>
              </w:rPr>
              <w:t>5</w:t>
            </w:r>
          </w:p>
        </w:tc>
        <w:tc>
          <w:tcPr>
            <w:tcW w:w="0" w:type="auto"/>
            <w:vAlign w:val="center"/>
            <w:hideMark/>
          </w:tcPr>
          <w:p w:rsidR="00705F07" w:rsidRDefault="00185A37">
            <w:pPr>
              <w:jc w:val="center"/>
              <w:rPr>
                <w:rStyle w:val="ac"/>
                <w:i w:val="0"/>
                <w:color w:val="000000"/>
              </w:rPr>
            </w:pPr>
            <w:r>
              <w:rPr>
                <w:rStyle w:val="ac"/>
                <w:i w:val="0"/>
                <w:color w:val="000000"/>
              </w:rPr>
              <w:t>1255,4</w:t>
            </w:r>
          </w:p>
        </w:tc>
        <w:tc>
          <w:tcPr>
            <w:tcW w:w="0" w:type="auto"/>
            <w:vAlign w:val="center"/>
            <w:hideMark/>
          </w:tcPr>
          <w:p w:rsidR="00705F07" w:rsidRDefault="00185A37">
            <w:pPr>
              <w:jc w:val="center"/>
              <w:rPr>
                <w:rStyle w:val="ac"/>
                <w:i w:val="0"/>
                <w:color w:val="000000"/>
              </w:rPr>
            </w:pPr>
            <w:r>
              <w:rPr>
                <w:rStyle w:val="ac"/>
                <w:i w:val="0"/>
                <w:color w:val="000000"/>
              </w:rPr>
              <w:t>1</w:t>
            </w:r>
          </w:p>
        </w:tc>
        <w:tc>
          <w:tcPr>
            <w:tcW w:w="0" w:type="auto"/>
            <w:vAlign w:val="center"/>
            <w:hideMark/>
          </w:tcPr>
          <w:p w:rsidR="00705F07" w:rsidRDefault="00185A37">
            <w:pPr>
              <w:jc w:val="center"/>
              <w:rPr>
                <w:rStyle w:val="ac"/>
                <w:i w:val="0"/>
                <w:color w:val="000000"/>
              </w:rPr>
            </w:pPr>
            <w:r>
              <w:rPr>
                <w:rStyle w:val="ac"/>
                <w:i w:val="0"/>
                <w:color w:val="000000"/>
              </w:rPr>
              <w:t>446,98</w:t>
            </w:r>
          </w:p>
        </w:tc>
        <w:tc>
          <w:tcPr>
            <w:tcW w:w="0" w:type="auto"/>
            <w:vAlign w:val="center"/>
            <w:hideMark/>
          </w:tcPr>
          <w:p w:rsidR="00705F07" w:rsidRDefault="00185A37">
            <w:pPr>
              <w:jc w:val="center"/>
              <w:rPr>
                <w:rStyle w:val="ac"/>
                <w:i w:val="0"/>
                <w:color w:val="000000"/>
              </w:rPr>
            </w:pPr>
            <w:r>
              <w:rPr>
                <w:rStyle w:val="ac"/>
                <w:i w:val="0"/>
                <w:color w:val="000000"/>
              </w:rPr>
              <w:t>8</w:t>
            </w:r>
          </w:p>
        </w:tc>
      </w:tr>
      <w:tr w:rsidR="00705F07">
        <w:trPr>
          <w:jc w:val="center"/>
        </w:trPr>
        <w:tc>
          <w:tcPr>
            <w:tcW w:w="0" w:type="auto"/>
            <w:vAlign w:val="center"/>
            <w:hideMark/>
          </w:tcPr>
          <w:p w:rsidR="00705F07" w:rsidRDefault="00185A37">
            <w:pPr>
              <w:jc w:val="center"/>
              <w:rPr>
                <w:rStyle w:val="ac"/>
                <w:i w:val="0"/>
                <w:color w:val="000000"/>
              </w:rPr>
            </w:pPr>
            <w:r>
              <w:rPr>
                <w:rStyle w:val="ac"/>
                <w:i w:val="0"/>
                <w:color w:val="000000"/>
              </w:rPr>
              <w:t>Лютий</w:t>
            </w:r>
          </w:p>
        </w:tc>
        <w:tc>
          <w:tcPr>
            <w:tcW w:w="0" w:type="auto"/>
            <w:vAlign w:val="center"/>
            <w:hideMark/>
          </w:tcPr>
          <w:p w:rsidR="00705F07" w:rsidRDefault="00185A37">
            <w:pPr>
              <w:jc w:val="center"/>
              <w:rPr>
                <w:rStyle w:val="ac"/>
                <w:i w:val="0"/>
                <w:color w:val="000000"/>
              </w:rPr>
            </w:pPr>
            <w:r>
              <w:rPr>
                <w:rStyle w:val="ac"/>
                <w:i w:val="0"/>
                <w:color w:val="000000"/>
              </w:rPr>
              <w:t>13,08</w:t>
            </w:r>
          </w:p>
        </w:tc>
        <w:tc>
          <w:tcPr>
            <w:tcW w:w="0" w:type="auto"/>
            <w:vAlign w:val="center"/>
            <w:hideMark/>
          </w:tcPr>
          <w:p w:rsidR="00705F07" w:rsidRDefault="00185A37">
            <w:pPr>
              <w:jc w:val="center"/>
              <w:rPr>
                <w:rStyle w:val="ac"/>
                <w:i w:val="0"/>
                <w:color w:val="000000"/>
              </w:rPr>
            </w:pPr>
            <w:r>
              <w:rPr>
                <w:rStyle w:val="ac"/>
                <w:i w:val="0"/>
                <w:color w:val="000000"/>
              </w:rPr>
              <w:t>2</w:t>
            </w:r>
          </w:p>
        </w:tc>
        <w:tc>
          <w:tcPr>
            <w:tcW w:w="0" w:type="auto"/>
            <w:vAlign w:val="center"/>
            <w:hideMark/>
          </w:tcPr>
          <w:p w:rsidR="00705F07" w:rsidRDefault="00185A37">
            <w:pPr>
              <w:jc w:val="center"/>
              <w:rPr>
                <w:rStyle w:val="ac"/>
                <w:i w:val="0"/>
                <w:color w:val="000000"/>
              </w:rPr>
            </w:pPr>
            <w:r>
              <w:rPr>
                <w:rStyle w:val="ac"/>
                <w:i w:val="0"/>
                <w:color w:val="000000"/>
              </w:rPr>
              <w:t>1514,5</w:t>
            </w:r>
          </w:p>
        </w:tc>
        <w:tc>
          <w:tcPr>
            <w:tcW w:w="0" w:type="auto"/>
            <w:vAlign w:val="center"/>
            <w:hideMark/>
          </w:tcPr>
          <w:p w:rsidR="00705F07" w:rsidRDefault="00185A37">
            <w:pPr>
              <w:jc w:val="center"/>
              <w:rPr>
                <w:rStyle w:val="ac"/>
                <w:i w:val="0"/>
                <w:color w:val="000000"/>
              </w:rPr>
            </w:pPr>
            <w:r>
              <w:rPr>
                <w:rStyle w:val="ac"/>
                <w:i w:val="0"/>
                <w:color w:val="000000"/>
              </w:rPr>
              <w:t>1</w:t>
            </w:r>
          </w:p>
        </w:tc>
        <w:tc>
          <w:tcPr>
            <w:tcW w:w="0" w:type="auto"/>
            <w:vAlign w:val="center"/>
            <w:hideMark/>
          </w:tcPr>
          <w:p w:rsidR="00705F07" w:rsidRDefault="00185A37">
            <w:pPr>
              <w:jc w:val="center"/>
              <w:rPr>
                <w:rStyle w:val="ac"/>
                <w:i w:val="0"/>
                <w:color w:val="000000"/>
              </w:rPr>
            </w:pPr>
            <w:r>
              <w:rPr>
                <w:rStyle w:val="ac"/>
                <w:i w:val="0"/>
                <w:color w:val="000000"/>
              </w:rPr>
              <w:t>306303,86</w:t>
            </w:r>
          </w:p>
        </w:tc>
        <w:tc>
          <w:tcPr>
            <w:tcW w:w="0" w:type="auto"/>
            <w:vAlign w:val="center"/>
            <w:hideMark/>
          </w:tcPr>
          <w:p w:rsidR="00705F07" w:rsidRDefault="00185A37">
            <w:pPr>
              <w:jc w:val="center"/>
              <w:rPr>
                <w:rStyle w:val="ac"/>
                <w:i w:val="0"/>
                <w:color w:val="000000"/>
              </w:rPr>
            </w:pPr>
            <w:r>
              <w:rPr>
                <w:rStyle w:val="ac"/>
                <w:i w:val="0"/>
                <w:color w:val="000000"/>
              </w:rPr>
              <w:t>3</w:t>
            </w:r>
          </w:p>
        </w:tc>
      </w:tr>
      <w:tr w:rsidR="00705F07">
        <w:trPr>
          <w:jc w:val="center"/>
        </w:trPr>
        <w:tc>
          <w:tcPr>
            <w:tcW w:w="0" w:type="auto"/>
            <w:vAlign w:val="center"/>
            <w:hideMark/>
          </w:tcPr>
          <w:p w:rsidR="00705F07" w:rsidRDefault="00185A37">
            <w:pPr>
              <w:jc w:val="center"/>
              <w:rPr>
                <w:rStyle w:val="ac"/>
                <w:i w:val="0"/>
                <w:color w:val="000000"/>
              </w:rPr>
            </w:pPr>
            <w:r>
              <w:rPr>
                <w:rStyle w:val="ac"/>
                <w:i w:val="0"/>
                <w:color w:val="000000"/>
              </w:rPr>
              <w:t>Березень</w:t>
            </w:r>
          </w:p>
        </w:tc>
        <w:tc>
          <w:tcPr>
            <w:tcW w:w="0" w:type="auto"/>
            <w:vAlign w:val="center"/>
            <w:hideMark/>
          </w:tcPr>
          <w:p w:rsidR="00705F07" w:rsidRDefault="00185A37">
            <w:pPr>
              <w:jc w:val="center"/>
              <w:rPr>
                <w:rStyle w:val="ac"/>
                <w:i w:val="0"/>
                <w:color w:val="000000"/>
              </w:rPr>
            </w:pPr>
            <w:r>
              <w:rPr>
                <w:rStyle w:val="ac"/>
                <w:i w:val="0"/>
                <w:color w:val="000000"/>
              </w:rPr>
              <w:t>0,00</w:t>
            </w:r>
          </w:p>
        </w:tc>
        <w:tc>
          <w:tcPr>
            <w:tcW w:w="0" w:type="auto"/>
            <w:vAlign w:val="center"/>
            <w:hideMark/>
          </w:tcPr>
          <w:p w:rsidR="00705F07" w:rsidRDefault="00185A37">
            <w:pPr>
              <w:jc w:val="center"/>
              <w:rPr>
                <w:rStyle w:val="ac"/>
                <w:i w:val="0"/>
                <w:color w:val="000000"/>
              </w:rPr>
            </w:pPr>
            <w:r>
              <w:rPr>
                <w:rStyle w:val="ac"/>
                <w:i w:val="0"/>
                <w:color w:val="000000"/>
              </w:rPr>
              <w:t>0</w:t>
            </w:r>
          </w:p>
        </w:tc>
        <w:tc>
          <w:tcPr>
            <w:tcW w:w="0" w:type="auto"/>
            <w:vAlign w:val="center"/>
            <w:hideMark/>
          </w:tcPr>
          <w:p w:rsidR="00705F07" w:rsidRDefault="00185A37">
            <w:pPr>
              <w:jc w:val="center"/>
              <w:rPr>
                <w:rStyle w:val="ac"/>
                <w:i w:val="0"/>
                <w:color w:val="000000"/>
              </w:rPr>
            </w:pPr>
            <w:r>
              <w:rPr>
                <w:rStyle w:val="ac"/>
                <w:i w:val="0"/>
                <w:color w:val="000000"/>
              </w:rPr>
              <w:t>0,0</w:t>
            </w:r>
          </w:p>
        </w:tc>
        <w:tc>
          <w:tcPr>
            <w:tcW w:w="0" w:type="auto"/>
            <w:vAlign w:val="center"/>
            <w:hideMark/>
          </w:tcPr>
          <w:p w:rsidR="00705F07" w:rsidRDefault="00185A37">
            <w:pPr>
              <w:jc w:val="center"/>
              <w:rPr>
                <w:rStyle w:val="ac"/>
                <w:i w:val="0"/>
                <w:color w:val="000000"/>
              </w:rPr>
            </w:pPr>
            <w:r>
              <w:rPr>
                <w:rStyle w:val="ac"/>
                <w:i w:val="0"/>
                <w:color w:val="000000"/>
              </w:rPr>
              <w:t>0</w:t>
            </w:r>
          </w:p>
        </w:tc>
        <w:tc>
          <w:tcPr>
            <w:tcW w:w="0" w:type="auto"/>
            <w:vAlign w:val="center"/>
            <w:hideMark/>
          </w:tcPr>
          <w:p w:rsidR="00705F07" w:rsidRDefault="00185A37">
            <w:pPr>
              <w:jc w:val="center"/>
              <w:rPr>
                <w:rStyle w:val="ac"/>
                <w:i w:val="0"/>
                <w:color w:val="000000"/>
              </w:rPr>
            </w:pPr>
            <w:r>
              <w:rPr>
                <w:rStyle w:val="ac"/>
                <w:i w:val="0"/>
                <w:color w:val="000000"/>
              </w:rPr>
              <w:t>250,00</w:t>
            </w:r>
          </w:p>
        </w:tc>
        <w:tc>
          <w:tcPr>
            <w:tcW w:w="0" w:type="auto"/>
            <w:vAlign w:val="center"/>
            <w:hideMark/>
          </w:tcPr>
          <w:p w:rsidR="00705F07" w:rsidRDefault="00185A37">
            <w:pPr>
              <w:jc w:val="center"/>
              <w:rPr>
                <w:rStyle w:val="ac"/>
                <w:i w:val="0"/>
                <w:color w:val="000000"/>
              </w:rPr>
            </w:pPr>
            <w:r>
              <w:rPr>
                <w:rStyle w:val="ac"/>
                <w:i w:val="0"/>
                <w:color w:val="000000"/>
              </w:rPr>
              <w:t>1</w:t>
            </w:r>
          </w:p>
        </w:tc>
      </w:tr>
      <w:tr w:rsidR="00705F07">
        <w:trPr>
          <w:jc w:val="center"/>
        </w:trPr>
        <w:tc>
          <w:tcPr>
            <w:tcW w:w="0" w:type="auto"/>
            <w:vAlign w:val="center"/>
            <w:hideMark/>
          </w:tcPr>
          <w:p w:rsidR="00705F07" w:rsidRDefault="00185A37">
            <w:pPr>
              <w:jc w:val="center"/>
              <w:rPr>
                <w:rStyle w:val="ac"/>
                <w:i w:val="0"/>
                <w:color w:val="000000"/>
              </w:rPr>
            </w:pPr>
            <w:r>
              <w:rPr>
                <w:rStyle w:val="ac"/>
                <w:i w:val="0"/>
                <w:color w:val="000000"/>
              </w:rPr>
              <w:t>Квітень</w:t>
            </w:r>
          </w:p>
        </w:tc>
        <w:tc>
          <w:tcPr>
            <w:tcW w:w="0" w:type="auto"/>
            <w:vAlign w:val="center"/>
            <w:hideMark/>
          </w:tcPr>
          <w:p w:rsidR="00705F07" w:rsidRDefault="00185A37">
            <w:pPr>
              <w:jc w:val="center"/>
              <w:rPr>
                <w:rStyle w:val="ac"/>
                <w:i w:val="0"/>
                <w:color w:val="000000"/>
              </w:rPr>
            </w:pPr>
            <w:r>
              <w:rPr>
                <w:rStyle w:val="ac"/>
                <w:i w:val="0"/>
                <w:color w:val="000000"/>
              </w:rPr>
              <w:t>0,00</w:t>
            </w:r>
          </w:p>
        </w:tc>
        <w:tc>
          <w:tcPr>
            <w:tcW w:w="0" w:type="auto"/>
            <w:vAlign w:val="center"/>
            <w:hideMark/>
          </w:tcPr>
          <w:p w:rsidR="00705F07" w:rsidRDefault="00185A37">
            <w:pPr>
              <w:jc w:val="center"/>
              <w:rPr>
                <w:rStyle w:val="ac"/>
                <w:i w:val="0"/>
                <w:color w:val="000000"/>
              </w:rPr>
            </w:pPr>
            <w:r>
              <w:rPr>
                <w:rStyle w:val="ac"/>
                <w:i w:val="0"/>
                <w:color w:val="000000"/>
              </w:rPr>
              <w:t>0</w:t>
            </w:r>
          </w:p>
        </w:tc>
        <w:tc>
          <w:tcPr>
            <w:tcW w:w="0" w:type="auto"/>
            <w:vAlign w:val="center"/>
            <w:hideMark/>
          </w:tcPr>
          <w:p w:rsidR="00705F07" w:rsidRDefault="00185A37">
            <w:pPr>
              <w:jc w:val="center"/>
              <w:rPr>
                <w:rStyle w:val="ac"/>
                <w:i w:val="0"/>
                <w:color w:val="000000"/>
              </w:rPr>
            </w:pPr>
            <w:r>
              <w:rPr>
                <w:rStyle w:val="ac"/>
                <w:i w:val="0"/>
                <w:color w:val="000000"/>
              </w:rPr>
              <w:t>59,6</w:t>
            </w:r>
          </w:p>
        </w:tc>
        <w:tc>
          <w:tcPr>
            <w:tcW w:w="0" w:type="auto"/>
            <w:vAlign w:val="center"/>
            <w:hideMark/>
          </w:tcPr>
          <w:p w:rsidR="00705F07" w:rsidRDefault="00185A37">
            <w:pPr>
              <w:jc w:val="center"/>
              <w:rPr>
                <w:rStyle w:val="ac"/>
                <w:i w:val="0"/>
                <w:color w:val="000000"/>
              </w:rPr>
            </w:pPr>
            <w:r>
              <w:rPr>
                <w:rStyle w:val="ac"/>
                <w:i w:val="0"/>
                <w:color w:val="000000"/>
              </w:rPr>
              <w:t>3</w:t>
            </w:r>
          </w:p>
        </w:tc>
        <w:tc>
          <w:tcPr>
            <w:tcW w:w="0" w:type="auto"/>
            <w:vAlign w:val="center"/>
            <w:hideMark/>
          </w:tcPr>
          <w:p w:rsidR="00705F07" w:rsidRDefault="00185A37">
            <w:pPr>
              <w:jc w:val="center"/>
              <w:rPr>
                <w:rStyle w:val="ac"/>
                <w:i w:val="0"/>
                <w:color w:val="000000"/>
              </w:rPr>
            </w:pPr>
            <w:r>
              <w:rPr>
                <w:rStyle w:val="ac"/>
                <w:i w:val="0"/>
                <w:color w:val="000000"/>
              </w:rPr>
              <w:t>1418,77</w:t>
            </w:r>
          </w:p>
        </w:tc>
        <w:tc>
          <w:tcPr>
            <w:tcW w:w="0" w:type="auto"/>
            <w:vAlign w:val="center"/>
            <w:hideMark/>
          </w:tcPr>
          <w:p w:rsidR="00705F07" w:rsidRDefault="00185A37">
            <w:pPr>
              <w:jc w:val="center"/>
              <w:rPr>
                <w:rStyle w:val="ac"/>
                <w:i w:val="0"/>
                <w:color w:val="000000"/>
              </w:rPr>
            </w:pPr>
            <w:r>
              <w:rPr>
                <w:rStyle w:val="ac"/>
                <w:i w:val="0"/>
                <w:color w:val="000000"/>
              </w:rPr>
              <w:t>4</w:t>
            </w:r>
          </w:p>
        </w:tc>
      </w:tr>
      <w:tr w:rsidR="00705F07">
        <w:trPr>
          <w:jc w:val="center"/>
        </w:trPr>
        <w:tc>
          <w:tcPr>
            <w:tcW w:w="0" w:type="auto"/>
            <w:vAlign w:val="center"/>
            <w:hideMark/>
          </w:tcPr>
          <w:p w:rsidR="00705F07" w:rsidRDefault="00185A37">
            <w:pPr>
              <w:jc w:val="center"/>
              <w:rPr>
                <w:rStyle w:val="ac"/>
                <w:i w:val="0"/>
                <w:color w:val="000000"/>
              </w:rPr>
            </w:pPr>
            <w:r>
              <w:rPr>
                <w:rStyle w:val="ac"/>
                <w:i w:val="0"/>
                <w:color w:val="000000"/>
              </w:rPr>
              <w:t>Травень</w:t>
            </w:r>
          </w:p>
        </w:tc>
        <w:tc>
          <w:tcPr>
            <w:tcW w:w="0" w:type="auto"/>
            <w:vAlign w:val="center"/>
            <w:hideMark/>
          </w:tcPr>
          <w:p w:rsidR="00705F07" w:rsidRDefault="00185A37">
            <w:pPr>
              <w:jc w:val="center"/>
              <w:rPr>
                <w:rStyle w:val="ac"/>
                <w:i w:val="0"/>
                <w:color w:val="000000"/>
              </w:rPr>
            </w:pPr>
            <w:r>
              <w:rPr>
                <w:rStyle w:val="ac"/>
                <w:i w:val="0"/>
                <w:color w:val="000000"/>
              </w:rPr>
              <w:t>0,00</w:t>
            </w:r>
          </w:p>
        </w:tc>
        <w:tc>
          <w:tcPr>
            <w:tcW w:w="0" w:type="auto"/>
            <w:vAlign w:val="center"/>
            <w:hideMark/>
          </w:tcPr>
          <w:p w:rsidR="00705F07" w:rsidRDefault="00185A37">
            <w:pPr>
              <w:jc w:val="center"/>
              <w:rPr>
                <w:rStyle w:val="ac"/>
                <w:i w:val="0"/>
                <w:color w:val="000000"/>
              </w:rPr>
            </w:pPr>
            <w:r>
              <w:rPr>
                <w:rStyle w:val="ac"/>
                <w:i w:val="0"/>
                <w:color w:val="000000"/>
              </w:rPr>
              <w:t>0</w:t>
            </w:r>
          </w:p>
        </w:tc>
        <w:tc>
          <w:tcPr>
            <w:tcW w:w="0" w:type="auto"/>
            <w:vAlign w:val="center"/>
            <w:hideMark/>
          </w:tcPr>
          <w:p w:rsidR="00705F07" w:rsidRDefault="00185A37">
            <w:pPr>
              <w:jc w:val="center"/>
              <w:rPr>
                <w:rStyle w:val="ac"/>
                <w:i w:val="0"/>
                <w:color w:val="000000"/>
              </w:rPr>
            </w:pPr>
            <w:r>
              <w:rPr>
                <w:rStyle w:val="ac"/>
                <w:i w:val="0"/>
                <w:color w:val="000000"/>
              </w:rPr>
              <w:t>194,6</w:t>
            </w:r>
          </w:p>
        </w:tc>
        <w:tc>
          <w:tcPr>
            <w:tcW w:w="0" w:type="auto"/>
            <w:vAlign w:val="center"/>
            <w:hideMark/>
          </w:tcPr>
          <w:p w:rsidR="00705F07" w:rsidRDefault="00185A37">
            <w:pPr>
              <w:jc w:val="center"/>
              <w:rPr>
                <w:rStyle w:val="ac"/>
                <w:i w:val="0"/>
                <w:color w:val="000000"/>
              </w:rPr>
            </w:pPr>
            <w:r>
              <w:rPr>
                <w:rStyle w:val="ac"/>
                <w:i w:val="0"/>
                <w:color w:val="000000"/>
              </w:rPr>
              <w:t>2</w:t>
            </w:r>
          </w:p>
        </w:tc>
        <w:tc>
          <w:tcPr>
            <w:tcW w:w="0" w:type="auto"/>
            <w:vAlign w:val="center"/>
            <w:hideMark/>
          </w:tcPr>
          <w:p w:rsidR="00705F07" w:rsidRDefault="00185A37">
            <w:pPr>
              <w:jc w:val="center"/>
              <w:rPr>
                <w:rStyle w:val="ac"/>
                <w:i w:val="0"/>
                <w:color w:val="000000"/>
              </w:rPr>
            </w:pPr>
            <w:r>
              <w:rPr>
                <w:rStyle w:val="ac"/>
                <w:i w:val="0"/>
                <w:color w:val="000000"/>
              </w:rPr>
              <w:t>2400,65</w:t>
            </w:r>
          </w:p>
        </w:tc>
        <w:tc>
          <w:tcPr>
            <w:tcW w:w="0" w:type="auto"/>
            <w:vAlign w:val="center"/>
            <w:hideMark/>
          </w:tcPr>
          <w:p w:rsidR="00705F07" w:rsidRDefault="00185A37">
            <w:pPr>
              <w:jc w:val="center"/>
              <w:rPr>
                <w:rStyle w:val="ac"/>
                <w:i w:val="0"/>
                <w:color w:val="000000"/>
              </w:rPr>
            </w:pPr>
            <w:r>
              <w:rPr>
                <w:rStyle w:val="ac"/>
                <w:i w:val="0"/>
                <w:color w:val="000000"/>
              </w:rPr>
              <w:t>3</w:t>
            </w:r>
          </w:p>
        </w:tc>
      </w:tr>
      <w:tr w:rsidR="00705F07">
        <w:trPr>
          <w:jc w:val="center"/>
        </w:trPr>
        <w:tc>
          <w:tcPr>
            <w:tcW w:w="0" w:type="auto"/>
            <w:vAlign w:val="center"/>
            <w:hideMark/>
          </w:tcPr>
          <w:p w:rsidR="00705F07" w:rsidRDefault="00185A37">
            <w:pPr>
              <w:jc w:val="center"/>
              <w:rPr>
                <w:rStyle w:val="ac"/>
                <w:i w:val="0"/>
                <w:color w:val="000000"/>
              </w:rPr>
            </w:pPr>
            <w:r>
              <w:rPr>
                <w:rStyle w:val="ac"/>
                <w:i w:val="0"/>
                <w:color w:val="000000"/>
              </w:rPr>
              <w:t>Червень</w:t>
            </w:r>
          </w:p>
        </w:tc>
        <w:tc>
          <w:tcPr>
            <w:tcW w:w="0" w:type="auto"/>
            <w:vAlign w:val="center"/>
            <w:hideMark/>
          </w:tcPr>
          <w:p w:rsidR="00705F07" w:rsidRDefault="00185A37">
            <w:pPr>
              <w:jc w:val="center"/>
              <w:rPr>
                <w:rStyle w:val="ac"/>
                <w:i w:val="0"/>
                <w:color w:val="000000"/>
              </w:rPr>
            </w:pPr>
            <w:r>
              <w:rPr>
                <w:rStyle w:val="ac"/>
                <w:i w:val="0"/>
                <w:color w:val="000000"/>
              </w:rPr>
              <w:t>9,15</w:t>
            </w:r>
          </w:p>
        </w:tc>
        <w:tc>
          <w:tcPr>
            <w:tcW w:w="0" w:type="auto"/>
            <w:vAlign w:val="center"/>
            <w:hideMark/>
          </w:tcPr>
          <w:p w:rsidR="00705F07" w:rsidRDefault="00185A37">
            <w:pPr>
              <w:jc w:val="center"/>
              <w:rPr>
                <w:rStyle w:val="ac"/>
                <w:i w:val="0"/>
                <w:color w:val="000000"/>
              </w:rPr>
            </w:pPr>
            <w:r>
              <w:rPr>
                <w:rStyle w:val="ac"/>
                <w:i w:val="0"/>
                <w:color w:val="000000"/>
              </w:rPr>
              <w:t>2</w:t>
            </w:r>
          </w:p>
        </w:tc>
        <w:tc>
          <w:tcPr>
            <w:tcW w:w="0" w:type="auto"/>
            <w:vAlign w:val="center"/>
            <w:hideMark/>
          </w:tcPr>
          <w:p w:rsidR="00705F07" w:rsidRDefault="00185A37">
            <w:pPr>
              <w:jc w:val="center"/>
              <w:rPr>
                <w:rStyle w:val="ac"/>
                <w:i w:val="0"/>
                <w:color w:val="000000"/>
              </w:rPr>
            </w:pPr>
            <w:r>
              <w:rPr>
                <w:rStyle w:val="ac"/>
                <w:i w:val="0"/>
                <w:color w:val="000000"/>
              </w:rPr>
              <w:t>130,0</w:t>
            </w:r>
          </w:p>
        </w:tc>
        <w:tc>
          <w:tcPr>
            <w:tcW w:w="0" w:type="auto"/>
            <w:vAlign w:val="center"/>
            <w:hideMark/>
          </w:tcPr>
          <w:p w:rsidR="00705F07" w:rsidRDefault="00185A37">
            <w:pPr>
              <w:jc w:val="center"/>
              <w:rPr>
                <w:rStyle w:val="ac"/>
                <w:i w:val="0"/>
                <w:color w:val="000000"/>
              </w:rPr>
            </w:pPr>
            <w:r>
              <w:rPr>
                <w:rStyle w:val="ac"/>
                <w:i w:val="0"/>
                <w:color w:val="000000"/>
              </w:rPr>
              <w:t>1</w:t>
            </w:r>
          </w:p>
        </w:tc>
        <w:tc>
          <w:tcPr>
            <w:tcW w:w="0" w:type="auto"/>
            <w:vAlign w:val="center"/>
            <w:hideMark/>
          </w:tcPr>
          <w:p w:rsidR="00705F07" w:rsidRDefault="00185A37">
            <w:pPr>
              <w:jc w:val="center"/>
              <w:rPr>
                <w:rStyle w:val="ac"/>
                <w:i w:val="0"/>
                <w:color w:val="000000"/>
              </w:rPr>
            </w:pPr>
            <w:r>
              <w:rPr>
                <w:rStyle w:val="ac"/>
                <w:i w:val="0"/>
                <w:color w:val="000000"/>
              </w:rPr>
              <w:t>18908,00</w:t>
            </w:r>
          </w:p>
        </w:tc>
        <w:tc>
          <w:tcPr>
            <w:tcW w:w="0" w:type="auto"/>
            <w:vAlign w:val="center"/>
            <w:hideMark/>
          </w:tcPr>
          <w:p w:rsidR="00705F07" w:rsidRDefault="00185A37">
            <w:pPr>
              <w:jc w:val="center"/>
              <w:rPr>
                <w:rStyle w:val="ac"/>
                <w:i w:val="0"/>
                <w:color w:val="000000"/>
              </w:rPr>
            </w:pPr>
            <w:r>
              <w:rPr>
                <w:rStyle w:val="ac"/>
                <w:i w:val="0"/>
                <w:color w:val="000000"/>
              </w:rPr>
              <w:t>3</w:t>
            </w:r>
          </w:p>
        </w:tc>
      </w:tr>
      <w:tr w:rsidR="00705F07">
        <w:trPr>
          <w:jc w:val="center"/>
        </w:trPr>
        <w:tc>
          <w:tcPr>
            <w:tcW w:w="0" w:type="auto"/>
            <w:vAlign w:val="center"/>
            <w:hideMark/>
          </w:tcPr>
          <w:p w:rsidR="00705F07" w:rsidRDefault="00185A37">
            <w:pPr>
              <w:jc w:val="center"/>
              <w:rPr>
                <w:rStyle w:val="ac"/>
                <w:i w:val="0"/>
                <w:color w:val="000000"/>
              </w:rPr>
            </w:pPr>
            <w:r>
              <w:rPr>
                <w:rStyle w:val="ac"/>
                <w:i w:val="0"/>
                <w:color w:val="000000"/>
              </w:rPr>
              <w:t>Липень</w:t>
            </w:r>
          </w:p>
        </w:tc>
        <w:tc>
          <w:tcPr>
            <w:tcW w:w="0" w:type="auto"/>
            <w:vAlign w:val="center"/>
            <w:hideMark/>
          </w:tcPr>
          <w:p w:rsidR="00705F07" w:rsidRDefault="00185A37">
            <w:pPr>
              <w:jc w:val="center"/>
              <w:rPr>
                <w:rStyle w:val="ac"/>
                <w:i w:val="0"/>
                <w:color w:val="000000"/>
              </w:rPr>
            </w:pPr>
            <w:r>
              <w:rPr>
                <w:rStyle w:val="ac"/>
                <w:i w:val="0"/>
                <w:color w:val="000000"/>
              </w:rPr>
              <w:t>1032,58</w:t>
            </w:r>
          </w:p>
        </w:tc>
        <w:tc>
          <w:tcPr>
            <w:tcW w:w="0" w:type="auto"/>
            <w:vAlign w:val="center"/>
            <w:hideMark/>
          </w:tcPr>
          <w:p w:rsidR="00705F07" w:rsidRDefault="00185A37">
            <w:pPr>
              <w:jc w:val="center"/>
              <w:rPr>
                <w:rStyle w:val="ac"/>
                <w:i w:val="0"/>
                <w:color w:val="000000"/>
              </w:rPr>
            </w:pPr>
            <w:r>
              <w:rPr>
                <w:rStyle w:val="ac"/>
                <w:i w:val="0"/>
                <w:color w:val="000000"/>
              </w:rPr>
              <w:t>2</w:t>
            </w:r>
          </w:p>
        </w:tc>
        <w:tc>
          <w:tcPr>
            <w:tcW w:w="0" w:type="auto"/>
            <w:vAlign w:val="center"/>
            <w:hideMark/>
          </w:tcPr>
          <w:p w:rsidR="00705F07" w:rsidRDefault="00185A37">
            <w:pPr>
              <w:jc w:val="center"/>
              <w:rPr>
                <w:rStyle w:val="ac"/>
                <w:i w:val="0"/>
                <w:color w:val="000000"/>
              </w:rPr>
            </w:pPr>
            <w:r>
              <w:rPr>
                <w:rStyle w:val="ac"/>
                <w:i w:val="0"/>
                <w:color w:val="000000"/>
              </w:rPr>
              <w:t>297,5</w:t>
            </w:r>
          </w:p>
        </w:tc>
        <w:tc>
          <w:tcPr>
            <w:tcW w:w="0" w:type="auto"/>
            <w:vAlign w:val="center"/>
            <w:hideMark/>
          </w:tcPr>
          <w:p w:rsidR="00705F07" w:rsidRDefault="00185A37">
            <w:pPr>
              <w:jc w:val="center"/>
              <w:rPr>
                <w:rStyle w:val="ac"/>
                <w:i w:val="0"/>
                <w:color w:val="000000"/>
              </w:rPr>
            </w:pPr>
            <w:r>
              <w:rPr>
                <w:rStyle w:val="ac"/>
                <w:i w:val="0"/>
                <w:color w:val="000000"/>
              </w:rPr>
              <w:t>4</w:t>
            </w:r>
          </w:p>
        </w:tc>
        <w:tc>
          <w:tcPr>
            <w:tcW w:w="0" w:type="auto"/>
            <w:vAlign w:val="center"/>
            <w:hideMark/>
          </w:tcPr>
          <w:p w:rsidR="00705F07" w:rsidRDefault="00185A37">
            <w:pPr>
              <w:jc w:val="center"/>
              <w:rPr>
                <w:rStyle w:val="ac"/>
                <w:i w:val="0"/>
                <w:color w:val="000000"/>
              </w:rPr>
            </w:pPr>
            <w:r>
              <w:rPr>
                <w:rStyle w:val="ac"/>
                <w:i w:val="0"/>
                <w:color w:val="000000"/>
              </w:rPr>
              <w:t>7403,15</w:t>
            </w:r>
          </w:p>
        </w:tc>
        <w:tc>
          <w:tcPr>
            <w:tcW w:w="0" w:type="auto"/>
            <w:vAlign w:val="center"/>
            <w:hideMark/>
          </w:tcPr>
          <w:p w:rsidR="00705F07" w:rsidRDefault="00185A37">
            <w:pPr>
              <w:jc w:val="center"/>
              <w:rPr>
                <w:rStyle w:val="ac"/>
                <w:i w:val="0"/>
                <w:color w:val="000000"/>
              </w:rPr>
            </w:pPr>
            <w:r>
              <w:rPr>
                <w:rStyle w:val="ac"/>
                <w:i w:val="0"/>
                <w:color w:val="000000"/>
              </w:rPr>
              <w:t>10</w:t>
            </w:r>
          </w:p>
        </w:tc>
      </w:tr>
      <w:tr w:rsidR="00705F07">
        <w:trPr>
          <w:jc w:val="center"/>
        </w:trPr>
        <w:tc>
          <w:tcPr>
            <w:tcW w:w="0" w:type="auto"/>
            <w:vAlign w:val="center"/>
            <w:hideMark/>
          </w:tcPr>
          <w:p w:rsidR="00705F07" w:rsidRDefault="00185A37">
            <w:pPr>
              <w:jc w:val="center"/>
              <w:rPr>
                <w:rStyle w:val="ac"/>
                <w:i w:val="0"/>
                <w:color w:val="000000"/>
              </w:rPr>
            </w:pPr>
            <w:r>
              <w:rPr>
                <w:rStyle w:val="ac"/>
                <w:i w:val="0"/>
                <w:color w:val="000000"/>
              </w:rPr>
              <w:t>Серпень</w:t>
            </w:r>
          </w:p>
        </w:tc>
        <w:tc>
          <w:tcPr>
            <w:tcW w:w="0" w:type="auto"/>
            <w:vAlign w:val="center"/>
            <w:hideMark/>
          </w:tcPr>
          <w:p w:rsidR="00705F07" w:rsidRDefault="00185A37">
            <w:pPr>
              <w:jc w:val="center"/>
              <w:rPr>
                <w:rStyle w:val="ac"/>
                <w:i w:val="0"/>
                <w:color w:val="000000"/>
              </w:rPr>
            </w:pPr>
            <w:r>
              <w:rPr>
                <w:rStyle w:val="ac"/>
                <w:i w:val="0"/>
                <w:color w:val="000000"/>
              </w:rPr>
              <w:t>0,00</w:t>
            </w:r>
          </w:p>
        </w:tc>
        <w:tc>
          <w:tcPr>
            <w:tcW w:w="0" w:type="auto"/>
            <w:vAlign w:val="center"/>
            <w:hideMark/>
          </w:tcPr>
          <w:p w:rsidR="00705F07" w:rsidRDefault="00185A37">
            <w:pPr>
              <w:jc w:val="center"/>
              <w:rPr>
                <w:rStyle w:val="ac"/>
                <w:i w:val="0"/>
                <w:color w:val="000000"/>
              </w:rPr>
            </w:pPr>
            <w:r>
              <w:rPr>
                <w:rStyle w:val="ac"/>
                <w:i w:val="0"/>
                <w:color w:val="000000"/>
              </w:rPr>
              <w:t>0</w:t>
            </w:r>
          </w:p>
        </w:tc>
        <w:tc>
          <w:tcPr>
            <w:tcW w:w="0" w:type="auto"/>
            <w:vAlign w:val="center"/>
            <w:hideMark/>
          </w:tcPr>
          <w:p w:rsidR="00705F07" w:rsidRDefault="00185A37">
            <w:pPr>
              <w:jc w:val="center"/>
              <w:rPr>
                <w:rStyle w:val="ac"/>
                <w:i w:val="0"/>
                <w:color w:val="000000"/>
              </w:rPr>
            </w:pPr>
            <w:r>
              <w:rPr>
                <w:rStyle w:val="ac"/>
                <w:i w:val="0"/>
                <w:color w:val="000000"/>
              </w:rPr>
              <w:t>89,7</w:t>
            </w:r>
          </w:p>
        </w:tc>
        <w:tc>
          <w:tcPr>
            <w:tcW w:w="0" w:type="auto"/>
            <w:vAlign w:val="center"/>
            <w:hideMark/>
          </w:tcPr>
          <w:p w:rsidR="00705F07" w:rsidRDefault="00185A37">
            <w:pPr>
              <w:jc w:val="center"/>
              <w:rPr>
                <w:rStyle w:val="ac"/>
                <w:i w:val="0"/>
                <w:color w:val="000000"/>
              </w:rPr>
            </w:pPr>
            <w:r>
              <w:rPr>
                <w:rStyle w:val="ac"/>
                <w:i w:val="0"/>
                <w:color w:val="000000"/>
              </w:rPr>
              <w:t>3</w:t>
            </w:r>
          </w:p>
        </w:tc>
        <w:tc>
          <w:tcPr>
            <w:tcW w:w="0" w:type="auto"/>
            <w:vAlign w:val="center"/>
            <w:hideMark/>
          </w:tcPr>
          <w:p w:rsidR="00705F07" w:rsidRDefault="00185A37">
            <w:pPr>
              <w:jc w:val="center"/>
              <w:rPr>
                <w:rStyle w:val="ac"/>
                <w:i w:val="0"/>
                <w:color w:val="000000"/>
              </w:rPr>
            </w:pPr>
            <w:r>
              <w:rPr>
                <w:rStyle w:val="ac"/>
                <w:i w:val="0"/>
                <w:color w:val="000000"/>
              </w:rPr>
              <w:t>29,56</w:t>
            </w:r>
          </w:p>
        </w:tc>
        <w:tc>
          <w:tcPr>
            <w:tcW w:w="0" w:type="auto"/>
            <w:vAlign w:val="center"/>
            <w:hideMark/>
          </w:tcPr>
          <w:p w:rsidR="00705F07" w:rsidRDefault="00185A37">
            <w:pPr>
              <w:jc w:val="center"/>
              <w:rPr>
                <w:rStyle w:val="ac"/>
                <w:i w:val="0"/>
                <w:color w:val="000000"/>
              </w:rPr>
            </w:pPr>
            <w:r>
              <w:rPr>
                <w:rStyle w:val="ac"/>
                <w:i w:val="0"/>
                <w:color w:val="000000"/>
              </w:rPr>
              <w:t>4</w:t>
            </w:r>
          </w:p>
        </w:tc>
      </w:tr>
      <w:tr w:rsidR="00705F07">
        <w:trPr>
          <w:jc w:val="center"/>
        </w:trPr>
        <w:tc>
          <w:tcPr>
            <w:tcW w:w="0" w:type="auto"/>
            <w:vAlign w:val="center"/>
            <w:hideMark/>
          </w:tcPr>
          <w:p w:rsidR="00705F07" w:rsidRDefault="00185A37">
            <w:pPr>
              <w:jc w:val="center"/>
              <w:rPr>
                <w:rStyle w:val="ac"/>
                <w:i w:val="0"/>
                <w:color w:val="000000"/>
              </w:rPr>
            </w:pPr>
            <w:r>
              <w:rPr>
                <w:rStyle w:val="ac"/>
                <w:i w:val="0"/>
                <w:color w:val="000000"/>
              </w:rPr>
              <w:t>Вересень</w:t>
            </w:r>
          </w:p>
        </w:tc>
        <w:tc>
          <w:tcPr>
            <w:tcW w:w="0" w:type="auto"/>
            <w:vAlign w:val="center"/>
            <w:hideMark/>
          </w:tcPr>
          <w:p w:rsidR="00705F07" w:rsidRDefault="00185A37">
            <w:pPr>
              <w:jc w:val="center"/>
              <w:rPr>
                <w:rStyle w:val="ac"/>
                <w:i w:val="0"/>
                <w:color w:val="000000"/>
              </w:rPr>
            </w:pPr>
            <w:r>
              <w:rPr>
                <w:rStyle w:val="ac"/>
                <w:i w:val="0"/>
                <w:color w:val="000000"/>
              </w:rPr>
              <w:t>790,30</w:t>
            </w:r>
          </w:p>
        </w:tc>
        <w:tc>
          <w:tcPr>
            <w:tcW w:w="0" w:type="auto"/>
            <w:vAlign w:val="center"/>
            <w:hideMark/>
          </w:tcPr>
          <w:p w:rsidR="00705F07" w:rsidRDefault="00185A37">
            <w:pPr>
              <w:jc w:val="center"/>
              <w:rPr>
                <w:rStyle w:val="ac"/>
                <w:i w:val="0"/>
                <w:color w:val="000000"/>
              </w:rPr>
            </w:pPr>
            <w:r>
              <w:rPr>
                <w:rStyle w:val="ac"/>
                <w:i w:val="0"/>
                <w:color w:val="000000"/>
              </w:rPr>
              <w:t>2</w:t>
            </w:r>
          </w:p>
        </w:tc>
        <w:tc>
          <w:tcPr>
            <w:tcW w:w="0" w:type="auto"/>
            <w:vAlign w:val="center"/>
            <w:hideMark/>
          </w:tcPr>
          <w:p w:rsidR="00705F07" w:rsidRDefault="00185A37">
            <w:pPr>
              <w:jc w:val="center"/>
              <w:rPr>
                <w:rStyle w:val="ac"/>
                <w:i w:val="0"/>
                <w:color w:val="000000"/>
              </w:rPr>
            </w:pPr>
            <w:r>
              <w:rPr>
                <w:rStyle w:val="ac"/>
                <w:i w:val="0"/>
                <w:color w:val="000000"/>
              </w:rPr>
              <w:t>3370,6</w:t>
            </w:r>
          </w:p>
        </w:tc>
        <w:tc>
          <w:tcPr>
            <w:tcW w:w="0" w:type="auto"/>
            <w:vAlign w:val="center"/>
            <w:hideMark/>
          </w:tcPr>
          <w:p w:rsidR="00705F07" w:rsidRDefault="00185A37">
            <w:pPr>
              <w:jc w:val="center"/>
              <w:rPr>
                <w:rStyle w:val="ac"/>
                <w:i w:val="0"/>
                <w:color w:val="000000"/>
              </w:rPr>
            </w:pPr>
            <w:r>
              <w:rPr>
                <w:rStyle w:val="ac"/>
                <w:i w:val="0"/>
                <w:color w:val="000000"/>
              </w:rPr>
              <w:t>5</w:t>
            </w:r>
          </w:p>
        </w:tc>
        <w:tc>
          <w:tcPr>
            <w:tcW w:w="0" w:type="auto"/>
            <w:vAlign w:val="center"/>
            <w:hideMark/>
          </w:tcPr>
          <w:p w:rsidR="00705F07" w:rsidRDefault="00185A37">
            <w:pPr>
              <w:jc w:val="center"/>
              <w:rPr>
                <w:rStyle w:val="ac"/>
                <w:i w:val="0"/>
                <w:color w:val="000000"/>
              </w:rPr>
            </w:pPr>
            <w:r>
              <w:rPr>
                <w:rStyle w:val="ac"/>
                <w:i w:val="0"/>
                <w:color w:val="000000"/>
              </w:rPr>
              <w:t>435,27</w:t>
            </w:r>
          </w:p>
        </w:tc>
        <w:tc>
          <w:tcPr>
            <w:tcW w:w="0" w:type="auto"/>
            <w:vAlign w:val="center"/>
            <w:hideMark/>
          </w:tcPr>
          <w:p w:rsidR="00705F07" w:rsidRDefault="00185A37">
            <w:pPr>
              <w:jc w:val="center"/>
              <w:rPr>
                <w:rStyle w:val="ac"/>
                <w:i w:val="0"/>
                <w:color w:val="000000"/>
              </w:rPr>
            </w:pPr>
            <w:r>
              <w:rPr>
                <w:rStyle w:val="ac"/>
                <w:i w:val="0"/>
                <w:color w:val="000000"/>
              </w:rPr>
              <w:t>5</w:t>
            </w:r>
          </w:p>
        </w:tc>
      </w:tr>
      <w:tr w:rsidR="00705F07">
        <w:trPr>
          <w:jc w:val="center"/>
        </w:trPr>
        <w:tc>
          <w:tcPr>
            <w:tcW w:w="0" w:type="auto"/>
            <w:vAlign w:val="center"/>
            <w:hideMark/>
          </w:tcPr>
          <w:p w:rsidR="00705F07" w:rsidRDefault="00185A37">
            <w:pPr>
              <w:jc w:val="center"/>
              <w:rPr>
                <w:rStyle w:val="ac"/>
                <w:i w:val="0"/>
                <w:color w:val="000000"/>
              </w:rPr>
            </w:pPr>
            <w:r>
              <w:rPr>
                <w:rStyle w:val="ac"/>
                <w:i w:val="0"/>
                <w:color w:val="000000"/>
              </w:rPr>
              <w:t>Жовтень</w:t>
            </w:r>
          </w:p>
        </w:tc>
        <w:tc>
          <w:tcPr>
            <w:tcW w:w="0" w:type="auto"/>
            <w:vAlign w:val="center"/>
            <w:hideMark/>
          </w:tcPr>
          <w:p w:rsidR="00705F07" w:rsidRDefault="00185A37">
            <w:pPr>
              <w:jc w:val="center"/>
              <w:rPr>
                <w:rStyle w:val="ac"/>
                <w:i w:val="0"/>
                <w:color w:val="000000"/>
              </w:rPr>
            </w:pPr>
            <w:r>
              <w:rPr>
                <w:rStyle w:val="ac"/>
                <w:i w:val="0"/>
                <w:color w:val="000000"/>
              </w:rPr>
              <w:t>450,50</w:t>
            </w:r>
          </w:p>
        </w:tc>
        <w:tc>
          <w:tcPr>
            <w:tcW w:w="0" w:type="auto"/>
            <w:vAlign w:val="center"/>
            <w:hideMark/>
          </w:tcPr>
          <w:p w:rsidR="00705F07" w:rsidRDefault="00185A37">
            <w:pPr>
              <w:jc w:val="center"/>
              <w:rPr>
                <w:rStyle w:val="ac"/>
                <w:i w:val="0"/>
                <w:color w:val="000000"/>
              </w:rPr>
            </w:pPr>
            <w:r>
              <w:rPr>
                <w:rStyle w:val="ac"/>
                <w:i w:val="0"/>
                <w:color w:val="000000"/>
              </w:rPr>
              <w:t>1</w:t>
            </w:r>
          </w:p>
        </w:tc>
        <w:tc>
          <w:tcPr>
            <w:tcW w:w="0" w:type="auto"/>
            <w:vAlign w:val="center"/>
            <w:hideMark/>
          </w:tcPr>
          <w:p w:rsidR="00705F07" w:rsidRDefault="00185A37">
            <w:pPr>
              <w:jc w:val="center"/>
              <w:rPr>
                <w:rStyle w:val="ac"/>
                <w:i w:val="0"/>
                <w:color w:val="000000"/>
              </w:rPr>
            </w:pPr>
            <w:r>
              <w:rPr>
                <w:rStyle w:val="ac"/>
                <w:i w:val="0"/>
                <w:color w:val="000000"/>
              </w:rPr>
              <w:t>124,1</w:t>
            </w:r>
          </w:p>
        </w:tc>
        <w:tc>
          <w:tcPr>
            <w:tcW w:w="0" w:type="auto"/>
            <w:vAlign w:val="center"/>
            <w:hideMark/>
          </w:tcPr>
          <w:p w:rsidR="00705F07" w:rsidRDefault="00185A37">
            <w:pPr>
              <w:jc w:val="center"/>
              <w:rPr>
                <w:rStyle w:val="ac"/>
                <w:i w:val="0"/>
                <w:color w:val="000000"/>
              </w:rPr>
            </w:pPr>
            <w:r>
              <w:rPr>
                <w:rStyle w:val="ac"/>
                <w:i w:val="0"/>
                <w:color w:val="000000"/>
              </w:rPr>
              <w:t>3</w:t>
            </w:r>
          </w:p>
        </w:tc>
        <w:tc>
          <w:tcPr>
            <w:tcW w:w="0" w:type="auto"/>
            <w:vAlign w:val="center"/>
            <w:hideMark/>
          </w:tcPr>
          <w:p w:rsidR="00705F07" w:rsidRDefault="00185A37">
            <w:pPr>
              <w:jc w:val="center"/>
              <w:rPr>
                <w:rStyle w:val="ac"/>
                <w:i w:val="0"/>
                <w:color w:val="000000"/>
              </w:rPr>
            </w:pPr>
            <w:r>
              <w:rPr>
                <w:rStyle w:val="ac"/>
                <w:i w:val="0"/>
                <w:color w:val="000000"/>
              </w:rPr>
              <w:t>475,73</w:t>
            </w:r>
          </w:p>
        </w:tc>
        <w:tc>
          <w:tcPr>
            <w:tcW w:w="0" w:type="auto"/>
            <w:vAlign w:val="center"/>
            <w:hideMark/>
          </w:tcPr>
          <w:p w:rsidR="00705F07" w:rsidRDefault="00185A37">
            <w:pPr>
              <w:jc w:val="center"/>
              <w:rPr>
                <w:rStyle w:val="ac"/>
                <w:i w:val="0"/>
                <w:color w:val="000000"/>
              </w:rPr>
            </w:pPr>
            <w:r>
              <w:rPr>
                <w:rStyle w:val="ac"/>
                <w:i w:val="0"/>
                <w:color w:val="000000"/>
              </w:rPr>
              <w:t>5</w:t>
            </w:r>
          </w:p>
        </w:tc>
      </w:tr>
      <w:tr w:rsidR="00705F07">
        <w:trPr>
          <w:jc w:val="center"/>
        </w:trPr>
        <w:tc>
          <w:tcPr>
            <w:tcW w:w="0" w:type="auto"/>
            <w:vAlign w:val="center"/>
            <w:hideMark/>
          </w:tcPr>
          <w:p w:rsidR="00705F07" w:rsidRDefault="00185A37">
            <w:pPr>
              <w:jc w:val="center"/>
              <w:rPr>
                <w:rStyle w:val="ac"/>
                <w:i w:val="0"/>
                <w:color w:val="000000"/>
              </w:rPr>
            </w:pPr>
            <w:r>
              <w:rPr>
                <w:rStyle w:val="ac"/>
                <w:i w:val="0"/>
                <w:color w:val="000000"/>
              </w:rPr>
              <w:t>Листопад</w:t>
            </w:r>
          </w:p>
        </w:tc>
        <w:tc>
          <w:tcPr>
            <w:tcW w:w="0" w:type="auto"/>
            <w:vAlign w:val="center"/>
            <w:hideMark/>
          </w:tcPr>
          <w:p w:rsidR="00705F07" w:rsidRDefault="00185A37">
            <w:pPr>
              <w:jc w:val="center"/>
              <w:rPr>
                <w:rStyle w:val="ac"/>
                <w:i w:val="0"/>
                <w:color w:val="000000"/>
              </w:rPr>
            </w:pPr>
            <w:r>
              <w:rPr>
                <w:rStyle w:val="ac"/>
                <w:i w:val="0"/>
                <w:color w:val="000000"/>
              </w:rPr>
              <w:t>304,30</w:t>
            </w:r>
          </w:p>
        </w:tc>
        <w:tc>
          <w:tcPr>
            <w:tcW w:w="0" w:type="auto"/>
            <w:vAlign w:val="center"/>
            <w:hideMark/>
          </w:tcPr>
          <w:p w:rsidR="00705F07" w:rsidRDefault="00185A37">
            <w:pPr>
              <w:jc w:val="center"/>
              <w:rPr>
                <w:rStyle w:val="ac"/>
                <w:i w:val="0"/>
                <w:color w:val="000000"/>
              </w:rPr>
            </w:pPr>
            <w:r>
              <w:rPr>
                <w:rStyle w:val="ac"/>
                <w:i w:val="0"/>
                <w:color w:val="000000"/>
              </w:rPr>
              <w:t>2</w:t>
            </w:r>
          </w:p>
        </w:tc>
        <w:tc>
          <w:tcPr>
            <w:tcW w:w="0" w:type="auto"/>
            <w:vAlign w:val="center"/>
            <w:hideMark/>
          </w:tcPr>
          <w:p w:rsidR="00705F07" w:rsidRDefault="00185A37">
            <w:pPr>
              <w:jc w:val="center"/>
              <w:rPr>
                <w:rStyle w:val="ac"/>
                <w:i w:val="0"/>
                <w:color w:val="000000"/>
              </w:rPr>
            </w:pPr>
            <w:r>
              <w:rPr>
                <w:rStyle w:val="ac"/>
                <w:i w:val="0"/>
                <w:color w:val="000000"/>
              </w:rPr>
              <w:t>1538,1</w:t>
            </w:r>
          </w:p>
        </w:tc>
        <w:tc>
          <w:tcPr>
            <w:tcW w:w="0" w:type="auto"/>
            <w:vAlign w:val="center"/>
            <w:hideMark/>
          </w:tcPr>
          <w:p w:rsidR="00705F07" w:rsidRDefault="00185A37">
            <w:pPr>
              <w:jc w:val="center"/>
              <w:rPr>
                <w:rStyle w:val="ac"/>
                <w:i w:val="0"/>
                <w:color w:val="000000"/>
              </w:rPr>
            </w:pPr>
            <w:r>
              <w:rPr>
                <w:rStyle w:val="ac"/>
                <w:i w:val="0"/>
                <w:color w:val="000000"/>
              </w:rPr>
              <w:t>3</w:t>
            </w:r>
          </w:p>
        </w:tc>
        <w:tc>
          <w:tcPr>
            <w:tcW w:w="0" w:type="auto"/>
            <w:vAlign w:val="center"/>
            <w:hideMark/>
          </w:tcPr>
          <w:p w:rsidR="00705F07" w:rsidRDefault="00185A37">
            <w:pPr>
              <w:jc w:val="center"/>
              <w:rPr>
                <w:rStyle w:val="ac"/>
                <w:i w:val="0"/>
                <w:color w:val="000000"/>
              </w:rPr>
            </w:pPr>
            <w:r>
              <w:rPr>
                <w:rStyle w:val="ac"/>
                <w:i w:val="0"/>
                <w:color w:val="000000"/>
              </w:rPr>
              <w:t>5358,89</w:t>
            </w:r>
          </w:p>
        </w:tc>
        <w:tc>
          <w:tcPr>
            <w:tcW w:w="0" w:type="auto"/>
            <w:vAlign w:val="center"/>
            <w:hideMark/>
          </w:tcPr>
          <w:p w:rsidR="00705F07" w:rsidRDefault="00185A37">
            <w:pPr>
              <w:jc w:val="center"/>
              <w:rPr>
                <w:rStyle w:val="ac"/>
                <w:i w:val="0"/>
                <w:color w:val="000000"/>
              </w:rPr>
            </w:pPr>
            <w:r>
              <w:rPr>
                <w:rStyle w:val="ac"/>
                <w:i w:val="0"/>
                <w:color w:val="000000"/>
              </w:rPr>
              <w:t>6</w:t>
            </w:r>
          </w:p>
        </w:tc>
      </w:tr>
      <w:tr w:rsidR="00705F07">
        <w:trPr>
          <w:jc w:val="center"/>
        </w:trPr>
        <w:tc>
          <w:tcPr>
            <w:tcW w:w="0" w:type="auto"/>
            <w:vAlign w:val="center"/>
            <w:hideMark/>
          </w:tcPr>
          <w:p w:rsidR="00705F07" w:rsidRDefault="00185A37">
            <w:pPr>
              <w:jc w:val="center"/>
              <w:rPr>
                <w:rStyle w:val="ac"/>
                <w:i w:val="0"/>
                <w:color w:val="000000"/>
              </w:rPr>
            </w:pPr>
            <w:r>
              <w:rPr>
                <w:rStyle w:val="ac"/>
                <w:i w:val="0"/>
                <w:color w:val="000000"/>
              </w:rPr>
              <w:t>Грудень</w:t>
            </w:r>
          </w:p>
        </w:tc>
        <w:tc>
          <w:tcPr>
            <w:tcW w:w="0" w:type="auto"/>
            <w:vAlign w:val="center"/>
            <w:hideMark/>
          </w:tcPr>
          <w:p w:rsidR="00705F07" w:rsidRDefault="00185A37">
            <w:pPr>
              <w:jc w:val="center"/>
              <w:rPr>
                <w:rStyle w:val="ac"/>
                <w:i w:val="0"/>
                <w:color w:val="000000"/>
              </w:rPr>
            </w:pPr>
            <w:r>
              <w:rPr>
                <w:rStyle w:val="ac"/>
                <w:i w:val="0"/>
                <w:color w:val="000000"/>
              </w:rPr>
              <w:t>32075,08</w:t>
            </w:r>
          </w:p>
        </w:tc>
        <w:tc>
          <w:tcPr>
            <w:tcW w:w="0" w:type="auto"/>
            <w:vAlign w:val="center"/>
            <w:hideMark/>
          </w:tcPr>
          <w:p w:rsidR="00705F07" w:rsidRDefault="00185A37">
            <w:pPr>
              <w:jc w:val="center"/>
              <w:rPr>
                <w:rStyle w:val="ac"/>
                <w:i w:val="0"/>
                <w:color w:val="000000"/>
              </w:rPr>
            </w:pPr>
            <w:r>
              <w:rPr>
                <w:rStyle w:val="ac"/>
                <w:i w:val="0"/>
                <w:color w:val="000000"/>
              </w:rPr>
              <w:t>4</w:t>
            </w:r>
          </w:p>
        </w:tc>
        <w:tc>
          <w:tcPr>
            <w:tcW w:w="0" w:type="auto"/>
            <w:vAlign w:val="center"/>
            <w:hideMark/>
          </w:tcPr>
          <w:p w:rsidR="00705F07" w:rsidRDefault="00185A37">
            <w:pPr>
              <w:jc w:val="center"/>
              <w:rPr>
                <w:rStyle w:val="ac"/>
                <w:i w:val="0"/>
                <w:color w:val="000000"/>
              </w:rPr>
            </w:pPr>
            <w:r>
              <w:rPr>
                <w:rStyle w:val="ac"/>
                <w:i w:val="0"/>
                <w:color w:val="000000"/>
              </w:rPr>
              <w:t>577,6</w:t>
            </w:r>
          </w:p>
        </w:tc>
        <w:tc>
          <w:tcPr>
            <w:tcW w:w="0" w:type="auto"/>
            <w:vAlign w:val="center"/>
            <w:hideMark/>
          </w:tcPr>
          <w:p w:rsidR="00705F07" w:rsidRDefault="00185A37">
            <w:pPr>
              <w:jc w:val="center"/>
              <w:rPr>
                <w:rStyle w:val="ac"/>
                <w:i w:val="0"/>
                <w:color w:val="000000"/>
              </w:rPr>
            </w:pPr>
            <w:r>
              <w:rPr>
                <w:rStyle w:val="ac"/>
                <w:i w:val="0"/>
                <w:color w:val="000000"/>
              </w:rPr>
              <w:t>4</w:t>
            </w:r>
          </w:p>
        </w:tc>
        <w:tc>
          <w:tcPr>
            <w:tcW w:w="0" w:type="auto"/>
            <w:vAlign w:val="center"/>
            <w:hideMark/>
          </w:tcPr>
          <w:p w:rsidR="00705F07" w:rsidRDefault="00185A37">
            <w:pPr>
              <w:jc w:val="center"/>
              <w:rPr>
                <w:rStyle w:val="ac"/>
                <w:i w:val="0"/>
                <w:color w:val="000000"/>
              </w:rPr>
            </w:pPr>
            <w:r>
              <w:rPr>
                <w:rStyle w:val="ac"/>
                <w:i w:val="0"/>
                <w:color w:val="000000"/>
              </w:rPr>
              <w:t>21126,98</w:t>
            </w:r>
          </w:p>
        </w:tc>
        <w:tc>
          <w:tcPr>
            <w:tcW w:w="0" w:type="auto"/>
            <w:vAlign w:val="center"/>
            <w:hideMark/>
          </w:tcPr>
          <w:p w:rsidR="00705F07" w:rsidRDefault="00185A37">
            <w:pPr>
              <w:jc w:val="center"/>
              <w:rPr>
                <w:rStyle w:val="ac"/>
                <w:i w:val="0"/>
                <w:color w:val="000000"/>
              </w:rPr>
            </w:pPr>
            <w:r>
              <w:rPr>
                <w:rStyle w:val="ac"/>
                <w:i w:val="0"/>
                <w:color w:val="000000"/>
              </w:rPr>
              <w:t>8</w:t>
            </w:r>
          </w:p>
        </w:tc>
      </w:tr>
      <w:tr w:rsidR="00705F07">
        <w:trPr>
          <w:jc w:val="center"/>
        </w:trPr>
        <w:tc>
          <w:tcPr>
            <w:tcW w:w="0" w:type="auto"/>
            <w:vAlign w:val="center"/>
            <w:hideMark/>
          </w:tcPr>
          <w:p w:rsidR="00705F07" w:rsidRDefault="00185A37">
            <w:pPr>
              <w:jc w:val="center"/>
              <w:rPr>
                <w:rStyle w:val="ac"/>
                <w:i w:val="0"/>
                <w:color w:val="000000"/>
              </w:rPr>
            </w:pPr>
            <w:r>
              <w:rPr>
                <w:rStyle w:val="ac"/>
                <w:i w:val="0"/>
                <w:color w:val="000000"/>
              </w:rPr>
              <w:t>Усього</w:t>
            </w:r>
          </w:p>
        </w:tc>
        <w:tc>
          <w:tcPr>
            <w:tcW w:w="0" w:type="auto"/>
            <w:vAlign w:val="center"/>
            <w:hideMark/>
          </w:tcPr>
          <w:p w:rsidR="00705F07" w:rsidRDefault="00185A37">
            <w:pPr>
              <w:jc w:val="center"/>
              <w:rPr>
                <w:rStyle w:val="ac"/>
                <w:i w:val="0"/>
                <w:color w:val="000000"/>
              </w:rPr>
            </w:pPr>
            <w:r>
              <w:rPr>
                <w:rStyle w:val="ac"/>
                <w:i w:val="0"/>
                <w:color w:val="000000"/>
              </w:rPr>
              <w:t>35048,30</w:t>
            </w:r>
          </w:p>
        </w:tc>
        <w:tc>
          <w:tcPr>
            <w:tcW w:w="0" w:type="auto"/>
            <w:vAlign w:val="center"/>
            <w:hideMark/>
          </w:tcPr>
          <w:p w:rsidR="00705F07" w:rsidRDefault="00185A37">
            <w:pPr>
              <w:jc w:val="center"/>
              <w:rPr>
                <w:rStyle w:val="ac"/>
                <w:i w:val="0"/>
                <w:color w:val="000000"/>
              </w:rPr>
            </w:pPr>
            <w:r>
              <w:rPr>
                <w:rStyle w:val="ac"/>
                <w:i w:val="0"/>
                <w:color w:val="000000"/>
              </w:rPr>
              <w:t>20</w:t>
            </w:r>
          </w:p>
        </w:tc>
        <w:tc>
          <w:tcPr>
            <w:tcW w:w="0" w:type="auto"/>
            <w:vAlign w:val="center"/>
            <w:hideMark/>
          </w:tcPr>
          <w:p w:rsidR="00705F07" w:rsidRDefault="00185A37">
            <w:pPr>
              <w:jc w:val="center"/>
              <w:rPr>
                <w:rStyle w:val="ac"/>
                <w:i w:val="0"/>
                <w:color w:val="000000"/>
              </w:rPr>
            </w:pPr>
            <w:r>
              <w:rPr>
                <w:rStyle w:val="ac"/>
                <w:i w:val="0"/>
                <w:color w:val="000000"/>
              </w:rPr>
              <w:t>9151,7</w:t>
            </w:r>
          </w:p>
        </w:tc>
        <w:tc>
          <w:tcPr>
            <w:tcW w:w="0" w:type="auto"/>
            <w:vAlign w:val="center"/>
            <w:hideMark/>
          </w:tcPr>
          <w:p w:rsidR="00705F07" w:rsidRDefault="00185A37">
            <w:pPr>
              <w:jc w:val="center"/>
              <w:rPr>
                <w:rStyle w:val="ac"/>
                <w:i w:val="0"/>
                <w:color w:val="000000"/>
              </w:rPr>
            </w:pPr>
            <w:r>
              <w:rPr>
                <w:rStyle w:val="ac"/>
                <w:i w:val="0"/>
                <w:color w:val="000000"/>
              </w:rPr>
              <w:t>30</w:t>
            </w:r>
          </w:p>
        </w:tc>
        <w:tc>
          <w:tcPr>
            <w:tcW w:w="0" w:type="auto"/>
            <w:vAlign w:val="center"/>
            <w:hideMark/>
          </w:tcPr>
          <w:p w:rsidR="00705F07" w:rsidRDefault="00185A37">
            <w:pPr>
              <w:jc w:val="center"/>
              <w:rPr>
                <w:rStyle w:val="ac"/>
                <w:i w:val="0"/>
                <w:color w:val="000000"/>
              </w:rPr>
            </w:pPr>
            <w:r>
              <w:rPr>
                <w:rStyle w:val="ac"/>
                <w:i w:val="0"/>
                <w:color w:val="000000"/>
              </w:rPr>
              <w:t>364557,84</w:t>
            </w:r>
          </w:p>
        </w:tc>
        <w:tc>
          <w:tcPr>
            <w:tcW w:w="0" w:type="auto"/>
            <w:vAlign w:val="center"/>
            <w:hideMark/>
          </w:tcPr>
          <w:p w:rsidR="00705F07" w:rsidRDefault="00185A37">
            <w:pPr>
              <w:jc w:val="center"/>
              <w:rPr>
                <w:rStyle w:val="ac"/>
                <w:i w:val="0"/>
                <w:color w:val="000000"/>
              </w:rPr>
            </w:pPr>
            <w:r>
              <w:rPr>
                <w:rStyle w:val="ac"/>
                <w:i w:val="0"/>
                <w:color w:val="000000"/>
              </w:rPr>
              <w:t>60</w:t>
            </w:r>
          </w:p>
        </w:tc>
      </w:tr>
    </w:tbl>
    <w:p w:rsidR="00705F07" w:rsidRDefault="00185A37">
      <w:pPr>
        <w:ind w:firstLine="709"/>
        <w:jc w:val="both"/>
        <w:rPr>
          <w:color w:val="000000"/>
        </w:rPr>
      </w:pPr>
      <w:r>
        <w:rPr>
          <w:color w:val="000000"/>
        </w:rPr>
        <w:t>Джерело: складено автором на основі даних [3].</w:t>
      </w:r>
    </w:p>
    <w:p w:rsidR="00705F07" w:rsidRDefault="00705F07">
      <w:pPr>
        <w:spacing w:line="360" w:lineRule="auto"/>
        <w:ind w:firstLine="709"/>
        <w:jc w:val="both"/>
        <w:rPr>
          <w:rStyle w:val="ac"/>
          <w:i w:val="0"/>
          <w:color w:val="000000"/>
          <w:sz w:val="28"/>
          <w:szCs w:val="28"/>
        </w:rPr>
      </w:pPr>
    </w:p>
    <w:p w:rsidR="00705F07" w:rsidRDefault="00185A37">
      <w:pPr>
        <w:spacing w:line="360" w:lineRule="auto"/>
        <w:ind w:firstLine="709"/>
        <w:jc w:val="both"/>
        <w:rPr>
          <w:rStyle w:val="ac"/>
          <w:i w:val="0"/>
          <w:color w:val="000000"/>
          <w:sz w:val="28"/>
          <w:szCs w:val="28"/>
        </w:rPr>
      </w:pPr>
      <w:r>
        <w:rPr>
          <w:rStyle w:val="ac"/>
          <w:i w:val="0"/>
          <w:color w:val="000000"/>
          <w:sz w:val="28"/>
          <w:szCs w:val="28"/>
        </w:rPr>
        <w:t>Так, у 2022 році загальний обсяг зареєстрованих випусків акцій становив 35 048,3 млн грн, при цьому було здійснено 20 випусків. Активність на ринку була нерівномірною: найбільший обсяг випусків спостерігався у грудні (32 075,08 млн грн), що свідчить про се</w:t>
      </w:r>
      <w:r>
        <w:rPr>
          <w:rStyle w:val="ac"/>
          <w:i w:val="0"/>
          <w:color w:val="000000"/>
          <w:sz w:val="28"/>
          <w:szCs w:val="28"/>
        </w:rPr>
        <w:t>зонну концентрацію емісійної активності та можливу реакцію емітентів на макроекономічні умови та коливання фінансового ринку. У 2023 році обсяг випусків значно зменшився і склав 9 151,7 млн грн при 30 випусках, що свідчить про зростання кількості емітентів</w:t>
      </w:r>
      <w:r>
        <w:rPr>
          <w:rStyle w:val="ac"/>
          <w:i w:val="0"/>
          <w:color w:val="000000"/>
          <w:sz w:val="28"/>
          <w:szCs w:val="28"/>
        </w:rPr>
        <w:t xml:space="preserve"> із невеликими випусками акцій. Таке зниження загального обсягу випусків у поєднанні зі збільшенням кількості випусків пов’язане з підвищеною обережністю інвесторів, макроекономічною нестабільністю та впливом зовнішніх чинників на український фінансовий ри</w:t>
      </w:r>
      <w:r>
        <w:rPr>
          <w:rStyle w:val="ac"/>
          <w:i w:val="0"/>
          <w:color w:val="000000"/>
          <w:sz w:val="28"/>
          <w:szCs w:val="28"/>
        </w:rPr>
        <w:t>нок. Ситуація у 2024 році демонструє різке зростання загального обсягу випусків до 364 557,84 млн грн при 60 випусках, що майже в 40 разів перевищує показник 2023 року. Найбільші обсяги спостерігаються у червні (18 908 млн грн) та грудні (21 126,98 млн грн</w:t>
      </w:r>
      <w:r>
        <w:rPr>
          <w:rStyle w:val="ac"/>
          <w:i w:val="0"/>
          <w:color w:val="000000"/>
          <w:sz w:val="28"/>
          <w:szCs w:val="28"/>
        </w:rPr>
        <w:t>), що свідчить про активізацію інвестиційної активності та підвищений інтерес до ринку капіталу з боку корпоративних емітентів. Одночасно збільшується і кількість випусків, що свідчить про диверсифікацію емісійної активності та зростання кількості компаній</w:t>
      </w:r>
      <w:r>
        <w:rPr>
          <w:rStyle w:val="ac"/>
          <w:i w:val="0"/>
          <w:color w:val="000000"/>
          <w:sz w:val="28"/>
          <w:szCs w:val="28"/>
        </w:rPr>
        <w:t>, зацікавлених у залученні капіталу через фондовий ринок. Таким чином, аналіз динаміки випусків акцій за 2022-2024 рр. дозволяє констатувати наявність чіткої тенденції до зростання ринку капіталу в Україні у 2024 році після значного спаду у 2023 році. Це з</w:t>
      </w:r>
      <w:r>
        <w:rPr>
          <w:rStyle w:val="ac"/>
          <w:i w:val="0"/>
          <w:color w:val="000000"/>
          <w:sz w:val="28"/>
          <w:szCs w:val="28"/>
        </w:rPr>
        <w:t>ростання відображає відновлення інвестиційної активності та поступове нарощування обсягів залучення капіталу через фондовий ринок, що є позитивним сигналом для учасників ринку та державних регуляторів.</w:t>
      </w:r>
    </w:p>
    <w:p w:rsidR="00705F07" w:rsidRDefault="00185A37">
      <w:pPr>
        <w:spacing w:line="360" w:lineRule="auto"/>
        <w:ind w:firstLine="709"/>
        <w:jc w:val="both"/>
        <w:rPr>
          <w:rStyle w:val="ac"/>
          <w:i w:val="0"/>
          <w:color w:val="000000"/>
          <w:sz w:val="28"/>
          <w:szCs w:val="28"/>
        </w:rPr>
      </w:pPr>
      <w:r>
        <w:rPr>
          <w:rStyle w:val="ac"/>
          <w:i w:val="0"/>
          <w:color w:val="000000"/>
          <w:sz w:val="28"/>
          <w:szCs w:val="28"/>
        </w:rPr>
        <w:t>Корпоративні облігації є важливим інструментом фінансу</w:t>
      </w:r>
      <w:r>
        <w:rPr>
          <w:rStyle w:val="ac"/>
          <w:i w:val="0"/>
          <w:color w:val="000000"/>
          <w:sz w:val="28"/>
          <w:szCs w:val="28"/>
        </w:rPr>
        <w:t>вання підприємств, що дозволяє залучати капітал без розмитнення власності акціонерів та сприяє розвитку корпоративного сектору. Випуск облігацій дає змогу компаніям забезпечити довгострокове фінансування інвестиційних проектів, а інвесторам – отримувати до</w:t>
      </w:r>
      <w:r>
        <w:rPr>
          <w:rStyle w:val="ac"/>
          <w:i w:val="0"/>
          <w:color w:val="000000"/>
          <w:sz w:val="28"/>
          <w:szCs w:val="28"/>
        </w:rPr>
        <w:t xml:space="preserve">хід у вигляді відсотків. Аналіз динаміки випусків корпоративних облігацій дозволяє оцінити рівень довіри до ринку капіталу, активність емітентів та вплив макроекономічних умов на корпоративний сектор. Згідно з даними табл. 2.8, у 2022 році загальний обсяг </w:t>
      </w:r>
      <w:r>
        <w:rPr>
          <w:rStyle w:val="ac"/>
          <w:i w:val="0"/>
          <w:color w:val="000000"/>
          <w:sz w:val="28"/>
          <w:szCs w:val="28"/>
        </w:rPr>
        <w:t>зареєстрованих корпоративних облігацій становив 2026,45 млн грн при 39 випусках. Найбільші обсяги емісії спостерігалися у лютому (1221,05 млн грн) та січні (450,39 млн грн), тоді як у деякі місяці, зокрема березні, квітні та серпні, обсяги випусків були ві</w:t>
      </w:r>
      <w:r>
        <w:rPr>
          <w:rStyle w:val="ac"/>
          <w:i w:val="0"/>
          <w:color w:val="000000"/>
          <w:sz w:val="28"/>
          <w:szCs w:val="28"/>
        </w:rPr>
        <w:t>дсутні. Така нерівномірність випусків свідчить про сезонність емісійної активності та залежність від кон’юнктури ринку.</w:t>
      </w:r>
    </w:p>
    <w:p w:rsidR="00705F07" w:rsidRDefault="00185A37">
      <w:pPr>
        <w:spacing w:line="360" w:lineRule="auto"/>
        <w:ind w:firstLine="709"/>
        <w:jc w:val="right"/>
        <w:rPr>
          <w:rStyle w:val="ac"/>
          <w:i w:val="0"/>
          <w:color w:val="000000"/>
          <w:sz w:val="28"/>
          <w:szCs w:val="28"/>
        </w:rPr>
      </w:pPr>
      <w:r>
        <w:rPr>
          <w:rStyle w:val="ac"/>
          <w:i w:val="0"/>
          <w:color w:val="000000"/>
          <w:sz w:val="28"/>
          <w:szCs w:val="28"/>
        </w:rPr>
        <w:t>Таблиця 2.8</w:t>
      </w:r>
    </w:p>
    <w:p w:rsidR="00705F07" w:rsidRDefault="00185A37">
      <w:pPr>
        <w:spacing w:line="360" w:lineRule="auto"/>
        <w:ind w:firstLine="709"/>
        <w:jc w:val="center"/>
        <w:rPr>
          <w:rStyle w:val="ac"/>
          <w:i w:val="0"/>
          <w:color w:val="000000"/>
          <w:sz w:val="28"/>
          <w:szCs w:val="28"/>
        </w:rPr>
      </w:pPr>
      <w:r>
        <w:rPr>
          <w:rStyle w:val="ac"/>
          <w:i w:val="0"/>
          <w:color w:val="000000"/>
          <w:sz w:val="28"/>
          <w:szCs w:val="28"/>
        </w:rPr>
        <w:t>Обсяг та кількість випусків корпоративних облігацій, зареєстрованих Національною комісією з цінних паперів та фондового ринк</w:t>
      </w:r>
      <w:r>
        <w:rPr>
          <w:rStyle w:val="ac"/>
          <w:i w:val="0"/>
          <w:color w:val="000000"/>
          <w:sz w:val="28"/>
          <w:szCs w:val="28"/>
        </w:rPr>
        <w:t xml:space="preserve">у </w:t>
      </w:r>
    </w:p>
    <w:p w:rsidR="00705F07" w:rsidRDefault="00185A37">
      <w:pPr>
        <w:spacing w:line="360" w:lineRule="auto"/>
        <w:ind w:firstLine="709"/>
        <w:jc w:val="center"/>
        <w:rPr>
          <w:rStyle w:val="ac"/>
          <w:i w:val="0"/>
          <w:color w:val="000000"/>
          <w:sz w:val="28"/>
          <w:szCs w:val="28"/>
        </w:rPr>
      </w:pPr>
      <w:r>
        <w:rPr>
          <w:rStyle w:val="ac"/>
          <w:i w:val="0"/>
          <w:color w:val="000000"/>
          <w:sz w:val="28"/>
          <w:szCs w:val="28"/>
        </w:rPr>
        <w:t>за 2022-2024 рр.</w:t>
      </w:r>
    </w:p>
    <w:tbl>
      <w:tblPr>
        <w:tblStyle w:val="ad"/>
        <w:tblW w:w="0" w:type="auto"/>
        <w:jc w:val="center"/>
        <w:tblLook w:val="04A0" w:firstRow="1" w:lastRow="0" w:firstColumn="1" w:lastColumn="0" w:noHBand="0" w:noVBand="1"/>
      </w:tblPr>
      <w:tblGrid>
        <w:gridCol w:w="1315"/>
        <w:gridCol w:w="1337"/>
        <w:gridCol w:w="1342"/>
        <w:gridCol w:w="1337"/>
        <w:gridCol w:w="1342"/>
        <w:gridCol w:w="1337"/>
        <w:gridCol w:w="1342"/>
      </w:tblGrid>
      <w:tr w:rsidR="00705F07">
        <w:trPr>
          <w:jc w:val="center"/>
        </w:trPr>
        <w:tc>
          <w:tcPr>
            <w:tcW w:w="0" w:type="auto"/>
            <w:vMerge w:val="restart"/>
            <w:vAlign w:val="center"/>
            <w:hideMark/>
          </w:tcPr>
          <w:p w:rsidR="00705F07" w:rsidRDefault="00185A37">
            <w:pPr>
              <w:jc w:val="center"/>
              <w:rPr>
                <w:rStyle w:val="ac"/>
                <w:i w:val="0"/>
                <w:color w:val="000000"/>
              </w:rPr>
            </w:pPr>
            <w:r>
              <w:rPr>
                <w:rStyle w:val="ac"/>
                <w:i w:val="0"/>
                <w:color w:val="000000"/>
              </w:rPr>
              <w:t>Період</w:t>
            </w:r>
          </w:p>
        </w:tc>
        <w:tc>
          <w:tcPr>
            <w:tcW w:w="0" w:type="auto"/>
            <w:gridSpan w:val="2"/>
            <w:vAlign w:val="center"/>
            <w:hideMark/>
          </w:tcPr>
          <w:p w:rsidR="00705F07" w:rsidRDefault="00185A37">
            <w:pPr>
              <w:jc w:val="center"/>
              <w:rPr>
                <w:rStyle w:val="ac"/>
                <w:i w:val="0"/>
                <w:color w:val="000000"/>
              </w:rPr>
            </w:pPr>
            <w:r>
              <w:rPr>
                <w:rStyle w:val="ac"/>
                <w:i w:val="0"/>
                <w:color w:val="000000"/>
              </w:rPr>
              <w:t>2022</w:t>
            </w:r>
          </w:p>
        </w:tc>
        <w:tc>
          <w:tcPr>
            <w:tcW w:w="0" w:type="auto"/>
            <w:gridSpan w:val="2"/>
            <w:vAlign w:val="center"/>
            <w:hideMark/>
          </w:tcPr>
          <w:p w:rsidR="00705F07" w:rsidRDefault="00185A37">
            <w:pPr>
              <w:jc w:val="center"/>
              <w:rPr>
                <w:rStyle w:val="ac"/>
                <w:i w:val="0"/>
                <w:color w:val="000000"/>
              </w:rPr>
            </w:pPr>
            <w:r>
              <w:rPr>
                <w:rStyle w:val="ac"/>
                <w:i w:val="0"/>
                <w:color w:val="000000"/>
              </w:rPr>
              <w:t>2023</w:t>
            </w:r>
          </w:p>
        </w:tc>
        <w:tc>
          <w:tcPr>
            <w:tcW w:w="0" w:type="auto"/>
            <w:gridSpan w:val="2"/>
            <w:vAlign w:val="center"/>
            <w:hideMark/>
          </w:tcPr>
          <w:p w:rsidR="00705F07" w:rsidRDefault="00185A37">
            <w:pPr>
              <w:jc w:val="center"/>
              <w:rPr>
                <w:rStyle w:val="ac"/>
                <w:i w:val="0"/>
                <w:color w:val="000000"/>
              </w:rPr>
            </w:pPr>
            <w:r>
              <w:rPr>
                <w:rStyle w:val="ac"/>
                <w:i w:val="0"/>
                <w:color w:val="000000"/>
              </w:rPr>
              <w:t>2024</w:t>
            </w:r>
          </w:p>
        </w:tc>
      </w:tr>
      <w:tr w:rsidR="00705F07">
        <w:trPr>
          <w:jc w:val="center"/>
        </w:trPr>
        <w:tc>
          <w:tcPr>
            <w:tcW w:w="0" w:type="auto"/>
            <w:vMerge/>
            <w:vAlign w:val="center"/>
            <w:hideMark/>
          </w:tcPr>
          <w:p w:rsidR="00705F07" w:rsidRDefault="00705F07">
            <w:pPr>
              <w:jc w:val="center"/>
              <w:rPr>
                <w:rStyle w:val="ac"/>
                <w:i w:val="0"/>
                <w:color w:val="000000"/>
              </w:rPr>
            </w:pPr>
          </w:p>
        </w:tc>
        <w:tc>
          <w:tcPr>
            <w:tcW w:w="0" w:type="auto"/>
            <w:vAlign w:val="center"/>
            <w:hideMark/>
          </w:tcPr>
          <w:p w:rsidR="00705F07" w:rsidRDefault="00185A37">
            <w:pPr>
              <w:jc w:val="center"/>
              <w:rPr>
                <w:rStyle w:val="ac"/>
                <w:i w:val="0"/>
                <w:color w:val="000000"/>
              </w:rPr>
            </w:pPr>
            <w:r>
              <w:rPr>
                <w:rStyle w:val="ac"/>
                <w:i w:val="0"/>
                <w:color w:val="000000"/>
              </w:rPr>
              <w:t>Обсяг, млн грн</w:t>
            </w:r>
          </w:p>
        </w:tc>
        <w:tc>
          <w:tcPr>
            <w:tcW w:w="0" w:type="auto"/>
            <w:vAlign w:val="center"/>
            <w:hideMark/>
          </w:tcPr>
          <w:p w:rsidR="00705F07" w:rsidRDefault="00185A37">
            <w:pPr>
              <w:jc w:val="center"/>
              <w:rPr>
                <w:rStyle w:val="ac"/>
                <w:i w:val="0"/>
                <w:color w:val="000000"/>
              </w:rPr>
            </w:pPr>
            <w:r>
              <w:rPr>
                <w:rStyle w:val="ac"/>
                <w:i w:val="0"/>
                <w:color w:val="000000"/>
              </w:rPr>
              <w:t>Випуски, шт.</w:t>
            </w:r>
          </w:p>
        </w:tc>
        <w:tc>
          <w:tcPr>
            <w:tcW w:w="0" w:type="auto"/>
            <w:vAlign w:val="center"/>
            <w:hideMark/>
          </w:tcPr>
          <w:p w:rsidR="00705F07" w:rsidRDefault="00185A37">
            <w:pPr>
              <w:jc w:val="center"/>
              <w:rPr>
                <w:rStyle w:val="ac"/>
                <w:i w:val="0"/>
                <w:color w:val="000000"/>
              </w:rPr>
            </w:pPr>
            <w:r>
              <w:rPr>
                <w:rStyle w:val="ac"/>
                <w:i w:val="0"/>
                <w:color w:val="000000"/>
              </w:rPr>
              <w:t>Обсяг, млн грн</w:t>
            </w:r>
          </w:p>
        </w:tc>
        <w:tc>
          <w:tcPr>
            <w:tcW w:w="0" w:type="auto"/>
            <w:vAlign w:val="center"/>
            <w:hideMark/>
          </w:tcPr>
          <w:p w:rsidR="00705F07" w:rsidRDefault="00185A37">
            <w:pPr>
              <w:jc w:val="center"/>
              <w:rPr>
                <w:rStyle w:val="ac"/>
                <w:i w:val="0"/>
                <w:color w:val="000000"/>
              </w:rPr>
            </w:pPr>
            <w:r>
              <w:rPr>
                <w:rStyle w:val="ac"/>
                <w:i w:val="0"/>
                <w:color w:val="000000"/>
              </w:rPr>
              <w:t>Випуски, шт.</w:t>
            </w:r>
          </w:p>
        </w:tc>
        <w:tc>
          <w:tcPr>
            <w:tcW w:w="0" w:type="auto"/>
            <w:vAlign w:val="center"/>
            <w:hideMark/>
          </w:tcPr>
          <w:p w:rsidR="00705F07" w:rsidRDefault="00185A37">
            <w:pPr>
              <w:jc w:val="center"/>
              <w:rPr>
                <w:rStyle w:val="ac"/>
                <w:i w:val="0"/>
                <w:color w:val="000000"/>
              </w:rPr>
            </w:pPr>
            <w:r>
              <w:rPr>
                <w:rStyle w:val="ac"/>
                <w:i w:val="0"/>
                <w:color w:val="000000"/>
              </w:rPr>
              <w:t>Обсяг, млн грн</w:t>
            </w:r>
          </w:p>
        </w:tc>
        <w:tc>
          <w:tcPr>
            <w:tcW w:w="0" w:type="auto"/>
            <w:vAlign w:val="center"/>
            <w:hideMark/>
          </w:tcPr>
          <w:p w:rsidR="00705F07" w:rsidRDefault="00185A37">
            <w:pPr>
              <w:jc w:val="center"/>
              <w:rPr>
                <w:rStyle w:val="ac"/>
                <w:i w:val="0"/>
                <w:color w:val="000000"/>
              </w:rPr>
            </w:pPr>
            <w:r>
              <w:rPr>
                <w:rStyle w:val="ac"/>
                <w:i w:val="0"/>
                <w:color w:val="000000"/>
              </w:rPr>
              <w:t>Випуски, шт.</w:t>
            </w:r>
          </w:p>
        </w:tc>
      </w:tr>
      <w:tr w:rsidR="00705F07">
        <w:trPr>
          <w:jc w:val="center"/>
        </w:trPr>
        <w:tc>
          <w:tcPr>
            <w:tcW w:w="0" w:type="auto"/>
            <w:vAlign w:val="center"/>
            <w:hideMark/>
          </w:tcPr>
          <w:p w:rsidR="00705F07" w:rsidRDefault="00185A37">
            <w:pPr>
              <w:jc w:val="center"/>
              <w:rPr>
                <w:rStyle w:val="ac"/>
                <w:i w:val="0"/>
                <w:color w:val="000000"/>
              </w:rPr>
            </w:pPr>
            <w:r>
              <w:rPr>
                <w:rStyle w:val="ac"/>
                <w:i w:val="0"/>
                <w:color w:val="000000"/>
              </w:rPr>
              <w:t>Січень</w:t>
            </w:r>
          </w:p>
        </w:tc>
        <w:tc>
          <w:tcPr>
            <w:tcW w:w="0" w:type="auto"/>
            <w:vAlign w:val="center"/>
            <w:hideMark/>
          </w:tcPr>
          <w:p w:rsidR="00705F07" w:rsidRDefault="00185A37">
            <w:pPr>
              <w:jc w:val="center"/>
              <w:rPr>
                <w:rStyle w:val="ac"/>
                <w:i w:val="0"/>
                <w:color w:val="000000"/>
              </w:rPr>
            </w:pPr>
            <w:r>
              <w:rPr>
                <w:rStyle w:val="ac"/>
                <w:i w:val="0"/>
                <w:color w:val="000000"/>
              </w:rPr>
              <w:t>450,39</w:t>
            </w:r>
          </w:p>
        </w:tc>
        <w:tc>
          <w:tcPr>
            <w:tcW w:w="0" w:type="auto"/>
            <w:vAlign w:val="center"/>
            <w:hideMark/>
          </w:tcPr>
          <w:p w:rsidR="00705F07" w:rsidRDefault="00185A37">
            <w:pPr>
              <w:jc w:val="center"/>
              <w:rPr>
                <w:rStyle w:val="ac"/>
                <w:i w:val="0"/>
                <w:color w:val="000000"/>
              </w:rPr>
            </w:pPr>
            <w:r>
              <w:rPr>
                <w:rStyle w:val="ac"/>
                <w:i w:val="0"/>
                <w:color w:val="000000"/>
              </w:rPr>
              <w:t>14</w:t>
            </w:r>
          </w:p>
        </w:tc>
        <w:tc>
          <w:tcPr>
            <w:tcW w:w="0" w:type="auto"/>
            <w:vAlign w:val="center"/>
            <w:hideMark/>
          </w:tcPr>
          <w:p w:rsidR="00705F07" w:rsidRDefault="00185A37">
            <w:pPr>
              <w:jc w:val="center"/>
              <w:rPr>
                <w:rStyle w:val="ac"/>
                <w:i w:val="0"/>
                <w:color w:val="000000"/>
              </w:rPr>
            </w:pPr>
            <w:r>
              <w:rPr>
                <w:rStyle w:val="ac"/>
                <w:i w:val="0"/>
                <w:color w:val="000000"/>
              </w:rPr>
              <w:t>10800,0</w:t>
            </w:r>
          </w:p>
        </w:tc>
        <w:tc>
          <w:tcPr>
            <w:tcW w:w="0" w:type="auto"/>
            <w:vAlign w:val="center"/>
            <w:hideMark/>
          </w:tcPr>
          <w:p w:rsidR="00705F07" w:rsidRDefault="00185A37">
            <w:pPr>
              <w:jc w:val="center"/>
              <w:rPr>
                <w:rStyle w:val="ac"/>
                <w:i w:val="0"/>
                <w:color w:val="000000"/>
              </w:rPr>
            </w:pPr>
            <w:r>
              <w:rPr>
                <w:rStyle w:val="ac"/>
                <w:i w:val="0"/>
                <w:color w:val="000000"/>
              </w:rPr>
              <w:t>2</w:t>
            </w:r>
          </w:p>
        </w:tc>
        <w:tc>
          <w:tcPr>
            <w:tcW w:w="0" w:type="auto"/>
            <w:vAlign w:val="center"/>
            <w:hideMark/>
          </w:tcPr>
          <w:p w:rsidR="00705F07" w:rsidRDefault="00185A37">
            <w:pPr>
              <w:jc w:val="center"/>
              <w:rPr>
                <w:rStyle w:val="ac"/>
                <w:i w:val="0"/>
                <w:color w:val="000000"/>
              </w:rPr>
            </w:pPr>
            <w:r>
              <w:rPr>
                <w:rStyle w:val="ac"/>
                <w:i w:val="0"/>
                <w:color w:val="000000"/>
              </w:rPr>
              <w:t>0</w:t>
            </w:r>
          </w:p>
        </w:tc>
        <w:tc>
          <w:tcPr>
            <w:tcW w:w="0" w:type="auto"/>
            <w:vAlign w:val="center"/>
            <w:hideMark/>
          </w:tcPr>
          <w:p w:rsidR="00705F07" w:rsidRDefault="00185A37">
            <w:pPr>
              <w:jc w:val="center"/>
              <w:rPr>
                <w:rStyle w:val="ac"/>
                <w:i w:val="0"/>
                <w:color w:val="000000"/>
              </w:rPr>
            </w:pPr>
            <w:r>
              <w:rPr>
                <w:rStyle w:val="ac"/>
                <w:i w:val="0"/>
                <w:color w:val="000000"/>
              </w:rPr>
              <w:t>2</w:t>
            </w:r>
          </w:p>
        </w:tc>
      </w:tr>
      <w:tr w:rsidR="00705F07">
        <w:trPr>
          <w:jc w:val="center"/>
        </w:trPr>
        <w:tc>
          <w:tcPr>
            <w:tcW w:w="0" w:type="auto"/>
            <w:vAlign w:val="center"/>
            <w:hideMark/>
          </w:tcPr>
          <w:p w:rsidR="00705F07" w:rsidRDefault="00185A37">
            <w:pPr>
              <w:jc w:val="center"/>
              <w:rPr>
                <w:rStyle w:val="ac"/>
                <w:i w:val="0"/>
                <w:color w:val="000000"/>
              </w:rPr>
            </w:pPr>
            <w:r>
              <w:rPr>
                <w:rStyle w:val="ac"/>
                <w:i w:val="0"/>
                <w:color w:val="000000"/>
              </w:rPr>
              <w:t>Лютий</w:t>
            </w:r>
          </w:p>
        </w:tc>
        <w:tc>
          <w:tcPr>
            <w:tcW w:w="0" w:type="auto"/>
            <w:vAlign w:val="center"/>
            <w:hideMark/>
          </w:tcPr>
          <w:p w:rsidR="00705F07" w:rsidRDefault="00185A37">
            <w:pPr>
              <w:jc w:val="center"/>
              <w:rPr>
                <w:rStyle w:val="ac"/>
                <w:i w:val="0"/>
                <w:color w:val="000000"/>
              </w:rPr>
            </w:pPr>
            <w:r>
              <w:rPr>
                <w:rStyle w:val="ac"/>
                <w:i w:val="0"/>
                <w:color w:val="000000"/>
              </w:rPr>
              <w:t>1221,05</w:t>
            </w:r>
          </w:p>
        </w:tc>
        <w:tc>
          <w:tcPr>
            <w:tcW w:w="0" w:type="auto"/>
            <w:vAlign w:val="center"/>
            <w:hideMark/>
          </w:tcPr>
          <w:p w:rsidR="00705F07" w:rsidRDefault="00185A37">
            <w:pPr>
              <w:jc w:val="center"/>
              <w:rPr>
                <w:rStyle w:val="ac"/>
                <w:i w:val="0"/>
                <w:color w:val="000000"/>
              </w:rPr>
            </w:pPr>
            <w:r>
              <w:rPr>
                <w:rStyle w:val="ac"/>
                <w:i w:val="0"/>
                <w:color w:val="000000"/>
              </w:rPr>
              <w:t>15</w:t>
            </w:r>
          </w:p>
        </w:tc>
        <w:tc>
          <w:tcPr>
            <w:tcW w:w="0" w:type="auto"/>
            <w:vAlign w:val="center"/>
            <w:hideMark/>
          </w:tcPr>
          <w:p w:rsidR="00705F07" w:rsidRDefault="00185A37">
            <w:pPr>
              <w:jc w:val="center"/>
              <w:rPr>
                <w:rStyle w:val="ac"/>
                <w:i w:val="0"/>
                <w:color w:val="000000"/>
              </w:rPr>
            </w:pPr>
            <w:r>
              <w:rPr>
                <w:rStyle w:val="ac"/>
                <w:i w:val="0"/>
                <w:color w:val="000000"/>
              </w:rPr>
              <w:t>–</w:t>
            </w:r>
          </w:p>
        </w:tc>
        <w:tc>
          <w:tcPr>
            <w:tcW w:w="0" w:type="auto"/>
            <w:vAlign w:val="center"/>
            <w:hideMark/>
          </w:tcPr>
          <w:p w:rsidR="00705F07" w:rsidRDefault="00185A37">
            <w:pPr>
              <w:jc w:val="center"/>
              <w:rPr>
                <w:rStyle w:val="ac"/>
                <w:i w:val="0"/>
                <w:color w:val="000000"/>
              </w:rPr>
            </w:pPr>
            <w:r>
              <w:rPr>
                <w:rStyle w:val="ac"/>
                <w:i w:val="0"/>
                <w:color w:val="000000"/>
              </w:rPr>
              <w:t>5</w:t>
            </w:r>
          </w:p>
        </w:tc>
        <w:tc>
          <w:tcPr>
            <w:tcW w:w="0" w:type="auto"/>
            <w:vAlign w:val="center"/>
            <w:hideMark/>
          </w:tcPr>
          <w:p w:rsidR="00705F07" w:rsidRDefault="00185A37">
            <w:pPr>
              <w:jc w:val="center"/>
              <w:rPr>
                <w:rStyle w:val="ac"/>
                <w:i w:val="0"/>
                <w:color w:val="000000"/>
              </w:rPr>
            </w:pPr>
            <w:r>
              <w:rPr>
                <w:rStyle w:val="ac"/>
                <w:i w:val="0"/>
                <w:color w:val="000000"/>
              </w:rPr>
              <w:t>100,00</w:t>
            </w:r>
          </w:p>
        </w:tc>
        <w:tc>
          <w:tcPr>
            <w:tcW w:w="0" w:type="auto"/>
            <w:vAlign w:val="center"/>
            <w:hideMark/>
          </w:tcPr>
          <w:p w:rsidR="00705F07" w:rsidRDefault="00185A37">
            <w:pPr>
              <w:jc w:val="center"/>
              <w:rPr>
                <w:rStyle w:val="ac"/>
                <w:i w:val="0"/>
                <w:color w:val="000000"/>
              </w:rPr>
            </w:pPr>
            <w:r>
              <w:rPr>
                <w:rStyle w:val="ac"/>
                <w:i w:val="0"/>
                <w:color w:val="000000"/>
              </w:rPr>
              <w:t>4</w:t>
            </w:r>
          </w:p>
        </w:tc>
      </w:tr>
      <w:tr w:rsidR="00705F07">
        <w:trPr>
          <w:jc w:val="center"/>
        </w:trPr>
        <w:tc>
          <w:tcPr>
            <w:tcW w:w="0" w:type="auto"/>
            <w:vAlign w:val="center"/>
            <w:hideMark/>
          </w:tcPr>
          <w:p w:rsidR="00705F07" w:rsidRDefault="00185A37">
            <w:pPr>
              <w:jc w:val="center"/>
              <w:rPr>
                <w:rStyle w:val="ac"/>
                <w:i w:val="0"/>
                <w:color w:val="000000"/>
              </w:rPr>
            </w:pPr>
            <w:r>
              <w:rPr>
                <w:rStyle w:val="ac"/>
                <w:i w:val="0"/>
                <w:color w:val="000000"/>
              </w:rPr>
              <w:t>Березень</w:t>
            </w:r>
          </w:p>
        </w:tc>
        <w:tc>
          <w:tcPr>
            <w:tcW w:w="0" w:type="auto"/>
            <w:vAlign w:val="center"/>
            <w:hideMark/>
          </w:tcPr>
          <w:p w:rsidR="00705F07" w:rsidRDefault="00185A37">
            <w:pPr>
              <w:jc w:val="center"/>
              <w:rPr>
                <w:rStyle w:val="ac"/>
                <w:i w:val="0"/>
                <w:color w:val="000000"/>
              </w:rPr>
            </w:pPr>
            <w:r>
              <w:rPr>
                <w:rStyle w:val="ac"/>
                <w:i w:val="0"/>
                <w:color w:val="000000"/>
              </w:rPr>
              <w:t>0</w:t>
            </w:r>
          </w:p>
        </w:tc>
        <w:tc>
          <w:tcPr>
            <w:tcW w:w="0" w:type="auto"/>
            <w:vAlign w:val="center"/>
            <w:hideMark/>
          </w:tcPr>
          <w:p w:rsidR="00705F07" w:rsidRDefault="00185A37">
            <w:pPr>
              <w:jc w:val="center"/>
              <w:rPr>
                <w:rStyle w:val="ac"/>
                <w:i w:val="0"/>
                <w:color w:val="000000"/>
              </w:rPr>
            </w:pPr>
            <w:r>
              <w:rPr>
                <w:rStyle w:val="ac"/>
                <w:i w:val="0"/>
                <w:color w:val="000000"/>
              </w:rPr>
              <w:t>0</w:t>
            </w:r>
          </w:p>
        </w:tc>
        <w:tc>
          <w:tcPr>
            <w:tcW w:w="0" w:type="auto"/>
            <w:vAlign w:val="center"/>
            <w:hideMark/>
          </w:tcPr>
          <w:p w:rsidR="00705F07" w:rsidRDefault="00185A37">
            <w:pPr>
              <w:jc w:val="center"/>
              <w:rPr>
                <w:rStyle w:val="ac"/>
                <w:i w:val="0"/>
                <w:color w:val="000000"/>
              </w:rPr>
            </w:pPr>
            <w:r>
              <w:rPr>
                <w:rStyle w:val="ac"/>
                <w:i w:val="0"/>
                <w:color w:val="000000"/>
              </w:rPr>
              <w:t>–</w:t>
            </w:r>
          </w:p>
        </w:tc>
        <w:tc>
          <w:tcPr>
            <w:tcW w:w="0" w:type="auto"/>
            <w:vAlign w:val="center"/>
            <w:hideMark/>
          </w:tcPr>
          <w:p w:rsidR="00705F07" w:rsidRDefault="00185A37">
            <w:pPr>
              <w:jc w:val="center"/>
              <w:rPr>
                <w:rStyle w:val="ac"/>
                <w:i w:val="0"/>
                <w:color w:val="000000"/>
              </w:rPr>
            </w:pPr>
            <w:r>
              <w:rPr>
                <w:rStyle w:val="ac"/>
                <w:i w:val="0"/>
                <w:color w:val="000000"/>
              </w:rPr>
              <w:t>0</w:t>
            </w:r>
          </w:p>
        </w:tc>
        <w:tc>
          <w:tcPr>
            <w:tcW w:w="0" w:type="auto"/>
            <w:vAlign w:val="center"/>
            <w:hideMark/>
          </w:tcPr>
          <w:p w:rsidR="00705F07" w:rsidRDefault="00185A37">
            <w:pPr>
              <w:jc w:val="center"/>
              <w:rPr>
                <w:rStyle w:val="ac"/>
                <w:i w:val="0"/>
                <w:color w:val="000000"/>
              </w:rPr>
            </w:pPr>
            <w:r>
              <w:rPr>
                <w:rStyle w:val="ac"/>
                <w:i w:val="0"/>
                <w:color w:val="000000"/>
              </w:rPr>
              <w:t>0</w:t>
            </w:r>
          </w:p>
        </w:tc>
        <w:tc>
          <w:tcPr>
            <w:tcW w:w="0" w:type="auto"/>
            <w:vAlign w:val="center"/>
            <w:hideMark/>
          </w:tcPr>
          <w:p w:rsidR="00705F07" w:rsidRDefault="00185A37">
            <w:pPr>
              <w:jc w:val="center"/>
              <w:rPr>
                <w:rStyle w:val="ac"/>
                <w:i w:val="0"/>
                <w:color w:val="000000"/>
              </w:rPr>
            </w:pPr>
            <w:r>
              <w:rPr>
                <w:rStyle w:val="ac"/>
                <w:i w:val="0"/>
                <w:color w:val="000000"/>
              </w:rPr>
              <w:t>0</w:t>
            </w:r>
          </w:p>
        </w:tc>
      </w:tr>
      <w:tr w:rsidR="00705F07">
        <w:trPr>
          <w:jc w:val="center"/>
        </w:trPr>
        <w:tc>
          <w:tcPr>
            <w:tcW w:w="0" w:type="auto"/>
            <w:vAlign w:val="center"/>
            <w:hideMark/>
          </w:tcPr>
          <w:p w:rsidR="00705F07" w:rsidRDefault="00185A37">
            <w:pPr>
              <w:jc w:val="center"/>
              <w:rPr>
                <w:rStyle w:val="ac"/>
                <w:i w:val="0"/>
                <w:color w:val="000000"/>
              </w:rPr>
            </w:pPr>
            <w:r>
              <w:rPr>
                <w:rStyle w:val="ac"/>
                <w:i w:val="0"/>
                <w:color w:val="000000"/>
              </w:rPr>
              <w:t>Квітень</w:t>
            </w:r>
          </w:p>
        </w:tc>
        <w:tc>
          <w:tcPr>
            <w:tcW w:w="0" w:type="auto"/>
            <w:vAlign w:val="center"/>
            <w:hideMark/>
          </w:tcPr>
          <w:p w:rsidR="00705F07" w:rsidRDefault="00185A37">
            <w:pPr>
              <w:jc w:val="center"/>
              <w:rPr>
                <w:rStyle w:val="ac"/>
                <w:i w:val="0"/>
                <w:color w:val="000000"/>
              </w:rPr>
            </w:pPr>
            <w:r>
              <w:rPr>
                <w:rStyle w:val="ac"/>
                <w:i w:val="0"/>
                <w:color w:val="000000"/>
              </w:rPr>
              <w:t>0</w:t>
            </w:r>
          </w:p>
        </w:tc>
        <w:tc>
          <w:tcPr>
            <w:tcW w:w="0" w:type="auto"/>
            <w:vAlign w:val="center"/>
            <w:hideMark/>
          </w:tcPr>
          <w:p w:rsidR="00705F07" w:rsidRDefault="00185A37">
            <w:pPr>
              <w:jc w:val="center"/>
              <w:rPr>
                <w:rStyle w:val="ac"/>
                <w:i w:val="0"/>
                <w:color w:val="000000"/>
              </w:rPr>
            </w:pPr>
            <w:r>
              <w:rPr>
                <w:rStyle w:val="ac"/>
                <w:i w:val="0"/>
                <w:color w:val="000000"/>
              </w:rPr>
              <w:t>0</w:t>
            </w:r>
          </w:p>
        </w:tc>
        <w:tc>
          <w:tcPr>
            <w:tcW w:w="0" w:type="auto"/>
            <w:vAlign w:val="center"/>
            <w:hideMark/>
          </w:tcPr>
          <w:p w:rsidR="00705F07" w:rsidRDefault="00185A37">
            <w:pPr>
              <w:jc w:val="center"/>
              <w:rPr>
                <w:rStyle w:val="ac"/>
                <w:i w:val="0"/>
                <w:color w:val="000000"/>
              </w:rPr>
            </w:pPr>
            <w:r>
              <w:rPr>
                <w:rStyle w:val="ac"/>
                <w:i w:val="0"/>
                <w:color w:val="000000"/>
              </w:rPr>
              <w:t>900,0</w:t>
            </w:r>
          </w:p>
        </w:tc>
        <w:tc>
          <w:tcPr>
            <w:tcW w:w="0" w:type="auto"/>
            <w:vAlign w:val="center"/>
            <w:hideMark/>
          </w:tcPr>
          <w:p w:rsidR="00705F07" w:rsidRDefault="00185A37">
            <w:pPr>
              <w:jc w:val="center"/>
              <w:rPr>
                <w:rStyle w:val="ac"/>
                <w:i w:val="0"/>
                <w:color w:val="000000"/>
              </w:rPr>
            </w:pPr>
            <w:r>
              <w:rPr>
                <w:rStyle w:val="ac"/>
                <w:i w:val="0"/>
                <w:color w:val="000000"/>
              </w:rPr>
              <w:t>2</w:t>
            </w:r>
          </w:p>
        </w:tc>
        <w:tc>
          <w:tcPr>
            <w:tcW w:w="0" w:type="auto"/>
            <w:vAlign w:val="center"/>
            <w:hideMark/>
          </w:tcPr>
          <w:p w:rsidR="00705F07" w:rsidRDefault="00185A37">
            <w:pPr>
              <w:jc w:val="center"/>
              <w:rPr>
                <w:rStyle w:val="ac"/>
                <w:i w:val="0"/>
                <w:color w:val="000000"/>
              </w:rPr>
            </w:pPr>
            <w:r>
              <w:rPr>
                <w:rStyle w:val="ac"/>
                <w:i w:val="0"/>
                <w:color w:val="000000"/>
              </w:rPr>
              <w:t>2015,00</w:t>
            </w:r>
          </w:p>
        </w:tc>
        <w:tc>
          <w:tcPr>
            <w:tcW w:w="0" w:type="auto"/>
            <w:vAlign w:val="center"/>
            <w:hideMark/>
          </w:tcPr>
          <w:p w:rsidR="00705F07" w:rsidRDefault="00185A37">
            <w:pPr>
              <w:jc w:val="center"/>
              <w:rPr>
                <w:rStyle w:val="ac"/>
                <w:i w:val="0"/>
                <w:color w:val="000000"/>
              </w:rPr>
            </w:pPr>
            <w:r>
              <w:rPr>
                <w:rStyle w:val="ac"/>
                <w:i w:val="0"/>
                <w:color w:val="000000"/>
              </w:rPr>
              <w:t>8</w:t>
            </w:r>
          </w:p>
        </w:tc>
      </w:tr>
      <w:tr w:rsidR="00705F07">
        <w:trPr>
          <w:jc w:val="center"/>
        </w:trPr>
        <w:tc>
          <w:tcPr>
            <w:tcW w:w="0" w:type="auto"/>
            <w:vAlign w:val="center"/>
            <w:hideMark/>
          </w:tcPr>
          <w:p w:rsidR="00705F07" w:rsidRDefault="00185A37">
            <w:pPr>
              <w:jc w:val="center"/>
              <w:rPr>
                <w:rStyle w:val="ac"/>
                <w:i w:val="0"/>
                <w:color w:val="000000"/>
              </w:rPr>
            </w:pPr>
            <w:r>
              <w:rPr>
                <w:rStyle w:val="ac"/>
                <w:i w:val="0"/>
                <w:color w:val="000000"/>
              </w:rPr>
              <w:t>Травень</w:t>
            </w:r>
          </w:p>
        </w:tc>
        <w:tc>
          <w:tcPr>
            <w:tcW w:w="0" w:type="auto"/>
            <w:vAlign w:val="center"/>
            <w:hideMark/>
          </w:tcPr>
          <w:p w:rsidR="00705F07" w:rsidRDefault="00185A37">
            <w:pPr>
              <w:jc w:val="center"/>
              <w:rPr>
                <w:rStyle w:val="ac"/>
                <w:i w:val="0"/>
                <w:color w:val="000000"/>
              </w:rPr>
            </w:pPr>
            <w:r>
              <w:rPr>
                <w:rStyle w:val="ac"/>
                <w:i w:val="0"/>
                <w:color w:val="000000"/>
              </w:rPr>
              <w:t>0</w:t>
            </w:r>
          </w:p>
        </w:tc>
        <w:tc>
          <w:tcPr>
            <w:tcW w:w="0" w:type="auto"/>
            <w:vAlign w:val="center"/>
            <w:hideMark/>
          </w:tcPr>
          <w:p w:rsidR="00705F07" w:rsidRDefault="00185A37">
            <w:pPr>
              <w:jc w:val="center"/>
              <w:rPr>
                <w:rStyle w:val="ac"/>
                <w:i w:val="0"/>
                <w:color w:val="000000"/>
              </w:rPr>
            </w:pPr>
            <w:r>
              <w:rPr>
                <w:rStyle w:val="ac"/>
                <w:i w:val="0"/>
                <w:color w:val="000000"/>
              </w:rPr>
              <w:t>0</w:t>
            </w:r>
          </w:p>
        </w:tc>
        <w:tc>
          <w:tcPr>
            <w:tcW w:w="0" w:type="auto"/>
            <w:vAlign w:val="center"/>
            <w:hideMark/>
          </w:tcPr>
          <w:p w:rsidR="00705F07" w:rsidRDefault="00185A37">
            <w:pPr>
              <w:jc w:val="center"/>
              <w:rPr>
                <w:rStyle w:val="ac"/>
                <w:i w:val="0"/>
                <w:color w:val="000000"/>
              </w:rPr>
            </w:pPr>
            <w:r>
              <w:rPr>
                <w:rStyle w:val="ac"/>
                <w:i w:val="0"/>
                <w:color w:val="000000"/>
              </w:rPr>
              <w:t>–</w:t>
            </w:r>
          </w:p>
        </w:tc>
        <w:tc>
          <w:tcPr>
            <w:tcW w:w="0" w:type="auto"/>
            <w:vAlign w:val="center"/>
            <w:hideMark/>
          </w:tcPr>
          <w:p w:rsidR="00705F07" w:rsidRDefault="00185A37">
            <w:pPr>
              <w:jc w:val="center"/>
              <w:rPr>
                <w:rStyle w:val="ac"/>
                <w:i w:val="0"/>
                <w:color w:val="000000"/>
              </w:rPr>
            </w:pPr>
            <w:r>
              <w:rPr>
                <w:rStyle w:val="ac"/>
                <w:i w:val="0"/>
                <w:color w:val="000000"/>
              </w:rPr>
              <w:t>0</w:t>
            </w:r>
          </w:p>
        </w:tc>
        <w:tc>
          <w:tcPr>
            <w:tcW w:w="0" w:type="auto"/>
            <w:vAlign w:val="center"/>
            <w:hideMark/>
          </w:tcPr>
          <w:p w:rsidR="00705F07" w:rsidRDefault="00185A37">
            <w:pPr>
              <w:jc w:val="center"/>
              <w:rPr>
                <w:rStyle w:val="ac"/>
                <w:i w:val="0"/>
                <w:color w:val="000000"/>
              </w:rPr>
            </w:pPr>
            <w:r>
              <w:rPr>
                <w:rStyle w:val="ac"/>
                <w:i w:val="0"/>
                <w:color w:val="000000"/>
              </w:rPr>
              <w:t>550,00</w:t>
            </w:r>
          </w:p>
        </w:tc>
        <w:tc>
          <w:tcPr>
            <w:tcW w:w="0" w:type="auto"/>
            <w:vAlign w:val="center"/>
            <w:hideMark/>
          </w:tcPr>
          <w:p w:rsidR="00705F07" w:rsidRDefault="00185A37">
            <w:pPr>
              <w:jc w:val="center"/>
              <w:rPr>
                <w:rStyle w:val="ac"/>
                <w:i w:val="0"/>
                <w:color w:val="000000"/>
              </w:rPr>
            </w:pPr>
            <w:r>
              <w:rPr>
                <w:rStyle w:val="ac"/>
                <w:i w:val="0"/>
                <w:color w:val="000000"/>
              </w:rPr>
              <w:t>2</w:t>
            </w:r>
          </w:p>
        </w:tc>
      </w:tr>
      <w:tr w:rsidR="00705F07">
        <w:trPr>
          <w:jc w:val="center"/>
        </w:trPr>
        <w:tc>
          <w:tcPr>
            <w:tcW w:w="0" w:type="auto"/>
            <w:vAlign w:val="center"/>
            <w:hideMark/>
          </w:tcPr>
          <w:p w:rsidR="00705F07" w:rsidRDefault="00185A37">
            <w:pPr>
              <w:jc w:val="center"/>
              <w:rPr>
                <w:rStyle w:val="ac"/>
                <w:i w:val="0"/>
                <w:color w:val="000000"/>
              </w:rPr>
            </w:pPr>
            <w:r>
              <w:rPr>
                <w:rStyle w:val="ac"/>
                <w:i w:val="0"/>
                <w:color w:val="000000"/>
              </w:rPr>
              <w:t>Червень</w:t>
            </w:r>
          </w:p>
        </w:tc>
        <w:tc>
          <w:tcPr>
            <w:tcW w:w="0" w:type="auto"/>
            <w:vAlign w:val="center"/>
            <w:hideMark/>
          </w:tcPr>
          <w:p w:rsidR="00705F07" w:rsidRDefault="00185A37">
            <w:pPr>
              <w:jc w:val="center"/>
              <w:rPr>
                <w:rStyle w:val="ac"/>
                <w:i w:val="0"/>
                <w:color w:val="000000"/>
              </w:rPr>
            </w:pPr>
            <w:r>
              <w:rPr>
                <w:rStyle w:val="ac"/>
                <w:i w:val="0"/>
                <w:color w:val="000000"/>
              </w:rPr>
              <w:t>0</w:t>
            </w:r>
          </w:p>
        </w:tc>
        <w:tc>
          <w:tcPr>
            <w:tcW w:w="0" w:type="auto"/>
            <w:vAlign w:val="center"/>
            <w:hideMark/>
          </w:tcPr>
          <w:p w:rsidR="00705F07" w:rsidRDefault="00185A37">
            <w:pPr>
              <w:jc w:val="center"/>
              <w:rPr>
                <w:rStyle w:val="ac"/>
                <w:i w:val="0"/>
                <w:color w:val="000000"/>
              </w:rPr>
            </w:pPr>
            <w:r>
              <w:rPr>
                <w:rStyle w:val="ac"/>
                <w:i w:val="0"/>
                <w:color w:val="000000"/>
              </w:rPr>
              <w:t>0</w:t>
            </w:r>
          </w:p>
        </w:tc>
        <w:tc>
          <w:tcPr>
            <w:tcW w:w="0" w:type="auto"/>
            <w:vAlign w:val="center"/>
            <w:hideMark/>
          </w:tcPr>
          <w:p w:rsidR="00705F07" w:rsidRDefault="00185A37">
            <w:pPr>
              <w:jc w:val="center"/>
              <w:rPr>
                <w:rStyle w:val="ac"/>
                <w:i w:val="0"/>
                <w:color w:val="000000"/>
              </w:rPr>
            </w:pPr>
            <w:r>
              <w:rPr>
                <w:rStyle w:val="ac"/>
                <w:i w:val="0"/>
                <w:color w:val="000000"/>
              </w:rPr>
              <w:t>–</w:t>
            </w:r>
          </w:p>
        </w:tc>
        <w:tc>
          <w:tcPr>
            <w:tcW w:w="0" w:type="auto"/>
            <w:vAlign w:val="center"/>
            <w:hideMark/>
          </w:tcPr>
          <w:p w:rsidR="00705F07" w:rsidRDefault="00185A37">
            <w:pPr>
              <w:jc w:val="center"/>
              <w:rPr>
                <w:rStyle w:val="ac"/>
                <w:i w:val="0"/>
                <w:color w:val="000000"/>
              </w:rPr>
            </w:pPr>
            <w:r>
              <w:rPr>
                <w:rStyle w:val="ac"/>
                <w:i w:val="0"/>
                <w:color w:val="000000"/>
              </w:rPr>
              <w:t>0</w:t>
            </w:r>
          </w:p>
        </w:tc>
        <w:tc>
          <w:tcPr>
            <w:tcW w:w="0" w:type="auto"/>
            <w:vAlign w:val="center"/>
            <w:hideMark/>
          </w:tcPr>
          <w:p w:rsidR="00705F07" w:rsidRDefault="00185A37">
            <w:pPr>
              <w:jc w:val="center"/>
              <w:rPr>
                <w:rStyle w:val="ac"/>
                <w:i w:val="0"/>
                <w:color w:val="000000"/>
              </w:rPr>
            </w:pPr>
            <w:r>
              <w:rPr>
                <w:rStyle w:val="ac"/>
                <w:i w:val="0"/>
                <w:color w:val="000000"/>
              </w:rPr>
              <w:t>0</w:t>
            </w:r>
          </w:p>
        </w:tc>
        <w:tc>
          <w:tcPr>
            <w:tcW w:w="0" w:type="auto"/>
            <w:vAlign w:val="center"/>
            <w:hideMark/>
          </w:tcPr>
          <w:p w:rsidR="00705F07" w:rsidRDefault="00185A37">
            <w:pPr>
              <w:jc w:val="center"/>
              <w:rPr>
                <w:rStyle w:val="ac"/>
                <w:i w:val="0"/>
                <w:color w:val="000000"/>
              </w:rPr>
            </w:pPr>
            <w:r>
              <w:rPr>
                <w:rStyle w:val="ac"/>
                <w:i w:val="0"/>
                <w:color w:val="000000"/>
              </w:rPr>
              <w:t>0</w:t>
            </w:r>
          </w:p>
        </w:tc>
      </w:tr>
      <w:tr w:rsidR="00705F07">
        <w:trPr>
          <w:jc w:val="center"/>
        </w:trPr>
        <w:tc>
          <w:tcPr>
            <w:tcW w:w="0" w:type="auto"/>
            <w:vAlign w:val="center"/>
            <w:hideMark/>
          </w:tcPr>
          <w:p w:rsidR="00705F07" w:rsidRDefault="00185A37">
            <w:pPr>
              <w:jc w:val="center"/>
              <w:rPr>
                <w:rStyle w:val="ac"/>
                <w:i w:val="0"/>
                <w:color w:val="000000"/>
              </w:rPr>
            </w:pPr>
            <w:r>
              <w:rPr>
                <w:rStyle w:val="ac"/>
                <w:i w:val="0"/>
                <w:color w:val="000000"/>
              </w:rPr>
              <w:t>Липень</w:t>
            </w:r>
          </w:p>
        </w:tc>
        <w:tc>
          <w:tcPr>
            <w:tcW w:w="0" w:type="auto"/>
            <w:vAlign w:val="center"/>
            <w:hideMark/>
          </w:tcPr>
          <w:p w:rsidR="00705F07" w:rsidRDefault="00185A37">
            <w:pPr>
              <w:jc w:val="center"/>
              <w:rPr>
                <w:rStyle w:val="ac"/>
                <w:i w:val="0"/>
                <w:color w:val="000000"/>
              </w:rPr>
            </w:pPr>
            <w:r>
              <w:rPr>
                <w:rStyle w:val="ac"/>
                <w:i w:val="0"/>
                <w:color w:val="000000"/>
              </w:rPr>
              <w:t>70,0</w:t>
            </w:r>
          </w:p>
        </w:tc>
        <w:tc>
          <w:tcPr>
            <w:tcW w:w="0" w:type="auto"/>
            <w:vAlign w:val="center"/>
            <w:hideMark/>
          </w:tcPr>
          <w:p w:rsidR="00705F07" w:rsidRDefault="00185A37">
            <w:pPr>
              <w:jc w:val="center"/>
              <w:rPr>
                <w:rStyle w:val="ac"/>
                <w:i w:val="0"/>
                <w:color w:val="000000"/>
              </w:rPr>
            </w:pPr>
            <w:r>
              <w:rPr>
                <w:rStyle w:val="ac"/>
                <w:i w:val="0"/>
                <w:color w:val="000000"/>
              </w:rPr>
              <w:t>1</w:t>
            </w:r>
          </w:p>
        </w:tc>
        <w:tc>
          <w:tcPr>
            <w:tcW w:w="0" w:type="auto"/>
            <w:vAlign w:val="center"/>
            <w:hideMark/>
          </w:tcPr>
          <w:p w:rsidR="00705F07" w:rsidRDefault="00185A37">
            <w:pPr>
              <w:jc w:val="center"/>
              <w:rPr>
                <w:rStyle w:val="ac"/>
                <w:i w:val="0"/>
                <w:color w:val="000000"/>
              </w:rPr>
            </w:pPr>
            <w:r>
              <w:rPr>
                <w:rStyle w:val="ac"/>
                <w:i w:val="0"/>
                <w:color w:val="000000"/>
              </w:rPr>
              <w:t>100,0</w:t>
            </w:r>
          </w:p>
        </w:tc>
        <w:tc>
          <w:tcPr>
            <w:tcW w:w="0" w:type="auto"/>
            <w:vAlign w:val="center"/>
            <w:hideMark/>
          </w:tcPr>
          <w:p w:rsidR="00705F07" w:rsidRDefault="00185A37">
            <w:pPr>
              <w:jc w:val="center"/>
              <w:rPr>
                <w:rStyle w:val="ac"/>
                <w:i w:val="0"/>
                <w:color w:val="000000"/>
              </w:rPr>
            </w:pPr>
            <w:r>
              <w:rPr>
                <w:rStyle w:val="ac"/>
                <w:i w:val="0"/>
                <w:color w:val="000000"/>
              </w:rPr>
              <w:t>1</w:t>
            </w:r>
          </w:p>
        </w:tc>
        <w:tc>
          <w:tcPr>
            <w:tcW w:w="0" w:type="auto"/>
            <w:vAlign w:val="center"/>
            <w:hideMark/>
          </w:tcPr>
          <w:p w:rsidR="00705F07" w:rsidRDefault="00185A37">
            <w:pPr>
              <w:jc w:val="center"/>
              <w:rPr>
                <w:rStyle w:val="ac"/>
                <w:i w:val="0"/>
                <w:color w:val="000000"/>
              </w:rPr>
            </w:pPr>
            <w:r>
              <w:rPr>
                <w:rStyle w:val="ac"/>
                <w:i w:val="0"/>
                <w:color w:val="000000"/>
              </w:rPr>
              <w:t>200,00</w:t>
            </w:r>
          </w:p>
        </w:tc>
        <w:tc>
          <w:tcPr>
            <w:tcW w:w="0" w:type="auto"/>
            <w:vAlign w:val="center"/>
            <w:hideMark/>
          </w:tcPr>
          <w:p w:rsidR="00705F07" w:rsidRDefault="00185A37">
            <w:pPr>
              <w:jc w:val="center"/>
              <w:rPr>
                <w:rStyle w:val="ac"/>
                <w:i w:val="0"/>
                <w:color w:val="000000"/>
              </w:rPr>
            </w:pPr>
            <w:r>
              <w:rPr>
                <w:rStyle w:val="ac"/>
                <w:i w:val="0"/>
                <w:color w:val="000000"/>
              </w:rPr>
              <w:t>2</w:t>
            </w:r>
          </w:p>
        </w:tc>
      </w:tr>
      <w:tr w:rsidR="00705F07">
        <w:trPr>
          <w:jc w:val="center"/>
        </w:trPr>
        <w:tc>
          <w:tcPr>
            <w:tcW w:w="0" w:type="auto"/>
            <w:vAlign w:val="center"/>
            <w:hideMark/>
          </w:tcPr>
          <w:p w:rsidR="00705F07" w:rsidRDefault="00185A37">
            <w:pPr>
              <w:jc w:val="center"/>
              <w:rPr>
                <w:rStyle w:val="ac"/>
                <w:i w:val="0"/>
                <w:color w:val="000000"/>
              </w:rPr>
            </w:pPr>
            <w:r>
              <w:rPr>
                <w:rStyle w:val="ac"/>
                <w:i w:val="0"/>
                <w:color w:val="000000"/>
              </w:rPr>
              <w:t>Серпень</w:t>
            </w:r>
          </w:p>
        </w:tc>
        <w:tc>
          <w:tcPr>
            <w:tcW w:w="0" w:type="auto"/>
            <w:vAlign w:val="center"/>
            <w:hideMark/>
          </w:tcPr>
          <w:p w:rsidR="00705F07" w:rsidRDefault="00185A37">
            <w:pPr>
              <w:jc w:val="center"/>
              <w:rPr>
                <w:rStyle w:val="ac"/>
                <w:i w:val="0"/>
                <w:color w:val="000000"/>
              </w:rPr>
            </w:pPr>
            <w:r>
              <w:rPr>
                <w:rStyle w:val="ac"/>
                <w:i w:val="0"/>
                <w:color w:val="000000"/>
              </w:rPr>
              <w:t>0</w:t>
            </w:r>
          </w:p>
        </w:tc>
        <w:tc>
          <w:tcPr>
            <w:tcW w:w="0" w:type="auto"/>
            <w:vAlign w:val="center"/>
            <w:hideMark/>
          </w:tcPr>
          <w:p w:rsidR="00705F07" w:rsidRDefault="00185A37">
            <w:pPr>
              <w:jc w:val="center"/>
              <w:rPr>
                <w:rStyle w:val="ac"/>
                <w:i w:val="0"/>
                <w:color w:val="000000"/>
              </w:rPr>
            </w:pPr>
            <w:r>
              <w:rPr>
                <w:rStyle w:val="ac"/>
                <w:i w:val="0"/>
                <w:color w:val="000000"/>
              </w:rPr>
              <w:t>0</w:t>
            </w:r>
          </w:p>
        </w:tc>
        <w:tc>
          <w:tcPr>
            <w:tcW w:w="0" w:type="auto"/>
            <w:vAlign w:val="center"/>
            <w:hideMark/>
          </w:tcPr>
          <w:p w:rsidR="00705F07" w:rsidRDefault="00185A37">
            <w:pPr>
              <w:jc w:val="center"/>
              <w:rPr>
                <w:rStyle w:val="ac"/>
                <w:i w:val="0"/>
                <w:color w:val="000000"/>
              </w:rPr>
            </w:pPr>
            <w:r>
              <w:rPr>
                <w:rStyle w:val="ac"/>
                <w:i w:val="0"/>
                <w:color w:val="000000"/>
              </w:rPr>
              <w:t>110,0</w:t>
            </w:r>
          </w:p>
        </w:tc>
        <w:tc>
          <w:tcPr>
            <w:tcW w:w="0" w:type="auto"/>
            <w:vAlign w:val="center"/>
            <w:hideMark/>
          </w:tcPr>
          <w:p w:rsidR="00705F07" w:rsidRDefault="00185A37">
            <w:pPr>
              <w:jc w:val="center"/>
              <w:rPr>
                <w:rStyle w:val="ac"/>
                <w:i w:val="0"/>
                <w:color w:val="000000"/>
              </w:rPr>
            </w:pPr>
            <w:r>
              <w:rPr>
                <w:rStyle w:val="ac"/>
                <w:i w:val="0"/>
                <w:color w:val="000000"/>
              </w:rPr>
              <w:t>4</w:t>
            </w:r>
          </w:p>
        </w:tc>
        <w:tc>
          <w:tcPr>
            <w:tcW w:w="0" w:type="auto"/>
            <w:vAlign w:val="center"/>
            <w:hideMark/>
          </w:tcPr>
          <w:p w:rsidR="00705F07" w:rsidRDefault="00185A37">
            <w:pPr>
              <w:jc w:val="center"/>
              <w:rPr>
                <w:rStyle w:val="ac"/>
                <w:i w:val="0"/>
                <w:color w:val="000000"/>
              </w:rPr>
            </w:pPr>
            <w:r>
              <w:rPr>
                <w:rStyle w:val="ac"/>
                <w:i w:val="0"/>
                <w:color w:val="000000"/>
              </w:rPr>
              <w:t>1290,00</w:t>
            </w:r>
          </w:p>
        </w:tc>
        <w:tc>
          <w:tcPr>
            <w:tcW w:w="0" w:type="auto"/>
            <w:vAlign w:val="center"/>
            <w:hideMark/>
          </w:tcPr>
          <w:p w:rsidR="00705F07" w:rsidRDefault="00185A37">
            <w:pPr>
              <w:jc w:val="center"/>
              <w:rPr>
                <w:rStyle w:val="ac"/>
                <w:i w:val="0"/>
                <w:color w:val="000000"/>
              </w:rPr>
            </w:pPr>
            <w:r>
              <w:rPr>
                <w:rStyle w:val="ac"/>
                <w:i w:val="0"/>
                <w:color w:val="000000"/>
              </w:rPr>
              <w:t>7</w:t>
            </w:r>
          </w:p>
        </w:tc>
      </w:tr>
      <w:tr w:rsidR="00705F07">
        <w:trPr>
          <w:jc w:val="center"/>
        </w:trPr>
        <w:tc>
          <w:tcPr>
            <w:tcW w:w="0" w:type="auto"/>
            <w:vAlign w:val="center"/>
            <w:hideMark/>
          </w:tcPr>
          <w:p w:rsidR="00705F07" w:rsidRDefault="00185A37">
            <w:pPr>
              <w:jc w:val="center"/>
              <w:rPr>
                <w:rStyle w:val="ac"/>
                <w:i w:val="0"/>
                <w:color w:val="000000"/>
              </w:rPr>
            </w:pPr>
            <w:r>
              <w:rPr>
                <w:rStyle w:val="ac"/>
                <w:i w:val="0"/>
                <w:color w:val="000000"/>
              </w:rPr>
              <w:t>Вересень</w:t>
            </w:r>
          </w:p>
        </w:tc>
        <w:tc>
          <w:tcPr>
            <w:tcW w:w="0" w:type="auto"/>
            <w:vAlign w:val="center"/>
            <w:hideMark/>
          </w:tcPr>
          <w:p w:rsidR="00705F07" w:rsidRDefault="00185A37">
            <w:pPr>
              <w:jc w:val="center"/>
              <w:rPr>
                <w:rStyle w:val="ac"/>
                <w:i w:val="0"/>
                <w:color w:val="000000"/>
              </w:rPr>
            </w:pPr>
            <w:r>
              <w:rPr>
                <w:rStyle w:val="ac"/>
                <w:i w:val="0"/>
                <w:color w:val="000000"/>
              </w:rPr>
              <w:t>50,0</w:t>
            </w:r>
          </w:p>
        </w:tc>
        <w:tc>
          <w:tcPr>
            <w:tcW w:w="0" w:type="auto"/>
            <w:vAlign w:val="center"/>
            <w:hideMark/>
          </w:tcPr>
          <w:p w:rsidR="00705F07" w:rsidRDefault="00185A37">
            <w:pPr>
              <w:jc w:val="center"/>
              <w:rPr>
                <w:rStyle w:val="ac"/>
                <w:i w:val="0"/>
                <w:color w:val="000000"/>
              </w:rPr>
            </w:pPr>
            <w:r>
              <w:rPr>
                <w:rStyle w:val="ac"/>
                <w:i w:val="0"/>
                <w:color w:val="000000"/>
              </w:rPr>
              <w:t>1</w:t>
            </w:r>
          </w:p>
        </w:tc>
        <w:tc>
          <w:tcPr>
            <w:tcW w:w="0" w:type="auto"/>
            <w:vAlign w:val="center"/>
            <w:hideMark/>
          </w:tcPr>
          <w:p w:rsidR="00705F07" w:rsidRDefault="00185A37">
            <w:pPr>
              <w:jc w:val="center"/>
              <w:rPr>
                <w:rStyle w:val="ac"/>
                <w:i w:val="0"/>
                <w:color w:val="000000"/>
              </w:rPr>
            </w:pPr>
            <w:r>
              <w:rPr>
                <w:rStyle w:val="ac"/>
                <w:i w:val="0"/>
                <w:color w:val="000000"/>
              </w:rPr>
              <w:t>200,0</w:t>
            </w:r>
          </w:p>
        </w:tc>
        <w:tc>
          <w:tcPr>
            <w:tcW w:w="0" w:type="auto"/>
            <w:vAlign w:val="center"/>
            <w:hideMark/>
          </w:tcPr>
          <w:p w:rsidR="00705F07" w:rsidRDefault="00185A37">
            <w:pPr>
              <w:jc w:val="center"/>
              <w:rPr>
                <w:rStyle w:val="ac"/>
                <w:i w:val="0"/>
                <w:color w:val="000000"/>
              </w:rPr>
            </w:pPr>
            <w:r>
              <w:rPr>
                <w:rStyle w:val="ac"/>
                <w:i w:val="0"/>
                <w:color w:val="000000"/>
              </w:rPr>
              <w:t>2</w:t>
            </w:r>
          </w:p>
        </w:tc>
        <w:tc>
          <w:tcPr>
            <w:tcW w:w="0" w:type="auto"/>
            <w:vAlign w:val="center"/>
            <w:hideMark/>
          </w:tcPr>
          <w:p w:rsidR="00705F07" w:rsidRDefault="00185A37">
            <w:pPr>
              <w:jc w:val="center"/>
              <w:rPr>
                <w:rStyle w:val="ac"/>
                <w:i w:val="0"/>
                <w:color w:val="000000"/>
              </w:rPr>
            </w:pPr>
            <w:r>
              <w:rPr>
                <w:rStyle w:val="ac"/>
                <w:i w:val="0"/>
                <w:color w:val="000000"/>
              </w:rPr>
              <w:t>510,00</w:t>
            </w:r>
          </w:p>
        </w:tc>
        <w:tc>
          <w:tcPr>
            <w:tcW w:w="0" w:type="auto"/>
            <w:vAlign w:val="center"/>
            <w:hideMark/>
          </w:tcPr>
          <w:p w:rsidR="00705F07" w:rsidRDefault="00185A37">
            <w:pPr>
              <w:jc w:val="center"/>
              <w:rPr>
                <w:rStyle w:val="ac"/>
                <w:i w:val="0"/>
                <w:color w:val="000000"/>
              </w:rPr>
            </w:pPr>
            <w:r>
              <w:rPr>
                <w:rStyle w:val="ac"/>
                <w:i w:val="0"/>
                <w:color w:val="000000"/>
              </w:rPr>
              <w:t>3</w:t>
            </w:r>
          </w:p>
        </w:tc>
      </w:tr>
      <w:tr w:rsidR="00705F07">
        <w:trPr>
          <w:jc w:val="center"/>
        </w:trPr>
        <w:tc>
          <w:tcPr>
            <w:tcW w:w="0" w:type="auto"/>
            <w:vAlign w:val="center"/>
            <w:hideMark/>
          </w:tcPr>
          <w:p w:rsidR="00705F07" w:rsidRDefault="00185A37">
            <w:pPr>
              <w:jc w:val="center"/>
              <w:rPr>
                <w:rStyle w:val="ac"/>
                <w:i w:val="0"/>
                <w:color w:val="000000"/>
              </w:rPr>
            </w:pPr>
            <w:r>
              <w:rPr>
                <w:rStyle w:val="ac"/>
                <w:i w:val="0"/>
                <w:color w:val="000000"/>
              </w:rPr>
              <w:t>Жовтень</w:t>
            </w:r>
          </w:p>
        </w:tc>
        <w:tc>
          <w:tcPr>
            <w:tcW w:w="0" w:type="auto"/>
            <w:vAlign w:val="center"/>
            <w:hideMark/>
          </w:tcPr>
          <w:p w:rsidR="00705F07" w:rsidRDefault="00185A37">
            <w:pPr>
              <w:jc w:val="center"/>
              <w:rPr>
                <w:rStyle w:val="ac"/>
                <w:i w:val="0"/>
                <w:color w:val="000000"/>
              </w:rPr>
            </w:pPr>
            <w:r>
              <w:rPr>
                <w:rStyle w:val="ac"/>
                <w:i w:val="0"/>
                <w:color w:val="000000"/>
              </w:rPr>
              <w:t>0</w:t>
            </w:r>
          </w:p>
        </w:tc>
        <w:tc>
          <w:tcPr>
            <w:tcW w:w="0" w:type="auto"/>
            <w:vAlign w:val="center"/>
            <w:hideMark/>
          </w:tcPr>
          <w:p w:rsidR="00705F07" w:rsidRDefault="00185A37">
            <w:pPr>
              <w:jc w:val="center"/>
              <w:rPr>
                <w:rStyle w:val="ac"/>
                <w:i w:val="0"/>
                <w:color w:val="000000"/>
              </w:rPr>
            </w:pPr>
            <w:r>
              <w:rPr>
                <w:rStyle w:val="ac"/>
                <w:i w:val="0"/>
                <w:color w:val="000000"/>
              </w:rPr>
              <w:t>0</w:t>
            </w:r>
          </w:p>
        </w:tc>
        <w:tc>
          <w:tcPr>
            <w:tcW w:w="0" w:type="auto"/>
            <w:vAlign w:val="center"/>
            <w:hideMark/>
          </w:tcPr>
          <w:p w:rsidR="00705F07" w:rsidRDefault="00185A37">
            <w:pPr>
              <w:jc w:val="center"/>
              <w:rPr>
                <w:rStyle w:val="ac"/>
                <w:i w:val="0"/>
                <w:color w:val="000000"/>
              </w:rPr>
            </w:pPr>
            <w:r>
              <w:rPr>
                <w:rStyle w:val="ac"/>
                <w:i w:val="0"/>
                <w:color w:val="000000"/>
              </w:rPr>
              <w:t>220,0</w:t>
            </w:r>
          </w:p>
        </w:tc>
        <w:tc>
          <w:tcPr>
            <w:tcW w:w="0" w:type="auto"/>
            <w:vAlign w:val="center"/>
            <w:hideMark/>
          </w:tcPr>
          <w:p w:rsidR="00705F07" w:rsidRDefault="00185A37">
            <w:pPr>
              <w:jc w:val="center"/>
              <w:rPr>
                <w:rStyle w:val="ac"/>
                <w:i w:val="0"/>
                <w:color w:val="000000"/>
              </w:rPr>
            </w:pPr>
            <w:r>
              <w:rPr>
                <w:rStyle w:val="ac"/>
                <w:i w:val="0"/>
                <w:color w:val="000000"/>
              </w:rPr>
              <w:t>3</w:t>
            </w:r>
          </w:p>
        </w:tc>
        <w:tc>
          <w:tcPr>
            <w:tcW w:w="0" w:type="auto"/>
            <w:vAlign w:val="center"/>
            <w:hideMark/>
          </w:tcPr>
          <w:p w:rsidR="00705F07" w:rsidRDefault="00185A37">
            <w:pPr>
              <w:jc w:val="center"/>
              <w:rPr>
                <w:rStyle w:val="ac"/>
                <w:i w:val="0"/>
                <w:color w:val="000000"/>
              </w:rPr>
            </w:pPr>
            <w:r>
              <w:rPr>
                <w:rStyle w:val="ac"/>
                <w:i w:val="0"/>
                <w:color w:val="000000"/>
              </w:rPr>
              <w:t>200,00</w:t>
            </w:r>
          </w:p>
        </w:tc>
        <w:tc>
          <w:tcPr>
            <w:tcW w:w="0" w:type="auto"/>
            <w:vAlign w:val="center"/>
            <w:hideMark/>
          </w:tcPr>
          <w:p w:rsidR="00705F07" w:rsidRDefault="00185A37">
            <w:pPr>
              <w:jc w:val="center"/>
              <w:rPr>
                <w:rStyle w:val="ac"/>
                <w:i w:val="0"/>
                <w:color w:val="000000"/>
              </w:rPr>
            </w:pPr>
            <w:r>
              <w:rPr>
                <w:rStyle w:val="ac"/>
                <w:i w:val="0"/>
                <w:color w:val="000000"/>
              </w:rPr>
              <w:t>5</w:t>
            </w:r>
          </w:p>
        </w:tc>
      </w:tr>
      <w:tr w:rsidR="00705F07">
        <w:trPr>
          <w:jc w:val="center"/>
        </w:trPr>
        <w:tc>
          <w:tcPr>
            <w:tcW w:w="0" w:type="auto"/>
            <w:vAlign w:val="center"/>
            <w:hideMark/>
          </w:tcPr>
          <w:p w:rsidR="00705F07" w:rsidRDefault="00185A37">
            <w:pPr>
              <w:jc w:val="center"/>
              <w:rPr>
                <w:rStyle w:val="ac"/>
                <w:i w:val="0"/>
                <w:color w:val="000000"/>
              </w:rPr>
            </w:pPr>
            <w:r>
              <w:rPr>
                <w:rStyle w:val="ac"/>
                <w:i w:val="0"/>
                <w:color w:val="000000"/>
              </w:rPr>
              <w:t>Листопад</w:t>
            </w:r>
          </w:p>
        </w:tc>
        <w:tc>
          <w:tcPr>
            <w:tcW w:w="0" w:type="auto"/>
            <w:vAlign w:val="center"/>
            <w:hideMark/>
          </w:tcPr>
          <w:p w:rsidR="00705F07" w:rsidRDefault="00185A37">
            <w:pPr>
              <w:jc w:val="center"/>
              <w:rPr>
                <w:rStyle w:val="ac"/>
                <w:i w:val="0"/>
                <w:color w:val="000000"/>
              </w:rPr>
            </w:pPr>
            <w:r>
              <w:rPr>
                <w:rStyle w:val="ac"/>
                <w:i w:val="0"/>
                <w:color w:val="000000"/>
              </w:rPr>
              <w:t>235,0</w:t>
            </w:r>
          </w:p>
        </w:tc>
        <w:tc>
          <w:tcPr>
            <w:tcW w:w="0" w:type="auto"/>
            <w:vAlign w:val="center"/>
            <w:hideMark/>
          </w:tcPr>
          <w:p w:rsidR="00705F07" w:rsidRDefault="00185A37">
            <w:pPr>
              <w:jc w:val="center"/>
              <w:rPr>
                <w:rStyle w:val="ac"/>
                <w:i w:val="0"/>
                <w:color w:val="000000"/>
              </w:rPr>
            </w:pPr>
            <w:r>
              <w:rPr>
                <w:rStyle w:val="ac"/>
                <w:i w:val="0"/>
                <w:color w:val="000000"/>
              </w:rPr>
              <w:t>8</w:t>
            </w:r>
          </w:p>
        </w:tc>
        <w:tc>
          <w:tcPr>
            <w:tcW w:w="0" w:type="auto"/>
            <w:vAlign w:val="center"/>
            <w:hideMark/>
          </w:tcPr>
          <w:p w:rsidR="00705F07" w:rsidRDefault="00185A37">
            <w:pPr>
              <w:jc w:val="center"/>
              <w:rPr>
                <w:rStyle w:val="ac"/>
                <w:i w:val="0"/>
                <w:color w:val="000000"/>
              </w:rPr>
            </w:pPr>
            <w:r>
              <w:rPr>
                <w:rStyle w:val="ac"/>
                <w:i w:val="0"/>
                <w:color w:val="000000"/>
              </w:rPr>
              <w:t>400,0</w:t>
            </w:r>
          </w:p>
        </w:tc>
        <w:tc>
          <w:tcPr>
            <w:tcW w:w="0" w:type="auto"/>
            <w:vAlign w:val="center"/>
            <w:hideMark/>
          </w:tcPr>
          <w:p w:rsidR="00705F07" w:rsidRDefault="00185A37">
            <w:pPr>
              <w:jc w:val="center"/>
              <w:rPr>
                <w:rStyle w:val="ac"/>
                <w:i w:val="0"/>
                <w:color w:val="000000"/>
              </w:rPr>
            </w:pPr>
            <w:r>
              <w:rPr>
                <w:rStyle w:val="ac"/>
                <w:i w:val="0"/>
                <w:color w:val="000000"/>
              </w:rPr>
              <w:t>1</w:t>
            </w:r>
          </w:p>
        </w:tc>
        <w:tc>
          <w:tcPr>
            <w:tcW w:w="0" w:type="auto"/>
            <w:vAlign w:val="center"/>
            <w:hideMark/>
          </w:tcPr>
          <w:p w:rsidR="00705F07" w:rsidRDefault="00185A37">
            <w:pPr>
              <w:jc w:val="center"/>
              <w:rPr>
                <w:rStyle w:val="ac"/>
                <w:i w:val="0"/>
                <w:color w:val="000000"/>
              </w:rPr>
            </w:pPr>
            <w:r>
              <w:rPr>
                <w:rStyle w:val="ac"/>
                <w:i w:val="0"/>
                <w:color w:val="000000"/>
              </w:rPr>
              <w:t>190,00</w:t>
            </w:r>
          </w:p>
        </w:tc>
        <w:tc>
          <w:tcPr>
            <w:tcW w:w="0" w:type="auto"/>
            <w:vAlign w:val="center"/>
            <w:hideMark/>
          </w:tcPr>
          <w:p w:rsidR="00705F07" w:rsidRDefault="00185A37">
            <w:pPr>
              <w:jc w:val="center"/>
              <w:rPr>
                <w:rStyle w:val="ac"/>
                <w:i w:val="0"/>
                <w:color w:val="000000"/>
              </w:rPr>
            </w:pPr>
            <w:r>
              <w:rPr>
                <w:rStyle w:val="ac"/>
                <w:i w:val="0"/>
                <w:color w:val="000000"/>
              </w:rPr>
              <w:t>4</w:t>
            </w:r>
          </w:p>
        </w:tc>
      </w:tr>
      <w:tr w:rsidR="00705F07">
        <w:trPr>
          <w:jc w:val="center"/>
        </w:trPr>
        <w:tc>
          <w:tcPr>
            <w:tcW w:w="0" w:type="auto"/>
            <w:vAlign w:val="center"/>
            <w:hideMark/>
          </w:tcPr>
          <w:p w:rsidR="00705F07" w:rsidRDefault="00185A37">
            <w:pPr>
              <w:jc w:val="center"/>
              <w:rPr>
                <w:rStyle w:val="ac"/>
                <w:i w:val="0"/>
                <w:color w:val="000000"/>
              </w:rPr>
            </w:pPr>
            <w:r>
              <w:rPr>
                <w:rStyle w:val="ac"/>
                <w:i w:val="0"/>
                <w:color w:val="000000"/>
              </w:rPr>
              <w:t>Грудень</w:t>
            </w:r>
          </w:p>
        </w:tc>
        <w:tc>
          <w:tcPr>
            <w:tcW w:w="0" w:type="auto"/>
            <w:vAlign w:val="center"/>
            <w:hideMark/>
          </w:tcPr>
          <w:p w:rsidR="00705F07" w:rsidRDefault="00185A37">
            <w:pPr>
              <w:jc w:val="center"/>
              <w:rPr>
                <w:rStyle w:val="ac"/>
                <w:i w:val="0"/>
                <w:color w:val="000000"/>
              </w:rPr>
            </w:pPr>
            <w:r>
              <w:rPr>
                <w:rStyle w:val="ac"/>
                <w:i w:val="0"/>
                <w:color w:val="000000"/>
              </w:rPr>
              <w:t>0</w:t>
            </w:r>
          </w:p>
        </w:tc>
        <w:tc>
          <w:tcPr>
            <w:tcW w:w="0" w:type="auto"/>
            <w:vAlign w:val="center"/>
            <w:hideMark/>
          </w:tcPr>
          <w:p w:rsidR="00705F07" w:rsidRDefault="00185A37">
            <w:pPr>
              <w:jc w:val="center"/>
              <w:rPr>
                <w:rStyle w:val="ac"/>
                <w:i w:val="0"/>
                <w:color w:val="000000"/>
              </w:rPr>
            </w:pPr>
            <w:r>
              <w:rPr>
                <w:rStyle w:val="ac"/>
                <w:i w:val="0"/>
                <w:color w:val="000000"/>
              </w:rPr>
              <w:t>0</w:t>
            </w:r>
          </w:p>
        </w:tc>
        <w:tc>
          <w:tcPr>
            <w:tcW w:w="0" w:type="auto"/>
            <w:vAlign w:val="center"/>
            <w:hideMark/>
          </w:tcPr>
          <w:p w:rsidR="00705F07" w:rsidRDefault="00185A37">
            <w:pPr>
              <w:jc w:val="center"/>
              <w:rPr>
                <w:rStyle w:val="ac"/>
                <w:i w:val="0"/>
                <w:color w:val="000000"/>
              </w:rPr>
            </w:pPr>
            <w:r>
              <w:rPr>
                <w:rStyle w:val="ac"/>
                <w:i w:val="0"/>
                <w:color w:val="000000"/>
              </w:rPr>
              <w:t>315,0</w:t>
            </w:r>
          </w:p>
        </w:tc>
        <w:tc>
          <w:tcPr>
            <w:tcW w:w="0" w:type="auto"/>
            <w:vAlign w:val="center"/>
            <w:hideMark/>
          </w:tcPr>
          <w:p w:rsidR="00705F07" w:rsidRDefault="00185A37">
            <w:pPr>
              <w:jc w:val="center"/>
              <w:rPr>
                <w:rStyle w:val="ac"/>
                <w:i w:val="0"/>
                <w:color w:val="000000"/>
              </w:rPr>
            </w:pPr>
            <w:r>
              <w:rPr>
                <w:rStyle w:val="ac"/>
                <w:i w:val="0"/>
                <w:color w:val="000000"/>
              </w:rPr>
              <w:t>4</w:t>
            </w:r>
          </w:p>
        </w:tc>
        <w:tc>
          <w:tcPr>
            <w:tcW w:w="0" w:type="auto"/>
            <w:vAlign w:val="center"/>
            <w:hideMark/>
          </w:tcPr>
          <w:p w:rsidR="00705F07" w:rsidRDefault="00185A37">
            <w:pPr>
              <w:jc w:val="center"/>
              <w:rPr>
                <w:rStyle w:val="ac"/>
                <w:i w:val="0"/>
                <w:color w:val="000000"/>
              </w:rPr>
            </w:pPr>
            <w:r>
              <w:rPr>
                <w:rStyle w:val="ac"/>
                <w:i w:val="0"/>
                <w:color w:val="000000"/>
              </w:rPr>
              <w:t>20,00</w:t>
            </w:r>
          </w:p>
        </w:tc>
        <w:tc>
          <w:tcPr>
            <w:tcW w:w="0" w:type="auto"/>
            <w:vAlign w:val="center"/>
            <w:hideMark/>
          </w:tcPr>
          <w:p w:rsidR="00705F07" w:rsidRDefault="00185A37">
            <w:pPr>
              <w:jc w:val="center"/>
              <w:rPr>
                <w:rStyle w:val="ac"/>
                <w:i w:val="0"/>
                <w:color w:val="000000"/>
              </w:rPr>
            </w:pPr>
            <w:r>
              <w:rPr>
                <w:rStyle w:val="ac"/>
                <w:i w:val="0"/>
                <w:color w:val="000000"/>
              </w:rPr>
              <w:t>1</w:t>
            </w:r>
          </w:p>
        </w:tc>
      </w:tr>
      <w:tr w:rsidR="00705F07">
        <w:trPr>
          <w:jc w:val="center"/>
        </w:trPr>
        <w:tc>
          <w:tcPr>
            <w:tcW w:w="0" w:type="auto"/>
            <w:vAlign w:val="center"/>
            <w:hideMark/>
          </w:tcPr>
          <w:p w:rsidR="00705F07" w:rsidRDefault="00185A37">
            <w:pPr>
              <w:jc w:val="center"/>
              <w:rPr>
                <w:rStyle w:val="ac"/>
                <w:i w:val="0"/>
                <w:color w:val="000000"/>
              </w:rPr>
            </w:pPr>
            <w:r>
              <w:rPr>
                <w:rStyle w:val="ac"/>
                <w:i w:val="0"/>
                <w:color w:val="000000"/>
              </w:rPr>
              <w:t>Усього</w:t>
            </w:r>
          </w:p>
        </w:tc>
        <w:tc>
          <w:tcPr>
            <w:tcW w:w="0" w:type="auto"/>
            <w:vAlign w:val="center"/>
            <w:hideMark/>
          </w:tcPr>
          <w:p w:rsidR="00705F07" w:rsidRDefault="00185A37">
            <w:pPr>
              <w:jc w:val="center"/>
              <w:rPr>
                <w:rStyle w:val="ac"/>
                <w:i w:val="0"/>
                <w:color w:val="000000"/>
              </w:rPr>
            </w:pPr>
            <w:r>
              <w:rPr>
                <w:rStyle w:val="ac"/>
                <w:i w:val="0"/>
                <w:color w:val="000000"/>
              </w:rPr>
              <w:t>2026,45</w:t>
            </w:r>
          </w:p>
        </w:tc>
        <w:tc>
          <w:tcPr>
            <w:tcW w:w="0" w:type="auto"/>
            <w:vAlign w:val="center"/>
            <w:hideMark/>
          </w:tcPr>
          <w:p w:rsidR="00705F07" w:rsidRDefault="00185A37">
            <w:pPr>
              <w:jc w:val="center"/>
              <w:rPr>
                <w:rStyle w:val="ac"/>
                <w:i w:val="0"/>
                <w:color w:val="000000"/>
              </w:rPr>
            </w:pPr>
            <w:r>
              <w:rPr>
                <w:rStyle w:val="ac"/>
                <w:i w:val="0"/>
                <w:color w:val="000000"/>
              </w:rPr>
              <w:t>39</w:t>
            </w:r>
          </w:p>
        </w:tc>
        <w:tc>
          <w:tcPr>
            <w:tcW w:w="0" w:type="auto"/>
            <w:vAlign w:val="center"/>
            <w:hideMark/>
          </w:tcPr>
          <w:p w:rsidR="00705F07" w:rsidRDefault="00185A37">
            <w:pPr>
              <w:jc w:val="center"/>
              <w:rPr>
                <w:rStyle w:val="ac"/>
                <w:i w:val="0"/>
                <w:color w:val="000000"/>
              </w:rPr>
            </w:pPr>
            <w:r>
              <w:rPr>
                <w:rStyle w:val="ac"/>
                <w:i w:val="0"/>
                <w:color w:val="000000"/>
              </w:rPr>
              <w:t>13045,0</w:t>
            </w:r>
          </w:p>
        </w:tc>
        <w:tc>
          <w:tcPr>
            <w:tcW w:w="0" w:type="auto"/>
            <w:vAlign w:val="center"/>
            <w:hideMark/>
          </w:tcPr>
          <w:p w:rsidR="00705F07" w:rsidRDefault="00185A37">
            <w:pPr>
              <w:jc w:val="center"/>
              <w:rPr>
                <w:rStyle w:val="ac"/>
                <w:i w:val="0"/>
                <w:color w:val="000000"/>
              </w:rPr>
            </w:pPr>
            <w:r>
              <w:rPr>
                <w:rStyle w:val="ac"/>
                <w:i w:val="0"/>
                <w:color w:val="000000"/>
              </w:rPr>
              <w:t>24</w:t>
            </w:r>
          </w:p>
        </w:tc>
        <w:tc>
          <w:tcPr>
            <w:tcW w:w="0" w:type="auto"/>
            <w:vAlign w:val="center"/>
            <w:hideMark/>
          </w:tcPr>
          <w:p w:rsidR="00705F07" w:rsidRDefault="00185A37">
            <w:pPr>
              <w:jc w:val="center"/>
              <w:rPr>
                <w:rStyle w:val="ac"/>
                <w:i w:val="0"/>
                <w:color w:val="000000"/>
              </w:rPr>
            </w:pPr>
            <w:r>
              <w:rPr>
                <w:rStyle w:val="ac"/>
                <w:i w:val="0"/>
                <w:color w:val="000000"/>
              </w:rPr>
              <w:t>5075,00</w:t>
            </w:r>
          </w:p>
        </w:tc>
        <w:tc>
          <w:tcPr>
            <w:tcW w:w="0" w:type="auto"/>
            <w:vAlign w:val="center"/>
            <w:hideMark/>
          </w:tcPr>
          <w:p w:rsidR="00705F07" w:rsidRDefault="00185A37">
            <w:pPr>
              <w:jc w:val="center"/>
              <w:rPr>
                <w:rStyle w:val="ac"/>
                <w:i w:val="0"/>
                <w:color w:val="000000"/>
              </w:rPr>
            </w:pPr>
            <w:r>
              <w:rPr>
                <w:rStyle w:val="ac"/>
                <w:i w:val="0"/>
                <w:color w:val="000000"/>
              </w:rPr>
              <w:t>38</w:t>
            </w:r>
          </w:p>
        </w:tc>
      </w:tr>
    </w:tbl>
    <w:p w:rsidR="00705F07" w:rsidRDefault="00185A37">
      <w:pPr>
        <w:ind w:firstLine="709"/>
        <w:jc w:val="both"/>
        <w:rPr>
          <w:color w:val="000000"/>
        </w:rPr>
      </w:pPr>
      <w:r>
        <w:rPr>
          <w:color w:val="000000"/>
        </w:rPr>
        <w:t>Джерело: складено автором на основі даних [3].</w:t>
      </w:r>
    </w:p>
    <w:p w:rsidR="00705F07" w:rsidRDefault="00705F07">
      <w:pPr>
        <w:spacing w:line="360" w:lineRule="auto"/>
        <w:ind w:firstLine="709"/>
        <w:jc w:val="both"/>
        <w:rPr>
          <w:rStyle w:val="ac"/>
          <w:i w:val="0"/>
          <w:color w:val="000000"/>
          <w:sz w:val="28"/>
          <w:szCs w:val="28"/>
        </w:rPr>
      </w:pPr>
    </w:p>
    <w:p w:rsidR="00705F07" w:rsidRDefault="00185A37">
      <w:pPr>
        <w:spacing w:line="360" w:lineRule="auto"/>
        <w:ind w:firstLine="709"/>
        <w:jc w:val="both"/>
        <w:rPr>
          <w:rStyle w:val="ac"/>
          <w:i w:val="0"/>
          <w:color w:val="000000"/>
          <w:sz w:val="28"/>
          <w:szCs w:val="28"/>
        </w:rPr>
      </w:pPr>
      <w:r>
        <w:rPr>
          <w:rStyle w:val="ac"/>
          <w:i w:val="0"/>
          <w:color w:val="000000"/>
          <w:sz w:val="28"/>
          <w:szCs w:val="28"/>
        </w:rPr>
        <w:t xml:space="preserve">У 2023 році спостерігається суттєве збільшення обсягів випусків у січні – 10800 млн грн, що майже в п’ять разів перевищує показник аналогічного періоду 2022 року, проте загальний обсяг за рік </w:t>
      </w:r>
      <w:r>
        <w:rPr>
          <w:rStyle w:val="ac"/>
          <w:i w:val="0"/>
          <w:color w:val="000000"/>
          <w:sz w:val="28"/>
          <w:szCs w:val="28"/>
        </w:rPr>
        <w:t>збільшився до 13 045 млн грн при меншій кількості випусків – 24. Це свідчить про тенденцію до концентрації великих випусків у порівняно невеликій кількості емітентів, що пов’язано з макроекономічною нестабільністю та підвищеним ризиком для інвесторів. У 20</w:t>
      </w:r>
      <w:r>
        <w:rPr>
          <w:rStyle w:val="ac"/>
          <w:i w:val="0"/>
          <w:color w:val="000000"/>
          <w:sz w:val="28"/>
          <w:szCs w:val="28"/>
        </w:rPr>
        <w:t>24 році загальний обсяг випусків корпоративних облігацій склав 5075 млн грн при 38 випусках, що свідчить про зниження сукупного обсягу порівняно з 2023 роком, проте кількість випусків зросла. Найбільші обсяги спостерігалися у квітні (2 015 млн грн) та серп</w:t>
      </w:r>
      <w:r>
        <w:rPr>
          <w:rStyle w:val="ac"/>
          <w:i w:val="0"/>
          <w:color w:val="000000"/>
          <w:sz w:val="28"/>
          <w:szCs w:val="28"/>
        </w:rPr>
        <w:t>ні (1 290 млн грн), що вказує на активізацію емітентів у конкретні періоди року. Зменшення загального обсягу у 2024 році порівняно з попереднім роком обумовлене зростанням обережності інвесторів та зміною пріоритетів емітентів щодо джерел фінансування. Так</w:t>
      </w:r>
      <w:r>
        <w:rPr>
          <w:rStyle w:val="ac"/>
          <w:i w:val="0"/>
          <w:color w:val="000000"/>
          <w:sz w:val="28"/>
          <w:szCs w:val="28"/>
        </w:rPr>
        <w:t>им чином, аналіз динаміки випусків корпоративних облігацій за 2022-2024 рр. показує, що ринок боргових інструментів в Україні зазнав значних коливань обсягів випусків. Пік активності спостерігається у 2023 році, тоді як у 2024 році активність емітентів збе</w:t>
      </w:r>
      <w:r>
        <w:rPr>
          <w:rStyle w:val="ac"/>
          <w:i w:val="0"/>
          <w:color w:val="000000"/>
          <w:sz w:val="28"/>
          <w:szCs w:val="28"/>
        </w:rPr>
        <w:t>рігається у вигляді більшої кількості невеликих випусків, що свідчить про диверсифікацію ринку та адаптацію емітентів до макроекономічних умов і потреб інвесторів.</w:t>
      </w:r>
    </w:p>
    <w:p w:rsidR="00705F07" w:rsidRDefault="00185A37">
      <w:pPr>
        <w:spacing w:line="360" w:lineRule="auto"/>
        <w:ind w:firstLine="709"/>
        <w:jc w:val="both"/>
        <w:rPr>
          <w:rStyle w:val="ac"/>
          <w:i w:val="0"/>
          <w:color w:val="000000"/>
          <w:sz w:val="28"/>
          <w:szCs w:val="28"/>
        </w:rPr>
      </w:pPr>
      <w:r>
        <w:rPr>
          <w:rStyle w:val="ac"/>
          <w:i w:val="0"/>
          <w:color w:val="000000"/>
          <w:sz w:val="28"/>
          <w:szCs w:val="28"/>
        </w:rPr>
        <w:t>Аналіз стану торгів фінансовими інструментами на операторах організованих ринків капіталу протягом 2022-2024 років дозволяє оцінити динаміку розвитку ринку та активність його учасників. Зростання обсягів торгів слугує важливим індикатором ліквідності ринку</w:t>
      </w:r>
      <w:r>
        <w:rPr>
          <w:rStyle w:val="ac"/>
          <w:i w:val="0"/>
          <w:color w:val="000000"/>
          <w:sz w:val="28"/>
          <w:szCs w:val="28"/>
        </w:rPr>
        <w:t>, довіри інвесторів та ефективності функціонування біржових операторів (рис. 2.8).</w:t>
      </w:r>
    </w:p>
    <w:p w:rsidR="00705F07" w:rsidRDefault="00185A37">
      <w:pPr>
        <w:spacing w:line="360" w:lineRule="auto"/>
        <w:ind w:firstLine="709"/>
        <w:jc w:val="center"/>
        <w:rPr>
          <w:rStyle w:val="ac"/>
          <w:i w:val="0"/>
          <w:color w:val="000000"/>
          <w:sz w:val="28"/>
          <w:szCs w:val="28"/>
        </w:rPr>
      </w:pPr>
      <w:r>
        <w:rPr>
          <w:rStyle w:val="ac"/>
          <w:i w:val="0"/>
          <w:noProof/>
          <w:color w:val="000000"/>
          <w:sz w:val="28"/>
          <w:szCs w:val="28"/>
        </w:rPr>
        <w:drawing>
          <wp:inline distT="0" distB="0" distL="114300" distR="114300">
            <wp:extent cx="4572000" cy="2743200"/>
            <wp:effectExtent l="0" t="0" r="0" b="0"/>
            <wp:docPr id="1078"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705F07" w:rsidRDefault="00185A37">
      <w:pPr>
        <w:spacing w:line="360" w:lineRule="auto"/>
        <w:ind w:firstLine="709"/>
        <w:jc w:val="center"/>
        <w:rPr>
          <w:rStyle w:val="ac"/>
          <w:i w:val="0"/>
          <w:color w:val="000000"/>
          <w:sz w:val="28"/>
          <w:szCs w:val="28"/>
        </w:rPr>
      </w:pPr>
      <w:r>
        <w:rPr>
          <w:rStyle w:val="ac"/>
          <w:i w:val="0"/>
          <w:color w:val="000000"/>
          <w:sz w:val="28"/>
          <w:szCs w:val="28"/>
        </w:rPr>
        <w:t>Рис. 2.8. Стан торгів фінансовими інструментами на операторах організованих ринків капіталу протягом 2022-2024рр.</w:t>
      </w:r>
    </w:p>
    <w:p w:rsidR="00705F07" w:rsidRDefault="00185A37">
      <w:pPr>
        <w:ind w:firstLine="709"/>
        <w:jc w:val="both"/>
        <w:rPr>
          <w:color w:val="000000"/>
        </w:rPr>
      </w:pPr>
      <w:r>
        <w:rPr>
          <w:color w:val="000000"/>
        </w:rPr>
        <w:t>Джерело: складено автором на основі даних [3].</w:t>
      </w:r>
    </w:p>
    <w:p w:rsidR="00705F07" w:rsidRDefault="00705F07">
      <w:pPr>
        <w:spacing w:line="360" w:lineRule="auto"/>
        <w:ind w:firstLine="709"/>
        <w:jc w:val="both"/>
        <w:rPr>
          <w:rStyle w:val="ac"/>
          <w:i w:val="0"/>
          <w:color w:val="000000"/>
          <w:sz w:val="28"/>
          <w:szCs w:val="28"/>
        </w:rPr>
      </w:pPr>
    </w:p>
    <w:p w:rsidR="00705F07" w:rsidRDefault="00185A37">
      <w:pPr>
        <w:spacing w:line="360" w:lineRule="auto"/>
        <w:ind w:firstLine="709"/>
        <w:jc w:val="both"/>
        <w:rPr>
          <w:rStyle w:val="ac"/>
          <w:i w:val="0"/>
          <w:color w:val="000000"/>
          <w:sz w:val="28"/>
          <w:szCs w:val="28"/>
        </w:rPr>
      </w:pPr>
      <w:r>
        <w:rPr>
          <w:rStyle w:val="ac"/>
          <w:i w:val="0"/>
          <w:color w:val="000000"/>
          <w:sz w:val="28"/>
          <w:szCs w:val="28"/>
        </w:rPr>
        <w:t>Варто від</w:t>
      </w:r>
      <w:r>
        <w:rPr>
          <w:rStyle w:val="ac"/>
          <w:i w:val="0"/>
          <w:color w:val="000000"/>
          <w:sz w:val="28"/>
          <w:szCs w:val="28"/>
        </w:rPr>
        <w:t>значити, що загальний обсяг торгів фінансовими інструментами на організованих ринках капіталу демонструє стійку тенденцію до зростання: від 160636,02 млн грн у 2022 році до 436432,10 млн грн у 2023 році та 656685,25 млн грн у 2024 році. Це свідчить про пос</w:t>
      </w:r>
      <w:r>
        <w:rPr>
          <w:rStyle w:val="ac"/>
          <w:i w:val="0"/>
          <w:color w:val="000000"/>
          <w:sz w:val="28"/>
          <w:szCs w:val="28"/>
        </w:rPr>
        <w:t>тупове підвищення активності учасників ринку, зростання ліквідності та розширення спектра фінансових інструментів, що торгуються на біржах, а також про зміцнення ролі організованих ринків у розвитку національної фінансової системи.</w:t>
      </w:r>
    </w:p>
    <w:p w:rsidR="00705F07" w:rsidRDefault="00185A37">
      <w:pPr>
        <w:tabs>
          <w:tab w:val="left" w:pos="5670"/>
        </w:tabs>
        <w:spacing w:line="360" w:lineRule="auto"/>
        <w:ind w:firstLine="709"/>
        <w:jc w:val="both"/>
        <w:rPr>
          <w:rStyle w:val="ac"/>
          <w:i w:val="0"/>
          <w:color w:val="000000"/>
          <w:sz w:val="28"/>
          <w:szCs w:val="28"/>
        </w:rPr>
      </w:pPr>
      <w:r>
        <w:rPr>
          <w:rStyle w:val="ac"/>
          <w:i w:val="0"/>
          <w:color w:val="000000"/>
          <w:sz w:val="28"/>
          <w:szCs w:val="28"/>
        </w:rPr>
        <w:t>Організовані ринки капіт</w:t>
      </w:r>
      <w:r>
        <w:rPr>
          <w:rStyle w:val="ac"/>
          <w:i w:val="0"/>
          <w:color w:val="000000"/>
          <w:sz w:val="28"/>
          <w:szCs w:val="28"/>
        </w:rPr>
        <w:t>алу є ключовим елементом фінансової системи України, що забезпечує ефективне функціонування ринку цінних паперів, ліквідність активів та залучення інвестицій у державний та корпоративний сектор. Торги на таких ринках формують цінові сигнали для інвесторів,</w:t>
      </w:r>
      <w:r>
        <w:rPr>
          <w:rStyle w:val="ac"/>
          <w:i w:val="0"/>
          <w:color w:val="000000"/>
          <w:sz w:val="28"/>
          <w:szCs w:val="28"/>
        </w:rPr>
        <w:t xml:space="preserve"> сприяють мобілізації фінансових ресурсів і забезпечують прозорість функціонування ринку. Аналіз обсягів торгів на організованих ринках капіталу дозволяє оцінити активність інвесторів, динаміку ринку та вплив макроекономічних факторів на фінансові інструме</w:t>
      </w:r>
      <w:r>
        <w:rPr>
          <w:rStyle w:val="ac"/>
          <w:i w:val="0"/>
          <w:color w:val="000000"/>
          <w:sz w:val="28"/>
          <w:szCs w:val="28"/>
        </w:rPr>
        <w:t>нти. Згідно з даними табл. Д.1, у 2022 році загальний обсяг торгів на організованих ринках капіталу становив 160636,02 млн грн. Основну частку торгів забезпечувала ПФТС (83974,32 млн грн), тоді як УБ та «ПЕРСПЕКТИВА» виконували підтримуючу роль із обсягами</w:t>
      </w:r>
      <w:r>
        <w:rPr>
          <w:rStyle w:val="ac"/>
          <w:i w:val="0"/>
          <w:color w:val="000000"/>
          <w:sz w:val="28"/>
          <w:szCs w:val="28"/>
        </w:rPr>
        <w:t xml:space="preserve"> 15416,82 млн грн та 61240,43 млн грн відповідно. Найвищі обсяги спостерігалися в січні (48791,72 млн грн) та грудні (16547,93 млн грн), що вказує на сезонну активність інвесторів та зростання ліквідності в початкові та заключні місяці року. У 2023 році за</w:t>
      </w:r>
      <w:r>
        <w:rPr>
          <w:rStyle w:val="ac"/>
          <w:i w:val="0"/>
          <w:color w:val="000000"/>
          <w:sz w:val="28"/>
          <w:szCs w:val="28"/>
        </w:rPr>
        <w:t>гальний обсяг торгів зріс до 436432,1 млн грн, що свідчить про суттєве пожвавлення ринку капіталу [3]. Значну частку торгів забезпечували ПФТС та «ПЕРСПЕКТИВА» (274684,7 млн грн і 146978,9 млн грн відповідно), тоді як активність УБ залишалася відносно низь</w:t>
      </w:r>
      <w:r>
        <w:rPr>
          <w:rStyle w:val="ac"/>
          <w:i w:val="0"/>
          <w:color w:val="000000"/>
          <w:sz w:val="28"/>
          <w:szCs w:val="28"/>
        </w:rPr>
        <w:t>кою (14768,6 млн грн). Така концентрація торгів на двох операторах пов’язана із зміною структури інвесторів та оптимізацією операцій на ринку. У 2024 році спостерігається подальше зростання обсягів торгів до 656 685,25 млн грн, що перевищує показник 2023 р</w:t>
      </w:r>
      <w:r>
        <w:rPr>
          <w:rStyle w:val="ac"/>
          <w:i w:val="0"/>
          <w:color w:val="000000"/>
          <w:sz w:val="28"/>
          <w:szCs w:val="28"/>
        </w:rPr>
        <w:t>оку на понад 220000 млн грн. Найбільшу частку торгів знову забезпечує ПФТС (466957,77 млн грн), тоді як «ПЕРСПЕКТИВА» та УБ демонструють обсяги 168 510,34 млн грн і 21217,15 млн грн відповідно. Сезонна динаміка зберігається: піки активності припадають на т</w:t>
      </w:r>
      <w:r>
        <w:rPr>
          <w:rStyle w:val="ac"/>
          <w:i w:val="0"/>
          <w:color w:val="000000"/>
          <w:sz w:val="28"/>
          <w:szCs w:val="28"/>
        </w:rPr>
        <w:t>равень, червень та грудень, що відображає завершення великих емісій, ліквідність державних облігацій та інтерес інвесторів до короткострокових операцій. Аналіз 2022-2024 рр. показує, що український ринок організованих торгів фінансовими інструментами посту</w:t>
      </w:r>
      <w:r>
        <w:rPr>
          <w:rStyle w:val="ac"/>
          <w:i w:val="0"/>
          <w:color w:val="000000"/>
          <w:sz w:val="28"/>
          <w:szCs w:val="28"/>
        </w:rPr>
        <w:t>пово відновлюється та демонструє зростання загальних обсягів. Особливістю 2024 року є істотне перевищення обсягів торгів у порівнянні з попередніми роками, що свідчить про підвищення активності інвесторів, нарощування ліквідності та посилення ролі організо</w:t>
      </w:r>
      <w:r>
        <w:rPr>
          <w:rStyle w:val="ac"/>
          <w:i w:val="0"/>
          <w:color w:val="000000"/>
          <w:sz w:val="28"/>
          <w:szCs w:val="28"/>
        </w:rPr>
        <w:t>ваних ринків капіталу у фінансовій системі країни [3].</w:t>
      </w:r>
    </w:p>
    <w:p w:rsidR="00705F07" w:rsidRDefault="00185A37">
      <w:pPr>
        <w:spacing w:line="360" w:lineRule="auto"/>
        <w:ind w:firstLine="709"/>
        <w:jc w:val="both"/>
        <w:rPr>
          <w:rStyle w:val="ac"/>
          <w:i w:val="0"/>
          <w:color w:val="000000"/>
          <w:sz w:val="28"/>
          <w:szCs w:val="28"/>
        </w:rPr>
      </w:pPr>
      <w:r>
        <w:rPr>
          <w:rStyle w:val="ac"/>
          <w:i w:val="0"/>
          <w:color w:val="000000"/>
          <w:sz w:val="28"/>
          <w:szCs w:val="28"/>
        </w:rPr>
        <w:t xml:space="preserve">Ринок організованих торгів фінансовими інструментами в Україні характеризується різноманітністю інструментів, які забезпечують інвесторам можливості для вкладень з різним рівнем ризику та ліквідності. </w:t>
      </w:r>
      <w:r>
        <w:rPr>
          <w:rStyle w:val="ac"/>
          <w:i w:val="0"/>
          <w:color w:val="000000"/>
          <w:sz w:val="28"/>
          <w:szCs w:val="28"/>
        </w:rPr>
        <w:t>Аналіз обсягів торгів за видами фінансових інструментів дозволяє виявити пріоритети інвесторів, оцінити структуру капіталу та визначити основні драйвери ринку. 2024 рік став відзначеним високою активністю торгів на організованих ринках, що відображає відно</w:t>
      </w:r>
      <w:r>
        <w:rPr>
          <w:rStyle w:val="ac"/>
          <w:i w:val="0"/>
          <w:color w:val="000000"/>
          <w:sz w:val="28"/>
          <w:szCs w:val="28"/>
        </w:rPr>
        <w:t>влення інвестиційної активності та зростання довіри до фінансових інструментів, зокрема державних облігацій та корпоративних цінних паперів. Згідно з даними табл. Ж.1, у 2024 році основну частку торгів на організованих ринках капіталу займали облігації вну</w:t>
      </w:r>
      <w:r>
        <w:rPr>
          <w:rStyle w:val="ac"/>
          <w:i w:val="0"/>
          <w:color w:val="000000"/>
          <w:sz w:val="28"/>
          <w:szCs w:val="28"/>
        </w:rPr>
        <w:t>трішніх державних позик України (ОВДП), загальний обсяг яких склав 547926,26 млн грн або 83,44 % від загальної суми торгів. Це свідчить про переважну орієнтацію інвесторів на державні боргові інструменти як на найбільш надійні та ліквідні. Обсяги торгів ко</w:t>
      </w:r>
      <w:r>
        <w:rPr>
          <w:rStyle w:val="ac"/>
          <w:i w:val="0"/>
          <w:color w:val="000000"/>
          <w:sz w:val="28"/>
          <w:szCs w:val="28"/>
        </w:rPr>
        <w:t>рпоративними облігаціями становили 9980,11 млн грн, що вказує на активність приватного сектору у залученні фінансування через боргові інструменти. Інвестиційні сертифікати пайових інвестиційних фондів (3479,11 млн грн) та акції КІФ (239,36 млн грн) демонст</w:t>
      </w:r>
      <w:r>
        <w:rPr>
          <w:rStyle w:val="ac"/>
          <w:i w:val="0"/>
          <w:color w:val="000000"/>
          <w:sz w:val="28"/>
          <w:szCs w:val="28"/>
        </w:rPr>
        <w:t xml:space="preserve">рують порівняно невелику частку на ринку, що відображає обмежену участь роздрібних інвесторів та меншу ліквідність даних інструментів [3]. </w:t>
      </w:r>
    </w:p>
    <w:p w:rsidR="00705F07" w:rsidRDefault="00185A37">
      <w:pPr>
        <w:spacing w:line="360" w:lineRule="auto"/>
        <w:ind w:firstLine="709"/>
        <w:jc w:val="both"/>
        <w:rPr>
          <w:rStyle w:val="ac"/>
          <w:i w:val="0"/>
          <w:color w:val="000000"/>
          <w:sz w:val="28"/>
          <w:szCs w:val="28"/>
        </w:rPr>
      </w:pPr>
      <w:r>
        <w:rPr>
          <w:rStyle w:val="ac"/>
          <w:i w:val="0"/>
          <w:color w:val="000000"/>
          <w:sz w:val="28"/>
          <w:szCs w:val="28"/>
        </w:rPr>
        <w:t>Акції українських емітентів торгувалися в обсязі 42,35 млн грн, тоді як акції іноземних емітентів та деривативи мали</w:t>
      </w:r>
      <w:r>
        <w:rPr>
          <w:rStyle w:val="ac"/>
          <w:i w:val="0"/>
          <w:color w:val="000000"/>
          <w:sz w:val="28"/>
          <w:szCs w:val="28"/>
        </w:rPr>
        <w:t xml:space="preserve"> мінімальні показники (18,87 млн грн та 3,77 млн грн відповідно), що підкреслює консервативну поведінку інвесторів і невисоку диверсифікацію портфелів. Значні обсяги торгів також припадають на облігації підприємств (397,28 млн грн) та свопи (37 289,86 млн </w:t>
      </w:r>
      <w:r>
        <w:rPr>
          <w:rStyle w:val="ac"/>
          <w:i w:val="0"/>
          <w:color w:val="000000"/>
          <w:sz w:val="28"/>
          <w:szCs w:val="28"/>
        </w:rPr>
        <w:t>грн), що демонструє використання фінансових інструментів для хеджування ризиків та управління ліквідністю.</w:t>
      </w:r>
    </w:p>
    <w:p w:rsidR="00705F07" w:rsidRDefault="00185A37">
      <w:pPr>
        <w:spacing w:line="360" w:lineRule="auto"/>
        <w:ind w:firstLine="709"/>
        <w:jc w:val="both"/>
        <w:rPr>
          <w:rStyle w:val="ac"/>
          <w:i w:val="0"/>
          <w:color w:val="000000"/>
          <w:sz w:val="28"/>
          <w:szCs w:val="28"/>
        </w:rPr>
      </w:pPr>
      <w:r>
        <w:rPr>
          <w:rStyle w:val="ac"/>
          <w:i w:val="0"/>
          <w:color w:val="000000"/>
          <w:sz w:val="28"/>
          <w:szCs w:val="28"/>
        </w:rPr>
        <w:t>Сезонна динаміка торгів у 2024 році відзначалася піками у травні, червні та грудні, що співпадає з активними періодами розміщення державних та корпор</w:t>
      </w:r>
      <w:r>
        <w:rPr>
          <w:rStyle w:val="ac"/>
          <w:i w:val="0"/>
          <w:color w:val="000000"/>
          <w:sz w:val="28"/>
          <w:szCs w:val="28"/>
        </w:rPr>
        <w:t xml:space="preserve">ативних цінних паперів, а також завершенням бюджетного року. Загалом, аналіз структури торгів фінансовими інструментами свідчить про стабільну перевагу державних облігацій у портфелях інвесторів та зростаючу роль організованих ринків капіталу в Україні як </w:t>
      </w:r>
      <w:r>
        <w:rPr>
          <w:rStyle w:val="ac"/>
          <w:i w:val="0"/>
          <w:color w:val="000000"/>
          <w:sz w:val="28"/>
          <w:szCs w:val="28"/>
        </w:rPr>
        <w:t>платформи для формування ефективного фінансового середовища.</w:t>
      </w:r>
    </w:p>
    <w:p w:rsidR="00705F07" w:rsidRDefault="00185A37">
      <w:pPr>
        <w:spacing w:line="360" w:lineRule="auto"/>
        <w:ind w:firstLine="709"/>
        <w:jc w:val="both"/>
        <w:rPr>
          <w:rStyle w:val="ac"/>
          <w:i w:val="0"/>
          <w:color w:val="000000"/>
          <w:sz w:val="28"/>
          <w:szCs w:val="28"/>
        </w:rPr>
      </w:pPr>
      <w:r>
        <w:rPr>
          <w:rStyle w:val="ac"/>
          <w:i w:val="0"/>
          <w:color w:val="000000"/>
          <w:sz w:val="28"/>
          <w:szCs w:val="28"/>
        </w:rPr>
        <w:t>Аналіз торгів фінансовими інструментами за операторами організованих ринків капіталу є важливим для оцінки ролі кожного ринку у формуванні ліквідності та ефективності функціонування ринку капітал</w:t>
      </w:r>
      <w:r>
        <w:rPr>
          <w:rStyle w:val="ac"/>
          <w:i w:val="0"/>
          <w:color w:val="000000"/>
          <w:sz w:val="28"/>
          <w:szCs w:val="28"/>
        </w:rPr>
        <w:t>у в Україні. Розподіл обсягів торгів за операторами дозволяє визначити домінуючі платформи для реалізації різних фінансових інструментів та оцінити структуру інвестиційних потоків серед різних сегментів ринку. 2024 рік продемонстрував значну активність уча</w:t>
      </w:r>
      <w:r>
        <w:rPr>
          <w:rStyle w:val="ac"/>
          <w:i w:val="0"/>
          <w:color w:val="000000"/>
          <w:sz w:val="28"/>
          <w:szCs w:val="28"/>
        </w:rPr>
        <w:t>сників на таких ключових платформах, як ПФТС, «ПЕРСПЕКТИВА» та Українська біржа (УБ), що відображає відновлення інвестиційної активності та підвищену роль державних облігацій. Згідно з даними табл. З.1, найбільші обсяги торгів у 2024 році припадали на ПФТС</w:t>
      </w:r>
      <w:r>
        <w:rPr>
          <w:rStyle w:val="ac"/>
          <w:i w:val="0"/>
          <w:color w:val="000000"/>
          <w:sz w:val="28"/>
          <w:szCs w:val="28"/>
        </w:rPr>
        <w:t xml:space="preserve"> – 466 957,77 млн грн, що становить приблизно 71 % від загального обсягу торгів на організованих ринках капіталу. Основну частку торгів на ПФТС займали ОВДП (379 908,19 млн грн), корпоративні облігації (7 897,15 млн грн) та свопи (34 822,43 млн грн). Така </w:t>
      </w:r>
      <w:r>
        <w:rPr>
          <w:rStyle w:val="ac"/>
          <w:i w:val="0"/>
          <w:color w:val="000000"/>
          <w:sz w:val="28"/>
          <w:szCs w:val="28"/>
        </w:rPr>
        <w:t>концентрація свідчить про традиційно високу ліквідність та домінуючу роль ПФТС у торгах державними борговими інструментами та похідними фінансовими інструментами [3].</w:t>
      </w:r>
    </w:p>
    <w:p w:rsidR="00705F07" w:rsidRDefault="00185A37">
      <w:pPr>
        <w:spacing w:line="360" w:lineRule="auto"/>
        <w:ind w:firstLine="709"/>
        <w:jc w:val="both"/>
        <w:rPr>
          <w:rStyle w:val="ac"/>
          <w:i w:val="0"/>
          <w:color w:val="000000"/>
          <w:sz w:val="28"/>
          <w:szCs w:val="28"/>
        </w:rPr>
      </w:pPr>
      <w:r>
        <w:rPr>
          <w:rStyle w:val="ac"/>
          <w:i w:val="0"/>
          <w:color w:val="000000"/>
          <w:sz w:val="28"/>
          <w:szCs w:val="28"/>
        </w:rPr>
        <w:t>Другий за величиною обсяг торгів був зафіксований на платформі «ПЕРСПЕКТИВА» – 168 510,34</w:t>
      </w:r>
      <w:r>
        <w:rPr>
          <w:rStyle w:val="ac"/>
          <w:i w:val="0"/>
          <w:color w:val="000000"/>
          <w:sz w:val="28"/>
          <w:szCs w:val="28"/>
        </w:rPr>
        <w:t xml:space="preserve"> млн грн. На цьому ринку активність зосереджена на державних облігаціях (151 359,23 млн грн) та корпоративних облігаціях (1 324,05 млн грн), а також у сегменті акцій КІФ (164,45 млн грн). Результати свідчать про орієнтацію інвесторів на середньострокові та</w:t>
      </w:r>
      <w:r>
        <w:rPr>
          <w:rStyle w:val="ac"/>
          <w:i w:val="0"/>
          <w:color w:val="000000"/>
          <w:sz w:val="28"/>
          <w:szCs w:val="28"/>
        </w:rPr>
        <w:t xml:space="preserve"> довгострокові державні боргові інструменти, а також про поступове залучення роздрібних інвесторів через пайові інвестиційні фонди.</w:t>
      </w:r>
    </w:p>
    <w:p w:rsidR="00705F07" w:rsidRDefault="00185A37">
      <w:pPr>
        <w:spacing w:line="360" w:lineRule="auto"/>
        <w:ind w:firstLine="709"/>
        <w:jc w:val="both"/>
        <w:rPr>
          <w:rStyle w:val="ac"/>
          <w:i w:val="0"/>
          <w:color w:val="000000"/>
          <w:sz w:val="28"/>
          <w:szCs w:val="28"/>
        </w:rPr>
      </w:pPr>
      <w:r>
        <w:rPr>
          <w:rStyle w:val="ac"/>
          <w:i w:val="0"/>
          <w:color w:val="000000"/>
          <w:sz w:val="28"/>
          <w:szCs w:val="28"/>
        </w:rPr>
        <w:t>Найменший обсяг торгів зафіксовано на Українській біржі – 21 217,15 млн грн. Основними інструментами стали ОВДП (16 658,84 м</w:t>
      </w:r>
      <w:r>
        <w:rPr>
          <w:rStyle w:val="ac"/>
          <w:i w:val="0"/>
          <w:color w:val="000000"/>
          <w:sz w:val="28"/>
          <w:szCs w:val="28"/>
        </w:rPr>
        <w:t>лн грн) та корпоративні облігації (758,92 млн грн). Додатково біржа демонструє активність у торгах акціями українських емітентів (23,52 млн грн) та акціями іноземних емітентів (9,50 млн грн), що свідчить про її використання для різноманітних сегментів ринк</w:t>
      </w:r>
      <w:r>
        <w:rPr>
          <w:rStyle w:val="ac"/>
          <w:i w:val="0"/>
          <w:color w:val="000000"/>
          <w:sz w:val="28"/>
          <w:szCs w:val="28"/>
        </w:rPr>
        <w:t>у, але з меншим рівнем ліквідності порівняно з ПФТС та «ПЕРСПЕКТИВА» [3].</w:t>
      </w:r>
    </w:p>
    <w:p w:rsidR="00705F07" w:rsidRDefault="00185A37">
      <w:pPr>
        <w:spacing w:line="360" w:lineRule="auto"/>
        <w:ind w:firstLine="709"/>
        <w:jc w:val="both"/>
        <w:rPr>
          <w:rStyle w:val="ac"/>
          <w:i w:val="0"/>
          <w:color w:val="000000"/>
          <w:sz w:val="28"/>
          <w:szCs w:val="28"/>
        </w:rPr>
      </w:pPr>
      <w:r>
        <w:rPr>
          <w:rStyle w:val="ac"/>
          <w:i w:val="0"/>
          <w:color w:val="000000"/>
          <w:sz w:val="28"/>
          <w:szCs w:val="28"/>
        </w:rPr>
        <w:t>Загалом, аналіз обсягів торгів за операторами ринків капіталу у 2024 році підтверджує домінування державних облігацій у портфелях інвесторів, а також визначає ПФТС як основну платфор</w:t>
      </w:r>
      <w:r>
        <w:rPr>
          <w:rStyle w:val="ac"/>
          <w:i w:val="0"/>
          <w:color w:val="000000"/>
          <w:sz w:val="28"/>
          <w:szCs w:val="28"/>
        </w:rPr>
        <w:t>му для торгів високоліквідними державними інструментами та похідними фінансовими продуктами, тоді як «ПЕРСПЕКТИВА» та УБ відіграють допоміжну роль у розвитку корпоративних і приватних сегментів ринку.</w:t>
      </w:r>
    </w:p>
    <w:p w:rsidR="00705F07" w:rsidRDefault="00185A37">
      <w:pPr>
        <w:spacing w:line="360" w:lineRule="auto"/>
        <w:ind w:firstLine="709"/>
        <w:jc w:val="both"/>
        <w:rPr>
          <w:rStyle w:val="ac"/>
          <w:i w:val="0"/>
          <w:color w:val="000000"/>
          <w:sz w:val="28"/>
          <w:szCs w:val="28"/>
        </w:rPr>
      </w:pPr>
      <w:r>
        <w:rPr>
          <w:rStyle w:val="ac"/>
          <w:i w:val="0"/>
          <w:color w:val="000000"/>
          <w:sz w:val="28"/>
          <w:szCs w:val="28"/>
        </w:rPr>
        <w:t>Аналіз обсягів торгів за видами ринку в 2024 році дозво</w:t>
      </w:r>
      <w:r>
        <w:rPr>
          <w:rStyle w:val="ac"/>
          <w:i w:val="0"/>
          <w:color w:val="000000"/>
          <w:sz w:val="28"/>
          <w:szCs w:val="28"/>
        </w:rPr>
        <w:t>ляє оцінити структуру функціонування організованих ринків капіталу України та визначити частку первинного, вторинного та строкового ринків у загальному обсязі торгів. Такий підхід дає змогу виявити пріоритетні сегменти для інвесторів, оцінити ліквідність ф</w:t>
      </w:r>
      <w:r>
        <w:rPr>
          <w:rStyle w:val="ac"/>
          <w:i w:val="0"/>
          <w:color w:val="000000"/>
          <w:sz w:val="28"/>
          <w:szCs w:val="28"/>
        </w:rPr>
        <w:t>інансових інструментів та зрозуміти динаміку розвитку ринку капіталу в умовах сучасних економічних викликів.</w:t>
      </w:r>
    </w:p>
    <w:p w:rsidR="00705F07" w:rsidRDefault="00185A37">
      <w:pPr>
        <w:spacing w:line="360" w:lineRule="auto"/>
        <w:ind w:firstLine="709"/>
        <w:jc w:val="both"/>
        <w:rPr>
          <w:rStyle w:val="ac"/>
          <w:i w:val="0"/>
          <w:color w:val="000000"/>
          <w:sz w:val="28"/>
          <w:szCs w:val="28"/>
        </w:rPr>
      </w:pPr>
      <w:r>
        <w:rPr>
          <w:rStyle w:val="ac"/>
          <w:i w:val="0"/>
          <w:color w:val="000000"/>
          <w:sz w:val="28"/>
          <w:szCs w:val="28"/>
        </w:rPr>
        <w:t>Згідно з даними табл. К.1, загальний обсяг торгів на організованих ринках капіталу у 2024 році склав 656 685,25 млн грн. Найбільшу частку в структу</w:t>
      </w:r>
      <w:r>
        <w:rPr>
          <w:rStyle w:val="ac"/>
          <w:i w:val="0"/>
          <w:color w:val="000000"/>
          <w:sz w:val="28"/>
          <w:szCs w:val="28"/>
        </w:rPr>
        <w:t>рі обсягів займає вторинний ринок (спотовий та загальний), на який припадає 432 011,98 млн грн (спотовий) та 618 530,01 млн грн (усього). Це свідчить про високий рівень ліквідності та активності учасників на вторинному ринку, де основною часткою є державні</w:t>
      </w:r>
      <w:r>
        <w:rPr>
          <w:rStyle w:val="ac"/>
          <w:i w:val="0"/>
          <w:color w:val="000000"/>
          <w:sz w:val="28"/>
          <w:szCs w:val="28"/>
        </w:rPr>
        <w:t xml:space="preserve"> облігації та корпоративні цінні папери. Первинний ринок у 2024 році мав незначні обсяги порівняно з вторинним – 865,38 млн грн (спотовий) та 865,38 млн грн (усього). Найбільша частка первинних випусків зосереджена на ПФТС (575,38 млн грн), що демонструє с</w:t>
      </w:r>
      <w:r>
        <w:rPr>
          <w:rStyle w:val="ac"/>
          <w:i w:val="0"/>
          <w:color w:val="000000"/>
          <w:sz w:val="28"/>
          <w:szCs w:val="28"/>
        </w:rPr>
        <w:t>табільну роботу цього оператора у процесі розміщення нових фінансових інструментів. «ПЕРСПЕКТИВА» та УБ мали меншу активність на первинному ринку, що свідчить про концентрацію нових випусків на традиційних платформах. Строковий ринок у 2024 році склав 186 </w:t>
      </w:r>
      <w:r>
        <w:rPr>
          <w:rStyle w:val="ac"/>
          <w:i w:val="0"/>
          <w:color w:val="000000"/>
          <w:sz w:val="28"/>
          <w:szCs w:val="28"/>
        </w:rPr>
        <w:t>518,04 млн грн, причому основну частку знову займав ПФТС (162 626,68 млн грн). Це підтверджує роль ПФТС як платформи для торгів похідними фінансовими інструментами, що є важливим елементом для хеджування ризиків та забезпечення ліквідності. УБ також демонс</w:t>
      </w:r>
      <w:r>
        <w:rPr>
          <w:rStyle w:val="ac"/>
          <w:i w:val="0"/>
          <w:color w:val="000000"/>
          <w:sz w:val="28"/>
          <w:szCs w:val="28"/>
        </w:rPr>
        <w:t>трує участь у строкових контрактах (6 248,12 млн грн), проте її частка значно менша. Таким чином, аналіз обсягів торгів за видами ринку у 2024 році показує домінування вторинного ринку, високу концентрацію строкових операцій на ПФТС та обмежену роль первин</w:t>
      </w:r>
      <w:r>
        <w:rPr>
          <w:rStyle w:val="ac"/>
          <w:i w:val="0"/>
          <w:color w:val="000000"/>
          <w:sz w:val="28"/>
          <w:szCs w:val="28"/>
        </w:rPr>
        <w:t>ного ринку. Це свідчить про сформовану структуру ринку капіталу в Україні, де основна активність зосереджена на вторинному обігу фінансових інструментів та забезпеченні їх ліквідності [3].</w:t>
      </w:r>
    </w:p>
    <w:p w:rsidR="00705F07" w:rsidRDefault="00185A37">
      <w:pPr>
        <w:spacing w:line="360" w:lineRule="auto"/>
        <w:ind w:firstLine="709"/>
        <w:jc w:val="both"/>
        <w:rPr>
          <w:rStyle w:val="ac"/>
          <w:i w:val="0"/>
          <w:color w:val="000000"/>
          <w:sz w:val="28"/>
          <w:szCs w:val="28"/>
          <w:lang w:val="uk-UA"/>
        </w:rPr>
      </w:pPr>
      <w:r>
        <w:rPr>
          <w:rStyle w:val="ac"/>
          <w:i w:val="0"/>
          <w:color w:val="000000"/>
          <w:sz w:val="28"/>
          <w:szCs w:val="28"/>
        </w:rPr>
        <w:t>Отже, проведений аналіз ринку капіталу за період 2022-2024 рр. свід</w:t>
      </w:r>
      <w:r>
        <w:rPr>
          <w:rStyle w:val="ac"/>
          <w:i w:val="0"/>
          <w:color w:val="000000"/>
          <w:sz w:val="28"/>
          <w:szCs w:val="28"/>
        </w:rPr>
        <w:t>чить про значну динаміку розвитку українського фінансового ринку. Загальний обсяг випусків акцій і корпоративних облігацій демонструє коливання: у 2022 році спостерігався високий обсяг великих випусків, у 2023 році – зниження обсягів при збільшенні кількос</w:t>
      </w:r>
      <w:r>
        <w:rPr>
          <w:rStyle w:val="ac"/>
          <w:i w:val="0"/>
          <w:color w:val="000000"/>
          <w:sz w:val="28"/>
          <w:szCs w:val="28"/>
        </w:rPr>
        <w:t>ті випусків, тоді як у 2024 році відбулося різке зростання обсягів та активізація емітентів. Торги на організованих ринках капіталу показують стійку тенденцію до зростання: від 160 636,02 млн грн у 2022 році до 656 685,25 млн грн у 2024 році, з переважання</w:t>
      </w:r>
      <w:r>
        <w:rPr>
          <w:rStyle w:val="ac"/>
          <w:i w:val="0"/>
          <w:color w:val="000000"/>
          <w:sz w:val="28"/>
          <w:szCs w:val="28"/>
        </w:rPr>
        <w:t xml:space="preserve">м державних облігацій та вторинного ринку як основних інструментів ліквідності. Домінуючу роль у торгах відіграє ПФТС, забезпечуючи основну частку операцій із високоліквідними інструментами, тоді як «ПЕРСПЕКТИВА» та УБ підтримують розвиток корпоративних і </w:t>
      </w:r>
      <w:r>
        <w:rPr>
          <w:rStyle w:val="ac"/>
          <w:i w:val="0"/>
          <w:color w:val="000000"/>
          <w:sz w:val="28"/>
          <w:szCs w:val="28"/>
        </w:rPr>
        <w:t>роздрібних сегментів ринку. У 2024 році спостерігається підвищення інвестиційної активності, нарощування ліквідності та диверсифікація випусків, що свідчить про поступове відновлення та зміцнення ринку капіталу України, підвищення довіри інвесторів і ефект</w:t>
      </w:r>
      <w:r>
        <w:rPr>
          <w:rStyle w:val="ac"/>
          <w:i w:val="0"/>
          <w:color w:val="000000"/>
          <w:sz w:val="28"/>
          <w:szCs w:val="28"/>
        </w:rPr>
        <w:t>ивне функціонування організованих ринків фінансових інструментів.</w:t>
      </w:r>
    </w:p>
    <w:p w:rsidR="00705F07" w:rsidRDefault="00705F07">
      <w:pPr>
        <w:spacing w:line="360" w:lineRule="auto"/>
        <w:ind w:firstLine="709"/>
        <w:jc w:val="both"/>
        <w:rPr>
          <w:rStyle w:val="ac"/>
          <w:i w:val="0"/>
          <w:color w:val="000000"/>
          <w:sz w:val="28"/>
          <w:szCs w:val="28"/>
          <w:lang w:val="uk-UA"/>
        </w:rPr>
      </w:pPr>
    </w:p>
    <w:p w:rsidR="00705F07" w:rsidRDefault="00185A37">
      <w:pPr>
        <w:pStyle w:val="2"/>
        <w:keepNext w:val="0"/>
        <w:keepLines w:val="0"/>
        <w:spacing w:before="0" w:line="360" w:lineRule="auto"/>
        <w:ind w:firstLine="709"/>
        <w:jc w:val="both"/>
        <w:rPr>
          <w:rFonts w:ascii="Times New Roman" w:hAnsi="Times New Roman" w:cs="Times New Roman"/>
          <w:b w:val="0"/>
          <w:color w:val="000000"/>
          <w:sz w:val="28"/>
          <w:szCs w:val="28"/>
        </w:rPr>
      </w:pPr>
      <w:bookmarkStart w:id="13" w:name="_Toc213845772"/>
      <w:r>
        <w:rPr>
          <w:rFonts w:ascii="Times New Roman" w:hAnsi="Times New Roman" w:cs="Times New Roman"/>
          <w:b w:val="0"/>
          <w:color w:val="000000"/>
          <w:sz w:val="28"/>
          <w:szCs w:val="28"/>
        </w:rPr>
        <w:t>Висновки до розділу 2</w:t>
      </w:r>
      <w:bookmarkEnd w:id="13"/>
    </w:p>
    <w:p w:rsidR="00705F07" w:rsidRDefault="00705F07">
      <w:pPr>
        <w:spacing w:line="360" w:lineRule="auto"/>
        <w:ind w:firstLine="709"/>
        <w:jc w:val="both"/>
        <w:rPr>
          <w:rStyle w:val="ac"/>
          <w:i w:val="0"/>
          <w:color w:val="000000"/>
          <w:sz w:val="28"/>
          <w:szCs w:val="28"/>
          <w:lang w:val="uk-UA"/>
        </w:rPr>
      </w:pPr>
    </w:p>
    <w:p w:rsidR="00705F07" w:rsidRDefault="00185A37">
      <w:pPr>
        <w:spacing w:line="360" w:lineRule="auto"/>
        <w:ind w:firstLine="709"/>
        <w:jc w:val="both"/>
        <w:rPr>
          <w:rStyle w:val="ac"/>
          <w:i w:val="0"/>
          <w:color w:val="000000"/>
          <w:sz w:val="28"/>
          <w:szCs w:val="28"/>
          <w:lang w:val="uk-UA"/>
        </w:rPr>
      </w:pPr>
      <w:r>
        <w:rPr>
          <w:rStyle w:val="ac"/>
          <w:i w:val="0"/>
          <w:color w:val="000000"/>
          <w:sz w:val="28"/>
          <w:szCs w:val="28"/>
          <w:lang w:val="uk-UA"/>
        </w:rPr>
        <w:t>Отже, у другому розділі роботи було проведено аналіз сучасного стану фінансового ринку України в умовах війни 2022-2024 рр.</w:t>
      </w:r>
    </w:p>
    <w:p w:rsidR="00705F07" w:rsidRDefault="00185A37">
      <w:pPr>
        <w:spacing w:line="360" w:lineRule="auto"/>
        <w:ind w:firstLine="709"/>
        <w:jc w:val="both"/>
        <w:rPr>
          <w:rStyle w:val="ac"/>
          <w:i w:val="0"/>
          <w:color w:val="000000"/>
          <w:sz w:val="28"/>
          <w:szCs w:val="28"/>
          <w:lang w:val="uk-UA"/>
        </w:rPr>
      </w:pPr>
      <w:r>
        <w:rPr>
          <w:rStyle w:val="ac"/>
          <w:i w:val="0"/>
          <w:color w:val="000000"/>
          <w:sz w:val="28"/>
          <w:szCs w:val="28"/>
          <w:lang w:val="uk-UA"/>
        </w:rPr>
        <w:t>Проаналізовано, що період 2022-2024</w:t>
      </w:r>
      <w:r>
        <w:rPr>
          <w:rStyle w:val="ac"/>
          <w:i w:val="0"/>
          <w:color w:val="000000"/>
          <w:sz w:val="28"/>
          <w:szCs w:val="28"/>
          <w:lang w:val="uk-UA"/>
        </w:rPr>
        <w:t xml:space="preserve"> рр. продемонстрував, що банківська система України змогла витримати безпрецедентний тиск, спричинений повномасштабною війною, зберігши основну функціональну стабільність та роль у фінансуванні економіки. Незважаючи на скорочення кількості банків, вихід ча</w:t>
      </w:r>
      <w:r>
        <w:rPr>
          <w:rStyle w:val="ac"/>
          <w:i w:val="0"/>
          <w:color w:val="000000"/>
          <w:sz w:val="28"/>
          <w:szCs w:val="28"/>
          <w:lang w:val="uk-UA"/>
        </w:rPr>
        <w:t>стини іноземних установ та високі ризики непрацюючих кредитів, спостерігалося поступове відновлення кредитування, зростання активів, капіталу та прибутковості банків. Банківська система адаптувалася до умов війни завдяки антикризовому регулюванню НБУ, акти</w:t>
      </w:r>
      <w:r>
        <w:rPr>
          <w:rStyle w:val="ac"/>
          <w:i w:val="0"/>
          <w:color w:val="000000"/>
          <w:sz w:val="28"/>
          <w:szCs w:val="28"/>
          <w:lang w:val="uk-UA"/>
        </w:rPr>
        <w:t>вному залученню депозитів населення та державного сектору, а також переорієнтації кредитного портфеля на підтримку стратегічних галузей і державних програм. Це свідчить про її здатність протистояти макрофінансовим шокам та забезпечувати післявоєнне відновл</w:t>
      </w:r>
      <w:r>
        <w:rPr>
          <w:rStyle w:val="ac"/>
          <w:i w:val="0"/>
          <w:color w:val="000000"/>
          <w:sz w:val="28"/>
          <w:szCs w:val="28"/>
          <w:lang w:val="uk-UA"/>
        </w:rPr>
        <w:t xml:space="preserve">ення економіки.  </w:t>
      </w:r>
    </w:p>
    <w:p w:rsidR="00705F07" w:rsidRDefault="00185A37">
      <w:pPr>
        <w:spacing w:line="360" w:lineRule="auto"/>
        <w:ind w:firstLine="709"/>
        <w:jc w:val="both"/>
        <w:rPr>
          <w:rStyle w:val="ac"/>
          <w:i w:val="0"/>
          <w:color w:val="000000"/>
          <w:sz w:val="28"/>
          <w:szCs w:val="28"/>
          <w:lang w:val="uk-UA"/>
        </w:rPr>
      </w:pPr>
      <w:r>
        <w:rPr>
          <w:rStyle w:val="ac"/>
          <w:i w:val="0"/>
          <w:color w:val="000000"/>
          <w:sz w:val="28"/>
          <w:szCs w:val="28"/>
          <w:lang w:val="uk-UA"/>
        </w:rPr>
        <w:t>Проведений аналіз динаміки валютного ринку України за 2022-2024 рр. свідчить про важливу роль Національного банку у підтримці стабільності національної валюти та макроекономічної стійкості. Незважаючи на значний тиск зовнішніх і внутрішні</w:t>
      </w:r>
      <w:r>
        <w:rPr>
          <w:rStyle w:val="ac"/>
          <w:i w:val="0"/>
          <w:color w:val="000000"/>
          <w:sz w:val="28"/>
          <w:szCs w:val="28"/>
          <w:lang w:val="uk-UA"/>
        </w:rPr>
        <w:t xml:space="preserve">х факторів, активне використання валютних інтервенцій, зростання міжнародних резервів і покриття імпорту дозволили пом’якшити коливання обмінного курсу гривні та забезпечити фінансову стабільність. Результати дослідження підтверджують тісний взаємозв’язок </w:t>
      </w:r>
      <w:r>
        <w:rPr>
          <w:rStyle w:val="ac"/>
          <w:i w:val="0"/>
          <w:color w:val="000000"/>
          <w:sz w:val="28"/>
          <w:szCs w:val="28"/>
          <w:lang w:val="uk-UA"/>
        </w:rPr>
        <w:t>між макроекономічними показниками, політикою регулятора та загальною стійкістю економіки країни.</w:t>
      </w:r>
    </w:p>
    <w:p w:rsidR="00705F07" w:rsidRDefault="00185A37">
      <w:pPr>
        <w:spacing w:line="360" w:lineRule="auto"/>
        <w:ind w:firstLine="709"/>
        <w:jc w:val="both"/>
        <w:rPr>
          <w:rStyle w:val="ac"/>
          <w:i w:val="0"/>
          <w:color w:val="000000"/>
          <w:sz w:val="28"/>
          <w:szCs w:val="28"/>
          <w:lang w:val="uk-UA"/>
        </w:rPr>
      </w:pPr>
      <w:r>
        <w:rPr>
          <w:rStyle w:val="ac"/>
          <w:i w:val="0"/>
          <w:color w:val="000000"/>
          <w:sz w:val="28"/>
          <w:szCs w:val="28"/>
          <w:lang w:val="uk-UA"/>
        </w:rPr>
        <w:t>Проаналізовано, що за 2022-2024 рр. український ринок капіталу демонстрував високу динаміку та адаптацію до економічних викликів. Спостерігалися значні коливан</w:t>
      </w:r>
      <w:r>
        <w:rPr>
          <w:rStyle w:val="ac"/>
          <w:i w:val="0"/>
          <w:color w:val="000000"/>
          <w:sz w:val="28"/>
          <w:szCs w:val="28"/>
          <w:lang w:val="uk-UA"/>
        </w:rPr>
        <w:t>ня обсягів випусків акцій і корпоративних облігацій, причому 2022 рік характеризувався концентрацією великих емісій, 2023 рік – зменшенням обсягів із більшою кількістю невеликих випусків, а 2024 рік – різким зростанням активності емітентів та обсягів випус</w:t>
      </w:r>
      <w:r>
        <w:rPr>
          <w:rStyle w:val="ac"/>
          <w:i w:val="0"/>
          <w:color w:val="000000"/>
          <w:sz w:val="28"/>
          <w:szCs w:val="28"/>
          <w:lang w:val="uk-UA"/>
        </w:rPr>
        <w:t>ків. Організовані ринки капіталу демонструють стійку тенденцію до зростання торгів, з переважанням державних облігацій та вторинного ринку як основних інструментів ліквідності. ПФТС залишається ключовою платформою для торгів високоліквідними інструментами,</w:t>
      </w:r>
      <w:r>
        <w:rPr>
          <w:rStyle w:val="ac"/>
          <w:i w:val="0"/>
          <w:color w:val="000000"/>
          <w:sz w:val="28"/>
          <w:szCs w:val="28"/>
          <w:lang w:val="uk-UA"/>
        </w:rPr>
        <w:t xml:space="preserve"> тоді як «ПЕРСПЕКТИВА» та Українська біржа сприяють розвитку корпоративного та приватного секторів. Таким чином, ринок капіталу України у 2024 році характеризується підвищеною ліквідністю, диверсифікацією фінансових інструментів та нарощуванням довіри інве</w:t>
      </w:r>
      <w:r>
        <w:rPr>
          <w:rStyle w:val="ac"/>
          <w:i w:val="0"/>
          <w:color w:val="000000"/>
          <w:sz w:val="28"/>
          <w:szCs w:val="28"/>
          <w:lang w:val="uk-UA"/>
        </w:rPr>
        <w:t>сторів, що свідчить про його поступове відновлення та стабілізацію.</w:t>
      </w:r>
    </w:p>
    <w:p w:rsidR="00705F07" w:rsidRDefault="00185A37">
      <w:pPr>
        <w:rPr>
          <w:rFonts w:eastAsia="SimSun"/>
          <w:bCs/>
          <w:color w:val="000000"/>
          <w:sz w:val="28"/>
          <w:szCs w:val="28"/>
          <w:lang w:val="uk-UA"/>
        </w:rPr>
      </w:pPr>
      <w:r>
        <w:rPr>
          <w:color w:val="000000"/>
          <w:sz w:val="28"/>
          <w:szCs w:val="28"/>
          <w:lang w:val="uk-UA"/>
        </w:rPr>
        <w:br w:type="page"/>
      </w:r>
    </w:p>
    <w:p w:rsidR="00705F07" w:rsidRDefault="00185A37">
      <w:pPr>
        <w:pStyle w:val="2"/>
        <w:keepNext w:val="0"/>
        <w:keepLines w:val="0"/>
        <w:spacing w:before="0" w:line="360" w:lineRule="auto"/>
        <w:ind w:firstLine="709"/>
        <w:jc w:val="center"/>
        <w:rPr>
          <w:rFonts w:ascii="Times New Roman" w:hAnsi="Times New Roman" w:cs="Times New Roman"/>
          <w:b w:val="0"/>
          <w:color w:val="000000"/>
          <w:sz w:val="28"/>
          <w:szCs w:val="28"/>
        </w:rPr>
      </w:pPr>
      <w:bookmarkStart w:id="14" w:name="_Toc213845773"/>
      <w:r>
        <w:rPr>
          <w:rFonts w:ascii="Times New Roman" w:hAnsi="Times New Roman" w:cs="Times New Roman"/>
          <w:b w:val="0"/>
          <w:color w:val="000000"/>
          <w:sz w:val="28"/>
          <w:szCs w:val="28"/>
        </w:rPr>
        <w:t>РОЗДІЛ 3</w:t>
      </w:r>
      <w:bookmarkEnd w:id="14"/>
    </w:p>
    <w:p w:rsidR="00705F07" w:rsidRDefault="00185A37">
      <w:pPr>
        <w:pStyle w:val="2"/>
        <w:keepNext w:val="0"/>
        <w:keepLines w:val="0"/>
        <w:spacing w:before="0" w:line="360" w:lineRule="auto"/>
        <w:ind w:firstLine="709"/>
        <w:jc w:val="center"/>
        <w:rPr>
          <w:rFonts w:ascii="Times New Roman" w:hAnsi="Times New Roman" w:cs="Times New Roman"/>
          <w:b w:val="0"/>
          <w:color w:val="000000"/>
          <w:sz w:val="28"/>
          <w:szCs w:val="28"/>
        </w:rPr>
      </w:pPr>
      <w:bookmarkStart w:id="15" w:name="_Toc213845774"/>
      <w:r>
        <w:rPr>
          <w:rFonts w:ascii="Times New Roman" w:hAnsi="Times New Roman" w:cs="Times New Roman"/>
          <w:b w:val="0"/>
          <w:color w:val="000000"/>
          <w:sz w:val="28"/>
          <w:szCs w:val="28"/>
        </w:rPr>
        <w:t>ФУНКЦІОНУВАННЯ ФІНАНСОВОГО РИНКУ УКРАЇНИ В УМОВАХ ВІЙНИ, ПРОБЛЕМАТИКА І ШЛЯХИ ВИРІШЕННЯ</w:t>
      </w:r>
      <w:bookmarkEnd w:id="15"/>
    </w:p>
    <w:p w:rsidR="00705F07" w:rsidRDefault="00705F07">
      <w:pPr>
        <w:pStyle w:val="2"/>
        <w:keepNext w:val="0"/>
        <w:keepLines w:val="0"/>
        <w:spacing w:before="0" w:line="360" w:lineRule="auto"/>
        <w:ind w:firstLine="709"/>
        <w:jc w:val="both"/>
        <w:rPr>
          <w:rFonts w:ascii="Times New Roman" w:hAnsi="Times New Roman" w:cs="Times New Roman"/>
          <w:b w:val="0"/>
          <w:color w:val="000000"/>
          <w:sz w:val="28"/>
          <w:szCs w:val="28"/>
        </w:rPr>
      </w:pPr>
    </w:p>
    <w:p w:rsidR="00705F07" w:rsidRDefault="00185A37">
      <w:pPr>
        <w:pStyle w:val="2"/>
        <w:keepNext w:val="0"/>
        <w:keepLines w:val="0"/>
        <w:spacing w:before="0" w:line="360" w:lineRule="auto"/>
        <w:ind w:firstLine="709"/>
        <w:jc w:val="both"/>
        <w:rPr>
          <w:rFonts w:ascii="Times New Roman" w:hAnsi="Times New Roman" w:cs="Times New Roman"/>
          <w:b w:val="0"/>
          <w:color w:val="000000"/>
          <w:sz w:val="28"/>
          <w:szCs w:val="28"/>
        </w:rPr>
      </w:pPr>
      <w:bookmarkStart w:id="16" w:name="_Toc213845775"/>
      <w:r>
        <w:rPr>
          <w:rFonts w:ascii="Times New Roman" w:hAnsi="Times New Roman" w:cs="Times New Roman"/>
          <w:b w:val="0"/>
          <w:color w:val="000000"/>
          <w:sz w:val="28"/>
          <w:szCs w:val="28"/>
        </w:rPr>
        <w:t>3.1 Проблематика функціонування вітчизняного фінансового ринку</w:t>
      </w:r>
      <w:bookmarkEnd w:id="16"/>
    </w:p>
    <w:p w:rsidR="00705F07" w:rsidRDefault="00705F07">
      <w:pPr>
        <w:spacing w:line="360" w:lineRule="auto"/>
        <w:ind w:firstLine="709"/>
        <w:jc w:val="center"/>
        <w:rPr>
          <w:rStyle w:val="ac"/>
          <w:i w:val="0"/>
          <w:color w:val="000000"/>
          <w:sz w:val="28"/>
          <w:szCs w:val="28"/>
        </w:rPr>
      </w:pPr>
    </w:p>
    <w:p w:rsidR="00705F07" w:rsidRDefault="00185A37">
      <w:pPr>
        <w:spacing w:line="360" w:lineRule="auto"/>
        <w:ind w:firstLine="709"/>
        <w:jc w:val="both"/>
        <w:rPr>
          <w:rStyle w:val="ac"/>
          <w:i w:val="0"/>
          <w:color w:val="000000"/>
          <w:sz w:val="28"/>
          <w:szCs w:val="28"/>
          <w:lang w:val="uk-UA"/>
        </w:rPr>
      </w:pPr>
      <w:r>
        <w:rPr>
          <w:rStyle w:val="ac"/>
          <w:i w:val="0"/>
          <w:color w:val="000000"/>
          <w:sz w:val="28"/>
          <w:szCs w:val="28"/>
          <w:lang w:val="uk-UA"/>
        </w:rPr>
        <w:t>Фінансовий ринок є ключовим елементом економічної системи, що забезпечує ефективний розподіл капіталу між державним, корпоративним та приватним секторами, стимулює інвестиційну активність і підтримує ліквідність фінансових інструментів. Водночас війна на т</w:t>
      </w:r>
      <w:r>
        <w:rPr>
          <w:rStyle w:val="ac"/>
          <w:i w:val="0"/>
          <w:color w:val="000000"/>
          <w:sz w:val="28"/>
          <w:szCs w:val="28"/>
          <w:lang w:val="uk-UA"/>
        </w:rPr>
        <w:t>ериторії України у 2022-2024 рр. істотно вплинула на функціонування фінансового ринку, спричинивши суттєві дисбаланси, обмеження операцій та падіння інвестиційної активності. Виникнення воєнних ризиків, політична нестабільність та руйнування інфраструктури</w:t>
      </w:r>
      <w:r>
        <w:rPr>
          <w:rStyle w:val="ac"/>
          <w:i w:val="0"/>
          <w:color w:val="000000"/>
          <w:sz w:val="28"/>
          <w:szCs w:val="28"/>
          <w:lang w:val="uk-UA"/>
        </w:rPr>
        <w:t xml:space="preserve"> спричинили необхідність детального аналізу проблематики фінансового ринку та пошуку ефективних шляхів стабілізації та відновлення його функціонування (табл. 3.1).</w:t>
      </w:r>
    </w:p>
    <w:p w:rsidR="00705F07" w:rsidRDefault="00185A37">
      <w:pPr>
        <w:spacing w:line="360" w:lineRule="auto"/>
        <w:ind w:firstLine="709"/>
        <w:jc w:val="right"/>
        <w:rPr>
          <w:rStyle w:val="ac"/>
          <w:i w:val="0"/>
          <w:color w:val="000000"/>
          <w:sz w:val="28"/>
          <w:szCs w:val="28"/>
          <w:lang w:val="uk-UA"/>
        </w:rPr>
      </w:pPr>
      <w:r>
        <w:rPr>
          <w:rStyle w:val="ac"/>
          <w:i w:val="0"/>
          <w:color w:val="000000"/>
          <w:sz w:val="28"/>
          <w:szCs w:val="28"/>
        </w:rPr>
        <w:t xml:space="preserve">Таблиця </w:t>
      </w:r>
      <w:r>
        <w:rPr>
          <w:rStyle w:val="ac"/>
          <w:i w:val="0"/>
          <w:color w:val="000000"/>
          <w:sz w:val="28"/>
          <w:szCs w:val="28"/>
          <w:lang w:val="uk-UA"/>
        </w:rPr>
        <w:t>3.1</w:t>
      </w:r>
    </w:p>
    <w:p w:rsidR="00705F07" w:rsidRDefault="00185A37">
      <w:pPr>
        <w:spacing w:line="360" w:lineRule="auto"/>
        <w:ind w:firstLine="709"/>
        <w:jc w:val="center"/>
        <w:rPr>
          <w:rStyle w:val="ac"/>
          <w:i w:val="0"/>
          <w:color w:val="000000"/>
          <w:sz w:val="28"/>
          <w:szCs w:val="28"/>
          <w:lang w:val="uk-UA"/>
        </w:rPr>
      </w:pPr>
      <w:r>
        <w:rPr>
          <w:rStyle w:val="ac"/>
          <w:i w:val="0"/>
          <w:color w:val="000000"/>
          <w:sz w:val="28"/>
          <w:szCs w:val="28"/>
        </w:rPr>
        <w:t xml:space="preserve">Основні проблеми функціонування фінансового ринку України </w:t>
      </w:r>
    </w:p>
    <w:p w:rsidR="00705F07" w:rsidRDefault="00185A37">
      <w:pPr>
        <w:spacing w:line="360" w:lineRule="auto"/>
        <w:ind w:firstLine="709"/>
        <w:jc w:val="center"/>
        <w:rPr>
          <w:rStyle w:val="ac"/>
          <w:i w:val="0"/>
          <w:color w:val="000000"/>
          <w:sz w:val="28"/>
          <w:szCs w:val="28"/>
        </w:rPr>
      </w:pPr>
      <w:r>
        <w:rPr>
          <w:rStyle w:val="ac"/>
          <w:i w:val="0"/>
          <w:color w:val="000000"/>
          <w:sz w:val="28"/>
          <w:szCs w:val="28"/>
        </w:rPr>
        <w:t>у 2022</w:t>
      </w:r>
      <w:r>
        <w:rPr>
          <w:rStyle w:val="ac"/>
          <w:i w:val="0"/>
          <w:color w:val="000000"/>
          <w:sz w:val="28"/>
          <w:szCs w:val="28"/>
          <w:lang w:val="uk-UA"/>
        </w:rPr>
        <w:t>-</w:t>
      </w:r>
      <w:r>
        <w:rPr>
          <w:rStyle w:val="ac"/>
          <w:i w:val="0"/>
          <w:color w:val="000000"/>
          <w:sz w:val="28"/>
          <w:szCs w:val="28"/>
        </w:rPr>
        <w:t>2024 рр. під в</w:t>
      </w:r>
      <w:r>
        <w:rPr>
          <w:rStyle w:val="ac"/>
          <w:i w:val="0"/>
          <w:color w:val="000000"/>
          <w:sz w:val="28"/>
          <w:szCs w:val="28"/>
        </w:rPr>
        <w:t>пливом війни</w:t>
      </w:r>
    </w:p>
    <w:tbl>
      <w:tblPr>
        <w:tblStyle w:val="ad"/>
        <w:tblW w:w="9520" w:type="dxa"/>
        <w:jc w:val="center"/>
        <w:tblLook w:val="04A0" w:firstRow="1" w:lastRow="0" w:firstColumn="1" w:lastColumn="0" w:noHBand="0" w:noVBand="1"/>
      </w:tblPr>
      <w:tblGrid>
        <w:gridCol w:w="2049"/>
        <w:gridCol w:w="2289"/>
        <w:gridCol w:w="2386"/>
        <w:gridCol w:w="2795"/>
      </w:tblGrid>
      <w:tr w:rsidR="00705F07">
        <w:trPr>
          <w:jc w:val="center"/>
        </w:trPr>
        <w:tc>
          <w:tcPr>
            <w:tcW w:w="0" w:type="auto"/>
            <w:vAlign w:val="center"/>
            <w:hideMark/>
          </w:tcPr>
          <w:p w:rsidR="00705F07" w:rsidRDefault="00185A37">
            <w:pPr>
              <w:jc w:val="center"/>
              <w:rPr>
                <w:rStyle w:val="ac"/>
                <w:i w:val="0"/>
                <w:color w:val="000000"/>
              </w:rPr>
            </w:pPr>
            <w:r>
              <w:rPr>
                <w:rStyle w:val="ac"/>
                <w:i w:val="0"/>
                <w:color w:val="000000"/>
              </w:rPr>
              <w:t>Проблема</w:t>
            </w:r>
          </w:p>
        </w:tc>
        <w:tc>
          <w:tcPr>
            <w:tcW w:w="2289" w:type="dxa"/>
            <w:vAlign w:val="center"/>
            <w:hideMark/>
          </w:tcPr>
          <w:p w:rsidR="00705F07" w:rsidRDefault="00185A37">
            <w:pPr>
              <w:jc w:val="center"/>
              <w:rPr>
                <w:rStyle w:val="ac"/>
                <w:i w:val="0"/>
                <w:color w:val="000000"/>
              </w:rPr>
            </w:pPr>
            <w:r>
              <w:rPr>
                <w:rStyle w:val="ac"/>
                <w:i w:val="0"/>
                <w:color w:val="000000"/>
              </w:rPr>
              <w:t>Причини</w:t>
            </w:r>
          </w:p>
        </w:tc>
        <w:tc>
          <w:tcPr>
            <w:tcW w:w="0" w:type="auto"/>
            <w:vAlign w:val="center"/>
            <w:hideMark/>
          </w:tcPr>
          <w:p w:rsidR="00705F07" w:rsidRDefault="00185A37">
            <w:pPr>
              <w:jc w:val="center"/>
              <w:rPr>
                <w:rStyle w:val="ac"/>
                <w:i w:val="0"/>
                <w:color w:val="000000"/>
              </w:rPr>
            </w:pPr>
            <w:r>
              <w:rPr>
                <w:rStyle w:val="ac"/>
                <w:i w:val="0"/>
                <w:color w:val="000000"/>
              </w:rPr>
              <w:t>Наслідки для фінансового ринку</w:t>
            </w:r>
          </w:p>
        </w:tc>
        <w:tc>
          <w:tcPr>
            <w:tcW w:w="2795" w:type="dxa"/>
            <w:vAlign w:val="center"/>
            <w:hideMark/>
          </w:tcPr>
          <w:p w:rsidR="00705F07" w:rsidRDefault="00185A37">
            <w:pPr>
              <w:jc w:val="center"/>
              <w:rPr>
                <w:rStyle w:val="ac"/>
                <w:i w:val="0"/>
                <w:color w:val="000000"/>
              </w:rPr>
            </w:pPr>
            <w:r>
              <w:rPr>
                <w:rStyle w:val="ac"/>
                <w:i w:val="0"/>
                <w:color w:val="000000"/>
              </w:rPr>
              <w:t>Можливі заходи для вирішення</w:t>
            </w:r>
          </w:p>
        </w:tc>
      </w:tr>
      <w:tr w:rsidR="00705F07">
        <w:trPr>
          <w:jc w:val="center"/>
        </w:trPr>
        <w:tc>
          <w:tcPr>
            <w:tcW w:w="0" w:type="auto"/>
            <w:vAlign w:val="center"/>
            <w:hideMark/>
          </w:tcPr>
          <w:p w:rsidR="00705F07" w:rsidRDefault="00185A37">
            <w:pPr>
              <w:jc w:val="center"/>
              <w:rPr>
                <w:rStyle w:val="ac"/>
                <w:i w:val="0"/>
                <w:color w:val="000000"/>
                <w:lang w:val="uk-UA"/>
              </w:rPr>
            </w:pPr>
            <w:r>
              <w:rPr>
                <w:rStyle w:val="ac"/>
                <w:i w:val="0"/>
                <w:color w:val="000000"/>
                <w:lang w:val="uk-UA"/>
              </w:rPr>
              <w:t>1</w:t>
            </w:r>
          </w:p>
        </w:tc>
        <w:tc>
          <w:tcPr>
            <w:tcW w:w="2289" w:type="dxa"/>
            <w:vAlign w:val="center"/>
            <w:hideMark/>
          </w:tcPr>
          <w:p w:rsidR="00705F07" w:rsidRDefault="00185A37">
            <w:pPr>
              <w:jc w:val="center"/>
              <w:rPr>
                <w:rStyle w:val="ac"/>
                <w:i w:val="0"/>
                <w:color w:val="000000"/>
                <w:lang w:val="uk-UA"/>
              </w:rPr>
            </w:pPr>
            <w:r>
              <w:rPr>
                <w:rStyle w:val="ac"/>
                <w:i w:val="0"/>
                <w:color w:val="000000"/>
                <w:lang w:val="uk-UA"/>
              </w:rPr>
              <w:t>2</w:t>
            </w:r>
          </w:p>
        </w:tc>
        <w:tc>
          <w:tcPr>
            <w:tcW w:w="0" w:type="auto"/>
            <w:vAlign w:val="center"/>
            <w:hideMark/>
          </w:tcPr>
          <w:p w:rsidR="00705F07" w:rsidRDefault="00185A37">
            <w:pPr>
              <w:jc w:val="center"/>
              <w:rPr>
                <w:rStyle w:val="ac"/>
                <w:i w:val="0"/>
                <w:color w:val="000000"/>
                <w:lang w:val="uk-UA"/>
              </w:rPr>
            </w:pPr>
            <w:r>
              <w:rPr>
                <w:rStyle w:val="ac"/>
                <w:i w:val="0"/>
                <w:color w:val="000000"/>
                <w:lang w:val="uk-UA"/>
              </w:rPr>
              <w:t>3</w:t>
            </w:r>
          </w:p>
        </w:tc>
        <w:tc>
          <w:tcPr>
            <w:tcW w:w="2795" w:type="dxa"/>
            <w:vAlign w:val="center"/>
            <w:hideMark/>
          </w:tcPr>
          <w:p w:rsidR="00705F07" w:rsidRDefault="00185A37">
            <w:pPr>
              <w:jc w:val="center"/>
              <w:rPr>
                <w:rStyle w:val="ac"/>
                <w:i w:val="0"/>
                <w:color w:val="000000"/>
                <w:lang w:val="uk-UA"/>
              </w:rPr>
            </w:pPr>
            <w:r>
              <w:rPr>
                <w:rStyle w:val="ac"/>
                <w:i w:val="0"/>
                <w:color w:val="000000"/>
                <w:lang w:val="uk-UA"/>
              </w:rPr>
              <w:t>4</w:t>
            </w:r>
          </w:p>
        </w:tc>
      </w:tr>
      <w:tr w:rsidR="00705F07">
        <w:trPr>
          <w:jc w:val="center"/>
        </w:trPr>
        <w:tc>
          <w:tcPr>
            <w:tcW w:w="0" w:type="auto"/>
            <w:vAlign w:val="center"/>
            <w:hideMark/>
          </w:tcPr>
          <w:p w:rsidR="00705F07" w:rsidRDefault="00185A37">
            <w:pPr>
              <w:jc w:val="center"/>
              <w:rPr>
                <w:rStyle w:val="ac"/>
                <w:i w:val="0"/>
                <w:color w:val="000000"/>
              </w:rPr>
            </w:pPr>
            <w:r>
              <w:rPr>
                <w:rStyle w:val="ac"/>
                <w:i w:val="0"/>
                <w:color w:val="000000"/>
              </w:rPr>
              <w:t>Зниження ліквідності ринку</w:t>
            </w:r>
          </w:p>
        </w:tc>
        <w:tc>
          <w:tcPr>
            <w:tcW w:w="2289" w:type="dxa"/>
            <w:vAlign w:val="center"/>
            <w:hideMark/>
          </w:tcPr>
          <w:p w:rsidR="00705F07" w:rsidRDefault="00185A37">
            <w:pPr>
              <w:jc w:val="center"/>
              <w:rPr>
                <w:rStyle w:val="ac"/>
                <w:i w:val="0"/>
                <w:color w:val="000000"/>
              </w:rPr>
            </w:pPr>
            <w:r>
              <w:rPr>
                <w:rStyle w:val="ac"/>
                <w:i w:val="0"/>
                <w:color w:val="000000"/>
              </w:rPr>
              <w:t>Масова паніка інвесторів, обмеження роботи бірж, військові ризики</w:t>
            </w:r>
          </w:p>
        </w:tc>
        <w:tc>
          <w:tcPr>
            <w:tcW w:w="0" w:type="auto"/>
            <w:vAlign w:val="center"/>
            <w:hideMark/>
          </w:tcPr>
          <w:p w:rsidR="00705F07" w:rsidRDefault="00185A37">
            <w:pPr>
              <w:jc w:val="center"/>
              <w:rPr>
                <w:rStyle w:val="ac"/>
                <w:i w:val="0"/>
                <w:color w:val="000000"/>
              </w:rPr>
            </w:pPr>
            <w:r>
              <w:rPr>
                <w:rStyle w:val="ac"/>
                <w:i w:val="0"/>
                <w:color w:val="000000"/>
              </w:rPr>
              <w:t xml:space="preserve">Зменшення обсягів торгів, зниження ліквідності державних та </w:t>
            </w:r>
            <w:r>
              <w:rPr>
                <w:rStyle w:val="ac"/>
                <w:i w:val="0"/>
                <w:color w:val="000000"/>
              </w:rPr>
              <w:t>корпоративних цінних паперів</w:t>
            </w:r>
          </w:p>
        </w:tc>
        <w:tc>
          <w:tcPr>
            <w:tcW w:w="2795" w:type="dxa"/>
            <w:vAlign w:val="center"/>
            <w:hideMark/>
          </w:tcPr>
          <w:p w:rsidR="00705F07" w:rsidRDefault="00185A37">
            <w:pPr>
              <w:jc w:val="center"/>
              <w:rPr>
                <w:rStyle w:val="ac"/>
                <w:i w:val="0"/>
                <w:color w:val="000000"/>
              </w:rPr>
            </w:pPr>
            <w:r>
              <w:rPr>
                <w:rStyle w:val="ac"/>
                <w:i w:val="0"/>
                <w:color w:val="000000"/>
              </w:rPr>
              <w:t>Розширення державних гарантій, створення системи страхування інвестицій, цифровізація торгів</w:t>
            </w:r>
          </w:p>
        </w:tc>
      </w:tr>
      <w:tr w:rsidR="00705F07">
        <w:trPr>
          <w:jc w:val="center"/>
        </w:trPr>
        <w:tc>
          <w:tcPr>
            <w:tcW w:w="0" w:type="auto"/>
            <w:vAlign w:val="center"/>
            <w:hideMark/>
          </w:tcPr>
          <w:p w:rsidR="00705F07" w:rsidRDefault="00185A37">
            <w:pPr>
              <w:jc w:val="center"/>
              <w:rPr>
                <w:rStyle w:val="ac"/>
                <w:i w:val="0"/>
                <w:color w:val="000000"/>
              </w:rPr>
            </w:pPr>
            <w:r>
              <w:rPr>
                <w:rStyle w:val="ac"/>
                <w:i w:val="0"/>
                <w:color w:val="000000"/>
              </w:rPr>
              <w:t>Падіння обсягів іноземних інвестицій</w:t>
            </w:r>
          </w:p>
        </w:tc>
        <w:tc>
          <w:tcPr>
            <w:tcW w:w="2289" w:type="dxa"/>
            <w:vAlign w:val="center"/>
            <w:hideMark/>
          </w:tcPr>
          <w:p w:rsidR="00705F07" w:rsidRDefault="00185A37">
            <w:pPr>
              <w:jc w:val="center"/>
              <w:rPr>
                <w:rStyle w:val="ac"/>
                <w:i w:val="0"/>
                <w:color w:val="000000"/>
              </w:rPr>
            </w:pPr>
            <w:r>
              <w:rPr>
                <w:rStyle w:val="ac"/>
                <w:i w:val="0"/>
                <w:color w:val="000000"/>
              </w:rPr>
              <w:t>Високий рівень політичної та воєнної нестабільності</w:t>
            </w:r>
          </w:p>
        </w:tc>
        <w:tc>
          <w:tcPr>
            <w:tcW w:w="0" w:type="auto"/>
            <w:vAlign w:val="center"/>
            <w:hideMark/>
          </w:tcPr>
          <w:p w:rsidR="00705F07" w:rsidRDefault="00185A37">
            <w:pPr>
              <w:jc w:val="center"/>
              <w:rPr>
                <w:rStyle w:val="ac"/>
                <w:i w:val="0"/>
                <w:color w:val="000000"/>
              </w:rPr>
            </w:pPr>
            <w:r>
              <w:rPr>
                <w:rStyle w:val="ac"/>
                <w:i w:val="0"/>
                <w:color w:val="000000"/>
              </w:rPr>
              <w:t>Зменшення припливу валютного капіталу, зниже</w:t>
            </w:r>
            <w:r>
              <w:rPr>
                <w:rStyle w:val="ac"/>
                <w:i w:val="0"/>
                <w:color w:val="000000"/>
              </w:rPr>
              <w:t>ння валютної ліквідності</w:t>
            </w:r>
          </w:p>
        </w:tc>
        <w:tc>
          <w:tcPr>
            <w:tcW w:w="2795" w:type="dxa"/>
            <w:vAlign w:val="center"/>
            <w:hideMark/>
          </w:tcPr>
          <w:p w:rsidR="00705F07" w:rsidRDefault="00185A37">
            <w:pPr>
              <w:jc w:val="center"/>
              <w:rPr>
                <w:rStyle w:val="ac"/>
                <w:i w:val="0"/>
                <w:color w:val="000000"/>
              </w:rPr>
            </w:pPr>
            <w:r>
              <w:rPr>
                <w:rStyle w:val="ac"/>
                <w:i w:val="0"/>
                <w:color w:val="000000"/>
              </w:rPr>
              <w:t>Створення безпечних інвестиційних зон, податкові стимули для інвесторів</w:t>
            </w:r>
          </w:p>
        </w:tc>
      </w:tr>
      <w:tr w:rsidR="00705F07">
        <w:trPr>
          <w:jc w:val="center"/>
        </w:trPr>
        <w:tc>
          <w:tcPr>
            <w:tcW w:w="0" w:type="auto"/>
            <w:vAlign w:val="center"/>
            <w:hideMark/>
          </w:tcPr>
          <w:p w:rsidR="00705F07" w:rsidRDefault="00185A37">
            <w:pPr>
              <w:jc w:val="center"/>
              <w:rPr>
                <w:rStyle w:val="ac"/>
                <w:i w:val="0"/>
                <w:color w:val="000000"/>
              </w:rPr>
            </w:pPr>
            <w:r>
              <w:rPr>
                <w:rStyle w:val="ac"/>
                <w:i w:val="0"/>
                <w:color w:val="000000"/>
              </w:rPr>
              <w:t>Нестабільність цін на державні облігації</w:t>
            </w:r>
          </w:p>
        </w:tc>
        <w:tc>
          <w:tcPr>
            <w:tcW w:w="2289" w:type="dxa"/>
            <w:vAlign w:val="center"/>
            <w:hideMark/>
          </w:tcPr>
          <w:p w:rsidR="00705F07" w:rsidRDefault="00185A37">
            <w:pPr>
              <w:jc w:val="center"/>
              <w:rPr>
                <w:rStyle w:val="ac"/>
                <w:i w:val="0"/>
                <w:color w:val="000000"/>
              </w:rPr>
            </w:pPr>
            <w:r>
              <w:rPr>
                <w:rStyle w:val="ac"/>
                <w:i w:val="0"/>
                <w:color w:val="000000"/>
              </w:rPr>
              <w:t>Ризики дефолту та коливання бюджетних надходжень</w:t>
            </w:r>
          </w:p>
        </w:tc>
        <w:tc>
          <w:tcPr>
            <w:tcW w:w="0" w:type="auto"/>
            <w:vAlign w:val="center"/>
            <w:hideMark/>
          </w:tcPr>
          <w:p w:rsidR="00705F07" w:rsidRDefault="00185A37">
            <w:pPr>
              <w:jc w:val="center"/>
              <w:rPr>
                <w:rStyle w:val="ac"/>
                <w:i w:val="0"/>
                <w:color w:val="000000"/>
              </w:rPr>
            </w:pPr>
            <w:r>
              <w:rPr>
                <w:rStyle w:val="ac"/>
                <w:i w:val="0"/>
                <w:color w:val="000000"/>
              </w:rPr>
              <w:t>Волатильність ОВДП, підвищення ставок дохідності</w:t>
            </w:r>
          </w:p>
        </w:tc>
        <w:tc>
          <w:tcPr>
            <w:tcW w:w="2795" w:type="dxa"/>
            <w:vAlign w:val="center"/>
            <w:hideMark/>
          </w:tcPr>
          <w:p w:rsidR="00705F07" w:rsidRDefault="00185A37">
            <w:pPr>
              <w:jc w:val="center"/>
              <w:rPr>
                <w:rStyle w:val="ac"/>
                <w:i w:val="0"/>
                <w:color w:val="000000"/>
              </w:rPr>
            </w:pPr>
            <w:r>
              <w:rPr>
                <w:rStyle w:val="ac"/>
                <w:i w:val="0"/>
                <w:color w:val="000000"/>
              </w:rPr>
              <w:t>Гнучке управління д</w:t>
            </w:r>
            <w:r>
              <w:rPr>
                <w:rStyle w:val="ac"/>
                <w:i w:val="0"/>
                <w:color w:val="000000"/>
              </w:rPr>
              <w:t>ержавним боргом, залучення міжнародних фінансових організацій</w:t>
            </w:r>
          </w:p>
        </w:tc>
      </w:tr>
    </w:tbl>
    <w:p w:rsidR="00705F07" w:rsidRDefault="00705F07">
      <w:pPr>
        <w:spacing w:line="360" w:lineRule="auto"/>
        <w:ind w:firstLine="709"/>
        <w:jc w:val="right"/>
        <w:rPr>
          <w:rStyle w:val="ac"/>
          <w:i w:val="0"/>
          <w:color w:val="000000"/>
          <w:sz w:val="28"/>
          <w:szCs w:val="28"/>
          <w:lang w:val="uk-UA"/>
        </w:rPr>
      </w:pPr>
    </w:p>
    <w:p w:rsidR="00705F07" w:rsidRDefault="00185A37">
      <w:pPr>
        <w:spacing w:line="360" w:lineRule="auto"/>
        <w:ind w:firstLine="709"/>
        <w:jc w:val="right"/>
        <w:rPr>
          <w:rStyle w:val="ac"/>
          <w:i w:val="0"/>
          <w:color w:val="000000"/>
          <w:sz w:val="28"/>
          <w:szCs w:val="28"/>
          <w:lang w:val="uk-UA"/>
        </w:rPr>
      </w:pPr>
      <w:r>
        <w:rPr>
          <w:rStyle w:val="ac"/>
          <w:i w:val="0"/>
          <w:color w:val="000000"/>
          <w:sz w:val="28"/>
          <w:szCs w:val="28"/>
          <w:lang w:val="uk-UA"/>
        </w:rPr>
        <w:t>Продовження табл. 3.1</w:t>
      </w:r>
    </w:p>
    <w:tbl>
      <w:tblPr>
        <w:tblStyle w:val="ad"/>
        <w:tblW w:w="9520" w:type="dxa"/>
        <w:jc w:val="center"/>
        <w:tblLook w:val="04A0" w:firstRow="1" w:lastRow="0" w:firstColumn="1" w:lastColumn="0" w:noHBand="0" w:noVBand="1"/>
      </w:tblPr>
      <w:tblGrid>
        <w:gridCol w:w="1983"/>
        <w:gridCol w:w="2289"/>
        <w:gridCol w:w="2452"/>
        <w:gridCol w:w="2795"/>
      </w:tblGrid>
      <w:tr w:rsidR="00705F07">
        <w:trPr>
          <w:jc w:val="center"/>
        </w:trPr>
        <w:tc>
          <w:tcPr>
            <w:tcW w:w="0" w:type="auto"/>
            <w:vAlign w:val="center"/>
            <w:hideMark/>
          </w:tcPr>
          <w:p w:rsidR="00705F07" w:rsidRDefault="00185A37">
            <w:pPr>
              <w:jc w:val="center"/>
              <w:rPr>
                <w:rStyle w:val="ac"/>
                <w:i w:val="0"/>
                <w:color w:val="000000"/>
                <w:lang w:val="uk-UA"/>
              </w:rPr>
            </w:pPr>
            <w:r>
              <w:rPr>
                <w:rStyle w:val="ac"/>
                <w:i w:val="0"/>
                <w:color w:val="000000"/>
                <w:lang w:val="uk-UA"/>
              </w:rPr>
              <w:t>1</w:t>
            </w:r>
          </w:p>
        </w:tc>
        <w:tc>
          <w:tcPr>
            <w:tcW w:w="2289" w:type="dxa"/>
            <w:vAlign w:val="center"/>
            <w:hideMark/>
          </w:tcPr>
          <w:p w:rsidR="00705F07" w:rsidRDefault="00185A37">
            <w:pPr>
              <w:jc w:val="center"/>
              <w:rPr>
                <w:rStyle w:val="ac"/>
                <w:i w:val="0"/>
                <w:color w:val="000000"/>
                <w:lang w:val="uk-UA"/>
              </w:rPr>
            </w:pPr>
            <w:r>
              <w:rPr>
                <w:rStyle w:val="ac"/>
                <w:i w:val="0"/>
                <w:color w:val="000000"/>
                <w:lang w:val="uk-UA"/>
              </w:rPr>
              <w:t>2</w:t>
            </w:r>
          </w:p>
        </w:tc>
        <w:tc>
          <w:tcPr>
            <w:tcW w:w="0" w:type="auto"/>
            <w:vAlign w:val="center"/>
            <w:hideMark/>
          </w:tcPr>
          <w:p w:rsidR="00705F07" w:rsidRDefault="00185A37">
            <w:pPr>
              <w:jc w:val="center"/>
              <w:rPr>
                <w:rStyle w:val="ac"/>
                <w:i w:val="0"/>
                <w:color w:val="000000"/>
                <w:lang w:val="uk-UA"/>
              </w:rPr>
            </w:pPr>
            <w:r>
              <w:rPr>
                <w:rStyle w:val="ac"/>
                <w:i w:val="0"/>
                <w:color w:val="000000"/>
                <w:lang w:val="uk-UA"/>
              </w:rPr>
              <w:t>3</w:t>
            </w:r>
          </w:p>
        </w:tc>
        <w:tc>
          <w:tcPr>
            <w:tcW w:w="2795" w:type="dxa"/>
            <w:vAlign w:val="center"/>
            <w:hideMark/>
          </w:tcPr>
          <w:p w:rsidR="00705F07" w:rsidRDefault="00185A37">
            <w:pPr>
              <w:jc w:val="center"/>
              <w:rPr>
                <w:rStyle w:val="ac"/>
                <w:i w:val="0"/>
                <w:color w:val="000000"/>
                <w:lang w:val="uk-UA"/>
              </w:rPr>
            </w:pPr>
            <w:r>
              <w:rPr>
                <w:rStyle w:val="ac"/>
                <w:i w:val="0"/>
                <w:color w:val="000000"/>
                <w:lang w:val="uk-UA"/>
              </w:rPr>
              <w:t>4</w:t>
            </w:r>
          </w:p>
        </w:tc>
      </w:tr>
      <w:tr w:rsidR="00705F07">
        <w:trPr>
          <w:jc w:val="center"/>
        </w:trPr>
        <w:tc>
          <w:tcPr>
            <w:tcW w:w="0" w:type="auto"/>
            <w:vAlign w:val="center"/>
            <w:hideMark/>
          </w:tcPr>
          <w:p w:rsidR="00705F07" w:rsidRDefault="00185A37">
            <w:pPr>
              <w:jc w:val="center"/>
              <w:rPr>
                <w:rStyle w:val="ac"/>
                <w:i w:val="0"/>
                <w:color w:val="000000"/>
              </w:rPr>
            </w:pPr>
            <w:r>
              <w:rPr>
                <w:rStyle w:val="ac"/>
                <w:i w:val="0"/>
                <w:color w:val="000000"/>
              </w:rPr>
              <w:t>Обмежена робота банків та фінансових установ</w:t>
            </w:r>
          </w:p>
        </w:tc>
        <w:tc>
          <w:tcPr>
            <w:tcW w:w="2289" w:type="dxa"/>
            <w:vAlign w:val="center"/>
            <w:hideMark/>
          </w:tcPr>
          <w:p w:rsidR="00705F07" w:rsidRDefault="00185A37">
            <w:pPr>
              <w:jc w:val="center"/>
              <w:rPr>
                <w:rStyle w:val="ac"/>
                <w:i w:val="0"/>
                <w:color w:val="000000"/>
              </w:rPr>
            </w:pPr>
            <w:r>
              <w:rPr>
                <w:rStyle w:val="ac"/>
                <w:i w:val="0"/>
                <w:color w:val="000000"/>
              </w:rPr>
              <w:t>Руйнування інфраструктури, евакуація персоналу, зупинка платежів у регіонах бойових дій</w:t>
            </w:r>
          </w:p>
        </w:tc>
        <w:tc>
          <w:tcPr>
            <w:tcW w:w="0" w:type="auto"/>
            <w:vAlign w:val="center"/>
            <w:hideMark/>
          </w:tcPr>
          <w:p w:rsidR="00705F07" w:rsidRDefault="00185A37">
            <w:pPr>
              <w:jc w:val="center"/>
              <w:rPr>
                <w:rStyle w:val="ac"/>
                <w:i w:val="0"/>
                <w:color w:val="000000"/>
              </w:rPr>
            </w:pPr>
            <w:r>
              <w:rPr>
                <w:rStyle w:val="ac"/>
                <w:i w:val="0"/>
                <w:color w:val="000000"/>
              </w:rPr>
              <w:t xml:space="preserve">Зменшення доступу до </w:t>
            </w:r>
            <w:r>
              <w:rPr>
                <w:rStyle w:val="ac"/>
                <w:i w:val="0"/>
                <w:color w:val="000000"/>
              </w:rPr>
              <w:t>фінансових послуг, зниження довіри до банківської системи</w:t>
            </w:r>
          </w:p>
        </w:tc>
        <w:tc>
          <w:tcPr>
            <w:tcW w:w="2795" w:type="dxa"/>
            <w:vAlign w:val="center"/>
            <w:hideMark/>
          </w:tcPr>
          <w:p w:rsidR="00705F07" w:rsidRDefault="00185A37">
            <w:pPr>
              <w:jc w:val="center"/>
              <w:rPr>
                <w:rStyle w:val="ac"/>
                <w:i w:val="0"/>
                <w:color w:val="000000"/>
              </w:rPr>
            </w:pPr>
            <w:r>
              <w:rPr>
                <w:rStyle w:val="ac"/>
                <w:i w:val="0"/>
                <w:color w:val="000000"/>
              </w:rPr>
              <w:t>Впровадження мобільних банківських сервісів, децентралізовані цифрові платформи</w:t>
            </w:r>
          </w:p>
        </w:tc>
      </w:tr>
      <w:tr w:rsidR="00705F07">
        <w:trPr>
          <w:jc w:val="center"/>
        </w:trPr>
        <w:tc>
          <w:tcPr>
            <w:tcW w:w="0" w:type="auto"/>
            <w:vAlign w:val="center"/>
            <w:hideMark/>
          </w:tcPr>
          <w:p w:rsidR="00705F07" w:rsidRDefault="00185A37">
            <w:pPr>
              <w:jc w:val="center"/>
              <w:rPr>
                <w:rStyle w:val="ac"/>
                <w:i w:val="0"/>
                <w:color w:val="000000"/>
              </w:rPr>
            </w:pPr>
            <w:r>
              <w:rPr>
                <w:rStyle w:val="ac"/>
                <w:i w:val="0"/>
                <w:color w:val="000000"/>
              </w:rPr>
              <w:t>Зниження попиту на корпоративні цінні папери</w:t>
            </w:r>
          </w:p>
        </w:tc>
        <w:tc>
          <w:tcPr>
            <w:tcW w:w="2289" w:type="dxa"/>
            <w:vAlign w:val="center"/>
            <w:hideMark/>
          </w:tcPr>
          <w:p w:rsidR="00705F07" w:rsidRDefault="00185A37">
            <w:pPr>
              <w:jc w:val="center"/>
              <w:rPr>
                <w:rStyle w:val="ac"/>
                <w:i w:val="0"/>
                <w:color w:val="000000"/>
              </w:rPr>
            </w:pPr>
            <w:r>
              <w:rPr>
                <w:rStyle w:val="ac"/>
                <w:i w:val="0"/>
                <w:color w:val="000000"/>
              </w:rPr>
              <w:t>Підвищена економічна невизначеність, низька довіра до бізнесу</w:t>
            </w:r>
          </w:p>
        </w:tc>
        <w:tc>
          <w:tcPr>
            <w:tcW w:w="0" w:type="auto"/>
            <w:vAlign w:val="center"/>
            <w:hideMark/>
          </w:tcPr>
          <w:p w:rsidR="00705F07" w:rsidRDefault="00185A37">
            <w:pPr>
              <w:jc w:val="center"/>
              <w:rPr>
                <w:rStyle w:val="ac"/>
                <w:i w:val="0"/>
                <w:color w:val="000000"/>
              </w:rPr>
            </w:pPr>
            <w:r>
              <w:rPr>
                <w:rStyle w:val="ac"/>
                <w:i w:val="0"/>
                <w:color w:val="000000"/>
              </w:rPr>
              <w:t>Скорочення</w:t>
            </w:r>
            <w:r>
              <w:rPr>
                <w:rStyle w:val="ac"/>
                <w:i w:val="0"/>
                <w:color w:val="000000"/>
              </w:rPr>
              <w:t xml:space="preserve"> емісії корпоративних облігацій та акцій, обмеження фінансування компаній</w:t>
            </w:r>
          </w:p>
        </w:tc>
        <w:tc>
          <w:tcPr>
            <w:tcW w:w="2795" w:type="dxa"/>
            <w:vAlign w:val="center"/>
            <w:hideMark/>
          </w:tcPr>
          <w:p w:rsidR="00705F07" w:rsidRDefault="00185A37">
            <w:pPr>
              <w:jc w:val="center"/>
              <w:rPr>
                <w:rStyle w:val="ac"/>
                <w:i w:val="0"/>
                <w:color w:val="000000"/>
              </w:rPr>
            </w:pPr>
            <w:r>
              <w:rPr>
                <w:rStyle w:val="ac"/>
                <w:i w:val="0"/>
                <w:color w:val="000000"/>
              </w:rPr>
              <w:t>Підтримка державою стратегічних підприємств, створення фондів розвитку бізнесу</w:t>
            </w:r>
          </w:p>
        </w:tc>
      </w:tr>
    </w:tbl>
    <w:p w:rsidR="00705F07" w:rsidRDefault="00185A37">
      <w:pPr>
        <w:ind w:firstLine="709"/>
        <w:jc w:val="both"/>
        <w:rPr>
          <w:color w:val="000000"/>
        </w:rPr>
      </w:pPr>
      <w:r>
        <w:rPr>
          <w:color w:val="000000"/>
        </w:rPr>
        <w:t>Джерело: складено автором на основі даних [</w:t>
      </w:r>
      <w:r>
        <w:rPr>
          <w:color w:val="000000"/>
          <w:lang w:val="uk-UA"/>
        </w:rPr>
        <w:t>1, с. 98; 2, с. 103; 5, с. 238</w:t>
      </w:r>
      <w:r>
        <w:rPr>
          <w:color w:val="000000"/>
        </w:rPr>
        <w:t>].</w:t>
      </w:r>
    </w:p>
    <w:p w:rsidR="00705F07" w:rsidRDefault="00705F07">
      <w:pPr>
        <w:spacing w:line="360" w:lineRule="auto"/>
        <w:ind w:firstLine="709"/>
        <w:jc w:val="right"/>
        <w:rPr>
          <w:rStyle w:val="ac"/>
          <w:i w:val="0"/>
          <w:color w:val="000000"/>
          <w:sz w:val="28"/>
          <w:szCs w:val="28"/>
        </w:rPr>
      </w:pPr>
    </w:p>
    <w:p w:rsidR="00705F07" w:rsidRDefault="00185A37">
      <w:pPr>
        <w:spacing w:line="360" w:lineRule="auto"/>
        <w:ind w:firstLine="709"/>
        <w:jc w:val="both"/>
        <w:rPr>
          <w:rStyle w:val="ac"/>
          <w:i w:val="0"/>
          <w:color w:val="000000"/>
          <w:sz w:val="28"/>
          <w:szCs w:val="28"/>
          <w:lang w:val="uk-UA"/>
        </w:rPr>
      </w:pPr>
      <w:r>
        <w:rPr>
          <w:rStyle w:val="ac"/>
          <w:i w:val="0"/>
          <w:color w:val="000000"/>
          <w:sz w:val="28"/>
          <w:szCs w:val="28"/>
          <w:lang w:val="uk-UA"/>
        </w:rPr>
        <w:t xml:space="preserve">Однією з ключових </w:t>
      </w:r>
      <w:r>
        <w:rPr>
          <w:rStyle w:val="ac"/>
          <w:i w:val="0"/>
          <w:color w:val="000000"/>
          <w:sz w:val="28"/>
          <w:szCs w:val="28"/>
          <w:lang w:val="uk-UA"/>
        </w:rPr>
        <w:t xml:space="preserve">проблем, що проявилася під час воєнних дій, стало зниження ліквідності ринку. Масова паніка серед інвесторів, обмеження роботи біржових операторів та підвищені військові ризики спричинили скорочення обсягів торгів, зокрема на вторинному ринку державних та </w:t>
      </w:r>
      <w:r>
        <w:rPr>
          <w:rStyle w:val="ac"/>
          <w:i w:val="0"/>
          <w:color w:val="000000"/>
          <w:sz w:val="28"/>
          <w:szCs w:val="28"/>
          <w:lang w:val="uk-UA"/>
        </w:rPr>
        <w:t xml:space="preserve">корпоративних цінних паперів. Як наслідок, фінансові інструменти втрачали ринкову цінність, а інвестори обмежували свої операції, очікуючи стабілізації економічної ситуації. Для вирішення цієї проблеми пропонується розширення державних гарантій, створення </w:t>
      </w:r>
      <w:r>
        <w:rPr>
          <w:rStyle w:val="ac"/>
          <w:i w:val="0"/>
          <w:color w:val="000000"/>
          <w:sz w:val="28"/>
          <w:szCs w:val="28"/>
          <w:lang w:val="uk-UA"/>
        </w:rPr>
        <w:t>системи страхування інвестицій та цифровізація торгів, що дозволить підвищити прозорість ринку та забезпечити довіру до фінансових інструментів. Ще однією значущою проблемою є падіння обсягів іноземних інвестицій, обумовлене високим рівнем політичної та во</w:t>
      </w:r>
      <w:r>
        <w:rPr>
          <w:rStyle w:val="ac"/>
          <w:i w:val="0"/>
          <w:color w:val="000000"/>
          <w:sz w:val="28"/>
          <w:szCs w:val="28"/>
          <w:lang w:val="uk-UA"/>
        </w:rPr>
        <w:t xml:space="preserve">єнної нестабільності. Зменшення припливу валютного капіталу негативно вплинуло на валютну ліквідність та загальний стан фінансової системи. Для стимулювання інвестиційної активності важливо створювати безпечні інвестиційні зони та запроваджувати податкові </w:t>
      </w:r>
      <w:r>
        <w:rPr>
          <w:rStyle w:val="ac"/>
          <w:i w:val="0"/>
          <w:color w:val="000000"/>
          <w:sz w:val="28"/>
          <w:szCs w:val="28"/>
          <w:lang w:val="uk-UA"/>
        </w:rPr>
        <w:t>стимули для інвесторів, що підвищить привабливість українського ринку для міжнародного капіталу.</w:t>
      </w:r>
    </w:p>
    <w:p w:rsidR="00705F07" w:rsidRDefault="00185A37">
      <w:pPr>
        <w:spacing w:line="360" w:lineRule="auto"/>
        <w:ind w:firstLine="709"/>
        <w:jc w:val="both"/>
        <w:rPr>
          <w:rStyle w:val="ac"/>
          <w:i w:val="0"/>
          <w:color w:val="000000"/>
          <w:sz w:val="28"/>
          <w:szCs w:val="28"/>
          <w:lang w:val="uk-UA"/>
        </w:rPr>
      </w:pPr>
      <w:r>
        <w:rPr>
          <w:rStyle w:val="ac"/>
          <w:i w:val="0"/>
          <w:color w:val="000000"/>
          <w:sz w:val="28"/>
          <w:szCs w:val="28"/>
          <w:lang w:val="uk-UA"/>
        </w:rPr>
        <w:t>В умовах війни також спостерігалася нестабільність цін на державні облігації (ОВДП), що була зумовлена ризиками дефолту та коливаннями бюджетних надходжень. Во</w:t>
      </w:r>
      <w:r>
        <w:rPr>
          <w:rStyle w:val="ac"/>
          <w:i w:val="0"/>
          <w:color w:val="000000"/>
          <w:sz w:val="28"/>
          <w:szCs w:val="28"/>
          <w:lang w:val="uk-UA"/>
        </w:rPr>
        <w:t>латильність державних паперів підвищувала ставки дохідності та створювала додаткові ризики для інвесторів. Гнучке управління державним боргом та залучення міжнародних фінансових організацій може стати ефективним заходом для стабілізації ринку та відновленн</w:t>
      </w:r>
      <w:r>
        <w:rPr>
          <w:rStyle w:val="ac"/>
          <w:i w:val="0"/>
          <w:color w:val="000000"/>
          <w:sz w:val="28"/>
          <w:szCs w:val="28"/>
          <w:lang w:val="uk-UA"/>
        </w:rPr>
        <w:t>я довіри до державних боргових інструментів.</w:t>
      </w:r>
    </w:p>
    <w:p w:rsidR="00705F07" w:rsidRDefault="00185A37">
      <w:pPr>
        <w:spacing w:line="360" w:lineRule="auto"/>
        <w:ind w:firstLine="709"/>
        <w:jc w:val="both"/>
        <w:rPr>
          <w:rStyle w:val="ac"/>
          <w:i w:val="0"/>
          <w:color w:val="000000"/>
          <w:sz w:val="28"/>
          <w:szCs w:val="28"/>
          <w:lang w:val="uk-UA"/>
        </w:rPr>
      </w:pPr>
      <w:r>
        <w:rPr>
          <w:rStyle w:val="ac"/>
          <w:i w:val="0"/>
          <w:color w:val="000000"/>
          <w:sz w:val="28"/>
          <w:szCs w:val="28"/>
          <w:lang w:val="uk-UA"/>
        </w:rPr>
        <w:t>Проблеми функціонування фінансового ринку посилювала і обмежена робота банків та фінансових установ. Руйнування інфраструктури, евакуація персоналу та зупинка платежів у регіонах бойових дій зменшили доступ насе</w:t>
      </w:r>
      <w:r>
        <w:rPr>
          <w:rStyle w:val="ac"/>
          <w:i w:val="0"/>
          <w:color w:val="000000"/>
          <w:sz w:val="28"/>
          <w:szCs w:val="28"/>
          <w:lang w:val="uk-UA"/>
        </w:rPr>
        <w:t>лення та бізнесу до фінансових послуг, підриваючи довіру до банківської системи. Впровадження мобільних банківських сервісів та децентралізованих цифрових платформ здатне компенсувати обмежену фізичну присутність банків та забезпечити безперервність фінанс</w:t>
      </w:r>
      <w:r>
        <w:rPr>
          <w:rStyle w:val="ac"/>
          <w:i w:val="0"/>
          <w:color w:val="000000"/>
          <w:sz w:val="28"/>
          <w:szCs w:val="28"/>
          <w:lang w:val="uk-UA"/>
        </w:rPr>
        <w:t>ових операцій. Окремою проблемою стало зниження попиту на корпоративні цінні папери, що виникло через економічну невизначеність та низьку довіру до бізнесу. Як наслідок, зменшилася емісія корпоративних облігацій та акцій, обмеживши доступ компаній до фінан</w:t>
      </w:r>
      <w:r>
        <w:rPr>
          <w:rStyle w:val="ac"/>
          <w:i w:val="0"/>
          <w:color w:val="000000"/>
          <w:sz w:val="28"/>
          <w:szCs w:val="28"/>
          <w:lang w:val="uk-UA"/>
        </w:rPr>
        <w:t xml:space="preserve">сування. Для підтримки корпоративного сектору та стимулювання розвитку ринку важливо здійснювати державну підтримку стратегічних підприємств та створювати фонди розвитку бізнесу, що сприятиме відновленню інвестиційної активності та стабілізації фінансових </w:t>
      </w:r>
      <w:r>
        <w:rPr>
          <w:rStyle w:val="ac"/>
          <w:i w:val="0"/>
          <w:color w:val="000000"/>
          <w:sz w:val="28"/>
          <w:szCs w:val="28"/>
          <w:lang w:val="uk-UA"/>
        </w:rPr>
        <w:t>потоків. Війна 2022-2024 років мала масштабний вплив на всі сегменти фінансового ринку України, що призвело до зміни поведінки інвесторів, зниження ліквідності та зростання фінансових ризиків. Різні сегменти ринку відчували наслідки конфлікту по-різному: д</w:t>
      </w:r>
      <w:r>
        <w:rPr>
          <w:rStyle w:val="ac"/>
          <w:i w:val="0"/>
          <w:color w:val="000000"/>
          <w:sz w:val="28"/>
          <w:szCs w:val="28"/>
          <w:lang w:val="uk-UA"/>
        </w:rPr>
        <w:t>ержавні цінні папери ставали більш привабливими як «безпечні активи», тоді як корпоративні інструменти та акції втрачали ліквідність і капіталізацію. Для аналізу цих процесів важливо розглянути конкретні сегменти фінансового ринку та оцінити як вплив війни</w:t>
      </w:r>
      <w:r>
        <w:rPr>
          <w:rStyle w:val="ac"/>
          <w:i w:val="0"/>
          <w:color w:val="000000"/>
          <w:sz w:val="28"/>
          <w:szCs w:val="28"/>
          <w:lang w:val="uk-UA"/>
        </w:rPr>
        <w:t>, так і можливі заходи стабілізації.</w:t>
      </w:r>
    </w:p>
    <w:p w:rsidR="00705F07" w:rsidRDefault="00185A37">
      <w:pPr>
        <w:spacing w:line="360" w:lineRule="auto"/>
        <w:ind w:firstLine="709"/>
        <w:jc w:val="both"/>
        <w:rPr>
          <w:rStyle w:val="ac"/>
          <w:i w:val="0"/>
          <w:color w:val="000000"/>
          <w:sz w:val="28"/>
          <w:szCs w:val="28"/>
          <w:lang w:val="uk-UA"/>
        </w:rPr>
      </w:pPr>
      <w:r>
        <w:rPr>
          <w:rStyle w:val="ac"/>
          <w:i w:val="0"/>
          <w:color w:val="000000"/>
          <w:sz w:val="28"/>
          <w:szCs w:val="28"/>
          <w:lang w:val="uk-UA"/>
        </w:rPr>
        <w:t>Сегмент державних облігацій (ОВДП) під час війни характеризувався підвищеною волатильністю. Інвестори шукали «безпечні активи», що збільшувало попит на ОВДП, однак одночасно зростав ризик дефолту та необхідність підвище</w:t>
      </w:r>
      <w:r>
        <w:rPr>
          <w:rStyle w:val="ac"/>
          <w:i w:val="0"/>
          <w:color w:val="000000"/>
          <w:sz w:val="28"/>
          <w:szCs w:val="28"/>
          <w:lang w:val="uk-UA"/>
        </w:rPr>
        <w:t>ння дохідності державних паперів. Ефективними заходами стабілізації є часткове страхування державних облігацій та залучення міжнародних кредиторів, що дозволяє знизити фінансові ризики та підтримати ліквідність ринку. Корпоративні облігації зазнали скороче</w:t>
      </w:r>
      <w:r>
        <w:rPr>
          <w:rStyle w:val="ac"/>
          <w:i w:val="0"/>
          <w:color w:val="000000"/>
          <w:sz w:val="28"/>
          <w:szCs w:val="28"/>
          <w:lang w:val="uk-UA"/>
        </w:rPr>
        <w:t>ння випусків та зниження ліквідності, що обмежило фінансування бізнесу та зменшило обсяги торгів. У таких умовах держава може підтримувати стратегічні підприємства та надавати гарантії для інвесторів, що стимулює випуск корпоративних цінних паперів і відно</w:t>
      </w:r>
      <w:r>
        <w:rPr>
          <w:rStyle w:val="ac"/>
          <w:i w:val="0"/>
          <w:color w:val="000000"/>
          <w:sz w:val="28"/>
          <w:szCs w:val="28"/>
          <w:lang w:val="uk-UA"/>
        </w:rPr>
        <w:t>влює довіру до ринку (табл. 3.2).</w:t>
      </w:r>
    </w:p>
    <w:p w:rsidR="00705F07" w:rsidRDefault="00185A37">
      <w:pPr>
        <w:spacing w:line="360" w:lineRule="auto"/>
        <w:ind w:firstLine="709"/>
        <w:jc w:val="right"/>
        <w:rPr>
          <w:rStyle w:val="ac"/>
          <w:i w:val="0"/>
          <w:color w:val="000000"/>
          <w:sz w:val="28"/>
          <w:szCs w:val="28"/>
          <w:lang w:val="uk-UA"/>
        </w:rPr>
      </w:pPr>
      <w:r>
        <w:rPr>
          <w:rStyle w:val="ac"/>
          <w:i w:val="0"/>
          <w:color w:val="000000"/>
          <w:sz w:val="28"/>
          <w:szCs w:val="28"/>
        </w:rPr>
        <w:t xml:space="preserve">Таблиця </w:t>
      </w:r>
      <w:r>
        <w:rPr>
          <w:rStyle w:val="ac"/>
          <w:i w:val="0"/>
          <w:color w:val="000000"/>
          <w:sz w:val="28"/>
          <w:szCs w:val="28"/>
          <w:lang w:val="uk-UA"/>
        </w:rPr>
        <w:t>3.2</w:t>
      </w:r>
    </w:p>
    <w:p w:rsidR="00705F07" w:rsidRDefault="00185A37">
      <w:pPr>
        <w:spacing w:line="360" w:lineRule="auto"/>
        <w:ind w:firstLine="709"/>
        <w:jc w:val="center"/>
        <w:rPr>
          <w:rStyle w:val="ac"/>
          <w:i w:val="0"/>
          <w:color w:val="000000"/>
          <w:sz w:val="28"/>
          <w:szCs w:val="28"/>
          <w:lang w:val="uk-UA"/>
        </w:rPr>
      </w:pPr>
      <w:r>
        <w:rPr>
          <w:rStyle w:val="ac"/>
          <w:i w:val="0"/>
          <w:color w:val="000000"/>
          <w:sz w:val="28"/>
          <w:szCs w:val="28"/>
        </w:rPr>
        <w:t>Вплив війни на сегменти фінансового ринку</w:t>
      </w:r>
      <w:r>
        <w:rPr>
          <w:rStyle w:val="ac"/>
          <w:i w:val="0"/>
          <w:color w:val="000000"/>
          <w:sz w:val="28"/>
          <w:szCs w:val="28"/>
          <w:lang w:val="uk-UA"/>
        </w:rPr>
        <w:t xml:space="preserve"> в Україні</w:t>
      </w:r>
    </w:p>
    <w:tbl>
      <w:tblPr>
        <w:tblStyle w:val="ad"/>
        <w:tblW w:w="0" w:type="auto"/>
        <w:jc w:val="center"/>
        <w:tblLook w:val="04A0" w:firstRow="1" w:lastRow="0" w:firstColumn="1" w:lastColumn="0" w:noHBand="0" w:noVBand="1"/>
      </w:tblPr>
      <w:tblGrid>
        <w:gridCol w:w="1914"/>
        <w:gridCol w:w="2434"/>
        <w:gridCol w:w="2263"/>
        <w:gridCol w:w="2743"/>
      </w:tblGrid>
      <w:tr w:rsidR="00705F07">
        <w:trPr>
          <w:jc w:val="center"/>
        </w:trPr>
        <w:tc>
          <w:tcPr>
            <w:tcW w:w="0" w:type="auto"/>
            <w:vAlign w:val="center"/>
            <w:hideMark/>
          </w:tcPr>
          <w:p w:rsidR="00705F07" w:rsidRDefault="00185A37">
            <w:pPr>
              <w:jc w:val="center"/>
              <w:rPr>
                <w:rStyle w:val="ac"/>
                <w:i w:val="0"/>
                <w:color w:val="000000"/>
              </w:rPr>
            </w:pPr>
            <w:r>
              <w:rPr>
                <w:rStyle w:val="ac"/>
                <w:i w:val="0"/>
                <w:color w:val="000000"/>
              </w:rPr>
              <w:t>Сегмент ринку</w:t>
            </w:r>
          </w:p>
        </w:tc>
        <w:tc>
          <w:tcPr>
            <w:tcW w:w="0" w:type="auto"/>
            <w:vAlign w:val="center"/>
            <w:hideMark/>
          </w:tcPr>
          <w:p w:rsidR="00705F07" w:rsidRDefault="00185A37">
            <w:pPr>
              <w:jc w:val="center"/>
              <w:rPr>
                <w:rStyle w:val="ac"/>
                <w:i w:val="0"/>
                <w:color w:val="000000"/>
              </w:rPr>
            </w:pPr>
            <w:r>
              <w:rPr>
                <w:rStyle w:val="ac"/>
                <w:i w:val="0"/>
                <w:color w:val="000000"/>
              </w:rPr>
              <w:t>Вплив війни</w:t>
            </w:r>
          </w:p>
        </w:tc>
        <w:tc>
          <w:tcPr>
            <w:tcW w:w="0" w:type="auto"/>
            <w:vAlign w:val="center"/>
            <w:hideMark/>
          </w:tcPr>
          <w:p w:rsidR="00705F07" w:rsidRDefault="00185A37">
            <w:pPr>
              <w:jc w:val="center"/>
              <w:rPr>
                <w:rStyle w:val="ac"/>
                <w:i w:val="0"/>
                <w:color w:val="000000"/>
              </w:rPr>
            </w:pPr>
            <w:r>
              <w:rPr>
                <w:rStyle w:val="ac"/>
                <w:i w:val="0"/>
                <w:color w:val="000000"/>
              </w:rPr>
              <w:t>Наслідки</w:t>
            </w:r>
          </w:p>
        </w:tc>
        <w:tc>
          <w:tcPr>
            <w:tcW w:w="0" w:type="auto"/>
            <w:vAlign w:val="center"/>
            <w:hideMark/>
          </w:tcPr>
          <w:p w:rsidR="00705F07" w:rsidRDefault="00185A37">
            <w:pPr>
              <w:jc w:val="center"/>
              <w:rPr>
                <w:rStyle w:val="ac"/>
                <w:i w:val="0"/>
                <w:color w:val="000000"/>
              </w:rPr>
            </w:pPr>
            <w:r>
              <w:rPr>
                <w:rStyle w:val="ac"/>
                <w:i w:val="0"/>
                <w:color w:val="000000"/>
              </w:rPr>
              <w:t>Приклади заходів стабілізації</w:t>
            </w:r>
          </w:p>
        </w:tc>
      </w:tr>
      <w:tr w:rsidR="00705F07">
        <w:trPr>
          <w:jc w:val="center"/>
        </w:trPr>
        <w:tc>
          <w:tcPr>
            <w:tcW w:w="0" w:type="auto"/>
            <w:vAlign w:val="center"/>
            <w:hideMark/>
          </w:tcPr>
          <w:p w:rsidR="00705F07" w:rsidRDefault="00185A37">
            <w:pPr>
              <w:jc w:val="center"/>
              <w:rPr>
                <w:rStyle w:val="ac"/>
                <w:i w:val="0"/>
                <w:color w:val="000000"/>
              </w:rPr>
            </w:pPr>
            <w:r>
              <w:rPr>
                <w:rStyle w:val="ac"/>
                <w:i w:val="0"/>
                <w:color w:val="000000"/>
              </w:rPr>
              <w:t>Державні облігації (ОВДП)</w:t>
            </w:r>
          </w:p>
        </w:tc>
        <w:tc>
          <w:tcPr>
            <w:tcW w:w="0" w:type="auto"/>
            <w:vAlign w:val="center"/>
            <w:hideMark/>
          </w:tcPr>
          <w:p w:rsidR="00705F07" w:rsidRDefault="00185A37">
            <w:pPr>
              <w:jc w:val="center"/>
              <w:rPr>
                <w:rStyle w:val="ac"/>
                <w:i w:val="0"/>
                <w:color w:val="000000"/>
              </w:rPr>
            </w:pPr>
            <w:r>
              <w:rPr>
                <w:rStyle w:val="ac"/>
                <w:i w:val="0"/>
                <w:color w:val="000000"/>
              </w:rPr>
              <w:t>Підвищена волатильність, попит зростає у «безпечних» паперах</w:t>
            </w:r>
          </w:p>
        </w:tc>
        <w:tc>
          <w:tcPr>
            <w:tcW w:w="0" w:type="auto"/>
            <w:vAlign w:val="center"/>
            <w:hideMark/>
          </w:tcPr>
          <w:p w:rsidR="00705F07" w:rsidRDefault="00185A37">
            <w:pPr>
              <w:jc w:val="center"/>
              <w:rPr>
                <w:rStyle w:val="ac"/>
                <w:i w:val="0"/>
                <w:color w:val="000000"/>
              </w:rPr>
            </w:pPr>
            <w:r>
              <w:rPr>
                <w:rStyle w:val="ac"/>
                <w:i w:val="0"/>
                <w:color w:val="000000"/>
              </w:rPr>
              <w:t>Підви</w:t>
            </w:r>
            <w:r>
              <w:rPr>
                <w:rStyle w:val="ac"/>
                <w:i w:val="0"/>
                <w:color w:val="000000"/>
              </w:rPr>
              <w:t>щення дохідності, ризик дефолту</w:t>
            </w:r>
          </w:p>
        </w:tc>
        <w:tc>
          <w:tcPr>
            <w:tcW w:w="0" w:type="auto"/>
            <w:vAlign w:val="center"/>
            <w:hideMark/>
          </w:tcPr>
          <w:p w:rsidR="00705F07" w:rsidRDefault="00185A37">
            <w:pPr>
              <w:jc w:val="center"/>
              <w:rPr>
                <w:rStyle w:val="ac"/>
                <w:i w:val="0"/>
                <w:color w:val="000000"/>
              </w:rPr>
            </w:pPr>
            <w:r>
              <w:rPr>
                <w:rStyle w:val="ac"/>
                <w:i w:val="0"/>
                <w:color w:val="000000"/>
              </w:rPr>
              <w:t>Часткове страхування державних облігацій, залучення міжнародних кредиторів</w:t>
            </w:r>
          </w:p>
        </w:tc>
      </w:tr>
      <w:tr w:rsidR="00705F07">
        <w:trPr>
          <w:jc w:val="center"/>
        </w:trPr>
        <w:tc>
          <w:tcPr>
            <w:tcW w:w="0" w:type="auto"/>
            <w:vAlign w:val="center"/>
            <w:hideMark/>
          </w:tcPr>
          <w:p w:rsidR="00705F07" w:rsidRDefault="00185A37">
            <w:pPr>
              <w:jc w:val="center"/>
              <w:rPr>
                <w:rStyle w:val="ac"/>
                <w:i w:val="0"/>
                <w:color w:val="000000"/>
              </w:rPr>
            </w:pPr>
            <w:r>
              <w:rPr>
                <w:rStyle w:val="ac"/>
                <w:i w:val="0"/>
                <w:color w:val="000000"/>
              </w:rPr>
              <w:t>Корпоративні облігації</w:t>
            </w:r>
          </w:p>
        </w:tc>
        <w:tc>
          <w:tcPr>
            <w:tcW w:w="0" w:type="auto"/>
            <w:vAlign w:val="center"/>
            <w:hideMark/>
          </w:tcPr>
          <w:p w:rsidR="00705F07" w:rsidRDefault="00185A37">
            <w:pPr>
              <w:jc w:val="center"/>
              <w:rPr>
                <w:rStyle w:val="ac"/>
                <w:i w:val="0"/>
                <w:color w:val="000000"/>
              </w:rPr>
            </w:pPr>
            <w:r>
              <w:rPr>
                <w:rStyle w:val="ac"/>
                <w:i w:val="0"/>
                <w:color w:val="000000"/>
              </w:rPr>
              <w:t>Скорочення випусків, низька ліквідність</w:t>
            </w:r>
          </w:p>
        </w:tc>
        <w:tc>
          <w:tcPr>
            <w:tcW w:w="0" w:type="auto"/>
            <w:vAlign w:val="center"/>
            <w:hideMark/>
          </w:tcPr>
          <w:p w:rsidR="00705F07" w:rsidRDefault="00185A37">
            <w:pPr>
              <w:jc w:val="center"/>
              <w:rPr>
                <w:rStyle w:val="ac"/>
                <w:i w:val="0"/>
                <w:color w:val="000000"/>
              </w:rPr>
            </w:pPr>
            <w:r>
              <w:rPr>
                <w:rStyle w:val="ac"/>
                <w:i w:val="0"/>
                <w:color w:val="000000"/>
              </w:rPr>
              <w:t>Обмежене фінансування бізнесу, падіння обсягів торгів</w:t>
            </w:r>
          </w:p>
        </w:tc>
        <w:tc>
          <w:tcPr>
            <w:tcW w:w="0" w:type="auto"/>
            <w:vAlign w:val="center"/>
            <w:hideMark/>
          </w:tcPr>
          <w:p w:rsidR="00705F07" w:rsidRDefault="00185A37">
            <w:pPr>
              <w:jc w:val="center"/>
              <w:rPr>
                <w:rStyle w:val="ac"/>
                <w:i w:val="0"/>
                <w:color w:val="000000"/>
              </w:rPr>
            </w:pPr>
            <w:r>
              <w:rPr>
                <w:rStyle w:val="ac"/>
                <w:i w:val="0"/>
                <w:color w:val="000000"/>
              </w:rPr>
              <w:t>Державна підтримка стратегічних</w:t>
            </w:r>
            <w:r>
              <w:rPr>
                <w:rStyle w:val="ac"/>
                <w:i w:val="0"/>
                <w:color w:val="000000"/>
              </w:rPr>
              <w:t xml:space="preserve"> підприємств, гарантії для інвесторів</w:t>
            </w:r>
          </w:p>
        </w:tc>
      </w:tr>
      <w:tr w:rsidR="00705F07">
        <w:trPr>
          <w:jc w:val="center"/>
        </w:trPr>
        <w:tc>
          <w:tcPr>
            <w:tcW w:w="0" w:type="auto"/>
            <w:vAlign w:val="center"/>
            <w:hideMark/>
          </w:tcPr>
          <w:p w:rsidR="00705F07" w:rsidRDefault="00185A37">
            <w:pPr>
              <w:jc w:val="center"/>
              <w:rPr>
                <w:rStyle w:val="ac"/>
                <w:i w:val="0"/>
                <w:color w:val="000000"/>
              </w:rPr>
            </w:pPr>
            <w:r>
              <w:rPr>
                <w:rStyle w:val="ac"/>
                <w:i w:val="0"/>
                <w:color w:val="000000"/>
              </w:rPr>
              <w:t>Акції українських компаній</w:t>
            </w:r>
          </w:p>
        </w:tc>
        <w:tc>
          <w:tcPr>
            <w:tcW w:w="0" w:type="auto"/>
            <w:vAlign w:val="center"/>
            <w:hideMark/>
          </w:tcPr>
          <w:p w:rsidR="00705F07" w:rsidRDefault="00185A37">
            <w:pPr>
              <w:jc w:val="center"/>
              <w:rPr>
                <w:rStyle w:val="ac"/>
                <w:i w:val="0"/>
                <w:color w:val="000000"/>
              </w:rPr>
            </w:pPr>
            <w:r>
              <w:rPr>
                <w:rStyle w:val="ac"/>
                <w:i w:val="0"/>
                <w:color w:val="000000"/>
              </w:rPr>
              <w:t>Зниження капіталізації, падіння ринку</w:t>
            </w:r>
          </w:p>
        </w:tc>
        <w:tc>
          <w:tcPr>
            <w:tcW w:w="0" w:type="auto"/>
            <w:vAlign w:val="center"/>
            <w:hideMark/>
          </w:tcPr>
          <w:p w:rsidR="00705F07" w:rsidRDefault="00185A37">
            <w:pPr>
              <w:jc w:val="center"/>
              <w:rPr>
                <w:rStyle w:val="ac"/>
                <w:i w:val="0"/>
                <w:color w:val="000000"/>
              </w:rPr>
            </w:pPr>
            <w:r>
              <w:rPr>
                <w:rStyle w:val="ac"/>
                <w:i w:val="0"/>
                <w:color w:val="000000"/>
              </w:rPr>
              <w:t>Втрата інвесторів, зменшення обороту акцій</w:t>
            </w:r>
          </w:p>
        </w:tc>
        <w:tc>
          <w:tcPr>
            <w:tcW w:w="0" w:type="auto"/>
            <w:vAlign w:val="center"/>
            <w:hideMark/>
          </w:tcPr>
          <w:p w:rsidR="00705F07" w:rsidRDefault="00185A37">
            <w:pPr>
              <w:jc w:val="center"/>
              <w:rPr>
                <w:rStyle w:val="ac"/>
                <w:i w:val="0"/>
                <w:color w:val="000000"/>
              </w:rPr>
            </w:pPr>
            <w:r>
              <w:rPr>
                <w:rStyle w:val="ac"/>
                <w:i w:val="0"/>
                <w:color w:val="000000"/>
              </w:rPr>
              <w:t>Стимулювання довгострокових інвестицій, прозорість інформації</w:t>
            </w:r>
          </w:p>
        </w:tc>
      </w:tr>
      <w:tr w:rsidR="00705F07">
        <w:trPr>
          <w:jc w:val="center"/>
        </w:trPr>
        <w:tc>
          <w:tcPr>
            <w:tcW w:w="0" w:type="auto"/>
            <w:vAlign w:val="center"/>
            <w:hideMark/>
          </w:tcPr>
          <w:p w:rsidR="00705F07" w:rsidRDefault="00185A37">
            <w:pPr>
              <w:jc w:val="center"/>
              <w:rPr>
                <w:rStyle w:val="ac"/>
                <w:i w:val="0"/>
                <w:color w:val="000000"/>
              </w:rPr>
            </w:pPr>
            <w:r>
              <w:rPr>
                <w:rStyle w:val="ac"/>
                <w:i w:val="0"/>
                <w:color w:val="000000"/>
              </w:rPr>
              <w:t>Банківський сектор</w:t>
            </w:r>
          </w:p>
        </w:tc>
        <w:tc>
          <w:tcPr>
            <w:tcW w:w="0" w:type="auto"/>
            <w:vAlign w:val="center"/>
            <w:hideMark/>
          </w:tcPr>
          <w:p w:rsidR="00705F07" w:rsidRDefault="00185A37">
            <w:pPr>
              <w:jc w:val="center"/>
              <w:rPr>
                <w:rStyle w:val="ac"/>
                <w:i w:val="0"/>
                <w:color w:val="000000"/>
              </w:rPr>
            </w:pPr>
            <w:r>
              <w:rPr>
                <w:rStyle w:val="ac"/>
                <w:i w:val="0"/>
                <w:color w:val="000000"/>
              </w:rPr>
              <w:t xml:space="preserve">Зупинка роботи відділень, </w:t>
            </w:r>
            <w:r>
              <w:rPr>
                <w:rStyle w:val="ac"/>
                <w:i w:val="0"/>
                <w:color w:val="000000"/>
              </w:rPr>
              <w:t>евакуація персоналу</w:t>
            </w:r>
          </w:p>
        </w:tc>
        <w:tc>
          <w:tcPr>
            <w:tcW w:w="0" w:type="auto"/>
            <w:vAlign w:val="center"/>
            <w:hideMark/>
          </w:tcPr>
          <w:p w:rsidR="00705F07" w:rsidRDefault="00185A37">
            <w:pPr>
              <w:jc w:val="center"/>
              <w:rPr>
                <w:rStyle w:val="ac"/>
                <w:i w:val="0"/>
                <w:color w:val="000000"/>
              </w:rPr>
            </w:pPr>
            <w:r>
              <w:rPr>
                <w:rStyle w:val="ac"/>
                <w:i w:val="0"/>
                <w:color w:val="000000"/>
              </w:rPr>
              <w:t>Зменшення доступу до кредитів та депозитів</w:t>
            </w:r>
          </w:p>
        </w:tc>
        <w:tc>
          <w:tcPr>
            <w:tcW w:w="0" w:type="auto"/>
            <w:vAlign w:val="center"/>
            <w:hideMark/>
          </w:tcPr>
          <w:p w:rsidR="00705F07" w:rsidRDefault="00185A37">
            <w:pPr>
              <w:jc w:val="center"/>
              <w:rPr>
                <w:rStyle w:val="ac"/>
                <w:i w:val="0"/>
                <w:color w:val="000000"/>
              </w:rPr>
            </w:pPr>
            <w:r>
              <w:rPr>
                <w:rStyle w:val="ac"/>
                <w:i w:val="0"/>
                <w:color w:val="000000"/>
              </w:rPr>
              <w:t>Розвиток онлайн-банкінгу, дистанційні фінансові послуги</w:t>
            </w:r>
          </w:p>
        </w:tc>
      </w:tr>
      <w:tr w:rsidR="00705F07">
        <w:trPr>
          <w:jc w:val="center"/>
        </w:trPr>
        <w:tc>
          <w:tcPr>
            <w:tcW w:w="0" w:type="auto"/>
            <w:vAlign w:val="center"/>
            <w:hideMark/>
          </w:tcPr>
          <w:p w:rsidR="00705F07" w:rsidRDefault="00185A37">
            <w:pPr>
              <w:jc w:val="center"/>
              <w:rPr>
                <w:rStyle w:val="ac"/>
                <w:i w:val="0"/>
                <w:color w:val="000000"/>
              </w:rPr>
            </w:pPr>
            <w:r>
              <w:rPr>
                <w:rStyle w:val="ac"/>
                <w:i w:val="0"/>
                <w:color w:val="000000"/>
              </w:rPr>
              <w:t>Страховий ринок</w:t>
            </w:r>
          </w:p>
        </w:tc>
        <w:tc>
          <w:tcPr>
            <w:tcW w:w="0" w:type="auto"/>
            <w:vAlign w:val="center"/>
            <w:hideMark/>
          </w:tcPr>
          <w:p w:rsidR="00705F07" w:rsidRDefault="00185A37">
            <w:pPr>
              <w:jc w:val="center"/>
              <w:rPr>
                <w:rStyle w:val="ac"/>
                <w:i w:val="0"/>
                <w:color w:val="000000"/>
              </w:rPr>
            </w:pPr>
            <w:r>
              <w:rPr>
                <w:rStyle w:val="ac"/>
                <w:i w:val="0"/>
                <w:color w:val="000000"/>
              </w:rPr>
              <w:t>Підвищені виплати, ризик банкрутства компаній</w:t>
            </w:r>
          </w:p>
        </w:tc>
        <w:tc>
          <w:tcPr>
            <w:tcW w:w="0" w:type="auto"/>
            <w:vAlign w:val="center"/>
            <w:hideMark/>
          </w:tcPr>
          <w:p w:rsidR="00705F07" w:rsidRDefault="00185A37">
            <w:pPr>
              <w:jc w:val="center"/>
              <w:rPr>
                <w:rStyle w:val="ac"/>
                <w:i w:val="0"/>
                <w:color w:val="000000"/>
              </w:rPr>
            </w:pPr>
            <w:r>
              <w:rPr>
                <w:rStyle w:val="ac"/>
                <w:i w:val="0"/>
                <w:color w:val="000000"/>
              </w:rPr>
              <w:t>Зростання страхових премій, обмеження страхових послуг</w:t>
            </w:r>
          </w:p>
        </w:tc>
        <w:tc>
          <w:tcPr>
            <w:tcW w:w="0" w:type="auto"/>
            <w:vAlign w:val="center"/>
            <w:hideMark/>
          </w:tcPr>
          <w:p w:rsidR="00705F07" w:rsidRDefault="00185A37">
            <w:pPr>
              <w:jc w:val="center"/>
              <w:rPr>
                <w:rStyle w:val="ac"/>
                <w:i w:val="0"/>
                <w:color w:val="000000"/>
              </w:rPr>
            </w:pPr>
            <w:r>
              <w:rPr>
                <w:rStyle w:val="ac"/>
                <w:i w:val="0"/>
                <w:color w:val="000000"/>
              </w:rPr>
              <w:t>Державне страхуванн</w:t>
            </w:r>
            <w:r>
              <w:rPr>
                <w:rStyle w:val="ac"/>
                <w:i w:val="0"/>
                <w:color w:val="000000"/>
              </w:rPr>
              <w:t>я військових ризиків, підтримка страхових компаній</w:t>
            </w:r>
          </w:p>
        </w:tc>
      </w:tr>
    </w:tbl>
    <w:p w:rsidR="00705F07" w:rsidRDefault="00185A37">
      <w:pPr>
        <w:ind w:firstLine="709"/>
        <w:jc w:val="both"/>
        <w:rPr>
          <w:color w:val="000000"/>
        </w:rPr>
      </w:pPr>
      <w:r>
        <w:rPr>
          <w:color w:val="000000"/>
        </w:rPr>
        <w:t>Джерело: складено автором на основі даних [</w:t>
      </w:r>
      <w:r>
        <w:rPr>
          <w:color w:val="000000"/>
          <w:lang w:val="uk-UA"/>
        </w:rPr>
        <w:t>6, с. 59; 7, с. 98; 9; 10</w:t>
      </w:r>
      <w:r>
        <w:rPr>
          <w:color w:val="000000"/>
        </w:rPr>
        <w:t>].</w:t>
      </w:r>
    </w:p>
    <w:p w:rsidR="00705F07" w:rsidRDefault="00705F07">
      <w:pPr>
        <w:spacing w:line="360" w:lineRule="auto"/>
        <w:ind w:firstLine="709"/>
        <w:jc w:val="both"/>
        <w:rPr>
          <w:rStyle w:val="ac"/>
          <w:i w:val="0"/>
          <w:color w:val="000000"/>
          <w:sz w:val="28"/>
          <w:szCs w:val="28"/>
        </w:rPr>
      </w:pPr>
    </w:p>
    <w:p w:rsidR="00705F07" w:rsidRDefault="00185A37">
      <w:pPr>
        <w:spacing w:line="360" w:lineRule="auto"/>
        <w:ind w:firstLine="709"/>
        <w:jc w:val="both"/>
        <w:rPr>
          <w:rStyle w:val="ac"/>
          <w:i w:val="0"/>
          <w:color w:val="000000"/>
          <w:sz w:val="28"/>
          <w:szCs w:val="28"/>
          <w:lang w:val="uk-UA"/>
        </w:rPr>
      </w:pPr>
      <w:r>
        <w:rPr>
          <w:rStyle w:val="ac"/>
          <w:i w:val="0"/>
          <w:color w:val="000000"/>
          <w:sz w:val="28"/>
          <w:szCs w:val="28"/>
          <w:lang w:val="uk-UA"/>
        </w:rPr>
        <w:t>Акції українських компаній зазнали зниження капіталізації та падіння ринку, що спричинило втрату інвесторів і зменшення обороту акцій. Стабілізаційними заходами є стимулювання довгострокових інвестицій та підвищення прозорості інформації про компанії, що с</w:t>
      </w:r>
      <w:r>
        <w:rPr>
          <w:rStyle w:val="ac"/>
          <w:i w:val="0"/>
          <w:color w:val="000000"/>
          <w:sz w:val="28"/>
          <w:szCs w:val="28"/>
          <w:lang w:val="uk-UA"/>
        </w:rPr>
        <w:t>приятиме поверненню довіри та активізації торгів. Банківський сектор в умовах війни відчував зупинку роботи відділень та евакуацію персоналу, що обмежувало доступ до кредитів та депозитів. Розвиток онлайн-банкінгу та дистанційних фінансових послуг дозволяє</w:t>
      </w:r>
      <w:r>
        <w:rPr>
          <w:rStyle w:val="ac"/>
          <w:i w:val="0"/>
          <w:color w:val="000000"/>
          <w:sz w:val="28"/>
          <w:szCs w:val="28"/>
          <w:lang w:val="uk-UA"/>
        </w:rPr>
        <w:t xml:space="preserve"> компенсувати фізичні обмеження та забезпечити безперервність фінансових операцій. Страховий ринок зазнав підвищених виплат та ризику банкрутства компаній, що спричинило зростання страхових премій та обмеження надання послуг. Ефективними заходами є державн</w:t>
      </w:r>
      <w:r>
        <w:rPr>
          <w:rStyle w:val="ac"/>
          <w:i w:val="0"/>
          <w:color w:val="000000"/>
          <w:sz w:val="28"/>
          <w:szCs w:val="28"/>
          <w:lang w:val="uk-UA"/>
        </w:rPr>
        <w:t xml:space="preserve">е страхування військових ризиків та підтримка страхових компаній, що забезпечує стабільність ринку та захист інтересів страхувальників. </w:t>
      </w:r>
    </w:p>
    <w:p w:rsidR="00705F07" w:rsidRDefault="00185A37">
      <w:pPr>
        <w:spacing w:line="360" w:lineRule="auto"/>
        <w:ind w:firstLine="709"/>
        <w:jc w:val="both"/>
        <w:rPr>
          <w:rStyle w:val="ac"/>
          <w:i w:val="0"/>
          <w:color w:val="000000"/>
          <w:sz w:val="28"/>
          <w:szCs w:val="28"/>
          <w:lang w:val="uk-UA"/>
        </w:rPr>
      </w:pPr>
      <w:r>
        <w:rPr>
          <w:rStyle w:val="ac"/>
          <w:i w:val="0"/>
          <w:color w:val="000000"/>
          <w:sz w:val="28"/>
          <w:szCs w:val="28"/>
          <w:lang w:val="uk-UA"/>
        </w:rPr>
        <w:t>Воєнний період 2022-2024 років створив значні виклики для функціонування фінансового ринку України, які проявлялися у в</w:t>
      </w:r>
      <w:r>
        <w:rPr>
          <w:rStyle w:val="ac"/>
          <w:i w:val="0"/>
          <w:color w:val="000000"/>
          <w:sz w:val="28"/>
          <w:szCs w:val="28"/>
          <w:lang w:val="uk-UA"/>
        </w:rPr>
        <w:t>игляді як сезонних, так і стратегічних проблем. Кожен етап війни характеризувався специфічними ризиками для ліквідності, обсягів торгів та стабільності фінансових інструментів. Для ефективного аналізу необхідно розглядати періодичні коливання ринку у конте</w:t>
      </w:r>
      <w:r>
        <w:rPr>
          <w:rStyle w:val="ac"/>
          <w:i w:val="0"/>
          <w:color w:val="000000"/>
          <w:sz w:val="28"/>
          <w:szCs w:val="28"/>
          <w:lang w:val="uk-UA"/>
        </w:rPr>
        <w:t>ксті воєнних подій та їхнього впливу на різні сегменти фінансового сектору (табл. 3.3).</w:t>
      </w:r>
    </w:p>
    <w:p w:rsidR="00705F07" w:rsidRDefault="00185A37">
      <w:pPr>
        <w:spacing w:line="360" w:lineRule="auto"/>
        <w:ind w:firstLine="709"/>
        <w:jc w:val="right"/>
        <w:rPr>
          <w:rStyle w:val="ac"/>
          <w:i w:val="0"/>
          <w:color w:val="000000"/>
          <w:sz w:val="28"/>
          <w:szCs w:val="28"/>
          <w:lang w:val="uk-UA"/>
        </w:rPr>
      </w:pPr>
      <w:r>
        <w:rPr>
          <w:rStyle w:val="ac"/>
          <w:i w:val="0"/>
          <w:color w:val="000000"/>
          <w:sz w:val="28"/>
          <w:szCs w:val="28"/>
        </w:rPr>
        <w:t xml:space="preserve">Таблиця </w:t>
      </w:r>
      <w:r>
        <w:rPr>
          <w:rStyle w:val="ac"/>
          <w:i w:val="0"/>
          <w:color w:val="000000"/>
          <w:sz w:val="28"/>
          <w:szCs w:val="28"/>
          <w:lang w:val="uk-UA"/>
        </w:rPr>
        <w:t>3.3</w:t>
      </w:r>
    </w:p>
    <w:p w:rsidR="00705F07" w:rsidRDefault="00185A37">
      <w:pPr>
        <w:spacing w:line="360" w:lineRule="auto"/>
        <w:ind w:firstLine="709"/>
        <w:jc w:val="center"/>
        <w:rPr>
          <w:rStyle w:val="ac"/>
          <w:i w:val="0"/>
          <w:color w:val="000000"/>
          <w:sz w:val="28"/>
          <w:szCs w:val="28"/>
        </w:rPr>
      </w:pPr>
      <w:r>
        <w:rPr>
          <w:rStyle w:val="ac"/>
          <w:i w:val="0"/>
          <w:color w:val="000000"/>
          <w:sz w:val="28"/>
          <w:szCs w:val="28"/>
        </w:rPr>
        <w:t>Сезонні та стратегічні проблеми ринку у воєнний період</w:t>
      </w:r>
    </w:p>
    <w:tbl>
      <w:tblPr>
        <w:tblStyle w:val="ad"/>
        <w:tblW w:w="0" w:type="auto"/>
        <w:jc w:val="center"/>
        <w:tblLook w:val="04A0" w:firstRow="1" w:lastRow="0" w:firstColumn="1" w:lastColumn="0" w:noHBand="0" w:noVBand="1"/>
      </w:tblPr>
      <w:tblGrid>
        <w:gridCol w:w="2316"/>
        <w:gridCol w:w="2220"/>
        <w:gridCol w:w="2351"/>
        <w:gridCol w:w="2465"/>
      </w:tblGrid>
      <w:tr w:rsidR="00705F07">
        <w:trPr>
          <w:jc w:val="center"/>
        </w:trPr>
        <w:tc>
          <w:tcPr>
            <w:tcW w:w="0" w:type="auto"/>
            <w:vAlign w:val="center"/>
            <w:hideMark/>
          </w:tcPr>
          <w:p w:rsidR="00705F07" w:rsidRDefault="00185A37">
            <w:pPr>
              <w:jc w:val="center"/>
              <w:rPr>
                <w:rStyle w:val="ac"/>
                <w:i w:val="0"/>
                <w:color w:val="000000"/>
              </w:rPr>
            </w:pPr>
            <w:r>
              <w:rPr>
                <w:rStyle w:val="ac"/>
                <w:i w:val="0"/>
                <w:color w:val="000000"/>
              </w:rPr>
              <w:t>Період</w:t>
            </w:r>
          </w:p>
        </w:tc>
        <w:tc>
          <w:tcPr>
            <w:tcW w:w="0" w:type="auto"/>
            <w:vAlign w:val="center"/>
            <w:hideMark/>
          </w:tcPr>
          <w:p w:rsidR="00705F07" w:rsidRDefault="00185A37">
            <w:pPr>
              <w:jc w:val="center"/>
              <w:rPr>
                <w:rStyle w:val="ac"/>
                <w:i w:val="0"/>
                <w:color w:val="000000"/>
              </w:rPr>
            </w:pPr>
            <w:r>
              <w:rPr>
                <w:rStyle w:val="ac"/>
                <w:i w:val="0"/>
                <w:color w:val="000000"/>
              </w:rPr>
              <w:t>Проблема</w:t>
            </w:r>
          </w:p>
        </w:tc>
        <w:tc>
          <w:tcPr>
            <w:tcW w:w="0" w:type="auto"/>
            <w:vAlign w:val="center"/>
            <w:hideMark/>
          </w:tcPr>
          <w:p w:rsidR="00705F07" w:rsidRDefault="00185A37">
            <w:pPr>
              <w:jc w:val="center"/>
              <w:rPr>
                <w:rStyle w:val="ac"/>
                <w:i w:val="0"/>
                <w:color w:val="000000"/>
              </w:rPr>
            </w:pPr>
            <w:r>
              <w:rPr>
                <w:rStyle w:val="ac"/>
                <w:i w:val="0"/>
                <w:color w:val="000000"/>
              </w:rPr>
              <w:t>Причина</w:t>
            </w:r>
          </w:p>
        </w:tc>
        <w:tc>
          <w:tcPr>
            <w:tcW w:w="0" w:type="auto"/>
            <w:vAlign w:val="center"/>
            <w:hideMark/>
          </w:tcPr>
          <w:p w:rsidR="00705F07" w:rsidRDefault="00185A37">
            <w:pPr>
              <w:jc w:val="center"/>
              <w:rPr>
                <w:rStyle w:val="ac"/>
                <w:i w:val="0"/>
                <w:color w:val="000000"/>
              </w:rPr>
            </w:pPr>
            <w:r>
              <w:rPr>
                <w:rStyle w:val="ac"/>
                <w:i w:val="0"/>
                <w:color w:val="000000"/>
              </w:rPr>
              <w:t>Вплив на фінансовий ринок</w:t>
            </w:r>
          </w:p>
        </w:tc>
      </w:tr>
      <w:tr w:rsidR="00705F07">
        <w:trPr>
          <w:jc w:val="center"/>
        </w:trPr>
        <w:tc>
          <w:tcPr>
            <w:tcW w:w="0" w:type="auto"/>
            <w:vAlign w:val="center"/>
            <w:hideMark/>
          </w:tcPr>
          <w:p w:rsidR="00705F07" w:rsidRDefault="00185A37">
            <w:pPr>
              <w:jc w:val="center"/>
              <w:rPr>
                <w:rStyle w:val="ac"/>
                <w:i w:val="0"/>
                <w:color w:val="000000"/>
              </w:rPr>
            </w:pPr>
            <w:r>
              <w:rPr>
                <w:rStyle w:val="ac"/>
                <w:i w:val="0"/>
                <w:color w:val="000000"/>
              </w:rPr>
              <w:t>Початок війни (лютий–травень 2022)</w:t>
            </w:r>
          </w:p>
        </w:tc>
        <w:tc>
          <w:tcPr>
            <w:tcW w:w="0" w:type="auto"/>
            <w:vAlign w:val="center"/>
            <w:hideMark/>
          </w:tcPr>
          <w:p w:rsidR="00705F07" w:rsidRDefault="00185A37">
            <w:pPr>
              <w:jc w:val="center"/>
              <w:rPr>
                <w:rStyle w:val="ac"/>
                <w:i w:val="0"/>
                <w:color w:val="000000"/>
              </w:rPr>
            </w:pPr>
            <w:r>
              <w:rPr>
                <w:rStyle w:val="ac"/>
                <w:i w:val="0"/>
                <w:color w:val="000000"/>
              </w:rPr>
              <w:t>Панічний відтік</w:t>
            </w:r>
            <w:r>
              <w:rPr>
                <w:rStyle w:val="ac"/>
                <w:i w:val="0"/>
                <w:color w:val="000000"/>
              </w:rPr>
              <w:t xml:space="preserve"> капіталу</w:t>
            </w:r>
          </w:p>
        </w:tc>
        <w:tc>
          <w:tcPr>
            <w:tcW w:w="0" w:type="auto"/>
            <w:vAlign w:val="center"/>
            <w:hideMark/>
          </w:tcPr>
          <w:p w:rsidR="00705F07" w:rsidRDefault="00185A37">
            <w:pPr>
              <w:jc w:val="center"/>
              <w:rPr>
                <w:rStyle w:val="ac"/>
                <w:i w:val="0"/>
                <w:color w:val="000000"/>
              </w:rPr>
            </w:pPr>
            <w:r>
              <w:rPr>
                <w:rStyle w:val="ac"/>
                <w:i w:val="0"/>
                <w:color w:val="000000"/>
              </w:rPr>
              <w:t>Початок бойових дій, невизначеність</w:t>
            </w:r>
          </w:p>
        </w:tc>
        <w:tc>
          <w:tcPr>
            <w:tcW w:w="0" w:type="auto"/>
            <w:vAlign w:val="center"/>
            <w:hideMark/>
          </w:tcPr>
          <w:p w:rsidR="00705F07" w:rsidRDefault="00185A37">
            <w:pPr>
              <w:jc w:val="center"/>
              <w:rPr>
                <w:rStyle w:val="ac"/>
                <w:i w:val="0"/>
                <w:color w:val="000000"/>
              </w:rPr>
            </w:pPr>
            <w:r>
              <w:rPr>
                <w:rStyle w:val="ac"/>
                <w:i w:val="0"/>
                <w:color w:val="000000"/>
              </w:rPr>
              <w:t>Масові продажі цінних паперів, падіння ліквідності</w:t>
            </w:r>
          </w:p>
        </w:tc>
      </w:tr>
      <w:tr w:rsidR="00705F07">
        <w:trPr>
          <w:jc w:val="center"/>
        </w:trPr>
        <w:tc>
          <w:tcPr>
            <w:tcW w:w="0" w:type="auto"/>
            <w:vAlign w:val="center"/>
            <w:hideMark/>
          </w:tcPr>
          <w:p w:rsidR="00705F07" w:rsidRDefault="00185A37">
            <w:pPr>
              <w:jc w:val="center"/>
              <w:rPr>
                <w:rStyle w:val="ac"/>
                <w:i w:val="0"/>
                <w:color w:val="000000"/>
              </w:rPr>
            </w:pPr>
            <w:r>
              <w:rPr>
                <w:rStyle w:val="ac"/>
                <w:i w:val="0"/>
                <w:color w:val="000000"/>
              </w:rPr>
              <w:t>Літо 2022</w:t>
            </w:r>
          </w:p>
        </w:tc>
        <w:tc>
          <w:tcPr>
            <w:tcW w:w="0" w:type="auto"/>
            <w:vAlign w:val="center"/>
            <w:hideMark/>
          </w:tcPr>
          <w:p w:rsidR="00705F07" w:rsidRDefault="00185A37">
            <w:pPr>
              <w:jc w:val="center"/>
              <w:rPr>
                <w:rStyle w:val="ac"/>
                <w:i w:val="0"/>
                <w:color w:val="000000"/>
              </w:rPr>
            </w:pPr>
            <w:r>
              <w:rPr>
                <w:rStyle w:val="ac"/>
                <w:i w:val="0"/>
                <w:color w:val="000000"/>
              </w:rPr>
              <w:t>Зниження емісії корпоративних облігацій</w:t>
            </w:r>
          </w:p>
        </w:tc>
        <w:tc>
          <w:tcPr>
            <w:tcW w:w="0" w:type="auto"/>
            <w:vAlign w:val="center"/>
            <w:hideMark/>
          </w:tcPr>
          <w:p w:rsidR="00705F07" w:rsidRDefault="00185A37">
            <w:pPr>
              <w:jc w:val="center"/>
              <w:rPr>
                <w:rStyle w:val="ac"/>
                <w:i w:val="0"/>
                <w:color w:val="000000"/>
              </w:rPr>
            </w:pPr>
            <w:r>
              <w:rPr>
                <w:rStyle w:val="ac"/>
                <w:i w:val="0"/>
                <w:color w:val="000000"/>
              </w:rPr>
              <w:t>Закриття виробництв, нестача фінансування</w:t>
            </w:r>
          </w:p>
        </w:tc>
        <w:tc>
          <w:tcPr>
            <w:tcW w:w="0" w:type="auto"/>
            <w:vAlign w:val="center"/>
            <w:hideMark/>
          </w:tcPr>
          <w:p w:rsidR="00705F07" w:rsidRDefault="00185A37">
            <w:pPr>
              <w:jc w:val="center"/>
              <w:rPr>
                <w:rStyle w:val="ac"/>
                <w:i w:val="0"/>
                <w:color w:val="000000"/>
              </w:rPr>
            </w:pPr>
            <w:r>
              <w:rPr>
                <w:rStyle w:val="ac"/>
                <w:i w:val="0"/>
                <w:color w:val="000000"/>
              </w:rPr>
              <w:t>Скорочення ринку корпоративних боргових інструментів</w:t>
            </w:r>
          </w:p>
        </w:tc>
      </w:tr>
      <w:tr w:rsidR="00705F07">
        <w:trPr>
          <w:jc w:val="center"/>
        </w:trPr>
        <w:tc>
          <w:tcPr>
            <w:tcW w:w="0" w:type="auto"/>
            <w:vAlign w:val="center"/>
            <w:hideMark/>
          </w:tcPr>
          <w:p w:rsidR="00705F07" w:rsidRDefault="00185A37">
            <w:pPr>
              <w:jc w:val="center"/>
              <w:rPr>
                <w:rStyle w:val="ac"/>
                <w:i w:val="0"/>
                <w:color w:val="000000"/>
              </w:rPr>
            </w:pPr>
            <w:r>
              <w:rPr>
                <w:rStyle w:val="ac"/>
                <w:i w:val="0"/>
                <w:color w:val="000000"/>
              </w:rPr>
              <w:t xml:space="preserve">Кінець 2022 </w:t>
            </w:r>
            <w:r>
              <w:rPr>
                <w:rStyle w:val="ac"/>
                <w:i w:val="0"/>
                <w:color w:val="000000"/>
              </w:rPr>
              <w:t>– початок 2023</w:t>
            </w:r>
          </w:p>
        </w:tc>
        <w:tc>
          <w:tcPr>
            <w:tcW w:w="0" w:type="auto"/>
            <w:vAlign w:val="center"/>
            <w:hideMark/>
          </w:tcPr>
          <w:p w:rsidR="00705F07" w:rsidRDefault="00185A37">
            <w:pPr>
              <w:jc w:val="center"/>
              <w:rPr>
                <w:rStyle w:val="ac"/>
                <w:i w:val="0"/>
                <w:color w:val="000000"/>
              </w:rPr>
            </w:pPr>
            <w:r>
              <w:rPr>
                <w:rStyle w:val="ac"/>
                <w:i w:val="0"/>
                <w:color w:val="000000"/>
              </w:rPr>
              <w:t>Підвищення ставок ОВДП</w:t>
            </w:r>
          </w:p>
        </w:tc>
        <w:tc>
          <w:tcPr>
            <w:tcW w:w="0" w:type="auto"/>
            <w:vAlign w:val="center"/>
            <w:hideMark/>
          </w:tcPr>
          <w:p w:rsidR="00705F07" w:rsidRDefault="00185A37">
            <w:pPr>
              <w:jc w:val="center"/>
              <w:rPr>
                <w:rStyle w:val="ac"/>
                <w:i w:val="0"/>
                <w:color w:val="000000"/>
              </w:rPr>
            </w:pPr>
            <w:r>
              <w:rPr>
                <w:rStyle w:val="ac"/>
                <w:i w:val="0"/>
                <w:color w:val="000000"/>
              </w:rPr>
              <w:t>Зростання бюджетного дефіциту, військові витрати</w:t>
            </w:r>
          </w:p>
        </w:tc>
        <w:tc>
          <w:tcPr>
            <w:tcW w:w="0" w:type="auto"/>
            <w:vAlign w:val="center"/>
            <w:hideMark/>
          </w:tcPr>
          <w:p w:rsidR="00705F07" w:rsidRDefault="00185A37">
            <w:pPr>
              <w:jc w:val="center"/>
              <w:rPr>
                <w:rStyle w:val="ac"/>
                <w:i w:val="0"/>
                <w:color w:val="000000"/>
              </w:rPr>
            </w:pPr>
            <w:r>
              <w:rPr>
                <w:rStyle w:val="ac"/>
                <w:i w:val="0"/>
                <w:color w:val="000000"/>
              </w:rPr>
              <w:t>Висока дохідність державних паперів, але зростання ризику</w:t>
            </w:r>
          </w:p>
        </w:tc>
      </w:tr>
      <w:tr w:rsidR="00705F07">
        <w:trPr>
          <w:jc w:val="center"/>
        </w:trPr>
        <w:tc>
          <w:tcPr>
            <w:tcW w:w="0" w:type="auto"/>
            <w:vAlign w:val="center"/>
            <w:hideMark/>
          </w:tcPr>
          <w:p w:rsidR="00705F07" w:rsidRDefault="00185A37">
            <w:pPr>
              <w:jc w:val="center"/>
              <w:rPr>
                <w:rStyle w:val="ac"/>
                <w:i w:val="0"/>
                <w:color w:val="000000"/>
              </w:rPr>
            </w:pPr>
            <w:r>
              <w:rPr>
                <w:rStyle w:val="ac"/>
                <w:i w:val="0"/>
                <w:color w:val="000000"/>
              </w:rPr>
              <w:t>2023–2024</w:t>
            </w:r>
          </w:p>
        </w:tc>
        <w:tc>
          <w:tcPr>
            <w:tcW w:w="0" w:type="auto"/>
            <w:vAlign w:val="center"/>
            <w:hideMark/>
          </w:tcPr>
          <w:p w:rsidR="00705F07" w:rsidRDefault="00185A37">
            <w:pPr>
              <w:jc w:val="center"/>
              <w:rPr>
                <w:rStyle w:val="ac"/>
                <w:i w:val="0"/>
                <w:color w:val="000000"/>
              </w:rPr>
            </w:pPr>
            <w:r>
              <w:rPr>
                <w:rStyle w:val="ac"/>
                <w:i w:val="0"/>
                <w:color w:val="000000"/>
              </w:rPr>
              <w:t>Відновлення торгів на вторинному ринку</w:t>
            </w:r>
          </w:p>
        </w:tc>
        <w:tc>
          <w:tcPr>
            <w:tcW w:w="0" w:type="auto"/>
            <w:vAlign w:val="center"/>
            <w:hideMark/>
          </w:tcPr>
          <w:p w:rsidR="00705F07" w:rsidRDefault="00185A37">
            <w:pPr>
              <w:jc w:val="center"/>
              <w:rPr>
                <w:rStyle w:val="ac"/>
                <w:i w:val="0"/>
                <w:color w:val="000000"/>
              </w:rPr>
            </w:pPr>
            <w:r>
              <w:rPr>
                <w:rStyle w:val="ac"/>
                <w:i w:val="0"/>
                <w:color w:val="000000"/>
              </w:rPr>
              <w:t>Часткове стабілізування економічної ситуації</w:t>
            </w:r>
          </w:p>
        </w:tc>
        <w:tc>
          <w:tcPr>
            <w:tcW w:w="0" w:type="auto"/>
            <w:vAlign w:val="center"/>
            <w:hideMark/>
          </w:tcPr>
          <w:p w:rsidR="00705F07" w:rsidRDefault="00185A37">
            <w:pPr>
              <w:jc w:val="center"/>
              <w:rPr>
                <w:rStyle w:val="ac"/>
                <w:i w:val="0"/>
                <w:color w:val="000000"/>
              </w:rPr>
            </w:pPr>
            <w:r>
              <w:rPr>
                <w:rStyle w:val="ac"/>
                <w:i w:val="0"/>
                <w:color w:val="000000"/>
              </w:rPr>
              <w:t xml:space="preserve">Поступове </w:t>
            </w:r>
            <w:r>
              <w:rPr>
                <w:rStyle w:val="ac"/>
                <w:i w:val="0"/>
                <w:color w:val="000000"/>
              </w:rPr>
              <w:t>відновлення ліквідності, збільшення обсягів операцій</w:t>
            </w:r>
          </w:p>
        </w:tc>
      </w:tr>
    </w:tbl>
    <w:p w:rsidR="00705F07" w:rsidRDefault="00185A37">
      <w:pPr>
        <w:ind w:firstLine="709"/>
        <w:jc w:val="both"/>
        <w:rPr>
          <w:color w:val="000000"/>
        </w:rPr>
      </w:pPr>
      <w:r>
        <w:rPr>
          <w:color w:val="000000"/>
        </w:rPr>
        <w:t>Джерело: складено автором на основі даних [</w:t>
      </w:r>
      <w:r>
        <w:rPr>
          <w:color w:val="000000"/>
          <w:lang w:val="uk-UA"/>
        </w:rPr>
        <w:t>12, с. 35; 15, с. 107; 18, с. 57</w:t>
      </w:r>
      <w:r>
        <w:rPr>
          <w:color w:val="000000"/>
        </w:rPr>
        <w:t>].</w:t>
      </w:r>
    </w:p>
    <w:p w:rsidR="00705F07" w:rsidRDefault="00705F07">
      <w:pPr>
        <w:spacing w:line="360" w:lineRule="auto"/>
        <w:ind w:firstLine="709"/>
        <w:jc w:val="both"/>
        <w:rPr>
          <w:rStyle w:val="ac"/>
          <w:i w:val="0"/>
          <w:color w:val="000000"/>
          <w:sz w:val="28"/>
          <w:szCs w:val="28"/>
        </w:rPr>
      </w:pPr>
    </w:p>
    <w:p w:rsidR="00705F07" w:rsidRDefault="00185A37">
      <w:pPr>
        <w:spacing w:line="360" w:lineRule="auto"/>
        <w:ind w:firstLine="709"/>
        <w:jc w:val="both"/>
        <w:rPr>
          <w:rStyle w:val="ac"/>
          <w:i w:val="0"/>
          <w:color w:val="000000"/>
          <w:sz w:val="28"/>
          <w:szCs w:val="28"/>
          <w:lang w:val="uk-UA"/>
        </w:rPr>
      </w:pPr>
      <w:r>
        <w:rPr>
          <w:rStyle w:val="ac"/>
          <w:i w:val="0"/>
          <w:color w:val="000000"/>
          <w:sz w:val="28"/>
          <w:szCs w:val="28"/>
          <w:lang w:val="uk-UA"/>
        </w:rPr>
        <w:t>Початок війни (лютий–травень 2022 року) відзначався панічним відтоком капіталу через невизначеність та початок бойових дій.</w:t>
      </w:r>
      <w:r>
        <w:rPr>
          <w:rStyle w:val="ac"/>
          <w:i w:val="0"/>
          <w:color w:val="000000"/>
          <w:sz w:val="28"/>
          <w:szCs w:val="28"/>
          <w:lang w:val="uk-UA"/>
        </w:rPr>
        <w:t xml:space="preserve"> Інвестори масово продавали цінні папери, що призвело до різкого падіння ліквідності на ринку. Цей період характеризувався високим рівнем фінансової нестабільності, що вимагало від держави оперативного втручання та застосування заходів підтримки інвесторів</w:t>
      </w:r>
      <w:r>
        <w:rPr>
          <w:rStyle w:val="ac"/>
          <w:i w:val="0"/>
          <w:color w:val="000000"/>
          <w:sz w:val="28"/>
          <w:szCs w:val="28"/>
          <w:lang w:val="uk-UA"/>
        </w:rPr>
        <w:t>. У літній період 2022 року спостерігалося значне зниження емісії корпоративних облігацій. Закриття виробничих підприємств та нестача фінансування обмежували можливості бізнесу залучати капітал через боргові інструменти. Це спричинило скорочення ринку корп</w:t>
      </w:r>
      <w:r>
        <w:rPr>
          <w:rStyle w:val="ac"/>
          <w:i w:val="0"/>
          <w:color w:val="000000"/>
          <w:sz w:val="28"/>
          <w:szCs w:val="28"/>
          <w:lang w:val="uk-UA"/>
        </w:rPr>
        <w:t>оративних облігацій та обмеження фінансової активності приватного сектору. На кінець 2022 – початок 2023 року основною проблемою стало підвищення ставок за державними облігаціями (ОВДП). Зростання бюджетного дефіциту та збільшення військових витрат вимагал</w:t>
      </w:r>
      <w:r>
        <w:rPr>
          <w:rStyle w:val="ac"/>
          <w:i w:val="0"/>
          <w:color w:val="000000"/>
          <w:sz w:val="28"/>
          <w:szCs w:val="28"/>
          <w:lang w:val="uk-UA"/>
        </w:rPr>
        <w:t>о від уряду підвищувати дохідність паперів, що створювало високий ризик дефолту для інвесторів і водночас стимулювало їх до короткострокових вкладень у «безпечні» активи. У період 2023–2024 років почалося поступове відновлення торгів на вторинному ринку за</w:t>
      </w:r>
      <w:r>
        <w:rPr>
          <w:rStyle w:val="ac"/>
          <w:i w:val="0"/>
          <w:color w:val="000000"/>
          <w:sz w:val="28"/>
          <w:szCs w:val="28"/>
          <w:lang w:val="uk-UA"/>
        </w:rPr>
        <w:t>вдяки стабілізації економічної ситуації та адаптації учасників ринку до умов воєнного часу. Відновлювалася ліквідність, зростали обсяги операцій, а фінансові інститути поступово відновлювали свою роботу, що створювало умови для стабілізації та подальшого р</w:t>
      </w:r>
      <w:r>
        <w:rPr>
          <w:rStyle w:val="ac"/>
          <w:i w:val="0"/>
          <w:color w:val="000000"/>
          <w:sz w:val="28"/>
          <w:szCs w:val="28"/>
          <w:lang w:val="uk-UA"/>
        </w:rPr>
        <w:t>озвитку ринку.</w:t>
      </w:r>
    </w:p>
    <w:p w:rsidR="00705F07" w:rsidRDefault="00185A37">
      <w:pPr>
        <w:spacing w:line="360" w:lineRule="auto"/>
        <w:ind w:firstLine="709"/>
        <w:jc w:val="both"/>
        <w:rPr>
          <w:rStyle w:val="ac"/>
          <w:i w:val="0"/>
          <w:color w:val="000000"/>
          <w:sz w:val="28"/>
          <w:szCs w:val="28"/>
          <w:lang w:val="uk-UA"/>
        </w:rPr>
      </w:pPr>
      <w:r>
        <w:rPr>
          <w:rStyle w:val="ac"/>
          <w:i w:val="0"/>
          <w:color w:val="000000"/>
          <w:sz w:val="28"/>
          <w:szCs w:val="28"/>
          <w:lang w:val="uk-UA"/>
        </w:rPr>
        <w:t xml:space="preserve">Отже, функціонування вітчизняного фінансового ринку у 2022-2024 рр. було суттєво ускладнене війною, що призвело до падіння ліквідності, обмеження доступу до фінансових послуг та зниження інвестиційної активності. Панічні настрої інвесторів, </w:t>
      </w:r>
      <w:r>
        <w:rPr>
          <w:rStyle w:val="ac"/>
          <w:i w:val="0"/>
          <w:color w:val="000000"/>
          <w:sz w:val="28"/>
          <w:szCs w:val="28"/>
          <w:lang w:val="uk-UA"/>
        </w:rPr>
        <w:t>нестабільність цін на державні та корпоративні цінні папери, а також обмежена робота банківського та страхового секторів спричинили масштабні дисбаланси у фінансовій системі. Водночас кризові умови стимулювали пошук нових механізмів стабілізації, включаючи</w:t>
      </w:r>
      <w:r>
        <w:rPr>
          <w:rStyle w:val="ac"/>
          <w:i w:val="0"/>
          <w:color w:val="000000"/>
          <w:sz w:val="28"/>
          <w:szCs w:val="28"/>
          <w:lang w:val="uk-UA"/>
        </w:rPr>
        <w:t xml:space="preserve"> державні гарантії, страхування інвестицій, цифровізацію торгів та розвиток мобільних фінансових сервісів. Аналіз сезонних та стратегічних проблем ринку показав, що ефективне управління фінансовими інструментами в умовах воєнних ризиків вимагає комплексног</w:t>
      </w:r>
      <w:r>
        <w:rPr>
          <w:rStyle w:val="ac"/>
          <w:i w:val="0"/>
          <w:color w:val="000000"/>
          <w:sz w:val="28"/>
          <w:szCs w:val="28"/>
          <w:lang w:val="uk-UA"/>
        </w:rPr>
        <w:t>о підходу, спрямованого на відновлення довіри інвесторів, забезпечення ліквідності та стабілізацію ключових сегментів ринку. Таким чином, проблематика функціонування фінансового ринку під час війни підкреслює необхідність системних заходів державної підтри</w:t>
      </w:r>
      <w:r>
        <w:rPr>
          <w:rStyle w:val="ac"/>
          <w:i w:val="0"/>
          <w:color w:val="000000"/>
          <w:sz w:val="28"/>
          <w:szCs w:val="28"/>
          <w:lang w:val="uk-UA"/>
        </w:rPr>
        <w:t>мки та інноваційних рішень для забезпечення стійкого розвитку фінансової системи України.</w:t>
      </w:r>
    </w:p>
    <w:p w:rsidR="00705F07" w:rsidRDefault="00705F07">
      <w:pPr>
        <w:pStyle w:val="2"/>
        <w:keepNext w:val="0"/>
        <w:keepLines w:val="0"/>
        <w:spacing w:before="0" w:line="360" w:lineRule="auto"/>
        <w:ind w:firstLine="709"/>
        <w:jc w:val="both"/>
        <w:rPr>
          <w:rFonts w:ascii="Times New Roman" w:hAnsi="Times New Roman" w:cs="Times New Roman"/>
          <w:b w:val="0"/>
          <w:color w:val="000000"/>
          <w:sz w:val="28"/>
          <w:szCs w:val="28"/>
          <w:lang w:val="uk-UA"/>
        </w:rPr>
      </w:pPr>
    </w:p>
    <w:p w:rsidR="00705F07" w:rsidRDefault="00185A37">
      <w:pPr>
        <w:pStyle w:val="2"/>
        <w:keepNext w:val="0"/>
        <w:keepLines w:val="0"/>
        <w:spacing w:before="0" w:line="360" w:lineRule="auto"/>
        <w:ind w:firstLine="709"/>
        <w:jc w:val="both"/>
        <w:rPr>
          <w:rFonts w:ascii="Times New Roman" w:hAnsi="Times New Roman" w:cs="Times New Roman"/>
          <w:b w:val="0"/>
          <w:color w:val="000000"/>
          <w:sz w:val="28"/>
          <w:szCs w:val="28"/>
        </w:rPr>
      </w:pPr>
      <w:bookmarkStart w:id="17" w:name="_Toc213845776"/>
      <w:r>
        <w:rPr>
          <w:rFonts w:ascii="Times New Roman" w:hAnsi="Times New Roman" w:cs="Times New Roman"/>
          <w:b w:val="0"/>
          <w:color w:val="000000"/>
          <w:sz w:val="28"/>
          <w:szCs w:val="28"/>
        </w:rPr>
        <w:t>3.2 Шляхи вирішення сучасних проблем і перспектив розвитку фінансового ринку в умовах повоєнного відновлення</w:t>
      </w:r>
      <w:bookmarkEnd w:id="17"/>
    </w:p>
    <w:p w:rsidR="00705F07" w:rsidRDefault="00705F07">
      <w:pPr>
        <w:pStyle w:val="2"/>
        <w:keepNext w:val="0"/>
        <w:keepLines w:val="0"/>
        <w:spacing w:before="0" w:line="360" w:lineRule="auto"/>
        <w:ind w:firstLine="709"/>
        <w:jc w:val="both"/>
        <w:rPr>
          <w:rFonts w:ascii="Times New Roman" w:hAnsi="Times New Roman" w:cs="Times New Roman"/>
          <w:b w:val="0"/>
          <w:color w:val="000000"/>
          <w:sz w:val="28"/>
          <w:szCs w:val="28"/>
        </w:rPr>
      </w:pPr>
    </w:p>
    <w:p w:rsidR="00705F07" w:rsidRDefault="00185A37">
      <w:pPr>
        <w:spacing w:line="360" w:lineRule="auto"/>
        <w:ind w:firstLine="709"/>
        <w:jc w:val="both"/>
        <w:rPr>
          <w:rStyle w:val="ab"/>
          <w:b w:val="0"/>
          <w:bCs w:val="0"/>
          <w:color w:val="000000"/>
          <w:sz w:val="28"/>
          <w:szCs w:val="28"/>
        </w:rPr>
      </w:pPr>
      <w:r>
        <w:rPr>
          <w:rStyle w:val="ab"/>
          <w:b w:val="0"/>
          <w:bCs w:val="0"/>
          <w:color w:val="000000"/>
          <w:sz w:val="28"/>
          <w:szCs w:val="28"/>
        </w:rPr>
        <w:t xml:space="preserve">Повоєнний період для фінансового ринку України </w:t>
      </w:r>
      <w:r>
        <w:rPr>
          <w:rStyle w:val="ab"/>
          <w:b w:val="0"/>
          <w:bCs w:val="0"/>
          <w:color w:val="000000"/>
          <w:sz w:val="28"/>
          <w:szCs w:val="28"/>
        </w:rPr>
        <w:t xml:space="preserve">відкриває нові можливості та водночас ставить низку викликів, пов’язаних із відновленням економічної стабільності та довіри інвесторів. Під час війни значна частина ринкових механізмів була порушена: ліквідність фінансових інструментів знизилася, банки та </w:t>
      </w:r>
      <w:r>
        <w:rPr>
          <w:rStyle w:val="ab"/>
          <w:b w:val="0"/>
          <w:bCs w:val="0"/>
          <w:color w:val="000000"/>
          <w:sz w:val="28"/>
          <w:szCs w:val="28"/>
        </w:rPr>
        <w:t>інші фінансові установи працювали в обмеженому режимі, а корпоративний сектор відчував дефіцит капіталу. Внаслідок цього постала необхідність системних заходів, спрямованих на відновлення функціонування ринку, стимулювання інвестицій та модернізацію регуля</w:t>
      </w:r>
      <w:r>
        <w:rPr>
          <w:rStyle w:val="ab"/>
          <w:b w:val="0"/>
          <w:bCs w:val="0"/>
          <w:color w:val="000000"/>
          <w:sz w:val="28"/>
          <w:szCs w:val="28"/>
        </w:rPr>
        <w:t>торної бази</w:t>
      </w:r>
      <w:r>
        <w:rPr>
          <w:rStyle w:val="ab"/>
          <w:b w:val="0"/>
          <w:bCs w:val="0"/>
          <w:color w:val="000000"/>
          <w:sz w:val="28"/>
          <w:szCs w:val="28"/>
          <w:lang w:val="uk-UA"/>
        </w:rPr>
        <w:t xml:space="preserve"> (табл. 3.4)</w:t>
      </w:r>
      <w:r>
        <w:rPr>
          <w:rStyle w:val="ab"/>
          <w:b w:val="0"/>
          <w:bCs w:val="0"/>
          <w:color w:val="000000"/>
          <w:sz w:val="28"/>
          <w:szCs w:val="28"/>
        </w:rPr>
        <w:t>.</w:t>
      </w:r>
    </w:p>
    <w:p w:rsidR="00705F07" w:rsidRDefault="00185A37">
      <w:pPr>
        <w:spacing w:line="360" w:lineRule="auto"/>
        <w:ind w:firstLine="709"/>
        <w:jc w:val="right"/>
        <w:rPr>
          <w:rStyle w:val="ab"/>
          <w:b w:val="0"/>
          <w:bCs w:val="0"/>
          <w:color w:val="000000"/>
          <w:sz w:val="28"/>
          <w:szCs w:val="28"/>
          <w:lang w:val="uk-UA"/>
        </w:rPr>
      </w:pPr>
      <w:r>
        <w:rPr>
          <w:rStyle w:val="ab"/>
          <w:b w:val="0"/>
          <w:bCs w:val="0"/>
          <w:color w:val="000000"/>
          <w:sz w:val="28"/>
          <w:szCs w:val="28"/>
        </w:rPr>
        <w:t xml:space="preserve">Таблиця </w:t>
      </w:r>
      <w:r>
        <w:rPr>
          <w:rStyle w:val="ab"/>
          <w:b w:val="0"/>
          <w:bCs w:val="0"/>
          <w:color w:val="000000"/>
          <w:sz w:val="28"/>
          <w:szCs w:val="28"/>
          <w:lang w:val="uk-UA"/>
        </w:rPr>
        <w:t>3.4</w:t>
      </w:r>
    </w:p>
    <w:p w:rsidR="00705F07" w:rsidRDefault="00185A37">
      <w:pPr>
        <w:spacing w:line="360" w:lineRule="auto"/>
        <w:ind w:firstLine="709"/>
        <w:jc w:val="center"/>
        <w:rPr>
          <w:color w:val="000000"/>
          <w:sz w:val="28"/>
          <w:szCs w:val="28"/>
        </w:rPr>
      </w:pPr>
      <w:r>
        <w:rPr>
          <w:rStyle w:val="ab"/>
          <w:b w:val="0"/>
          <w:bCs w:val="0"/>
          <w:color w:val="000000"/>
          <w:sz w:val="28"/>
          <w:szCs w:val="28"/>
        </w:rPr>
        <w:t>Основні проблеми фінансового ринку та шляхи їх вирішення у період повоєнного відновлення</w:t>
      </w:r>
    </w:p>
    <w:tbl>
      <w:tblPr>
        <w:tblStyle w:val="ad"/>
        <w:tblW w:w="0" w:type="auto"/>
        <w:jc w:val="center"/>
        <w:tblLook w:val="04A0" w:firstRow="1" w:lastRow="0" w:firstColumn="1" w:lastColumn="0" w:noHBand="0" w:noVBand="1"/>
      </w:tblPr>
      <w:tblGrid>
        <w:gridCol w:w="1954"/>
        <w:gridCol w:w="2415"/>
        <w:gridCol w:w="2313"/>
        <w:gridCol w:w="2670"/>
      </w:tblGrid>
      <w:tr w:rsidR="00705F07">
        <w:trPr>
          <w:jc w:val="center"/>
        </w:trPr>
        <w:tc>
          <w:tcPr>
            <w:tcW w:w="0" w:type="auto"/>
            <w:vAlign w:val="center"/>
            <w:hideMark/>
          </w:tcPr>
          <w:p w:rsidR="00705F07" w:rsidRDefault="00185A37">
            <w:pPr>
              <w:jc w:val="center"/>
              <w:rPr>
                <w:bCs/>
                <w:color w:val="000000"/>
              </w:rPr>
            </w:pPr>
            <w:r>
              <w:rPr>
                <w:bCs/>
                <w:color w:val="000000"/>
              </w:rPr>
              <w:t>Проблема</w:t>
            </w:r>
          </w:p>
        </w:tc>
        <w:tc>
          <w:tcPr>
            <w:tcW w:w="0" w:type="auto"/>
            <w:vAlign w:val="center"/>
            <w:hideMark/>
          </w:tcPr>
          <w:p w:rsidR="00705F07" w:rsidRDefault="00185A37">
            <w:pPr>
              <w:jc w:val="center"/>
              <w:rPr>
                <w:bCs/>
                <w:color w:val="000000"/>
              </w:rPr>
            </w:pPr>
            <w:r>
              <w:rPr>
                <w:bCs/>
                <w:color w:val="000000"/>
              </w:rPr>
              <w:t>Причини</w:t>
            </w:r>
          </w:p>
        </w:tc>
        <w:tc>
          <w:tcPr>
            <w:tcW w:w="0" w:type="auto"/>
            <w:vAlign w:val="center"/>
            <w:hideMark/>
          </w:tcPr>
          <w:p w:rsidR="00705F07" w:rsidRDefault="00185A37">
            <w:pPr>
              <w:jc w:val="center"/>
              <w:rPr>
                <w:bCs/>
                <w:color w:val="000000"/>
              </w:rPr>
            </w:pPr>
            <w:r>
              <w:rPr>
                <w:bCs/>
                <w:color w:val="000000"/>
              </w:rPr>
              <w:t>Наслідки</w:t>
            </w:r>
          </w:p>
        </w:tc>
        <w:tc>
          <w:tcPr>
            <w:tcW w:w="0" w:type="auto"/>
            <w:vAlign w:val="center"/>
            <w:hideMark/>
          </w:tcPr>
          <w:p w:rsidR="00705F07" w:rsidRDefault="00185A37">
            <w:pPr>
              <w:jc w:val="center"/>
              <w:rPr>
                <w:bCs/>
                <w:color w:val="000000"/>
              </w:rPr>
            </w:pPr>
            <w:r>
              <w:rPr>
                <w:bCs/>
                <w:color w:val="000000"/>
              </w:rPr>
              <w:t>Шляхи вирішення</w:t>
            </w:r>
          </w:p>
        </w:tc>
      </w:tr>
      <w:tr w:rsidR="00705F07">
        <w:trPr>
          <w:jc w:val="center"/>
        </w:trPr>
        <w:tc>
          <w:tcPr>
            <w:tcW w:w="0" w:type="auto"/>
            <w:vAlign w:val="center"/>
            <w:hideMark/>
          </w:tcPr>
          <w:p w:rsidR="00705F07" w:rsidRDefault="00185A37">
            <w:pPr>
              <w:jc w:val="center"/>
              <w:rPr>
                <w:bCs/>
                <w:color w:val="000000"/>
                <w:lang w:val="uk-UA"/>
              </w:rPr>
            </w:pPr>
            <w:r>
              <w:rPr>
                <w:bCs/>
                <w:color w:val="000000"/>
                <w:lang w:val="uk-UA"/>
              </w:rPr>
              <w:t>1</w:t>
            </w:r>
          </w:p>
        </w:tc>
        <w:tc>
          <w:tcPr>
            <w:tcW w:w="0" w:type="auto"/>
            <w:vAlign w:val="center"/>
            <w:hideMark/>
          </w:tcPr>
          <w:p w:rsidR="00705F07" w:rsidRDefault="00185A37">
            <w:pPr>
              <w:jc w:val="center"/>
              <w:rPr>
                <w:bCs/>
                <w:color w:val="000000"/>
                <w:lang w:val="uk-UA"/>
              </w:rPr>
            </w:pPr>
            <w:r>
              <w:rPr>
                <w:bCs/>
                <w:color w:val="000000"/>
                <w:lang w:val="uk-UA"/>
              </w:rPr>
              <w:t>2</w:t>
            </w:r>
          </w:p>
        </w:tc>
        <w:tc>
          <w:tcPr>
            <w:tcW w:w="0" w:type="auto"/>
            <w:vAlign w:val="center"/>
            <w:hideMark/>
          </w:tcPr>
          <w:p w:rsidR="00705F07" w:rsidRDefault="00185A37">
            <w:pPr>
              <w:jc w:val="center"/>
              <w:rPr>
                <w:bCs/>
                <w:color w:val="000000"/>
                <w:lang w:val="uk-UA"/>
              </w:rPr>
            </w:pPr>
            <w:r>
              <w:rPr>
                <w:bCs/>
                <w:color w:val="000000"/>
                <w:lang w:val="uk-UA"/>
              </w:rPr>
              <w:t>3</w:t>
            </w:r>
          </w:p>
        </w:tc>
        <w:tc>
          <w:tcPr>
            <w:tcW w:w="0" w:type="auto"/>
            <w:vAlign w:val="center"/>
            <w:hideMark/>
          </w:tcPr>
          <w:p w:rsidR="00705F07" w:rsidRDefault="00185A37">
            <w:pPr>
              <w:jc w:val="center"/>
              <w:rPr>
                <w:bCs/>
                <w:color w:val="000000"/>
                <w:lang w:val="uk-UA"/>
              </w:rPr>
            </w:pPr>
            <w:r>
              <w:rPr>
                <w:bCs/>
                <w:color w:val="000000"/>
                <w:lang w:val="uk-UA"/>
              </w:rPr>
              <w:t>4</w:t>
            </w:r>
          </w:p>
        </w:tc>
      </w:tr>
      <w:tr w:rsidR="00705F07">
        <w:trPr>
          <w:jc w:val="center"/>
        </w:trPr>
        <w:tc>
          <w:tcPr>
            <w:tcW w:w="0" w:type="auto"/>
            <w:vAlign w:val="center"/>
            <w:hideMark/>
          </w:tcPr>
          <w:p w:rsidR="00705F07" w:rsidRDefault="00185A37">
            <w:pPr>
              <w:jc w:val="center"/>
              <w:rPr>
                <w:color w:val="000000"/>
              </w:rPr>
            </w:pPr>
            <w:r>
              <w:rPr>
                <w:color w:val="000000"/>
              </w:rPr>
              <w:t>Низька ліквідність фінансових інструментів</w:t>
            </w:r>
          </w:p>
        </w:tc>
        <w:tc>
          <w:tcPr>
            <w:tcW w:w="0" w:type="auto"/>
            <w:vAlign w:val="center"/>
            <w:hideMark/>
          </w:tcPr>
          <w:p w:rsidR="00705F07" w:rsidRDefault="00185A37">
            <w:pPr>
              <w:jc w:val="center"/>
              <w:rPr>
                <w:color w:val="000000"/>
              </w:rPr>
            </w:pPr>
            <w:r>
              <w:rPr>
                <w:color w:val="000000"/>
              </w:rPr>
              <w:t xml:space="preserve">Панічні настрої інвесторів, війна, </w:t>
            </w:r>
            <w:r>
              <w:rPr>
                <w:color w:val="000000"/>
              </w:rPr>
              <w:t>зниження операцій</w:t>
            </w:r>
          </w:p>
        </w:tc>
        <w:tc>
          <w:tcPr>
            <w:tcW w:w="0" w:type="auto"/>
            <w:vAlign w:val="center"/>
            <w:hideMark/>
          </w:tcPr>
          <w:p w:rsidR="00705F07" w:rsidRDefault="00185A37">
            <w:pPr>
              <w:jc w:val="center"/>
              <w:rPr>
                <w:color w:val="000000"/>
              </w:rPr>
            </w:pPr>
            <w:r>
              <w:rPr>
                <w:color w:val="000000"/>
              </w:rPr>
              <w:t>Обмежені торги на вторинному ринку, падіння вартості цінних паперів</w:t>
            </w:r>
          </w:p>
        </w:tc>
        <w:tc>
          <w:tcPr>
            <w:tcW w:w="0" w:type="auto"/>
            <w:vAlign w:val="center"/>
            <w:hideMark/>
          </w:tcPr>
          <w:p w:rsidR="00705F07" w:rsidRDefault="00185A37">
            <w:pPr>
              <w:jc w:val="center"/>
              <w:rPr>
                <w:color w:val="000000"/>
              </w:rPr>
            </w:pPr>
            <w:r>
              <w:rPr>
                <w:color w:val="000000"/>
              </w:rPr>
              <w:t>Державні гарантії, створення страхових фондів, стимулювання довгострокових інвестицій</w:t>
            </w:r>
          </w:p>
        </w:tc>
      </w:tr>
      <w:tr w:rsidR="00705F07">
        <w:trPr>
          <w:jc w:val="center"/>
        </w:trPr>
        <w:tc>
          <w:tcPr>
            <w:tcW w:w="0" w:type="auto"/>
            <w:vAlign w:val="center"/>
            <w:hideMark/>
          </w:tcPr>
          <w:p w:rsidR="00705F07" w:rsidRDefault="00185A37">
            <w:pPr>
              <w:jc w:val="center"/>
              <w:rPr>
                <w:color w:val="000000"/>
              </w:rPr>
            </w:pPr>
            <w:r>
              <w:rPr>
                <w:color w:val="000000"/>
              </w:rPr>
              <w:t>Недовіра до банківської системи</w:t>
            </w:r>
          </w:p>
        </w:tc>
        <w:tc>
          <w:tcPr>
            <w:tcW w:w="0" w:type="auto"/>
            <w:vAlign w:val="center"/>
            <w:hideMark/>
          </w:tcPr>
          <w:p w:rsidR="00705F07" w:rsidRDefault="00185A37">
            <w:pPr>
              <w:jc w:val="center"/>
              <w:rPr>
                <w:color w:val="000000"/>
              </w:rPr>
            </w:pPr>
            <w:r>
              <w:rPr>
                <w:color w:val="000000"/>
              </w:rPr>
              <w:t>Руйнування інфраструктури, зупинка платежів, відтік</w:t>
            </w:r>
            <w:r>
              <w:rPr>
                <w:color w:val="000000"/>
              </w:rPr>
              <w:t xml:space="preserve"> депозитів</w:t>
            </w:r>
          </w:p>
        </w:tc>
        <w:tc>
          <w:tcPr>
            <w:tcW w:w="0" w:type="auto"/>
            <w:vAlign w:val="center"/>
            <w:hideMark/>
          </w:tcPr>
          <w:p w:rsidR="00705F07" w:rsidRDefault="00185A37">
            <w:pPr>
              <w:jc w:val="center"/>
              <w:rPr>
                <w:color w:val="000000"/>
              </w:rPr>
            </w:pPr>
            <w:r>
              <w:rPr>
                <w:color w:val="000000"/>
              </w:rPr>
              <w:t>Зменшення кредитування, падіння фінансової активності</w:t>
            </w:r>
          </w:p>
        </w:tc>
        <w:tc>
          <w:tcPr>
            <w:tcW w:w="0" w:type="auto"/>
            <w:vAlign w:val="center"/>
            <w:hideMark/>
          </w:tcPr>
          <w:p w:rsidR="00705F07" w:rsidRDefault="00185A37">
            <w:pPr>
              <w:jc w:val="center"/>
              <w:rPr>
                <w:color w:val="000000"/>
              </w:rPr>
            </w:pPr>
            <w:r>
              <w:rPr>
                <w:color w:val="000000"/>
              </w:rPr>
              <w:t>Розвиток онлайн-банкінгу, страхування депозитів, капітальна підтримка банків</w:t>
            </w:r>
          </w:p>
        </w:tc>
      </w:tr>
      <w:tr w:rsidR="00705F07">
        <w:trPr>
          <w:jc w:val="center"/>
        </w:trPr>
        <w:tc>
          <w:tcPr>
            <w:tcW w:w="0" w:type="auto"/>
            <w:vAlign w:val="center"/>
            <w:hideMark/>
          </w:tcPr>
          <w:p w:rsidR="00705F07" w:rsidRDefault="00185A37">
            <w:pPr>
              <w:jc w:val="center"/>
              <w:rPr>
                <w:color w:val="000000"/>
              </w:rPr>
            </w:pPr>
            <w:r>
              <w:rPr>
                <w:color w:val="000000"/>
              </w:rPr>
              <w:t>Слабка капіталізація компаній</w:t>
            </w:r>
          </w:p>
        </w:tc>
        <w:tc>
          <w:tcPr>
            <w:tcW w:w="0" w:type="auto"/>
            <w:vAlign w:val="center"/>
            <w:hideMark/>
          </w:tcPr>
          <w:p w:rsidR="00705F07" w:rsidRDefault="00185A37">
            <w:pPr>
              <w:jc w:val="center"/>
              <w:rPr>
                <w:color w:val="000000"/>
              </w:rPr>
            </w:pPr>
            <w:r>
              <w:rPr>
                <w:color w:val="000000"/>
              </w:rPr>
              <w:t>Зниження інвестицій, економічні ризики</w:t>
            </w:r>
          </w:p>
        </w:tc>
        <w:tc>
          <w:tcPr>
            <w:tcW w:w="0" w:type="auto"/>
            <w:vAlign w:val="center"/>
            <w:hideMark/>
          </w:tcPr>
          <w:p w:rsidR="00705F07" w:rsidRDefault="00185A37">
            <w:pPr>
              <w:jc w:val="center"/>
              <w:rPr>
                <w:color w:val="000000"/>
              </w:rPr>
            </w:pPr>
            <w:r>
              <w:rPr>
                <w:color w:val="000000"/>
              </w:rPr>
              <w:t>Обмежене фінансування бізнесу, зростання деф</w:t>
            </w:r>
            <w:r>
              <w:rPr>
                <w:color w:val="000000"/>
              </w:rPr>
              <w:t>іциту обігових коштів</w:t>
            </w:r>
          </w:p>
        </w:tc>
        <w:tc>
          <w:tcPr>
            <w:tcW w:w="0" w:type="auto"/>
            <w:vAlign w:val="center"/>
            <w:hideMark/>
          </w:tcPr>
          <w:p w:rsidR="00705F07" w:rsidRDefault="00185A37">
            <w:pPr>
              <w:jc w:val="center"/>
              <w:rPr>
                <w:color w:val="000000"/>
              </w:rPr>
            </w:pPr>
            <w:r>
              <w:rPr>
                <w:color w:val="000000"/>
              </w:rPr>
              <w:t>Податкові пільги для інвесторів, державна підтримка стратегічного бізнесу</w:t>
            </w:r>
          </w:p>
        </w:tc>
      </w:tr>
    </w:tbl>
    <w:p w:rsidR="00705F07" w:rsidRDefault="00705F07">
      <w:pPr>
        <w:spacing w:line="360" w:lineRule="auto"/>
        <w:ind w:firstLine="709"/>
        <w:jc w:val="both"/>
        <w:rPr>
          <w:color w:val="000000"/>
          <w:lang w:val="uk-UA"/>
        </w:rPr>
      </w:pPr>
    </w:p>
    <w:p w:rsidR="00705F07" w:rsidRDefault="00705F07">
      <w:pPr>
        <w:spacing w:line="360" w:lineRule="auto"/>
        <w:ind w:firstLine="709"/>
        <w:jc w:val="both"/>
        <w:rPr>
          <w:rStyle w:val="ab"/>
          <w:b w:val="0"/>
          <w:bCs w:val="0"/>
          <w:color w:val="000000"/>
          <w:sz w:val="28"/>
          <w:szCs w:val="28"/>
          <w:lang w:val="uk-UA"/>
        </w:rPr>
      </w:pPr>
    </w:p>
    <w:p w:rsidR="00705F07" w:rsidRDefault="00185A37">
      <w:pPr>
        <w:spacing w:line="360" w:lineRule="auto"/>
        <w:ind w:firstLine="709"/>
        <w:jc w:val="right"/>
        <w:rPr>
          <w:rStyle w:val="ab"/>
          <w:b w:val="0"/>
          <w:bCs w:val="0"/>
          <w:color w:val="000000"/>
          <w:sz w:val="28"/>
          <w:szCs w:val="28"/>
          <w:lang w:val="uk-UA"/>
        </w:rPr>
      </w:pPr>
      <w:r>
        <w:rPr>
          <w:rStyle w:val="ab"/>
          <w:b w:val="0"/>
          <w:bCs w:val="0"/>
          <w:color w:val="000000"/>
          <w:sz w:val="28"/>
          <w:szCs w:val="28"/>
          <w:lang w:val="uk-UA"/>
        </w:rPr>
        <w:t>Продовження табл. 3.4</w:t>
      </w:r>
    </w:p>
    <w:tbl>
      <w:tblPr>
        <w:tblStyle w:val="ad"/>
        <w:tblW w:w="0" w:type="auto"/>
        <w:jc w:val="center"/>
        <w:tblLook w:val="04A0" w:firstRow="1" w:lastRow="0" w:firstColumn="1" w:lastColumn="0" w:noHBand="0" w:noVBand="1"/>
      </w:tblPr>
      <w:tblGrid>
        <w:gridCol w:w="2137"/>
        <w:gridCol w:w="1910"/>
        <w:gridCol w:w="2410"/>
        <w:gridCol w:w="2896"/>
      </w:tblGrid>
      <w:tr w:rsidR="00705F07">
        <w:trPr>
          <w:jc w:val="center"/>
        </w:trPr>
        <w:tc>
          <w:tcPr>
            <w:tcW w:w="0" w:type="auto"/>
            <w:vAlign w:val="center"/>
            <w:hideMark/>
          </w:tcPr>
          <w:p w:rsidR="00705F07" w:rsidRDefault="00185A37">
            <w:pPr>
              <w:jc w:val="center"/>
              <w:rPr>
                <w:color w:val="000000"/>
                <w:lang w:val="uk-UA"/>
              </w:rPr>
            </w:pPr>
            <w:r>
              <w:rPr>
                <w:color w:val="000000"/>
                <w:lang w:val="uk-UA"/>
              </w:rPr>
              <w:t>1</w:t>
            </w:r>
          </w:p>
        </w:tc>
        <w:tc>
          <w:tcPr>
            <w:tcW w:w="0" w:type="auto"/>
            <w:vAlign w:val="center"/>
            <w:hideMark/>
          </w:tcPr>
          <w:p w:rsidR="00705F07" w:rsidRDefault="00185A37">
            <w:pPr>
              <w:jc w:val="center"/>
              <w:rPr>
                <w:color w:val="000000"/>
                <w:lang w:val="uk-UA"/>
              </w:rPr>
            </w:pPr>
            <w:r>
              <w:rPr>
                <w:color w:val="000000"/>
                <w:lang w:val="uk-UA"/>
              </w:rPr>
              <w:t>2</w:t>
            </w:r>
          </w:p>
        </w:tc>
        <w:tc>
          <w:tcPr>
            <w:tcW w:w="0" w:type="auto"/>
            <w:vAlign w:val="center"/>
            <w:hideMark/>
          </w:tcPr>
          <w:p w:rsidR="00705F07" w:rsidRDefault="00185A37">
            <w:pPr>
              <w:jc w:val="center"/>
              <w:rPr>
                <w:color w:val="000000"/>
                <w:lang w:val="uk-UA"/>
              </w:rPr>
            </w:pPr>
            <w:r>
              <w:rPr>
                <w:color w:val="000000"/>
                <w:lang w:val="uk-UA"/>
              </w:rPr>
              <w:t>3</w:t>
            </w:r>
          </w:p>
        </w:tc>
        <w:tc>
          <w:tcPr>
            <w:tcW w:w="0" w:type="auto"/>
            <w:vAlign w:val="center"/>
            <w:hideMark/>
          </w:tcPr>
          <w:p w:rsidR="00705F07" w:rsidRDefault="00185A37">
            <w:pPr>
              <w:jc w:val="center"/>
              <w:rPr>
                <w:color w:val="000000"/>
                <w:lang w:val="uk-UA"/>
              </w:rPr>
            </w:pPr>
            <w:r>
              <w:rPr>
                <w:color w:val="000000"/>
                <w:lang w:val="uk-UA"/>
              </w:rPr>
              <w:t>4</w:t>
            </w:r>
          </w:p>
        </w:tc>
      </w:tr>
      <w:tr w:rsidR="00705F07">
        <w:trPr>
          <w:jc w:val="center"/>
        </w:trPr>
        <w:tc>
          <w:tcPr>
            <w:tcW w:w="0" w:type="auto"/>
            <w:vAlign w:val="center"/>
            <w:hideMark/>
          </w:tcPr>
          <w:p w:rsidR="00705F07" w:rsidRDefault="00185A37">
            <w:pPr>
              <w:jc w:val="center"/>
              <w:rPr>
                <w:color w:val="000000"/>
              </w:rPr>
            </w:pPr>
            <w:r>
              <w:rPr>
                <w:color w:val="000000"/>
              </w:rPr>
              <w:t>Концентрація торгів у державних облігаціях</w:t>
            </w:r>
          </w:p>
        </w:tc>
        <w:tc>
          <w:tcPr>
            <w:tcW w:w="0" w:type="auto"/>
            <w:vAlign w:val="center"/>
            <w:hideMark/>
          </w:tcPr>
          <w:p w:rsidR="00705F07" w:rsidRDefault="00185A37">
            <w:pPr>
              <w:jc w:val="center"/>
              <w:rPr>
                <w:color w:val="000000"/>
              </w:rPr>
            </w:pPr>
            <w:r>
              <w:rPr>
                <w:color w:val="000000"/>
              </w:rPr>
              <w:t>Високий рівень ризику приватного сектору</w:t>
            </w:r>
          </w:p>
        </w:tc>
        <w:tc>
          <w:tcPr>
            <w:tcW w:w="0" w:type="auto"/>
            <w:vAlign w:val="center"/>
            <w:hideMark/>
          </w:tcPr>
          <w:p w:rsidR="00705F07" w:rsidRDefault="00185A37">
            <w:pPr>
              <w:jc w:val="center"/>
              <w:rPr>
                <w:color w:val="000000"/>
              </w:rPr>
            </w:pPr>
            <w:r>
              <w:rPr>
                <w:color w:val="000000"/>
              </w:rPr>
              <w:t>Зменшення ролі корпоративного ринку</w:t>
            </w:r>
          </w:p>
        </w:tc>
        <w:tc>
          <w:tcPr>
            <w:tcW w:w="0" w:type="auto"/>
            <w:vAlign w:val="center"/>
            <w:hideMark/>
          </w:tcPr>
          <w:p w:rsidR="00705F07" w:rsidRDefault="00185A37">
            <w:pPr>
              <w:jc w:val="center"/>
              <w:rPr>
                <w:color w:val="000000"/>
              </w:rPr>
            </w:pPr>
            <w:r>
              <w:rPr>
                <w:color w:val="000000"/>
              </w:rPr>
              <w:t>Розвиток корпоративного ринку облігацій, стимулювання приватних емісій</w:t>
            </w:r>
          </w:p>
        </w:tc>
      </w:tr>
      <w:tr w:rsidR="00705F07">
        <w:trPr>
          <w:jc w:val="center"/>
        </w:trPr>
        <w:tc>
          <w:tcPr>
            <w:tcW w:w="0" w:type="auto"/>
            <w:vAlign w:val="center"/>
            <w:hideMark/>
          </w:tcPr>
          <w:p w:rsidR="00705F07" w:rsidRDefault="00185A37">
            <w:pPr>
              <w:jc w:val="center"/>
              <w:rPr>
                <w:color w:val="000000"/>
              </w:rPr>
            </w:pPr>
            <w:r>
              <w:rPr>
                <w:color w:val="000000"/>
              </w:rPr>
              <w:t>Недостатній рівень регуляторної прозорості</w:t>
            </w:r>
          </w:p>
        </w:tc>
        <w:tc>
          <w:tcPr>
            <w:tcW w:w="0" w:type="auto"/>
            <w:vAlign w:val="center"/>
            <w:hideMark/>
          </w:tcPr>
          <w:p w:rsidR="00705F07" w:rsidRDefault="00185A37">
            <w:pPr>
              <w:jc w:val="center"/>
              <w:rPr>
                <w:color w:val="000000"/>
              </w:rPr>
            </w:pPr>
            <w:r>
              <w:rPr>
                <w:color w:val="000000"/>
              </w:rPr>
              <w:t>Військові та економічні обмеження</w:t>
            </w:r>
          </w:p>
        </w:tc>
        <w:tc>
          <w:tcPr>
            <w:tcW w:w="0" w:type="auto"/>
            <w:vAlign w:val="center"/>
            <w:hideMark/>
          </w:tcPr>
          <w:p w:rsidR="00705F07" w:rsidRDefault="00185A37">
            <w:pPr>
              <w:jc w:val="center"/>
              <w:rPr>
                <w:color w:val="000000"/>
              </w:rPr>
            </w:pPr>
            <w:r>
              <w:rPr>
                <w:color w:val="000000"/>
              </w:rPr>
              <w:t>Відсутність чітких правил, ризик шахрайства</w:t>
            </w:r>
          </w:p>
        </w:tc>
        <w:tc>
          <w:tcPr>
            <w:tcW w:w="0" w:type="auto"/>
            <w:vAlign w:val="center"/>
            <w:hideMark/>
          </w:tcPr>
          <w:p w:rsidR="00705F07" w:rsidRDefault="00185A37">
            <w:pPr>
              <w:jc w:val="center"/>
              <w:rPr>
                <w:color w:val="000000"/>
              </w:rPr>
            </w:pPr>
            <w:r>
              <w:rPr>
                <w:color w:val="000000"/>
              </w:rPr>
              <w:t>Цифровізація ринку, відкритий доступ до інформації, вдосконален</w:t>
            </w:r>
            <w:r>
              <w:rPr>
                <w:color w:val="000000"/>
              </w:rPr>
              <w:t>ня законодавства</w:t>
            </w:r>
          </w:p>
        </w:tc>
      </w:tr>
    </w:tbl>
    <w:p w:rsidR="00705F07" w:rsidRDefault="00185A37">
      <w:pPr>
        <w:tabs>
          <w:tab w:val="left" w:pos="8295"/>
        </w:tabs>
        <w:ind w:firstLine="709"/>
        <w:jc w:val="both"/>
        <w:rPr>
          <w:color w:val="000000"/>
        </w:rPr>
      </w:pPr>
      <w:r>
        <w:rPr>
          <w:color w:val="000000"/>
        </w:rPr>
        <w:t>Джерело: складено автором на основі даних [</w:t>
      </w:r>
      <w:r>
        <w:rPr>
          <w:color w:val="000000"/>
          <w:lang w:val="uk-UA"/>
        </w:rPr>
        <w:t>19, с. 405; 25; 27, с. 139</w:t>
      </w:r>
      <w:r>
        <w:rPr>
          <w:color w:val="000000"/>
        </w:rPr>
        <w:t>].</w:t>
      </w:r>
      <w:r>
        <w:rPr>
          <w:color w:val="000000"/>
        </w:rPr>
        <w:tab/>
      </w:r>
    </w:p>
    <w:p w:rsidR="00705F07" w:rsidRDefault="00705F07">
      <w:pPr>
        <w:spacing w:line="360" w:lineRule="auto"/>
        <w:ind w:firstLine="709"/>
        <w:jc w:val="right"/>
        <w:rPr>
          <w:rStyle w:val="ab"/>
          <w:b w:val="0"/>
          <w:bCs w:val="0"/>
          <w:color w:val="000000"/>
          <w:sz w:val="28"/>
          <w:szCs w:val="28"/>
        </w:rPr>
      </w:pPr>
    </w:p>
    <w:p w:rsidR="00705F07" w:rsidRDefault="00185A37">
      <w:pPr>
        <w:spacing w:line="360" w:lineRule="auto"/>
        <w:ind w:firstLine="709"/>
        <w:jc w:val="both"/>
        <w:rPr>
          <w:rStyle w:val="ab"/>
          <w:b w:val="0"/>
          <w:bCs w:val="0"/>
          <w:color w:val="000000"/>
          <w:sz w:val="28"/>
          <w:szCs w:val="28"/>
        </w:rPr>
      </w:pPr>
      <w:r>
        <w:rPr>
          <w:rStyle w:val="ab"/>
          <w:b w:val="0"/>
          <w:bCs w:val="0"/>
          <w:color w:val="000000"/>
          <w:sz w:val="28"/>
          <w:szCs w:val="28"/>
          <w:lang w:val="uk-UA"/>
        </w:rPr>
        <w:t xml:space="preserve">Низька ліквідність фінансових інструментів стала однією з ключових проблем після війни. </w:t>
      </w:r>
      <w:r>
        <w:rPr>
          <w:rStyle w:val="ab"/>
          <w:b w:val="0"/>
          <w:bCs w:val="0"/>
          <w:color w:val="000000"/>
          <w:sz w:val="28"/>
          <w:szCs w:val="28"/>
        </w:rPr>
        <w:t>Панічні настрої інвесторів та зниження обсягів операцій призводили до обмеже</w:t>
      </w:r>
      <w:r>
        <w:rPr>
          <w:rStyle w:val="ab"/>
          <w:b w:val="0"/>
          <w:bCs w:val="0"/>
          <w:color w:val="000000"/>
          <w:sz w:val="28"/>
          <w:szCs w:val="28"/>
        </w:rPr>
        <w:t>них торгів на вторинному ринку та падіння ринкової вартості цінних паперів. Для подолання цієї проблеми важливо впроваджувати державні гарантії, створювати страхові фонди та стимулювати довгострокові інвестиції, що дозволяє підвищити довіру та активність у</w:t>
      </w:r>
      <w:r>
        <w:rPr>
          <w:rStyle w:val="ab"/>
          <w:b w:val="0"/>
          <w:bCs w:val="0"/>
          <w:color w:val="000000"/>
          <w:sz w:val="28"/>
          <w:szCs w:val="28"/>
        </w:rPr>
        <w:t>часників ринку.</w:t>
      </w:r>
    </w:p>
    <w:p w:rsidR="00705F07" w:rsidRDefault="00185A37">
      <w:pPr>
        <w:spacing w:line="360" w:lineRule="auto"/>
        <w:ind w:firstLine="709"/>
        <w:jc w:val="both"/>
        <w:rPr>
          <w:rStyle w:val="ab"/>
          <w:b w:val="0"/>
          <w:bCs w:val="0"/>
          <w:color w:val="000000"/>
          <w:sz w:val="28"/>
          <w:szCs w:val="28"/>
        </w:rPr>
      </w:pPr>
      <w:r>
        <w:rPr>
          <w:rStyle w:val="ab"/>
          <w:b w:val="0"/>
          <w:bCs w:val="0"/>
          <w:color w:val="000000"/>
          <w:sz w:val="28"/>
          <w:szCs w:val="28"/>
        </w:rPr>
        <w:t>Недовіра до банківської системи була викликана руйнуванням інфраструктури, зупинкою платежів та відтоком депозитів. Це обмежувало кредитування та знижувало фінансову активність. Сучасні шляхи вирішення включають розвиток онлайн-банкінгу, ст</w:t>
      </w:r>
      <w:r>
        <w:rPr>
          <w:rStyle w:val="ab"/>
          <w:b w:val="0"/>
          <w:bCs w:val="0"/>
          <w:color w:val="000000"/>
          <w:sz w:val="28"/>
          <w:szCs w:val="28"/>
        </w:rPr>
        <w:t>рахування депозитів та капітальну підтримку банків, що забезпечує безперервність фінансових операцій і відновлення довіри населення та бізнесу.</w:t>
      </w:r>
    </w:p>
    <w:p w:rsidR="00705F07" w:rsidRDefault="00185A37">
      <w:pPr>
        <w:spacing w:line="360" w:lineRule="auto"/>
        <w:ind w:firstLine="709"/>
        <w:jc w:val="both"/>
        <w:rPr>
          <w:rStyle w:val="ab"/>
          <w:b w:val="0"/>
          <w:bCs w:val="0"/>
          <w:color w:val="000000"/>
          <w:sz w:val="28"/>
          <w:szCs w:val="28"/>
          <w:lang w:val="uk-UA"/>
        </w:rPr>
      </w:pPr>
      <w:r>
        <w:rPr>
          <w:rStyle w:val="ab"/>
          <w:b w:val="0"/>
          <w:bCs w:val="0"/>
          <w:color w:val="000000"/>
          <w:sz w:val="28"/>
          <w:szCs w:val="28"/>
        </w:rPr>
        <w:t xml:space="preserve">Слабка капіталізація компаній після війни обумовлена зниженням інвестицій та високими економічними ризиками, що </w:t>
      </w:r>
      <w:r>
        <w:rPr>
          <w:rStyle w:val="ab"/>
          <w:b w:val="0"/>
          <w:bCs w:val="0"/>
          <w:color w:val="000000"/>
          <w:sz w:val="28"/>
          <w:szCs w:val="28"/>
        </w:rPr>
        <w:t>обмежувало фінансування бізнесу та створювало дефіцит обігових коштів. Податкові пільги для інвесторів та державна підтримка стратегічного бізнесу сприяють відновленню капіталу компаній, стимулюють випуск корпоративних облігацій та повертають ринок до акти</w:t>
      </w:r>
      <w:r>
        <w:rPr>
          <w:rStyle w:val="ab"/>
          <w:b w:val="0"/>
          <w:bCs w:val="0"/>
          <w:color w:val="000000"/>
          <w:sz w:val="28"/>
          <w:szCs w:val="28"/>
        </w:rPr>
        <w:t>вної інвестиційної діяльності.</w:t>
      </w:r>
      <w:r>
        <w:rPr>
          <w:rStyle w:val="ab"/>
          <w:b w:val="0"/>
          <w:bCs w:val="0"/>
          <w:color w:val="000000"/>
          <w:sz w:val="28"/>
          <w:szCs w:val="28"/>
          <w:lang w:val="uk-UA"/>
        </w:rPr>
        <w:t xml:space="preserve"> </w:t>
      </w:r>
      <w:r>
        <w:rPr>
          <w:rStyle w:val="ab"/>
          <w:b w:val="0"/>
          <w:bCs w:val="0"/>
          <w:color w:val="000000"/>
          <w:sz w:val="28"/>
          <w:szCs w:val="28"/>
        </w:rPr>
        <w:t>Концентрація торгів у державних облігаціях обмежувала розвиток корпоративного ринку через високий рівень ризику приватного сектору. Вирішення цієї проблеми передбачає розвиток корпоративного ринку облігацій та стимулювання пр</w:t>
      </w:r>
      <w:r>
        <w:rPr>
          <w:rStyle w:val="ab"/>
          <w:b w:val="0"/>
          <w:bCs w:val="0"/>
          <w:color w:val="000000"/>
          <w:sz w:val="28"/>
          <w:szCs w:val="28"/>
        </w:rPr>
        <w:t>иватних емісій, що дозволяє диверсифікувати фінансові потоки та збільшити роль приватного сектору у ринкових процесах.</w:t>
      </w:r>
      <w:r>
        <w:rPr>
          <w:rStyle w:val="ab"/>
          <w:b w:val="0"/>
          <w:bCs w:val="0"/>
          <w:color w:val="000000"/>
          <w:sz w:val="28"/>
          <w:szCs w:val="28"/>
          <w:lang w:val="uk-UA"/>
        </w:rPr>
        <w:t xml:space="preserve"> </w:t>
      </w:r>
      <w:r>
        <w:rPr>
          <w:rStyle w:val="ab"/>
          <w:b w:val="0"/>
          <w:bCs w:val="0"/>
          <w:color w:val="000000"/>
          <w:sz w:val="28"/>
          <w:szCs w:val="28"/>
        </w:rPr>
        <w:t>Недостатній рівень регуляторної прозорості створював додаткові ризики для учасників ринку та потенційні можливості для шахрайства. Цифров</w:t>
      </w:r>
      <w:r>
        <w:rPr>
          <w:rStyle w:val="ab"/>
          <w:b w:val="0"/>
          <w:bCs w:val="0"/>
          <w:color w:val="000000"/>
          <w:sz w:val="28"/>
          <w:szCs w:val="28"/>
        </w:rPr>
        <w:t>ізація ринку, відкритий доступ до інформації та вдосконалення законодавства спрямовані на підвищення прозорості та передбачуваності ринкових механізмів, що є ключовим для стійкого розвитку фінансового сектору в умовах повоєнного відновлення.</w:t>
      </w:r>
      <w:r>
        <w:rPr>
          <w:rStyle w:val="ab"/>
          <w:b w:val="0"/>
          <w:bCs w:val="0"/>
          <w:color w:val="000000"/>
          <w:sz w:val="28"/>
          <w:szCs w:val="28"/>
          <w:lang w:val="uk-UA"/>
        </w:rPr>
        <w:t xml:space="preserve"> Комплексне вир</w:t>
      </w:r>
      <w:r>
        <w:rPr>
          <w:rStyle w:val="ab"/>
          <w:b w:val="0"/>
          <w:bCs w:val="0"/>
          <w:color w:val="000000"/>
          <w:sz w:val="28"/>
          <w:szCs w:val="28"/>
          <w:lang w:val="uk-UA"/>
        </w:rPr>
        <w:t>ішення сучасних проблем фінансового ринку в Україні вимагає одночасного застосування державних механізмів підтримки, стимулювання інвестицій, модернізації інфраструктури та вдосконалення регуляторної бази, що створює передумови для стабілізації та подальшо</w:t>
      </w:r>
      <w:r>
        <w:rPr>
          <w:rStyle w:val="ab"/>
          <w:b w:val="0"/>
          <w:bCs w:val="0"/>
          <w:color w:val="000000"/>
          <w:sz w:val="28"/>
          <w:szCs w:val="28"/>
          <w:lang w:val="uk-UA"/>
        </w:rPr>
        <w:t xml:space="preserve">го розвитку фінансового ринку у післявоєнний період. </w:t>
      </w:r>
    </w:p>
    <w:p w:rsidR="00705F07" w:rsidRDefault="00185A37">
      <w:pPr>
        <w:spacing w:line="360" w:lineRule="auto"/>
        <w:ind w:firstLine="709"/>
        <w:jc w:val="both"/>
        <w:rPr>
          <w:rStyle w:val="ab"/>
          <w:b w:val="0"/>
          <w:bCs w:val="0"/>
          <w:color w:val="000000"/>
          <w:sz w:val="28"/>
          <w:szCs w:val="28"/>
          <w:lang w:val="uk-UA"/>
        </w:rPr>
      </w:pPr>
      <w:r>
        <w:rPr>
          <w:rStyle w:val="ab"/>
          <w:b w:val="0"/>
          <w:bCs w:val="0"/>
          <w:color w:val="000000"/>
          <w:sz w:val="28"/>
          <w:szCs w:val="28"/>
          <w:lang w:val="uk-UA"/>
        </w:rPr>
        <w:t>Повоєнний період відкриває для фінансового ринку України нові можливості, пов’язані з відновленням економічної активності, залученням інвестицій та модернізацією фінансових інструментів. Водночас цей пе</w:t>
      </w:r>
      <w:r>
        <w:rPr>
          <w:rStyle w:val="ab"/>
          <w:b w:val="0"/>
          <w:bCs w:val="0"/>
          <w:color w:val="000000"/>
          <w:sz w:val="28"/>
          <w:szCs w:val="28"/>
          <w:lang w:val="uk-UA"/>
        </w:rPr>
        <w:t xml:space="preserve">ріод супроводжується необхідністю стабілізації ліквідності, відновлення довіри інвесторів та розвитку різних сегментів ринку після значних руйнувань і обмежень, спричинених війною. </w:t>
      </w:r>
      <w:r>
        <w:rPr>
          <w:rStyle w:val="ab"/>
          <w:b w:val="0"/>
          <w:bCs w:val="0"/>
          <w:color w:val="000000"/>
          <w:sz w:val="28"/>
          <w:szCs w:val="28"/>
        </w:rPr>
        <w:t>Для ефективного відновлення ринку важливо враховувати потенціал кожного сег</w:t>
      </w:r>
      <w:r>
        <w:rPr>
          <w:rStyle w:val="ab"/>
          <w:b w:val="0"/>
          <w:bCs w:val="0"/>
          <w:color w:val="000000"/>
          <w:sz w:val="28"/>
          <w:szCs w:val="28"/>
        </w:rPr>
        <w:t>менту та пріоритетні напрями розвитку, що дозволяють оптимізувати фінансові потоки та забезпечити стійкість системи</w:t>
      </w:r>
      <w:r>
        <w:rPr>
          <w:rStyle w:val="ab"/>
          <w:b w:val="0"/>
          <w:bCs w:val="0"/>
          <w:color w:val="000000"/>
          <w:sz w:val="28"/>
          <w:szCs w:val="28"/>
          <w:lang w:val="uk-UA"/>
        </w:rPr>
        <w:t xml:space="preserve"> (табл. 3.5)</w:t>
      </w:r>
      <w:r>
        <w:rPr>
          <w:rStyle w:val="ab"/>
          <w:b w:val="0"/>
          <w:bCs w:val="0"/>
          <w:color w:val="000000"/>
          <w:sz w:val="28"/>
          <w:szCs w:val="28"/>
        </w:rPr>
        <w:t>.</w:t>
      </w:r>
      <w:r>
        <w:rPr>
          <w:rStyle w:val="ab"/>
          <w:b w:val="0"/>
          <w:bCs w:val="0"/>
          <w:color w:val="000000"/>
          <w:sz w:val="28"/>
          <w:szCs w:val="28"/>
          <w:lang w:val="uk-UA"/>
        </w:rPr>
        <w:t xml:space="preserve"> </w:t>
      </w:r>
      <w:r>
        <w:rPr>
          <w:rStyle w:val="ab"/>
          <w:b w:val="0"/>
          <w:bCs w:val="0"/>
          <w:color w:val="000000"/>
          <w:sz w:val="28"/>
          <w:szCs w:val="28"/>
        </w:rPr>
        <w:t>Сегмент державних облігацій має високий потенціал відновлення завдяки підвищеному попиту інвесторів на безпечні активи. В умова</w:t>
      </w:r>
      <w:r>
        <w:rPr>
          <w:rStyle w:val="ab"/>
          <w:b w:val="0"/>
          <w:bCs w:val="0"/>
          <w:color w:val="000000"/>
          <w:sz w:val="28"/>
          <w:szCs w:val="28"/>
        </w:rPr>
        <w:t>х післявоєнного відновлення основним пріоритетом є подальше страхування ризиків та залучення міжнародної підтримки. Це дозволяє підвищити довіру до державних фінансових інструментів та стабілізувати доходність, забезпечуючи надійність і передбачуваність де</w:t>
      </w:r>
      <w:r>
        <w:rPr>
          <w:rStyle w:val="ab"/>
          <w:b w:val="0"/>
          <w:bCs w:val="0"/>
          <w:color w:val="000000"/>
          <w:sz w:val="28"/>
          <w:szCs w:val="28"/>
        </w:rPr>
        <w:t>ржавного боргу.</w:t>
      </w:r>
      <w:r>
        <w:rPr>
          <w:rStyle w:val="ab"/>
          <w:b w:val="0"/>
          <w:bCs w:val="0"/>
          <w:color w:val="000000"/>
          <w:sz w:val="28"/>
          <w:szCs w:val="28"/>
          <w:lang w:val="uk-UA"/>
        </w:rPr>
        <w:t xml:space="preserve"> Корпоративні облігації після війни демонструють середній потенціал відновлення, оскільки підприємства все ще відчувають дефіцит капіталу та високі ризики інвестування. Для розвитку цього сегменту важливим є запровадження державних гарантій </w:t>
      </w:r>
      <w:r>
        <w:rPr>
          <w:rStyle w:val="ab"/>
          <w:b w:val="0"/>
          <w:bCs w:val="0"/>
          <w:color w:val="000000"/>
          <w:sz w:val="28"/>
          <w:szCs w:val="28"/>
          <w:lang w:val="uk-UA"/>
        </w:rPr>
        <w:t>та підтримка стратегічного бізнесу, що дозволяє розширити ринок боргових інструментів, збільшити капіталізацію компаній і сприяти залученню нових інвесторів.</w:t>
      </w:r>
    </w:p>
    <w:p w:rsidR="00705F07" w:rsidRDefault="00185A37">
      <w:pPr>
        <w:spacing w:line="360" w:lineRule="auto"/>
        <w:ind w:firstLine="709"/>
        <w:jc w:val="right"/>
        <w:rPr>
          <w:rStyle w:val="ab"/>
          <w:b w:val="0"/>
          <w:bCs w:val="0"/>
          <w:color w:val="000000"/>
          <w:sz w:val="28"/>
          <w:szCs w:val="28"/>
          <w:lang w:val="uk-UA"/>
        </w:rPr>
      </w:pPr>
      <w:r>
        <w:rPr>
          <w:rStyle w:val="ab"/>
          <w:b w:val="0"/>
          <w:bCs w:val="0"/>
          <w:color w:val="000000"/>
          <w:sz w:val="28"/>
          <w:szCs w:val="28"/>
        </w:rPr>
        <w:t xml:space="preserve">Таблиця </w:t>
      </w:r>
      <w:r>
        <w:rPr>
          <w:rStyle w:val="ab"/>
          <w:b w:val="0"/>
          <w:bCs w:val="0"/>
          <w:color w:val="000000"/>
          <w:sz w:val="28"/>
          <w:szCs w:val="28"/>
          <w:lang w:val="uk-UA"/>
        </w:rPr>
        <w:t>3.5</w:t>
      </w:r>
    </w:p>
    <w:p w:rsidR="00705F07" w:rsidRDefault="00185A37">
      <w:pPr>
        <w:spacing w:line="360" w:lineRule="auto"/>
        <w:ind w:firstLine="709"/>
        <w:jc w:val="center"/>
        <w:rPr>
          <w:color w:val="000000"/>
          <w:sz w:val="28"/>
          <w:szCs w:val="28"/>
        </w:rPr>
      </w:pPr>
      <w:r>
        <w:rPr>
          <w:rStyle w:val="ab"/>
          <w:b w:val="0"/>
          <w:bCs w:val="0"/>
          <w:color w:val="000000"/>
          <w:sz w:val="28"/>
          <w:szCs w:val="28"/>
        </w:rPr>
        <w:t>Перспективи розвитку фінансового ринку України у повоєнний період</w:t>
      </w:r>
    </w:p>
    <w:tbl>
      <w:tblPr>
        <w:tblStyle w:val="ad"/>
        <w:tblW w:w="0" w:type="auto"/>
        <w:jc w:val="center"/>
        <w:tblLook w:val="04A0" w:firstRow="1" w:lastRow="0" w:firstColumn="1" w:lastColumn="0" w:noHBand="0" w:noVBand="1"/>
      </w:tblPr>
      <w:tblGrid>
        <w:gridCol w:w="1891"/>
        <w:gridCol w:w="2625"/>
        <w:gridCol w:w="2450"/>
        <w:gridCol w:w="2387"/>
      </w:tblGrid>
      <w:tr w:rsidR="00705F07">
        <w:trPr>
          <w:jc w:val="center"/>
        </w:trPr>
        <w:tc>
          <w:tcPr>
            <w:tcW w:w="0" w:type="auto"/>
            <w:vAlign w:val="center"/>
            <w:hideMark/>
          </w:tcPr>
          <w:p w:rsidR="00705F07" w:rsidRDefault="00185A37">
            <w:pPr>
              <w:jc w:val="center"/>
              <w:rPr>
                <w:bCs/>
                <w:color w:val="000000"/>
              </w:rPr>
            </w:pPr>
            <w:r>
              <w:rPr>
                <w:bCs/>
                <w:color w:val="000000"/>
              </w:rPr>
              <w:t>Сегмент ринку</w:t>
            </w:r>
          </w:p>
        </w:tc>
        <w:tc>
          <w:tcPr>
            <w:tcW w:w="0" w:type="auto"/>
            <w:vAlign w:val="center"/>
            <w:hideMark/>
          </w:tcPr>
          <w:p w:rsidR="00705F07" w:rsidRDefault="00185A37">
            <w:pPr>
              <w:jc w:val="center"/>
              <w:rPr>
                <w:bCs/>
                <w:color w:val="000000"/>
              </w:rPr>
            </w:pPr>
            <w:r>
              <w:rPr>
                <w:bCs/>
                <w:color w:val="000000"/>
              </w:rPr>
              <w:t>Потенціал відновлення</w:t>
            </w:r>
          </w:p>
        </w:tc>
        <w:tc>
          <w:tcPr>
            <w:tcW w:w="0" w:type="auto"/>
            <w:vAlign w:val="center"/>
            <w:hideMark/>
          </w:tcPr>
          <w:p w:rsidR="00705F07" w:rsidRDefault="00185A37">
            <w:pPr>
              <w:jc w:val="center"/>
              <w:rPr>
                <w:bCs/>
                <w:color w:val="000000"/>
              </w:rPr>
            </w:pPr>
            <w:r>
              <w:rPr>
                <w:bCs/>
                <w:color w:val="000000"/>
              </w:rPr>
              <w:t>Пріоритетні напрями розвитку</w:t>
            </w:r>
          </w:p>
        </w:tc>
        <w:tc>
          <w:tcPr>
            <w:tcW w:w="0" w:type="auto"/>
            <w:vAlign w:val="center"/>
            <w:hideMark/>
          </w:tcPr>
          <w:p w:rsidR="00705F07" w:rsidRDefault="00185A37">
            <w:pPr>
              <w:jc w:val="center"/>
              <w:rPr>
                <w:bCs/>
                <w:color w:val="000000"/>
              </w:rPr>
            </w:pPr>
            <w:r>
              <w:rPr>
                <w:bCs/>
                <w:color w:val="000000"/>
              </w:rPr>
              <w:t>Очікуваний ефект</w:t>
            </w:r>
          </w:p>
        </w:tc>
      </w:tr>
      <w:tr w:rsidR="00705F07">
        <w:trPr>
          <w:jc w:val="center"/>
        </w:trPr>
        <w:tc>
          <w:tcPr>
            <w:tcW w:w="0" w:type="auto"/>
            <w:vAlign w:val="center"/>
            <w:hideMark/>
          </w:tcPr>
          <w:p w:rsidR="00705F07" w:rsidRDefault="00185A37">
            <w:pPr>
              <w:jc w:val="center"/>
              <w:rPr>
                <w:color w:val="000000"/>
              </w:rPr>
            </w:pPr>
            <w:r>
              <w:rPr>
                <w:color w:val="000000"/>
              </w:rPr>
              <w:t>Державні облігації</w:t>
            </w:r>
          </w:p>
        </w:tc>
        <w:tc>
          <w:tcPr>
            <w:tcW w:w="0" w:type="auto"/>
            <w:vAlign w:val="center"/>
            <w:hideMark/>
          </w:tcPr>
          <w:p w:rsidR="00705F07" w:rsidRDefault="00185A37">
            <w:pPr>
              <w:jc w:val="center"/>
              <w:rPr>
                <w:color w:val="000000"/>
              </w:rPr>
            </w:pPr>
            <w:r>
              <w:rPr>
                <w:color w:val="000000"/>
              </w:rPr>
              <w:t>Високий попит інвесторів на безпечні активи</w:t>
            </w:r>
          </w:p>
        </w:tc>
        <w:tc>
          <w:tcPr>
            <w:tcW w:w="0" w:type="auto"/>
            <w:vAlign w:val="center"/>
            <w:hideMark/>
          </w:tcPr>
          <w:p w:rsidR="00705F07" w:rsidRDefault="00185A37">
            <w:pPr>
              <w:jc w:val="center"/>
              <w:rPr>
                <w:color w:val="000000"/>
              </w:rPr>
            </w:pPr>
            <w:r>
              <w:rPr>
                <w:color w:val="000000"/>
              </w:rPr>
              <w:t>Подальше страхування ризиків, залучення міжнародної підтримки</w:t>
            </w:r>
          </w:p>
        </w:tc>
        <w:tc>
          <w:tcPr>
            <w:tcW w:w="0" w:type="auto"/>
            <w:vAlign w:val="center"/>
            <w:hideMark/>
          </w:tcPr>
          <w:p w:rsidR="00705F07" w:rsidRDefault="00185A37">
            <w:pPr>
              <w:jc w:val="center"/>
              <w:rPr>
                <w:color w:val="000000"/>
              </w:rPr>
            </w:pPr>
            <w:r>
              <w:rPr>
                <w:color w:val="000000"/>
              </w:rPr>
              <w:t>Підвищення довіри, стабілізація доходності</w:t>
            </w:r>
          </w:p>
        </w:tc>
      </w:tr>
      <w:tr w:rsidR="00705F07">
        <w:trPr>
          <w:jc w:val="center"/>
        </w:trPr>
        <w:tc>
          <w:tcPr>
            <w:tcW w:w="0" w:type="auto"/>
            <w:vAlign w:val="center"/>
            <w:hideMark/>
          </w:tcPr>
          <w:p w:rsidR="00705F07" w:rsidRDefault="00185A37">
            <w:pPr>
              <w:jc w:val="center"/>
              <w:rPr>
                <w:color w:val="000000"/>
              </w:rPr>
            </w:pPr>
            <w:r>
              <w:rPr>
                <w:color w:val="000000"/>
              </w:rPr>
              <w:t>Корпоративні обліг</w:t>
            </w:r>
            <w:r>
              <w:rPr>
                <w:color w:val="000000"/>
              </w:rPr>
              <w:t>ації</w:t>
            </w:r>
          </w:p>
        </w:tc>
        <w:tc>
          <w:tcPr>
            <w:tcW w:w="0" w:type="auto"/>
            <w:vAlign w:val="center"/>
            <w:hideMark/>
          </w:tcPr>
          <w:p w:rsidR="00705F07" w:rsidRDefault="00185A37">
            <w:pPr>
              <w:jc w:val="center"/>
              <w:rPr>
                <w:color w:val="000000"/>
              </w:rPr>
            </w:pPr>
            <w:r>
              <w:rPr>
                <w:color w:val="000000"/>
              </w:rPr>
              <w:t>Середній</w:t>
            </w:r>
          </w:p>
        </w:tc>
        <w:tc>
          <w:tcPr>
            <w:tcW w:w="0" w:type="auto"/>
            <w:vAlign w:val="center"/>
            <w:hideMark/>
          </w:tcPr>
          <w:p w:rsidR="00705F07" w:rsidRDefault="00185A37">
            <w:pPr>
              <w:jc w:val="center"/>
              <w:rPr>
                <w:color w:val="000000"/>
              </w:rPr>
            </w:pPr>
            <w:r>
              <w:rPr>
                <w:color w:val="000000"/>
              </w:rPr>
              <w:t>Державні гарантії, фінансування стратегічного бізнесу</w:t>
            </w:r>
          </w:p>
        </w:tc>
        <w:tc>
          <w:tcPr>
            <w:tcW w:w="0" w:type="auto"/>
            <w:vAlign w:val="center"/>
            <w:hideMark/>
          </w:tcPr>
          <w:p w:rsidR="00705F07" w:rsidRDefault="00185A37">
            <w:pPr>
              <w:jc w:val="center"/>
              <w:rPr>
                <w:color w:val="000000"/>
              </w:rPr>
            </w:pPr>
            <w:r>
              <w:rPr>
                <w:color w:val="000000"/>
              </w:rPr>
              <w:t>Розширення ринку боргових інструментів, збільшення капіталу компаній</w:t>
            </w:r>
          </w:p>
        </w:tc>
      </w:tr>
      <w:tr w:rsidR="00705F07">
        <w:trPr>
          <w:jc w:val="center"/>
        </w:trPr>
        <w:tc>
          <w:tcPr>
            <w:tcW w:w="0" w:type="auto"/>
            <w:vAlign w:val="center"/>
            <w:hideMark/>
          </w:tcPr>
          <w:p w:rsidR="00705F07" w:rsidRDefault="00185A37">
            <w:pPr>
              <w:jc w:val="center"/>
              <w:rPr>
                <w:color w:val="000000"/>
              </w:rPr>
            </w:pPr>
            <w:r>
              <w:rPr>
                <w:color w:val="000000"/>
              </w:rPr>
              <w:t>Акції</w:t>
            </w:r>
          </w:p>
        </w:tc>
        <w:tc>
          <w:tcPr>
            <w:tcW w:w="0" w:type="auto"/>
            <w:vAlign w:val="center"/>
            <w:hideMark/>
          </w:tcPr>
          <w:p w:rsidR="00705F07" w:rsidRDefault="00185A37">
            <w:pPr>
              <w:jc w:val="center"/>
              <w:rPr>
                <w:color w:val="000000"/>
              </w:rPr>
            </w:pPr>
            <w:r>
              <w:rPr>
                <w:color w:val="000000"/>
              </w:rPr>
              <w:t>Високий потенціал у середньостроковій перспективі</w:t>
            </w:r>
          </w:p>
        </w:tc>
        <w:tc>
          <w:tcPr>
            <w:tcW w:w="0" w:type="auto"/>
            <w:vAlign w:val="center"/>
            <w:hideMark/>
          </w:tcPr>
          <w:p w:rsidR="00705F07" w:rsidRDefault="00185A37">
            <w:pPr>
              <w:jc w:val="center"/>
              <w:rPr>
                <w:color w:val="000000"/>
              </w:rPr>
            </w:pPr>
            <w:r>
              <w:rPr>
                <w:color w:val="000000"/>
              </w:rPr>
              <w:t xml:space="preserve">Лістинг на біржах, підтримка приватних інвесторів, </w:t>
            </w:r>
            <w:r>
              <w:rPr>
                <w:color w:val="000000"/>
              </w:rPr>
              <w:t>інвестиційні стимули</w:t>
            </w:r>
          </w:p>
        </w:tc>
        <w:tc>
          <w:tcPr>
            <w:tcW w:w="0" w:type="auto"/>
            <w:vAlign w:val="center"/>
            <w:hideMark/>
          </w:tcPr>
          <w:p w:rsidR="00705F07" w:rsidRDefault="00185A37">
            <w:pPr>
              <w:jc w:val="center"/>
              <w:rPr>
                <w:color w:val="000000"/>
              </w:rPr>
            </w:pPr>
            <w:r>
              <w:rPr>
                <w:color w:val="000000"/>
              </w:rPr>
              <w:t>Зростання капіталізації компаній, диверсифікація портфелів</w:t>
            </w:r>
          </w:p>
        </w:tc>
      </w:tr>
      <w:tr w:rsidR="00705F07">
        <w:trPr>
          <w:jc w:val="center"/>
        </w:trPr>
        <w:tc>
          <w:tcPr>
            <w:tcW w:w="0" w:type="auto"/>
            <w:vAlign w:val="center"/>
            <w:hideMark/>
          </w:tcPr>
          <w:p w:rsidR="00705F07" w:rsidRDefault="00185A37">
            <w:pPr>
              <w:jc w:val="center"/>
              <w:rPr>
                <w:color w:val="000000"/>
              </w:rPr>
            </w:pPr>
            <w:r>
              <w:rPr>
                <w:color w:val="000000"/>
              </w:rPr>
              <w:t>Банківський сектор</w:t>
            </w:r>
          </w:p>
        </w:tc>
        <w:tc>
          <w:tcPr>
            <w:tcW w:w="0" w:type="auto"/>
            <w:vAlign w:val="center"/>
            <w:hideMark/>
          </w:tcPr>
          <w:p w:rsidR="00705F07" w:rsidRDefault="00185A37">
            <w:pPr>
              <w:jc w:val="center"/>
              <w:rPr>
                <w:color w:val="000000"/>
              </w:rPr>
            </w:pPr>
            <w:r>
              <w:rPr>
                <w:color w:val="000000"/>
              </w:rPr>
              <w:t>Високий</w:t>
            </w:r>
          </w:p>
        </w:tc>
        <w:tc>
          <w:tcPr>
            <w:tcW w:w="0" w:type="auto"/>
            <w:vAlign w:val="center"/>
            <w:hideMark/>
          </w:tcPr>
          <w:p w:rsidR="00705F07" w:rsidRDefault="00185A37">
            <w:pPr>
              <w:jc w:val="center"/>
              <w:rPr>
                <w:color w:val="000000"/>
              </w:rPr>
            </w:pPr>
            <w:r>
              <w:rPr>
                <w:color w:val="000000"/>
              </w:rPr>
              <w:t>Модернізація інфраструктури, цифровізація, підвищення фінансової стійкості</w:t>
            </w:r>
          </w:p>
        </w:tc>
        <w:tc>
          <w:tcPr>
            <w:tcW w:w="0" w:type="auto"/>
            <w:vAlign w:val="center"/>
            <w:hideMark/>
          </w:tcPr>
          <w:p w:rsidR="00705F07" w:rsidRDefault="00185A37">
            <w:pPr>
              <w:jc w:val="center"/>
              <w:rPr>
                <w:color w:val="000000"/>
              </w:rPr>
            </w:pPr>
            <w:r>
              <w:rPr>
                <w:color w:val="000000"/>
              </w:rPr>
              <w:t>Збільшення кредитування, доступність фінансових послуг</w:t>
            </w:r>
          </w:p>
        </w:tc>
      </w:tr>
      <w:tr w:rsidR="00705F07">
        <w:trPr>
          <w:jc w:val="center"/>
        </w:trPr>
        <w:tc>
          <w:tcPr>
            <w:tcW w:w="0" w:type="auto"/>
            <w:vAlign w:val="center"/>
            <w:hideMark/>
          </w:tcPr>
          <w:p w:rsidR="00705F07" w:rsidRDefault="00185A37">
            <w:pPr>
              <w:jc w:val="center"/>
              <w:rPr>
                <w:color w:val="000000"/>
              </w:rPr>
            </w:pPr>
            <w:r>
              <w:rPr>
                <w:color w:val="000000"/>
              </w:rPr>
              <w:t>Фондові та похідн</w:t>
            </w:r>
            <w:r>
              <w:rPr>
                <w:color w:val="000000"/>
              </w:rPr>
              <w:t>і інструменти</w:t>
            </w:r>
          </w:p>
        </w:tc>
        <w:tc>
          <w:tcPr>
            <w:tcW w:w="0" w:type="auto"/>
            <w:vAlign w:val="center"/>
            <w:hideMark/>
          </w:tcPr>
          <w:p w:rsidR="00705F07" w:rsidRDefault="00185A37">
            <w:pPr>
              <w:jc w:val="center"/>
              <w:rPr>
                <w:color w:val="000000"/>
              </w:rPr>
            </w:pPr>
            <w:r>
              <w:rPr>
                <w:color w:val="000000"/>
              </w:rPr>
              <w:t>Середній</w:t>
            </w:r>
          </w:p>
        </w:tc>
        <w:tc>
          <w:tcPr>
            <w:tcW w:w="0" w:type="auto"/>
            <w:vAlign w:val="center"/>
            <w:hideMark/>
          </w:tcPr>
          <w:p w:rsidR="00705F07" w:rsidRDefault="00185A37">
            <w:pPr>
              <w:jc w:val="center"/>
              <w:rPr>
                <w:color w:val="000000"/>
              </w:rPr>
            </w:pPr>
            <w:r>
              <w:rPr>
                <w:color w:val="000000"/>
              </w:rPr>
              <w:t>Розширення строкових та деривативних контрактів, розвиток хеджування</w:t>
            </w:r>
          </w:p>
        </w:tc>
        <w:tc>
          <w:tcPr>
            <w:tcW w:w="0" w:type="auto"/>
            <w:vAlign w:val="center"/>
            <w:hideMark/>
          </w:tcPr>
          <w:p w:rsidR="00705F07" w:rsidRDefault="00185A37">
            <w:pPr>
              <w:jc w:val="center"/>
              <w:rPr>
                <w:color w:val="000000"/>
              </w:rPr>
            </w:pPr>
            <w:r>
              <w:rPr>
                <w:color w:val="000000"/>
              </w:rPr>
              <w:t>Підвищення ліквідності та ефективності фінансового ринку</w:t>
            </w:r>
          </w:p>
        </w:tc>
      </w:tr>
    </w:tbl>
    <w:p w:rsidR="00705F07" w:rsidRDefault="00185A37">
      <w:pPr>
        <w:ind w:firstLine="709"/>
        <w:jc w:val="both"/>
        <w:rPr>
          <w:color w:val="000000"/>
        </w:rPr>
      </w:pPr>
      <w:r>
        <w:rPr>
          <w:color w:val="000000"/>
        </w:rPr>
        <w:t>Джерело: складено автором на основі даних [</w:t>
      </w:r>
      <w:r>
        <w:rPr>
          <w:color w:val="000000"/>
          <w:lang w:val="uk-UA"/>
        </w:rPr>
        <w:t>20, с. 43; 28, с. 84; 35, с. 449</w:t>
      </w:r>
      <w:r>
        <w:rPr>
          <w:color w:val="000000"/>
        </w:rPr>
        <w:t>].</w:t>
      </w:r>
    </w:p>
    <w:p w:rsidR="00705F07" w:rsidRDefault="00705F07">
      <w:pPr>
        <w:spacing w:line="360" w:lineRule="auto"/>
        <w:ind w:firstLine="709"/>
        <w:jc w:val="both"/>
        <w:rPr>
          <w:rStyle w:val="ab"/>
          <w:b w:val="0"/>
          <w:bCs w:val="0"/>
          <w:color w:val="000000"/>
          <w:sz w:val="28"/>
          <w:szCs w:val="28"/>
          <w:lang w:val="uk-UA"/>
        </w:rPr>
      </w:pPr>
    </w:p>
    <w:p w:rsidR="00705F07" w:rsidRDefault="00185A37">
      <w:pPr>
        <w:spacing w:line="360" w:lineRule="auto"/>
        <w:ind w:firstLine="709"/>
        <w:jc w:val="both"/>
        <w:rPr>
          <w:rStyle w:val="ab"/>
          <w:b w:val="0"/>
          <w:bCs w:val="0"/>
          <w:color w:val="000000"/>
          <w:sz w:val="28"/>
          <w:szCs w:val="28"/>
        </w:rPr>
      </w:pPr>
      <w:r>
        <w:rPr>
          <w:rStyle w:val="ab"/>
          <w:b w:val="0"/>
          <w:bCs w:val="0"/>
          <w:color w:val="000000"/>
          <w:sz w:val="28"/>
          <w:szCs w:val="28"/>
        </w:rPr>
        <w:t xml:space="preserve">Акції українських компаній </w:t>
      </w:r>
      <w:r>
        <w:rPr>
          <w:rStyle w:val="ab"/>
          <w:b w:val="0"/>
          <w:bCs w:val="0"/>
          <w:color w:val="000000"/>
          <w:sz w:val="28"/>
          <w:szCs w:val="28"/>
        </w:rPr>
        <w:t>мають високий потенціал у середньостроковій перспективі. Пріоритетними напрямами розвитку є лістинг на біржах, підтримка приватних інвесторів та створення інвестиційних стимулів. Реалізація цих заходів сприятиме зростанню капіталізації компаній, диверсифік</w:t>
      </w:r>
      <w:r>
        <w:rPr>
          <w:rStyle w:val="ab"/>
          <w:b w:val="0"/>
          <w:bCs w:val="0"/>
          <w:color w:val="000000"/>
          <w:sz w:val="28"/>
          <w:szCs w:val="28"/>
        </w:rPr>
        <w:t>ації інвестиційних портфелів та підвищенню привабливості українського фондового ринку.</w:t>
      </w:r>
    </w:p>
    <w:p w:rsidR="00705F07" w:rsidRDefault="00185A37">
      <w:pPr>
        <w:spacing w:line="360" w:lineRule="auto"/>
        <w:ind w:firstLine="709"/>
        <w:jc w:val="both"/>
        <w:rPr>
          <w:rStyle w:val="ab"/>
          <w:b w:val="0"/>
          <w:bCs w:val="0"/>
          <w:color w:val="000000"/>
          <w:sz w:val="28"/>
          <w:szCs w:val="28"/>
        </w:rPr>
      </w:pPr>
      <w:r>
        <w:rPr>
          <w:rStyle w:val="ab"/>
          <w:b w:val="0"/>
          <w:bCs w:val="0"/>
          <w:color w:val="000000"/>
          <w:sz w:val="28"/>
          <w:szCs w:val="28"/>
        </w:rPr>
        <w:t>Банківський сектор демонструє високий потенціал відновлення, що обумовлено можливістю модернізації інфраструктури, цифровізації та підвищення фінансової стійкості. Ці за</w:t>
      </w:r>
      <w:r>
        <w:rPr>
          <w:rStyle w:val="ab"/>
          <w:b w:val="0"/>
          <w:bCs w:val="0"/>
          <w:color w:val="000000"/>
          <w:sz w:val="28"/>
          <w:szCs w:val="28"/>
        </w:rPr>
        <w:t>ходи забезпечують розширення кредитування, підвищення доступності фінансових послуг та відновлення довіри клієнтів, що є критично важливим для стабільності фінансової системи.</w:t>
      </w:r>
    </w:p>
    <w:p w:rsidR="00705F07" w:rsidRDefault="00185A37">
      <w:pPr>
        <w:spacing w:line="360" w:lineRule="auto"/>
        <w:ind w:firstLine="709"/>
        <w:jc w:val="both"/>
        <w:rPr>
          <w:rStyle w:val="ab"/>
          <w:b w:val="0"/>
          <w:bCs w:val="0"/>
          <w:color w:val="000000"/>
          <w:sz w:val="28"/>
          <w:szCs w:val="28"/>
          <w:lang w:val="uk-UA"/>
        </w:rPr>
      </w:pPr>
      <w:r>
        <w:rPr>
          <w:rStyle w:val="ab"/>
          <w:b w:val="0"/>
          <w:bCs w:val="0"/>
          <w:color w:val="000000"/>
          <w:sz w:val="28"/>
          <w:szCs w:val="28"/>
        </w:rPr>
        <w:t>Фондові та похідні інструменти після війни мають середній потенціал відновлення.</w:t>
      </w:r>
      <w:r>
        <w:rPr>
          <w:rStyle w:val="ab"/>
          <w:b w:val="0"/>
          <w:bCs w:val="0"/>
          <w:color w:val="000000"/>
          <w:sz w:val="28"/>
          <w:szCs w:val="28"/>
        </w:rPr>
        <w:t xml:space="preserve"> Основними пріоритетами є розширення строкових та деривативних контрактів та розвиток механізмів хеджування. Це сприятиме підвищенню ліквідності ринку, зменшенню ризиків для інвесторів та підвищенню ефективності фінансового ринку в цілому.</w:t>
      </w:r>
      <w:r>
        <w:rPr>
          <w:rStyle w:val="ab"/>
          <w:b w:val="0"/>
          <w:bCs w:val="0"/>
          <w:color w:val="000000"/>
          <w:sz w:val="28"/>
          <w:szCs w:val="28"/>
          <w:lang w:val="uk-UA"/>
        </w:rPr>
        <w:t xml:space="preserve"> Стратегічне відн</w:t>
      </w:r>
      <w:r>
        <w:rPr>
          <w:rStyle w:val="ab"/>
          <w:b w:val="0"/>
          <w:bCs w:val="0"/>
          <w:color w:val="000000"/>
          <w:sz w:val="28"/>
          <w:szCs w:val="28"/>
          <w:lang w:val="uk-UA"/>
        </w:rPr>
        <w:t>овлення фінансового ринку України потребує диференційованого підходу до кожного сегменту, поєднання державних гарантій, модернізації інфраструктури та стимулювання приватних інвестицій, що забезпечить стабільність, зростання та ефективність післявоєнного р</w:t>
      </w:r>
      <w:r>
        <w:rPr>
          <w:rStyle w:val="ab"/>
          <w:b w:val="0"/>
          <w:bCs w:val="0"/>
          <w:color w:val="000000"/>
          <w:sz w:val="28"/>
          <w:szCs w:val="28"/>
          <w:lang w:val="uk-UA"/>
        </w:rPr>
        <w:t>инку.</w:t>
      </w:r>
    </w:p>
    <w:p w:rsidR="00705F07" w:rsidRDefault="00185A37">
      <w:pPr>
        <w:spacing w:line="360" w:lineRule="auto"/>
        <w:ind w:firstLine="709"/>
        <w:jc w:val="both"/>
        <w:rPr>
          <w:rStyle w:val="ab"/>
          <w:b w:val="0"/>
          <w:bCs w:val="0"/>
          <w:color w:val="000000"/>
          <w:sz w:val="28"/>
          <w:szCs w:val="28"/>
        </w:rPr>
      </w:pPr>
      <w:r>
        <w:rPr>
          <w:rStyle w:val="ab"/>
          <w:b w:val="0"/>
          <w:bCs w:val="0"/>
          <w:color w:val="000000"/>
          <w:sz w:val="28"/>
          <w:szCs w:val="28"/>
          <w:lang w:val="uk-UA"/>
        </w:rPr>
        <w:t>Післявоєнний період для фінансового ринку України потребує комплексного підходу до стабілізації та відновлення функціонування всіх сегментів. Війна значно вплинула на ліквідність, капіталізацію компаній, роботу банків та інвестиційну активність, тому</w:t>
      </w:r>
      <w:r>
        <w:rPr>
          <w:rStyle w:val="ab"/>
          <w:b w:val="0"/>
          <w:bCs w:val="0"/>
          <w:color w:val="000000"/>
          <w:sz w:val="28"/>
          <w:szCs w:val="28"/>
          <w:lang w:val="uk-UA"/>
        </w:rPr>
        <w:t xml:space="preserve"> ключовим завданням є відновлення довіри учасників ринку, модернізація фінансових інструментів та забезпечення прозорості й ефективності ринкових процесів. </w:t>
      </w:r>
      <w:r>
        <w:rPr>
          <w:rStyle w:val="ab"/>
          <w:b w:val="0"/>
          <w:bCs w:val="0"/>
          <w:color w:val="000000"/>
          <w:sz w:val="28"/>
          <w:szCs w:val="28"/>
        </w:rPr>
        <w:t>Стратегічні заходи спрямовані на поступове вирішення цих проблем у коротко-, середньо- та довгострок</w:t>
      </w:r>
      <w:r>
        <w:rPr>
          <w:rStyle w:val="ab"/>
          <w:b w:val="0"/>
          <w:bCs w:val="0"/>
          <w:color w:val="000000"/>
          <w:sz w:val="28"/>
          <w:szCs w:val="28"/>
        </w:rPr>
        <w:t>овій перспективі, забезпечуючи сталий розвиток фінансової системи та залучення інвестицій</w:t>
      </w:r>
      <w:r>
        <w:rPr>
          <w:rStyle w:val="ab"/>
          <w:b w:val="0"/>
          <w:bCs w:val="0"/>
          <w:color w:val="000000"/>
          <w:sz w:val="28"/>
          <w:szCs w:val="28"/>
          <w:lang w:val="uk-UA"/>
        </w:rPr>
        <w:t xml:space="preserve"> (табл. 3.6)</w:t>
      </w:r>
      <w:r>
        <w:rPr>
          <w:rStyle w:val="ab"/>
          <w:b w:val="0"/>
          <w:bCs w:val="0"/>
          <w:color w:val="000000"/>
          <w:sz w:val="28"/>
          <w:szCs w:val="28"/>
        </w:rPr>
        <w:t>.</w:t>
      </w:r>
    </w:p>
    <w:p w:rsidR="00705F07" w:rsidRDefault="00185A37">
      <w:pPr>
        <w:spacing w:line="360" w:lineRule="auto"/>
        <w:ind w:firstLine="709"/>
        <w:jc w:val="right"/>
        <w:rPr>
          <w:rStyle w:val="ab"/>
          <w:b w:val="0"/>
          <w:bCs w:val="0"/>
          <w:color w:val="000000"/>
          <w:sz w:val="28"/>
          <w:szCs w:val="28"/>
          <w:lang w:val="uk-UA"/>
        </w:rPr>
      </w:pPr>
      <w:r>
        <w:rPr>
          <w:rStyle w:val="ab"/>
          <w:b w:val="0"/>
          <w:bCs w:val="0"/>
          <w:color w:val="000000"/>
          <w:sz w:val="28"/>
          <w:szCs w:val="28"/>
        </w:rPr>
        <w:t>Таблиця 3.</w:t>
      </w:r>
      <w:r>
        <w:rPr>
          <w:rStyle w:val="ab"/>
          <w:b w:val="0"/>
          <w:bCs w:val="0"/>
          <w:color w:val="000000"/>
          <w:sz w:val="28"/>
          <w:szCs w:val="28"/>
          <w:lang w:val="uk-UA"/>
        </w:rPr>
        <w:t>6</w:t>
      </w:r>
    </w:p>
    <w:p w:rsidR="00705F07" w:rsidRDefault="00185A37">
      <w:pPr>
        <w:spacing w:line="360" w:lineRule="auto"/>
        <w:ind w:firstLine="709"/>
        <w:jc w:val="center"/>
        <w:rPr>
          <w:rStyle w:val="ab"/>
          <w:b w:val="0"/>
          <w:bCs w:val="0"/>
          <w:color w:val="000000"/>
          <w:sz w:val="28"/>
          <w:szCs w:val="28"/>
          <w:lang w:val="uk-UA"/>
        </w:rPr>
      </w:pPr>
      <w:r>
        <w:rPr>
          <w:rStyle w:val="ab"/>
          <w:b w:val="0"/>
          <w:bCs w:val="0"/>
          <w:color w:val="000000"/>
          <w:sz w:val="28"/>
          <w:szCs w:val="28"/>
        </w:rPr>
        <w:t xml:space="preserve">Стратегічні заходи для стабілізації та розвитку фінансового ринку </w:t>
      </w:r>
    </w:p>
    <w:p w:rsidR="00705F07" w:rsidRDefault="00185A37">
      <w:pPr>
        <w:spacing w:line="360" w:lineRule="auto"/>
        <w:ind w:firstLine="709"/>
        <w:jc w:val="center"/>
        <w:rPr>
          <w:color w:val="000000"/>
          <w:sz w:val="28"/>
          <w:szCs w:val="28"/>
        </w:rPr>
      </w:pPr>
      <w:r>
        <w:rPr>
          <w:rStyle w:val="ab"/>
          <w:b w:val="0"/>
          <w:bCs w:val="0"/>
          <w:color w:val="000000"/>
          <w:sz w:val="28"/>
          <w:szCs w:val="28"/>
        </w:rPr>
        <w:t>після війни</w:t>
      </w:r>
    </w:p>
    <w:tbl>
      <w:tblPr>
        <w:tblStyle w:val="ad"/>
        <w:tblW w:w="0" w:type="auto"/>
        <w:jc w:val="center"/>
        <w:tblLook w:val="04A0" w:firstRow="1" w:lastRow="0" w:firstColumn="1" w:lastColumn="0" w:noHBand="0" w:noVBand="1"/>
      </w:tblPr>
      <w:tblGrid>
        <w:gridCol w:w="2402"/>
        <w:gridCol w:w="1930"/>
        <w:gridCol w:w="2520"/>
        <w:gridCol w:w="2503"/>
      </w:tblGrid>
      <w:tr w:rsidR="00705F07">
        <w:trPr>
          <w:jc w:val="center"/>
        </w:trPr>
        <w:tc>
          <w:tcPr>
            <w:tcW w:w="0" w:type="auto"/>
            <w:vAlign w:val="center"/>
            <w:hideMark/>
          </w:tcPr>
          <w:p w:rsidR="00705F07" w:rsidRDefault="00185A37">
            <w:pPr>
              <w:jc w:val="center"/>
              <w:rPr>
                <w:bCs/>
                <w:color w:val="000000"/>
              </w:rPr>
            </w:pPr>
            <w:r>
              <w:rPr>
                <w:bCs/>
                <w:color w:val="000000"/>
              </w:rPr>
              <w:t>Заходи</w:t>
            </w:r>
          </w:p>
        </w:tc>
        <w:tc>
          <w:tcPr>
            <w:tcW w:w="1856" w:type="dxa"/>
            <w:vAlign w:val="center"/>
            <w:hideMark/>
          </w:tcPr>
          <w:p w:rsidR="00705F07" w:rsidRDefault="00185A37">
            <w:pPr>
              <w:jc w:val="center"/>
              <w:rPr>
                <w:bCs/>
                <w:color w:val="000000"/>
              </w:rPr>
            </w:pPr>
            <w:r>
              <w:rPr>
                <w:bCs/>
                <w:color w:val="000000"/>
              </w:rPr>
              <w:t>Мета</w:t>
            </w:r>
          </w:p>
        </w:tc>
        <w:tc>
          <w:tcPr>
            <w:tcW w:w="2520" w:type="dxa"/>
            <w:vAlign w:val="center"/>
            <w:hideMark/>
          </w:tcPr>
          <w:p w:rsidR="00705F07" w:rsidRDefault="00185A37">
            <w:pPr>
              <w:jc w:val="center"/>
              <w:rPr>
                <w:bCs/>
                <w:color w:val="000000"/>
              </w:rPr>
            </w:pPr>
            <w:r>
              <w:rPr>
                <w:bCs/>
                <w:color w:val="000000"/>
              </w:rPr>
              <w:t>Очікуваний результат</w:t>
            </w:r>
          </w:p>
        </w:tc>
        <w:tc>
          <w:tcPr>
            <w:tcW w:w="2248" w:type="dxa"/>
            <w:vAlign w:val="center"/>
            <w:hideMark/>
          </w:tcPr>
          <w:p w:rsidR="00705F07" w:rsidRDefault="00185A37">
            <w:pPr>
              <w:jc w:val="center"/>
              <w:rPr>
                <w:bCs/>
                <w:color w:val="000000"/>
              </w:rPr>
            </w:pPr>
            <w:r>
              <w:rPr>
                <w:bCs/>
                <w:color w:val="000000"/>
              </w:rPr>
              <w:t>Термін реалізації</w:t>
            </w:r>
          </w:p>
        </w:tc>
      </w:tr>
      <w:tr w:rsidR="00705F07">
        <w:trPr>
          <w:jc w:val="center"/>
        </w:trPr>
        <w:tc>
          <w:tcPr>
            <w:tcW w:w="0" w:type="auto"/>
            <w:vAlign w:val="center"/>
            <w:hideMark/>
          </w:tcPr>
          <w:p w:rsidR="00705F07" w:rsidRDefault="00185A37">
            <w:pPr>
              <w:jc w:val="center"/>
              <w:rPr>
                <w:bCs/>
                <w:color w:val="000000"/>
                <w:lang w:val="uk-UA"/>
              </w:rPr>
            </w:pPr>
            <w:r>
              <w:rPr>
                <w:bCs/>
                <w:color w:val="000000"/>
                <w:lang w:val="uk-UA"/>
              </w:rPr>
              <w:t>1</w:t>
            </w:r>
          </w:p>
        </w:tc>
        <w:tc>
          <w:tcPr>
            <w:tcW w:w="1856" w:type="dxa"/>
            <w:vAlign w:val="center"/>
            <w:hideMark/>
          </w:tcPr>
          <w:p w:rsidR="00705F07" w:rsidRDefault="00185A37">
            <w:pPr>
              <w:jc w:val="center"/>
              <w:rPr>
                <w:bCs/>
                <w:color w:val="000000"/>
                <w:lang w:val="uk-UA"/>
              </w:rPr>
            </w:pPr>
            <w:r>
              <w:rPr>
                <w:bCs/>
                <w:color w:val="000000"/>
                <w:lang w:val="uk-UA"/>
              </w:rPr>
              <w:t>2</w:t>
            </w:r>
          </w:p>
        </w:tc>
        <w:tc>
          <w:tcPr>
            <w:tcW w:w="2520" w:type="dxa"/>
            <w:vAlign w:val="center"/>
            <w:hideMark/>
          </w:tcPr>
          <w:p w:rsidR="00705F07" w:rsidRDefault="00185A37">
            <w:pPr>
              <w:jc w:val="center"/>
              <w:rPr>
                <w:bCs/>
                <w:color w:val="000000"/>
                <w:lang w:val="uk-UA"/>
              </w:rPr>
            </w:pPr>
            <w:r>
              <w:rPr>
                <w:bCs/>
                <w:color w:val="000000"/>
                <w:lang w:val="uk-UA"/>
              </w:rPr>
              <w:t>3</w:t>
            </w:r>
          </w:p>
        </w:tc>
        <w:tc>
          <w:tcPr>
            <w:tcW w:w="2248" w:type="dxa"/>
            <w:vAlign w:val="center"/>
            <w:hideMark/>
          </w:tcPr>
          <w:p w:rsidR="00705F07" w:rsidRDefault="00185A37">
            <w:pPr>
              <w:jc w:val="center"/>
              <w:rPr>
                <w:bCs/>
                <w:color w:val="000000"/>
                <w:lang w:val="uk-UA"/>
              </w:rPr>
            </w:pPr>
            <w:r>
              <w:rPr>
                <w:bCs/>
                <w:color w:val="000000"/>
                <w:lang w:val="uk-UA"/>
              </w:rPr>
              <w:t>4</w:t>
            </w:r>
          </w:p>
        </w:tc>
      </w:tr>
      <w:tr w:rsidR="00705F07">
        <w:trPr>
          <w:jc w:val="center"/>
        </w:trPr>
        <w:tc>
          <w:tcPr>
            <w:tcW w:w="0" w:type="auto"/>
            <w:vAlign w:val="center"/>
            <w:hideMark/>
          </w:tcPr>
          <w:p w:rsidR="00705F07" w:rsidRDefault="00185A37">
            <w:pPr>
              <w:jc w:val="center"/>
              <w:rPr>
                <w:color w:val="000000"/>
              </w:rPr>
            </w:pPr>
            <w:r>
              <w:rPr>
                <w:color w:val="000000"/>
              </w:rPr>
              <w:t>Впровадження державних гарантій для інвесторів</w:t>
            </w:r>
          </w:p>
        </w:tc>
        <w:tc>
          <w:tcPr>
            <w:tcW w:w="1856" w:type="dxa"/>
            <w:vAlign w:val="center"/>
            <w:hideMark/>
          </w:tcPr>
          <w:p w:rsidR="00705F07" w:rsidRDefault="00185A37">
            <w:pPr>
              <w:jc w:val="center"/>
              <w:rPr>
                <w:color w:val="000000"/>
              </w:rPr>
            </w:pPr>
            <w:r>
              <w:rPr>
                <w:color w:val="000000"/>
              </w:rPr>
              <w:t>Підвищення довіри до ринку</w:t>
            </w:r>
          </w:p>
        </w:tc>
        <w:tc>
          <w:tcPr>
            <w:tcW w:w="2520" w:type="dxa"/>
            <w:vAlign w:val="center"/>
            <w:hideMark/>
          </w:tcPr>
          <w:p w:rsidR="00705F07" w:rsidRDefault="00185A37">
            <w:pPr>
              <w:jc w:val="center"/>
              <w:rPr>
                <w:color w:val="000000"/>
              </w:rPr>
            </w:pPr>
            <w:r>
              <w:rPr>
                <w:color w:val="000000"/>
              </w:rPr>
              <w:t>Зростання інвестицій, стабілізація обсягів торгів</w:t>
            </w:r>
          </w:p>
        </w:tc>
        <w:tc>
          <w:tcPr>
            <w:tcW w:w="2248" w:type="dxa"/>
            <w:vAlign w:val="center"/>
            <w:hideMark/>
          </w:tcPr>
          <w:p w:rsidR="00705F07" w:rsidRDefault="00185A37">
            <w:pPr>
              <w:jc w:val="center"/>
              <w:rPr>
                <w:color w:val="000000"/>
              </w:rPr>
            </w:pPr>
            <w:r>
              <w:rPr>
                <w:color w:val="000000"/>
              </w:rPr>
              <w:t>Короткостроковий (1–2 роки)</w:t>
            </w:r>
          </w:p>
        </w:tc>
      </w:tr>
      <w:tr w:rsidR="00705F07">
        <w:trPr>
          <w:jc w:val="center"/>
        </w:trPr>
        <w:tc>
          <w:tcPr>
            <w:tcW w:w="0" w:type="auto"/>
            <w:vAlign w:val="center"/>
            <w:hideMark/>
          </w:tcPr>
          <w:p w:rsidR="00705F07" w:rsidRDefault="00185A37">
            <w:pPr>
              <w:jc w:val="center"/>
              <w:rPr>
                <w:color w:val="000000"/>
              </w:rPr>
            </w:pPr>
            <w:r>
              <w:rPr>
                <w:color w:val="000000"/>
              </w:rPr>
              <w:t>Податкові пільги для інвесторів та компаній</w:t>
            </w:r>
          </w:p>
        </w:tc>
        <w:tc>
          <w:tcPr>
            <w:tcW w:w="1856" w:type="dxa"/>
            <w:vAlign w:val="center"/>
            <w:hideMark/>
          </w:tcPr>
          <w:p w:rsidR="00705F07" w:rsidRDefault="00185A37">
            <w:pPr>
              <w:jc w:val="center"/>
              <w:rPr>
                <w:color w:val="000000"/>
              </w:rPr>
            </w:pPr>
            <w:r>
              <w:rPr>
                <w:color w:val="000000"/>
              </w:rPr>
              <w:t>Стимулювання випуску акцій і облігацій</w:t>
            </w:r>
          </w:p>
        </w:tc>
        <w:tc>
          <w:tcPr>
            <w:tcW w:w="2520" w:type="dxa"/>
            <w:vAlign w:val="center"/>
            <w:hideMark/>
          </w:tcPr>
          <w:p w:rsidR="00705F07" w:rsidRDefault="00185A37">
            <w:pPr>
              <w:jc w:val="center"/>
              <w:rPr>
                <w:color w:val="000000"/>
              </w:rPr>
            </w:pPr>
            <w:r>
              <w:rPr>
                <w:color w:val="000000"/>
              </w:rPr>
              <w:t xml:space="preserve">Збільшення емісій, </w:t>
            </w:r>
            <w:r>
              <w:rPr>
                <w:color w:val="000000"/>
              </w:rPr>
              <w:t>залучення приватного капіталу</w:t>
            </w:r>
          </w:p>
        </w:tc>
        <w:tc>
          <w:tcPr>
            <w:tcW w:w="2248" w:type="dxa"/>
            <w:vAlign w:val="center"/>
            <w:hideMark/>
          </w:tcPr>
          <w:p w:rsidR="00705F07" w:rsidRDefault="00185A37">
            <w:pPr>
              <w:jc w:val="center"/>
              <w:rPr>
                <w:color w:val="000000"/>
              </w:rPr>
            </w:pPr>
            <w:r>
              <w:rPr>
                <w:color w:val="000000"/>
              </w:rPr>
              <w:t>Середньостроковий (2–3 роки)</w:t>
            </w:r>
          </w:p>
        </w:tc>
      </w:tr>
    </w:tbl>
    <w:p w:rsidR="00705F07" w:rsidRDefault="00705F07">
      <w:pPr>
        <w:spacing w:line="360" w:lineRule="auto"/>
        <w:ind w:firstLine="709"/>
        <w:jc w:val="right"/>
        <w:rPr>
          <w:rStyle w:val="ab"/>
          <w:b w:val="0"/>
          <w:bCs w:val="0"/>
          <w:color w:val="000000"/>
          <w:sz w:val="28"/>
          <w:szCs w:val="28"/>
          <w:lang w:val="uk-UA"/>
        </w:rPr>
      </w:pPr>
    </w:p>
    <w:p w:rsidR="00705F07" w:rsidRDefault="00185A37">
      <w:pPr>
        <w:spacing w:line="360" w:lineRule="auto"/>
        <w:ind w:firstLine="709"/>
        <w:jc w:val="right"/>
        <w:rPr>
          <w:rStyle w:val="ab"/>
          <w:b w:val="0"/>
          <w:bCs w:val="0"/>
          <w:color w:val="000000"/>
          <w:sz w:val="28"/>
          <w:szCs w:val="28"/>
          <w:lang w:val="uk-UA"/>
        </w:rPr>
      </w:pPr>
      <w:r>
        <w:rPr>
          <w:rStyle w:val="ab"/>
          <w:b w:val="0"/>
          <w:bCs w:val="0"/>
          <w:color w:val="000000"/>
          <w:sz w:val="28"/>
          <w:szCs w:val="28"/>
          <w:lang w:val="uk-UA"/>
        </w:rPr>
        <w:t>Продовження табл. 3.6</w:t>
      </w:r>
    </w:p>
    <w:tbl>
      <w:tblPr>
        <w:tblStyle w:val="ad"/>
        <w:tblW w:w="0" w:type="auto"/>
        <w:jc w:val="center"/>
        <w:tblLook w:val="04A0" w:firstRow="1" w:lastRow="0" w:firstColumn="1" w:lastColumn="0" w:noHBand="0" w:noVBand="1"/>
      </w:tblPr>
      <w:tblGrid>
        <w:gridCol w:w="2476"/>
        <w:gridCol w:w="1856"/>
        <w:gridCol w:w="2520"/>
        <w:gridCol w:w="2503"/>
      </w:tblGrid>
      <w:tr w:rsidR="00705F07">
        <w:trPr>
          <w:jc w:val="center"/>
        </w:trPr>
        <w:tc>
          <w:tcPr>
            <w:tcW w:w="0" w:type="auto"/>
            <w:vAlign w:val="center"/>
            <w:hideMark/>
          </w:tcPr>
          <w:p w:rsidR="00705F07" w:rsidRDefault="00185A37">
            <w:pPr>
              <w:jc w:val="center"/>
              <w:rPr>
                <w:color w:val="000000"/>
                <w:lang w:val="uk-UA"/>
              </w:rPr>
            </w:pPr>
            <w:r>
              <w:rPr>
                <w:color w:val="000000"/>
                <w:lang w:val="uk-UA"/>
              </w:rPr>
              <w:t>1</w:t>
            </w:r>
          </w:p>
        </w:tc>
        <w:tc>
          <w:tcPr>
            <w:tcW w:w="1856" w:type="dxa"/>
            <w:vAlign w:val="center"/>
            <w:hideMark/>
          </w:tcPr>
          <w:p w:rsidR="00705F07" w:rsidRDefault="00185A37">
            <w:pPr>
              <w:jc w:val="center"/>
              <w:rPr>
                <w:color w:val="000000"/>
                <w:lang w:val="uk-UA"/>
              </w:rPr>
            </w:pPr>
            <w:r>
              <w:rPr>
                <w:color w:val="000000"/>
                <w:lang w:val="uk-UA"/>
              </w:rPr>
              <w:t>2</w:t>
            </w:r>
          </w:p>
        </w:tc>
        <w:tc>
          <w:tcPr>
            <w:tcW w:w="2520" w:type="dxa"/>
            <w:vAlign w:val="center"/>
            <w:hideMark/>
          </w:tcPr>
          <w:p w:rsidR="00705F07" w:rsidRDefault="00185A37">
            <w:pPr>
              <w:jc w:val="center"/>
              <w:rPr>
                <w:color w:val="000000"/>
                <w:lang w:val="uk-UA"/>
              </w:rPr>
            </w:pPr>
            <w:r>
              <w:rPr>
                <w:color w:val="000000"/>
                <w:lang w:val="uk-UA"/>
              </w:rPr>
              <w:t>3</w:t>
            </w:r>
          </w:p>
        </w:tc>
        <w:tc>
          <w:tcPr>
            <w:tcW w:w="2248" w:type="dxa"/>
            <w:vAlign w:val="center"/>
            <w:hideMark/>
          </w:tcPr>
          <w:p w:rsidR="00705F07" w:rsidRDefault="00185A37">
            <w:pPr>
              <w:jc w:val="center"/>
              <w:rPr>
                <w:color w:val="000000"/>
                <w:lang w:val="uk-UA"/>
              </w:rPr>
            </w:pPr>
            <w:r>
              <w:rPr>
                <w:color w:val="000000"/>
                <w:lang w:val="uk-UA"/>
              </w:rPr>
              <w:t>4</w:t>
            </w:r>
          </w:p>
        </w:tc>
      </w:tr>
      <w:tr w:rsidR="00705F07">
        <w:trPr>
          <w:jc w:val="center"/>
        </w:trPr>
        <w:tc>
          <w:tcPr>
            <w:tcW w:w="0" w:type="auto"/>
            <w:vAlign w:val="center"/>
            <w:hideMark/>
          </w:tcPr>
          <w:p w:rsidR="00705F07" w:rsidRDefault="00185A37">
            <w:pPr>
              <w:jc w:val="center"/>
              <w:rPr>
                <w:color w:val="000000"/>
              </w:rPr>
            </w:pPr>
            <w:r>
              <w:rPr>
                <w:color w:val="000000"/>
              </w:rPr>
              <w:t>Цифровізація бірж та банківських послуг</w:t>
            </w:r>
          </w:p>
        </w:tc>
        <w:tc>
          <w:tcPr>
            <w:tcW w:w="1856" w:type="dxa"/>
            <w:vAlign w:val="center"/>
            <w:hideMark/>
          </w:tcPr>
          <w:p w:rsidR="00705F07" w:rsidRDefault="00185A37">
            <w:pPr>
              <w:jc w:val="center"/>
              <w:rPr>
                <w:color w:val="000000"/>
              </w:rPr>
            </w:pPr>
            <w:r>
              <w:rPr>
                <w:color w:val="000000"/>
              </w:rPr>
              <w:t>Підвищення прозорості та доступності</w:t>
            </w:r>
          </w:p>
        </w:tc>
        <w:tc>
          <w:tcPr>
            <w:tcW w:w="2520" w:type="dxa"/>
            <w:vAlign w:val="center"/>
            <w:hideMark/>
          </w:tcPr>
          <w:p w:rsidR="00705F07" w:rsidRDefault="00185A37">
            <w:pPr>
              <w:jc w:val="center"/>
              <w:rPr>
                <w:color w:val="000000"/>
              </w:rPr>
            </w:pPr>
            <w:r>
              <w:rPr>
                <w:color w:val="000000"/>
              </w:rPr>
              <w:t>Швидкі та безпечні транзакції, зменшення ризиків</w:t>
            </w:r>
          </w:p>
        </w:tc>
        <w:tc>
          <w:tcPr>
            <w:tcW w:w="2248" w:type="dxa"/>
            <w:vAlign w:val="center"/>
            <w:hideMark/>
          </w:tcPr>
          <w:p w:rsidR="00705F07" w:rsidRDefault="00185A37">
            <w:pPr>
              <w:jc w:val="center"/>
              <w:rPr>
                <w:color w:val="000000"/>
              </w:rPr>
            </w:pPr>
            <w:r>
              <w:rPr>
                <w:color w:val="000000"/>
              </w:rPr>
              <w:t>Середньостроковий (2–3 роки)</w:t>
            </w:r>
          </w:p>
        </w:tc>
      </w:tr>
      <w:tr w:rsidR="00705F07">
        <w:trPr>
          <w:jc w:val="center"/>
        </w:trPr>
        <w:tc>
          <w:tcPr>
            <w:tcW w:w="0" w:type="auto"/>
            <w:vAlign w:val="center"/>
            <w:hideMark/>
          </w:tcPr>
          <w:p w:rsidR="00705F07" w:rsidRDefault="00185A37">
            <w:pPr>
              <w:jc w:val="center"/>
              <w:rPr>
                <w:color w:val="000000"/>
              </w:rPr>
            </w:pPr>
            <w:r>
              <w:rPr>
                <w:color w:val="000000"/>
              </w:rPr>
              <w:t>Розвиток</w:t>
            </w:r>
            <w:r>
              <w:rPr>
                <w:color w:val="000000"/>
              </w:rPr>
              <w:t xml:space="preserve"> корпоративного ринку</w:t>
            </w:r>
          </w:p>
        </w:tc>
        <w:tc>
          <w:tcPr>
            <w:tcW w:w="1856" w:type="dxa"/>
            <w:vAlign w:val="center"/>
            <w:hideMark/>
          </w:tcPr>
          <w:p w:rsidR="00705F07" w:rsidRDefault="00185A37">
            <w:pPr>
              <w:jc w:val="center"/>
              <w:rPr>
                <w:color w:val="000000"/>
              </w:rPr>
            </w:pPr>
            <w:r>
              <w:rPr>
                <w:color w:val="000000"/>
              </w:rPr>
              <w:t>Залучення капіталу приватного сектору</w:t>
            </w:r>
          </w:p>
        </w:tc>
        <w:tc>
          <w:tcPr>
            <w:tcW w:w="2520" w:type="dxa"/>
            <w:vAlign w:val="center"/>
            <w:hideMark/>
          </w:tcPr>
          <w:p w:rsidR="00705F07" w:rsidRDefault="00185A37">
            <w:pPr>
              <w:jc w:val="center"/>
              <w:rPr>
                <w:color w:val="000000"/>
              </w:rPr>
            </w:pPr>
            <w:r>
              <w:rPr>
                <w:color w:val="000000"/>
              </w:rPr>
              <w:t>Диверсифікація ринку, зменшення концентрації на державних паперах</w:t>
            </w:r>
          </w:p>
        </w:tc>
        <w:tc>
          <w:tcPr>
            <w:tcW w:w="2248" w:type="dxa"/>
            <w:vAlign w:val="center"/>
            <w:hideMark/>
          </w:tcPr>
          <w:p w:rsidR="00705F07" w:rsidRDefault="00185A37">
            <w:pPr>
              <w:jc w:val="center"/>
              <w:rPr>
                <w:color w:val="000000"/>
              </w:rPr>
            </w:pPr>
            <w:r>
              <w:rPr>
                <w:color w:val="000000"/>
              </w:rPr>
              <w:t>Довгостроковий (3–5 років)</w:t>
            </w:r>
          </w:p>
        </w:tc>
      </w:tr>
      <w:tr w:rsidR="00705F07">
        <w:trPr>
          <w:jc w:val="center"/>
        </w:trPr>
        <w:tc>
          <w:tcPr>
            <w:tcW w:w="0" w:type="auto"/>
            <w:vAlign w:val="center"/>
            <w:hideMark/>
          </w:tcPr>
          <w:p w:rsidR="00705F07" w:rsidRDefault="00185A37">
            <w:pPr>
              <w:jc w:val="center"/>
              <w:rPr>
                <w:color w:val="000000"/>
              </w:rPr>
            </w:pPr>
            <w:r>
              <w:rPr>
                <w:color w:val="000000"/>
              </w:rPr>
              <w:t>Стимулювання іноземних інвестицій</w:t>
            </w:r>
          </w:p>
        </w:tc>
        <w:tc>
          <w:tcPr>
            <w:tcW w:w="1856" w:type="dxa"/>
            <w:vAlign w:val="center"/>
            <w:hideMark/>
          </w:tcPr>
          <w:p w:rsidR="00705F07" w:rsidRDefault="00185A37">
            <w:pPr>
              <w:jc w:val="center"/>
              <w:rPr>
                <w:color w:val="000000"/>
              </w:rPr>
            </w:pPr>
            <w:r>
              <w:rPr>
                <w:color w:val="000000"/>
              </w:rPr>
              <w:t>Поповнення фінансових ресурсів</w:t>
            </w:r>
          </w:p>
        </w:tc>
        <w:tc>
          <w:tcPr>
            <w:tcW w:w="2520" w:type="dxa"/>
            <w:vAlign w:val="center"/>
            <w:hideMark/>
          </w:tcPr>
          <w:p w:rsidR="00705F07" w:rsidRDefault="00185A37">
            <w:pPr>
              <w:jc w:val="center"/>
              <w:rPr>
                <w:color w:val="000000"/>
              </w:rPr>
            </w:pPr>
            <w:r>
              <w:rPr>
                <w:color w:val="000000"/>
              </w:rPr>
              <w:t>Залучення валютного капіталу, зміцнен</w:t>
            </w:r>
            <w:r>
              <w:rPr>
                <w:color w:val="000000"/>
              </w:rPr>
              <w:t>ня фінансової системи</w:t>
            </w:r>
          </w:p>
        </w:tc>
        <w:tc>
          <w:tcPr>
            <w:tcW w:w="2248" w:type="dxa"/>
            <w:vAlign w:val="center"/>
            <w:hideMark/>
          </w:tcPr>
          <w:p w:rsidR="00705F07" w:rsidRDefault="00185A37">
            <w:pPr>
              <w:jc w:val="center"/>
              <w:rPr>
                <w:color w:val="000000"/>
              </w:rPr>
            </w:pPr>
            <w:r>
              <w:rPr>
                <w:color w:val="000000"/>
              </w:rPr>
              <w:t>Довгостроковий (3–5 років)</w:t>
            </w:r>
          </w:p>
        </w:tc>
      </w:tr>
    </w:tbl>
    <w:p w:rsidR="00705F07" w:rsidRDefault="00185A37">
      <w:pPr>
        <w:ind w:firstLine="709"/>
        <w:jc w:val="both"/>
        <w:rPr>
          <w:color w:val="000000"/>
        </w:rPr>
      </w:pPr>
      <w:r>
        <w:rPr>
          <w:color w:val="000000"/>
        </w:rPr>
        <w:t>Джерело: складено автором на основі даних [3</w:t>
      </w:r>
      <w:r>
        <w:rPr>
          <w:color w:val="000000"/>
          <w:lang w:val="uk-UA"/>
        </w:rPr>
        <w:t>9, с. 419; 41, с. 45; 42, с. 107; 48, с. 197</w:t>
      </w:r>
      <w:r>
        <w:rPr>
          <w:color w:val="000000"/>
        </w:rPr>
        <w:t>].</w:t>
      </w:r>
    </w:p>
    <w:p w:rsidR="00705F07" w:rsidRDefault="00705F07">
      <w:pPr>
        <w:spacing w:line="360" w:lineRule="auto"/>
        <w:ind w:firstLine="709"/>
        <w:jc w:val="right"/>
        <w:rPr>
          <w:rStyle w:val="ab"/>
          <w:b w:val="0"/>
          <w:bCs w:val="0"/>
          <w:color w:val="000000"/>
          <w:sz w:val="28"/>
          <w:szCs w:val="28"/>
        </w:rPr>
      </w:pPr>
    </w:p>
    <w:p w:rsidR="00705F07" w:rsidRDefault="00185A37">
      <w:pPr>
        <w:spacing w:line="360" w:lineRule="auto"/>
        <w:ind w:firstLine="709"/>
        <w:jc w:val="both"/>
        <w:rPr>
          <w:rStyle w:val="ab"/>
          <w:b w:val="0"/>
          <w:bCs w:val="0"/>
          <w:color w:val="000000"/>
          <w:sz w:val="28"/>
          <w:szCs w:val="28"/>
        </w:rPr>
      </w:pPr>
      <w:r>
        <w:rPr>
          <w:rStyle w:val="ab"/>
          <w:b w:val="0"/>
          <w:bCs w:val="0"/>
          <w:color w:val="000000"/>
          <w:sz w:val="28"/>
          <w:szCs w:val="28"/>
        </w:rPr>
        <w:t xml:space="preserve">Одним із пріоритетних напрямів є впровадження державних гарантій для інвесторів. Це дозволяє підвищити довіру до </w:t>
      </w:r>
      <w:r>
        <w:rPr>
          <w:rStyle w:val="ab"/>
          <w:b w:val="0"/>
          <w:bCs w:val="0"/>
          <w:color w:val="000000"/>
          <w:sz w:val="28"/>
          <w:szCs w:val="28"/>
        </w:rPr>
        <w:t>ринку, стимулює збільшення інвестицій та стабілізує обсяги торгів. За короткостроковий період (1–2 роки) такий механізм здатний створити базові умови для відновлення ліквідності та активізації вторинного ринку цінних паперів.</w:t>
      </w:r>
      <w:r>
        <w:rPr>
          <w:rStyle w:val="ab"/>
          <w:b w:val="0"/>
          <w:bCs w:val="0"/>
          <w:color w:val="000000"/>
          <w:sz w:val="28"/>
          <w:szCs w:val="28"/>
          <w:lang w:val="uk-UA"/>
        </w:rPr>
        <w:t xml:space="preserve"> Податкові пільги для інвесторі</w:t>
      </w:r>
      <w:r>
        <w:rPr>
          <w:rStyle w:val="ab"/>
          <w:b w:val="0"/>
          <w:bCs w:val="0"/>
          <w:color w:val="000000"/>
          <w:sz w:val="28"/>
          <w:szCs w:val="28"/>
          <w:lang w:val="uk-UA"/>
        </w:rPr>
        <w:t xml:space="preserve">в та компаній спрямовані на стимулювання випуску акцій і облігацій. </w:t>
      </w:r>
      <w:r>
        <w:rPr>
          <w:rStyle w:val="ab"/>
          <w:b w:val="0"/>
          <w:bCs w:val="0"/>
          <w:color w:val="000000"/>
          <w:sz w:val="28"/>
          <w:szCs w:val="28"/>
        </w:rPr>
        <w:t xml:space="preserve">Вони забезпечують залучення приватного капіталу та зростання емісій фінансових інструментів. Середньострокова реалізація (2–3 роки) таких заходів дозволяє посилити розвиток корпоративного </w:t>
      </w:r>
      <w:r>
        <w:rPr>
          <w:rStyle w:val="ab"/>
          <w:b w:val="0"/>
          <w:bCs w:val="0"/>
          <w:color w:val="000000"/>
          <w:sz w:val="28"/>
          <w:szCs w:val="28"/>
        </w:rPr>
        <w:t>сектору, підтримати підприємства та забезпечити їх фінансову стійкість у повоєнних умовах.</w:t>
      </w:r>
    </w:p>
    <w:p w:rsidR="00705F07" w:rsidRDefault="00185A37">
      <w:pPr>
        <w:spacing w:line="360" w:lineRule="auto"/>
        <w:ind w:firstLine="709"/>
        <w:jc w:val="both"/>
        <w:rPr>
          <w:rStyle w:val="ab"/>
          <w:b w:val="0"/>
          <w:bCs w:val="0"/>
          <w:color w:val="000000"/>
          <w:sz w:val="28"/>
          <w:szCs w:val="28"/>
          <w:lang w:val="uk-UA"/>
        </w:rPr>
      </w:pPr>
      <w:r>
        <w:rPr>
          <w:rStyle w:val="ab"/>
          <w:b w:val="0"/>
          <w:bCs w:val="0"/>
          <w:color w:val="000000"/>
          <w:sz w:val="28"/>
          <w:szCs w:val="28"/>
        </w:rPr>
        <w:t>Цифровізація бірж та банківських послуг є ключовим елементом модернізації фінансової інфраструктури. Вона підвищує прозорість та доступність ринку, дозволяє здійснюв</w:t>
      </w:r>
      <w:r>
        <w:rPr>
          <w:rStyle w:val="ab"/>
          <w:b w:val="0"/>
          <w:bCs w:val="0"/>
          <w:color w:val="000000"/>
          <w:sz w:val="28"/>
          <w:szCs w:val="28"/>
        </w:rPr>
        <w:t>ати швидкі й безпечні транзакції, зменшує операційні ризики та сприяє підвищенню довіри учасників ринку. Середньостроковий ефект (2–3 роки) передбачає більш ефективну роботу фінансових інститутів і активізацію онлайн-транзакцій.</w:t>
      </w:r>
      <w:r>
        <w:rPr>
          <w:rStyle w:val="ab"/>
          <w:b w:val="0"/>
          <w:bCs w:val="0"/>
          <w:color w:val="000000"/>
          <w:sz w:val="28"/>
          <w:szCs w:val="28"/>
          <w:lang w:val="uk-UA"/>
        </w:rPr>
        <w:t xml:space="preserve"> </w:t>
      </w:r>
      <w:r>
        <w:rPr>
          <w:rStyle w:val="ab"/>
          <w:b w:val="0"/>
          <w:bCs w:val="0"/>
          <w:color w:val="000000"/>
          <w:sz w:val="28"/>
          <w:szCs w:val="28"/>
        </w:rPr>
        <w:t>Розвиток корпоративного рин</w:t>
      </w:r>
      <w:r>
        <w:rPr>
          <w:rStyle w:val="ab"/>
          <w:b w:val="0"/>
          <w:bCs w:val="0"/>
          <w:color w:val="000000"/>
          <w:sz w:val="28"/>
          <w:szCs w:val="28"/>
        </w:rPr>
        <w:t>ку та стимулювання іноземних інвестицій є заходами довгострокового характеру (3–5 років). Залучення капіталу приватного сектору через розвиток корпоративних облігацій і приватних емісій дозволяє диверсифікувати ринок та зменшити концентрацію на державних п</w:t>
      </w:r>
      <w:r>
        <w:rPr>
          <w:rStyle w:val="ab"/>
          <w:b w:val="0"/>
          <w:bCs w:val="0"/>
          <w:color w:val="000000"/>
          <w:sz w:val="28"/>
          <w:szCs w:val="28"/>
        </w:rPr>
        <w:t>аперах. Паралельно стимулювання іноземних інвестицій поповнює фінансові ресурси країни, зміцнює валютну ліквідність і забезпечує стійкість фінансової системи.</w:t>
      </w:r>
      <w:r>
        <w:rPr>
          <w:rStyle w:val="ab"/>
          <w:b w:val="0"/>
          <w:bCs w:val="0"/>
          <w:color w:val="000000"/>
          <w:sz w:val="28"/>
          <w:szCs w:val="28"/>
          <w:lang w:val="uk-UA"/>
        </w:rPr>
        <w:t xml:space="preserve"> Р</w:t>
      </w:r>
      <w:r>
        <w:rPr>
          <w:rStyle w:val="ab"/>
          <w:b w:val="0"/>
          <w:bCs w:val="0"/>
          <w:color w:val="000000"/>
          <w:sz w:val="28"/>
          <w:szCs w:val="28"/>
        </w:rPr>
        <w:t xml:space="preserve">еалізація стратегічних заходів у післявоєнний період є комплексним інструментом відновлення </w:t>
      </w:r>
      <w:r>
        <w:rPr>
          <w:rStyle w:val="ab"/>
          <w:b w:val="0"/>
          <w:bCs w:val="0"/>
          <w:color w:val="000000"/>
          <w:sz w:val="28"/>
          <w:szCs w:val="28"/>
        </w:rPr>
        <w:t>фінансового ринку України. Вони забезпечують підвищення довіри, залучення капіталу, розвиток інфраструктури та цифровізацію ринку, що створює умови для стабільного та ефективного функціонування фінансової системи на середньо- та довгострокову перспективу.</w:t>
      </w:r>
    </w:p>
    <w:p w:rsidR="00705F07" w:rsidRDefault="00185A37">
      <w:pPr>
        <w:spacing w:line="360" w:lineRule="auto"/>
        <w:ind w:firstLine="709"/>
        <w:jc w:val="both"/>
        <w:rPr>
          <w:rStyle w:val="ab"/>
          <w:b w:val="0"/>
          <w:bCs w:val="0"/>
          <w:color w:val="000000"/>
          <w:sz w:val="28"/>
          <w:szCs w:val="28"/>
          <w:lang w:val="uk-UA"/>
        </w:rPr>
      </w:pPr>
      <w:r>
        <w:rPr>
          <w:rStyle w:val="ab"/>
          <w:b w:val="0"/>
          <w:bCs w:val="0"/>
          <w:color w:val="000000"/>
          <w:sz w:val="28"/>
          <w:szCs w:val="28"/>
          <w:lang w:val="uk-UA"/>
        </w:rPr>
        <w:t>Отже, шляхи вирішення сучасних проблем та перспективи розвитку фінансового ринку України у післявоєнний період ґрунтуються на комплексному поєднанні державних гарантій, податкових стимулів, модернізації інфраструктури, цифровізації та розвитку корпоративно</w:t>
      </w:r>
      <w:r>
        <w:rPr>
          <w:rStyle w:val="ab"/>
          <w:b w:val="0"/>
          <w:bCs w:val="0"/>
          <w:color w:val="000000"/>
          <w:sz w:val="28"/>
          <w:szCs w:val="28"/>
          <w:lang w:val="uk-UA"/>
        </w:rPr>
        <w:t>го сектору. Впровадження цих заходів сприяє підвищенню довіри інвесторів, активізації ринкових операцій, залученню приватного та іноземного капіталу, диверсифікації фінансових інструментів і стабілізації доходності. Такий системний підхід забезпечує поступ</w:t>
      </w:r>
      <w:r>
        <w:rPr>
          <w:rStyle w:val="ab"/>
          <w:b w:val="0"/>
          <w:bCs w:val="0"/>
          <w:color w:val="000000"/>
          <w:sz w:val="28"/>
          <w:szCs w:val="28"/>
          <w:lang w:val="uk-UA"/>
        </w:rPr>
        <w:t>ове відновлення ліквідності, підвищення капіталізації компаній і стійкість банківського сектору, створюючи надійні передумови для сталого розвитку фінансового ринку України на середньо- та довгострокову перспективу.</w:t>
      </w:r>
    </w:p>
    <w:p w:rsidR="00705F07" w:rsidRDefault="00705F07">
      <w:pPr>
        <w:pStyle w:val="2"/>
        <w:keepNext w:val="0"/>
        <w:keepLines w:val="0"/>
        <w:spacing w:before="0" w:line="360" w:lineRule="auto"/>
        <w:ind w:firstLine="709"/>
        <w:jc w:val="both"/>
        <w:rPr>
          <w:rFonts w:ascii="Times New Roman" w:hAnsi="Times New Roman" w:cs="Times New Roman"/>
          <w:b w:val="0"/>
          <w:color w:val="000000"/>
          <w:sz w:val="28"/>
          <w:szCs w:val="28"/>
          <w:lang w:val="uk-UA"/>
        </w:rPr>
      </w:pPr>
    </w:p>
    <w:p w:rsidR="00705F07" w:rsidRDefault="00185A37">
      <w:pPr>
        <w:pStyle w:val="2"/>
        <w:keepNext w:val="0"/>
        <w:keepLines w:val="0"/>
        <w:spacing w:before="0" w:line="360" w:lineRule="auto"/>
        <w:ind w:firstLine="709"/>
        <w:jc w:val="both"/>
        <w:rPr>
          <w:rFonts w:ascii="Times New Roman" w:hAnsi="Times New Roman" w:cs="Times New Roman"/>
          <w:b w:val="0"/>
          <w:color w:val="000000"/>
          <w:sz w:val="28"/>
          <w:szCs w:val="28"/>
        </w:rPr>
      </w:pPr>
      <w:bookmarkStart w:id="18" w:name="_Toc213845777"/>
      <w:r>
        <w:rPr>
          <w:rFonts w:ascii="Times New Roman" w:hAnsi="Times New Roman" w:cs="Times New Roman"/>
          <w:b w:val="0"/>
          <w:color w:val="000000"/>
          <w:sz w:val="28"/>
          <w:szCs w:val="28"/>
        </w:rPr>
        <w:t>Висновки до розділу 3</w:t>
      </w:r>
      <w:bookmarkEnd w:id="18"/>
    </w:p>
    <w:p w:rsidR="00705F07" w:rsidRDefault="00705F07">
      <w:pPr>
        <w:spacing w:line="360" w:lineRule="auto"/>
        <w:ind w:firstLine="709"/>
        <w:jc w:val="both"/>
        <w:rPr>
          <w:rStyle w:val="ab"/>
          <w:b w:val="0"/>
          <w:bCs w:val="0"/>
          <w:color w:val="000000"/>
          <w:sz w:val="28"/>
          <w:szCs w:val="28"/>
          <w:lang w:val="uk-UA"/>
        </w:rPr>
      </w:pPr>
    </w:p>
    <w:p w:rsidR="00705F07" w:rsidRDefault="00185A37">
      <w:pPr>
        <w:spacing w:line="360" w:lineRule="auto"/>
        <w:ind w:firstLine="709"/>
        <w:jc w:val="both"/>
        <w:rPr>
          <w:rStyle w:val="ab"/>
          <w:b w:val="0"/>
          <w:bCs w:val="0"/>
          <w:color w:val="000000"/>
          <w:sz w:val="28"/>
          <w:szCs w:val="28"/>
          <w:lang w:val="uk-UA"/>
        </w:rPr>
      </w:pPr>
      <w:r>
        <w:rPr>
          <w:rStyle w:val="ab"/>
          <w:b w:val="0"/>
          <w:bCs w:val="0"/>
          <w:color w:val="000000"/>
          <w:sz w:val="28"/>
          <w:szCs w:val="28"/>
          <w:lang w:val="uk-UA"/>
        </w:rPr>
        <w:t>Отже, у роботі б</w:t>
      </w:r>
      <w:r>
        <w:rPr>
          <w:rStyle w:val="ab"/>
          <w:b w:val="0"/>
          <w:bCs w:val="0"/>
          <w:color w:val="000000"/>
          <w:sz w:val="28"/>
          <w:szCs w:val="28"/>
          <w:lang w:val="uk-UA"/>
        </w:rPr>
        <w:t>уло обгрунтовано напрями функціонування фінансового ринку України в умовах війни, виявлено проблематику та шляхи вирішення.</w:t>
      </w:r>
    </w:p>
    <w:p w:rsidR="00705F07" w:rsidRDefault="00185A37">
      <w:pPr>
        <w:spacing w:line="360" w:lineRule="auto"/>
        <w:ind w:firstLine="709"/>
        <w:jc w:val="both"/>
        <w:rPr>
          <w:rStyle w:val="ab"/>
          <w:b w:val="0"/>
          <w:bCs w:val="0"/>
          <w:color w:val="000000"/>
          <w:sz w:val="28"/>
          <w:szCs w:val="28"/>
          <w:lang w:val="uk-UA"/>
        </w:rPr>
      </w:pPr>
      <w:r>
        <w:rPr>
          <w:rStyle w:val="ab"/>
          <w:b w:val="0"/>
          <w:bCs w:val="0"/>
          <w:color w:val="000000"/>
          <w:sz w:val="28"/>
          <w:szCs w:val="28"/>
          <w:lang w:val="uk-UA"/>
        </w:rPr>
        <w:t>Виявлено, що функціонування фінансового ринку України під час війни в 2022-2024 рр. виявило численні структурні та стратегічні пробл</w:t>
      </w:r>
      <w:r>
        <w:rPr>
          <w:rStyle w:val="ab"/>
          <w:b w:val="0"/>
          <w:bCs w:val="0"/>
          <w:color w:val="000000"/>
          <w:sz w:val="28"/>
          <w:szCs w:val="28"/>
          <w:lang w:val="uk-UA"/>
        </w:rPr>
        <w:t>еми, включаючи паніку серед інвесторів, обмеження доступу до фінансових послуг та падіння капіталізації корпоративних інструментів. Водночас ці виклики стимулювали пошук ефективних шляхів стабілізації ринку, зокрема через державну підтримку стратегічних пі</w:t>
      </w:r>
      <w:r>
        <w:rPr>
          <w:rStyle w:val="ab"/>
          <w:b w:val="0"/>
          <w:bCs w:val="0"/>
          <w:color w:val="000000"/>
          <w:sz w:val="28"/>
          <w:szCs w:val="28"/>
          <w:lang w:val="uk-UA"/>
        </w:rPr>
        <w:t>дприємств, впровадження цифрових платформ та створення систем страхування інвестицій. Аналіз цих процесів показав, що забезпечення стійкого розвитку фінансової системи потребує інтегрованих державних заходів та інноваційних рішень для підтримки ліквідності</w:t>
      </w:r>
      <w:r>
        <w:rPr>
          <w:rStyle w:val="ab"/>
          <w:b w:val="0"/>
          <w:bCs w:val="0"/>
          <w:color w:val="000000"/>
          <w:sz w:val="28"/>
          <w:szCs w:val="28"/>
          <w:lang w:val="uk-UA"/>
        </w:rPr>
        <w:t>, зростання інвестиційної активності та відновлення довіри учасників ринку.</w:t>
      </w:r>
    </w:p>
    <w:p w:rsidR="00705F07" w:rsidRDefault="00185A37">
      <w:pPr>
        <w:spacing w:line="360" w:lineRule="auto"/>
        <w:ind w:firstLine="709"/>
        <w:jc w:val="both"/>
        <w:rPr>
          <w:rStyle w:val="ab"/>
          <w:b w:val="0"/>
          <w:bCs w:val="0"/>
          <w:color w:val="000000"/>
          <w:sz w:val="28"/>
          <w:szCs w:val="28"/>
          <w:lang w:val="uk-UA"/>
        </w:rPr>
      </w:pPr>
      <w:r>
        <w:rPr>
          <w:rStyle w:val="ab"/>
          <w:b w:val="0"/>
          <w:bCs w:val="0"/>
          <w:color w:val="000000"/>
          <w:sz w:val="28"/>
          <w:szCs w:val="28"/>
          <w:lang w:val="uk-UA"/>
        </w:rPr>
        <w:t>Обгрунтовано, що повоєнний період відкриває для фінансового ринку України широкі можливості відновлення та розвитку, проте водночас ставить завдання стабілізації ліквідності, відно</w:t>
      </w:r>
      <w:r>
        <w:rPr>
          <w:rStyle w:val="ab"/>
          <w:b w:val="0"/>
          <w:bCs w:val="0"/>
          <w:color w:val="000000"/>
          <w:sz w:val="28"/>
          <w:szCs w:val="28"/>
          <w:lang w:val="uk-UA"/>
        </w:rPr>
        <w:t>влення довіри інвесторів та модернізації всіх сегментів ринку. Комплексне застосування державних гарантій, податкових пільг, цифровізації фінансових платформ та стимулювання приватних і міжнародних інвестицій створює передумови для підвищення капіталізації</w:t>
      </w:r>
      <w:r>
        <w:rPr>
          <w:rStyle w:val="ab"/>
          <w:b w:val="0"/>
          <w:bCs w:val="0"/>
          <w:color w:val="000000"/>
          <w:sz w:val="28"/>
          <w:szCs w:val="28"/>
          <w:lang w:val="uk-UA"/>
        </w:rPr>
        <w:t xml:space="preserve"> компаній, розвитку корпоративного ринку облігацій, зростання активності фондового сектору та стабільності банківської системи. Такий стратегічний підхід дозволяє забезпечити ефективне функціонування фінансової системи та сталий розвиток ринку в післявоєнн</w:t>
      </w:r>
      <w:r>
        <w:rPr>
          <w:rStyle w:val="ab"/>
          <w:b w:val="0"/>
          <w:bCs w:val="0"/>
          <w:color w:val="000000"/>
          <w:sz w:val="28"/>
          <w:szCs w:val="28"/>
          <w:lang w:val="uk-UA"/>
        </w:rPr>
        <w:t>ий період.</w:t>
      </w:r>
    </w:p>
    <w:p w:rsidR="00705F07" w:rsidRDefault="00185A37">
      <w:pPr>
        <w:spacing w:after="200" w:line="276" w:lineRule="auto"/>
        <w:rPr>
          <w:rFonts w:eastAsia="SimSun"/>
          <w:bCs/>
          <w:color w:val="000000"/>
          <w:sz w:val="28"/>
          <w:szCs w:val="28"/>
        </w:rPr>
      </w:pPr>
      <w:r>
        <w:rPr>
          <w:color w:val="000000"/>
          <w:sz w:val="28"/>
          <w:szCs w:val="28"/>
        </w:rPr>
        <w:br w:type="page"/>
      </w:r>
    </w:p>
    <w:p w:rsidR="00705F07" w:rsidRDefault="00185A37">
      <w:pPr>
        <w:pStyle w:val="2"/>
        <w:keepNext w:val="0"/>
        <w:keepLines w:val="0"/>
        <w:spacing w:before="0" w:line="360" w:lineRule="auto"/>
        <w:ind w:firstLine="709"/>
        <w:jc w:val="center"/>
        <w:rPr>
          <w:rFonts w:ascii="Times New Roman" w:hAnsi="Times New Roman" w:cs="Times New Roman"/>
          <w:b w:val="0"/>
          <w:color w:val="000000"/>
          <w:sz w:val="28"/>
          <w:szCs w:val="28"/>
        </w:rPr>
      </w:pPr>
      <w:bookmarkStart w:id="19" w:name="_Toc213845778"/>
      <w:r>
        <w:rPr>
          <w:rFonts w:ascii="Times New Roman" w:hAnsi="Times New Roman" w:cs="Times New Roman"/>
          <w:b w:val="0"/>
          <w:color w:val="000000"/>
          <w:sz w:val="28"/>
          <w:szCs w:val="28"/>
        </w:rPr>
        <w:t>ВИСНОВОК</w:t>
      </w:r>
      <w:bookmarkEnd w:id="19"/>
    </w:p>
    <w:p w:rsidR="00705F07" w:rsidRDefault="00705F07">
      <w:pPr>
        <w:spacing w:line="360" w:lineRule="auto"/>
        <w:ind w:firstLine="709"/>
        <w:jc w:val="both"/>
        <w:rPr>
          <w:rStyle w:val="ab"/>
          <w:b w:val="0"/>
          <w:bCs w:val="0"/>
          <w:color w:val="000000"/>
          <w:sz w:val="28"/>
          <w:szCs w:val="28"/>
          <w:lang w:val="uk-UA"/>
        </w:rPr>
      </w:pPr>
    </w:p>
    <w:p w:rsidR="00705F07" w:rsidRDefault="00185A37">
      <w:pPr>
        <w:spacing w:line="360" w:lineRule="auto"/>
        <w:ind w:firstLine="709"/>
        <w:jc w:val="both"/>
        <w:rPr>
          <w:rStyle w:val="ab"/>
          <w:b w:val="0"/>
          <w:bCs w:val="0"/>
          <w:color w:val="000000"/>
          <w:sz w:val="28"/>
          <w:szCs w:val="28"/>
          <w:lang w:val="uk-UA"/>
        </w:rPr>
      </w:pPr>
      <w:r>
        <w:rPr>
          <w:rStyle w:val="ab"/>
          <w:b w:val="0"/>
          <w:bCs w:val="0"/>
          <w:color w:val="000000"/>
          <w:sz w:val="28"/>
          <w:szCs w:val="28"/>
          <w:lang w:val="uk-UA"/>
        </w:rPr>
        <w:t>Отже, результати проведеного дослідження дозволили обґрунтувати основні теоретичні підходи до формування та функціонування фінансового ринку України в сучасних умовах. Було визначено, що фінансовий ринок представляє собою багаторівне</w:t>
      </w:r>
      <w:r>
        <w:rPr>
          <w:rStyle w:val="ab"/>
          <w:b w:val="0"/>
          <w:bCs w:val="0"/>
          <w:color w:val="000000"/>
          <w:sz w:val="28"/>
          <w:szCs w:val="28"/>
          <w:lang w:val="uk-UA"/>
        </w:rPr>
        <w:t>ву систему, яка забезпечує ефективну мобілізацію, перерозподіл та використання фінансових ресурсів, а його стабільність безпосередньо впливає на економічний розвиток держави. Дослідження показало, що сучасний стан ринку характеризується високим рівнем неви</w:t>
      </w:r>
      <w:r>
        <w:rPr>
          <w:rStyle w:val="ab"/>
          <w:b w:val="0"/>
          <w:bCs w:val="0"/>
          <w:color w:val="000000"/>
          <w:sz w:val="28"/>
          <w:szCs w:val="28"/>
          <w:lang w:val="uk-UA"/>
        </w:rPr>
        <w:t>значеності, обумовленим як внутрішніми економічними процесами, так і зовнішніми чинниками, серед яких особливо виділяється вплив воєнних конфліктів.</w:t>
      </w:r>
    </w:p>
    <w:p w:rsidR="00705F07" w:rsidRDefault="00185A37">
      <w:pPr>
        <w:spacing w:line="360" w:lineRule="auto"/>
        <w:ind w:firstLine="709"/>
        <w:jc w:val="both"/>
        <w:rPr>
          <w:rStyle w:val="ab"/>
          <w:b w:val="0"/>
          <w:bCs w:val="0"/>
          <w:color w:val="000000"/>
          <w:sz w:val="28"/>
          <w:szCs w:val="28"/>
          <w:lang w:val="uk-UA"/>
        </w:rPr>
      </w:pPr>
      <w:r>
        <w:rPr>
          <w:rStyle w:val="ab"/>
          <w:b w:val="0"/>
          <w:bCs w:val="0"/>
          <w:color w:val="000000"/>
          <w:sz w:val="28"/>
          <w:szCs w:val="28"/>
          <w:lang w:val="uk-UA"/>
        </w:rPr>
        <w:t>У процесі аналізу класифікацій загроз та ризиків, що впливають на функціонування фінансового ринку, були ви</w:t>
      </w:r>
      <w:r>
        <w:rPr>
          <w:rStyle w:val="ab"/>
          <w:b w:val="0"/>
          <w:bCs w:val="0"/>
          <w:color w:val="000000"/>
          <w:sz w:val="28"/>
          <w:szCs w:val="28"/>
          <w:lang w:val="uk-UA"/>
        </w:rPr>
        <w:t>значені ключові категорії ризиків: макроекономічні, політичні, банківські та фінансові, валютні, технологічні, ліквідності, репутаційні та природні. Кожен із цих видів ризиків має власні джерела виникнення та потенційно негативні наслідки, що підкреслює не</w:t>
      </w:r>
      <w:r>
        <w:rPr>
          <w:rStyle w:val="ab"/>
          <w:b w:val="0"/>
          <w:bCs w:val="0"/>
          <w:color w:val="000000"/>
          <w:sz w:val="28"/>
          <w:szCs w:val="28"/>
          <w:lang w:val="uk-UA"/>
        </w:rPr>
        <w:t>обхідність комплексного та системного підходу до їх оцінки й управління.</w:t>
      </w:r>
    </w:p>
    <w:p w:rsidR="00705F07" w:rsidRDefault="00185A37">
      <w:pPr>
        <w:spacing w:line="360" w:lineRule="auto"/>
        <w:ind w:firstLine="709"/>
        <w:jc w:val="both"/>
        <w:rPr>
          <w:rStyle w:val="ab"/>
          <w:b w:val="0"/>
          <w:bCs w:val="0"/>
          <w:color w:val="000000"/>
          <w:sz w:val="28"/>
          <w:szCs w:val="28"/>
          <w:lang w:val="uk-UA"/>
        </w:rPr>
      </w:pPr>
      <w:r>
        <w:rPr>
          <w:rStyle w:val="ab"/>
          <w:b w:val="0"/>
          <w:bCs w:val="0"/>
          <w:color w:val="000000"/>
          <w:sz w:val="28"/>
          <w:szCs w:val="28"/>
          <w:lang w:val="uk-UA"/>
        </w:rPr>
        <w:t>Дослідження впливу воєнних конфліктів на фінансові ринки засвідчило, що воєнний стан створює умови високої економічної нестабільності, що проявляється через коливання валютних курсів,</w:t>
      </w:r>
      <w:r>
        <w:rPr>
          <w:rStyle w:val="ab"/>
          <w:b w:val="0"/>
          <w:bCs w:val="0"/>
          <w:color w:val="000000"/>
          <w:sz w:val="28"/>
          <w:szCs w:val="28"/>
          <w:lang w:val="uk-UA"/>
        </w:rPr>
        <w:t xml:space="preserve"> зростання рівня інфляції, скорочення обсягів кредитування та зниження ліквідності. Аналіз наукових джерел дозволив виділити макроекономічні, інституційні, фінансово-технічні та поведінкові фактори, які визначають чутливість фінансового ринку до воєнних по</w:t>
      </w:r>
      <w:r>
        <w:rPr>
          <w:rStyle w:val="ab"/>
          <w:b w:val="0"/>
          <w:bCs w:val="0"/>
          <w:color w:val="000000"/>
          <w:sz w:val="28"/>
          <w:szCs w:val="28"/>
          <w:lang w:val="uk-UA"/>
        </w:rPr>
        <w:t>трясінь, і підкреслив важливість формування адаптивних стратегій управління ризиками у таких умовах.</w:t>
      </w:r>
    </w:p>
    <w:p w:rsidR="00705F07" w:rsidRDefault="00185A37">
      <w:pPr>
        <w:spacing w:line="360" w:lineRule="auto"/>
        <w:ind w:firstLine="709"/>
        <w:jc w:val="both"/>
        <w:rPr>
          <w:rStyle w:val="ab"/>
          <w:b w:val="0"/>
          <w:bCs w:val="0"/>
          <w:color w:val="000000"/>
          <w:sz w:val="28"/>
          <w:szCs w:val="28"/>
          <w:lang w:val="uk-UA"/>
        </w:rPr>
      </w:pPr>
      <w:r>
        <w:rPr>
          <w:rStyle w:val="ab"/>
          <w:b w:val="0"/>
          <w:bCs w:val="0"/>
          <w:color w:val="000000"/>
          <w:sz w:val="28"/>
          <w:szCs w:val="28"/>
          <w:lang w:val="uk-UA"/>
        </w:rPr>
        <w:t>Аналіз діяльності банківського сектору України у 2022–2024 рр. показав, що війна стала каталізатором значних структурних змін і одночасно випробуванням сті</w:t>
      </w:r>
      <w:r>
        <w:rPr>
          <w:rStyle w:val="ab"/>
          <w:b w:val="0"/>
          <w:bCs w:val="0"/>
          <w:color w:val="000000"/>
          <w:sz w:val="28"/>
          <w:szCs w:val="28"/>
          <w:lang w:val="uk-UA"/>
        </w:rPr>
        <w:t>йкості фінансової системи. Незважаючи на зростання макрофінансових ризиків, коливання валютного курсу та високий рівень невизначеності, банки змогли зберегти ліквідність, забезпечити стабільність депозитної бази та відновити кредитну активність. Спостеріга</w:t>
      </w:r>
      <w:r>
        <w:rPr>
          <w:rStyle w:val="ab"/>
          <w:b w:val="0"/>
          <w:bCs w:val="0"/>
          <w:color w:val="000000"/>
          <w:sz w:val="28"/>
          <w:szCs w:val="28"/>
          <w:lang w:val="uk-UA"/>
        </w:rPr>
        <w:t>лося збільшення обсягів кредитування державного сектору та стратегічних галузей, а також нарощування власного капіталу й прибутковості банків. Це підтверджує ефективність державного регулювання, гнучкість фінансових установ і їх здатність підтримувати екон</w:t>
      </w:r>
      <w:r>
        <w:rPr>
          <w:rStyle w:val="ab"/>
          <w:b w:val="0"/>
          <w:bCs w:val="0"/>
          <w:color w:val="000000"/>
          <w:sz w:val="28"/>
          <w:szCs w:val="28"/>
          <w:lang w:val="uk-UA"/>
        </w:rPr>
        <w:t>оміку в умовах воєнного конфлікту та поступово готуватися до післявоєнного розвитку.</w:t>
      </w:r>
    </w:p>
    <w:p w:rsidR="00705F07" w:rsidRDefault="00185A37">
      <w:pPr>
        <w:spacing w:line="360" w:lineRule="auto"/>
        <w:ind w:firstLine="709"/>
        <w:jc w:val="both"/>
        <w:rPr>
          <w:rStyle w:val="ab"/>
          <w:b w:val="0"/>
          <w:bCs w:val="0"/>
          <w:color w:val="000000"/>
          <w:sz w:val="28"/>
          <w:szCs w:val="28"/>
          <w:lang w:val="uk-UA"/>
        </w:rPr>
      </w:pPr>
      <w:r>
        <w:rPr>
          <w:rStyle w:val="ab"/>
          <w:b w:val="0"/>
          <w:bCs w:val="0"/>
          <w:color w:val="000000"/>
          <w:sz w:val="28"/>
          <w:szCs w:val="28"/>
          <w:lang w:val="uk-UA"/>
        </w:rPr>
        <w:t>Аналіз валютного ринку України за 2022–2024 рр. демонструє, що ефективне управління валютними інтервенціями та зміцнення міжнародних резервів були ключовими факторами стаб</w:t>
      </w:r>
      <w:r>
        <w:rPr>
          <w:rStyle w:val="ab"/>
          <w:b w:val="0"/>
          <w:bCs w:val="0"/>
          <w:color w:val="000000"/>
          <w:sz w:val="28"/>
          <w:szCs w:val="28"/>
          <w:lang w:val="uk-UA"/>
        </w:rPr>
        <w:t>ілізації гривні та підтримки фінансової безпеки країни. Попри зовнішні та внутрішні економічні шоки, поступове підвищення резервів і контроль над обмінним курсом сприяли зниженню волатильності та стабілізації макроекономічних процесів. Таким чином, діяльні</w:t>
      </w:r>
      <w:r>
        <w:rPr>
          <w:rStyle w:val="ab"/>
          <w:b w:val="0"/>
          <w:bCs w:val="0"/>
          <w:color w:val="000000"/>
          <w:sz w:val="28"/>
          <w:szCs w:val="28"/>
          <w:lang w:val="uk-UA"/>
        </w:rPr>
        <w:t>сть НБУ відіграла визначальну роль у забезпеченні стійкості національної економіки та збереженні довіри до національної валюти.</w:t>
      </w:r>
    </w:p>
    <w:p w:rsidR="00705F07" w:rsidRDefault="00185A37">
      <w:pPr>
        <w:spacing w:line="360" w:lineRule="auto"/>
        <w:ind w:firstLine="709"/>
        <w:jc w:val="both"/>
        <w:rPr>
          <w:rStyle w:val="ab"/>
          <w:b w:val="0"/>
          <w:bCs w:val="0"/>
          <w:color w:val="000000"/>
          <w:sz w:val="28"/>
          <w:szCs w:val="28"/>
          <w:lang w:val="uk-UA"/>
        </w:rPr>
      </w:pPr>
      <w:r>
        <w:rPr>
          <w:rStyle w:val="ab"/>
          <w:b w:val="0"/>
          <w:bCs w:val="0"/>
          <w:color w:val="000000"/>
          <w:sz w:val="28"/>
          <w:szCs w:val="28"/>
          <w:lang w:val="uk-UA"/>
        </w:rPr>
        <w:t>Дослідження ринку капіталу України за 2022–2024 рр. демонструє значні коливання та поступове відновлення інвестиційної активност</w:t>
      </w:r>
      <w:r>
        <w:rPr>
          <w:rStyle w:val="ab"/>
          <w:b w:val="0"/>
          <w:bCs w:val="0"/>
          <w:color w:val="000000"/>
          <w:sz w:val="28"/>
          <w:szCs w:val="28"/>
          <w:lang w:val="uk-UA"/>
        </w:rPr>
        <w:t xml:space="preserve">і. У 2022 році спостерігався високий обсяг великих випусків акцій та облігацій, у 2023 році – зниження загальних обсягів при збільшенні кількості випусків, що свідчить про обережність емітентів та інвесторів, тоді як 2024 рік відзначився різким зростанням </w:t>
      </w:r>
      <w:r>
        <w:rPr>
          <w:rStyle w:val="ab"/>
          <w:b w:val="0"/>
          <w:bCs w:val="0"/>
          <w:color w:val="000000"/>
          <w:sz w:val="28"/>
          <w:szCs w:val="28"/>
          <w:lang w:val="uk-UA"/>
        </w:rPr>
        <w:t>обсягів та активізацією емітентів. Торги на організованих ринках капіталу показують стабільне зростання, із переважанням державних облігацій та вторинного ринку, що забезпечує ліквідність та прозорість фінансових інструментів. Домінуючу роль у торгах відіг</w:t>
      </w:r>
      <w:r>
        <w:rPr>
          <w:rStyle w:val="ab"/>
          <w:b w:val="0"/>
          <w:bCs w:val="0"/>
          <w:color w:val="000000"/>
          <w:sz w:val="28"/>
          <w:szCs w:val="28"/>
          <w:lang w:val="uk-UA"/>
        </w:rPr>
        <w:t>рає ПФТС, тоді як «ПЕРСПЕКТИВА» та Українська біржа підтримують розвиток корпоративного та роздрібного сегментів. Загалом, ринок капіталу України у 2024 році характеризується підвищеною ліквідністю, диверсифікацією випусків та зростанням довіри інвесторів,</w:t>
      </w:r>
      <w:r>
        <w:rPr>
          <w:rStyle w:val="ab"/>
          <w:b w:val="0"/>
          <w:bCs w:val="0"/>
          <w:color w:val="000000"/>
          <w:sz w:val="28"/>
          <w:szCs w:val="28"/>
          <w:lang w:val="uk-UA"/>
        </w:rPr>
        <w:t xml:space="preserve"> що свідчить про його поступове зміцнення та ефективне функціонування.</w:t>
      </w:r>
    </w:p>
    <w:p w:rsidR="00705F07" w:rsidRDefault="00185A37">
      <w:pPr>
        <w:spacing w:line="360" w:lineRule="auto"/>
        <w:ind w:firstLine="709"/>
        <w:jc w:val="both"/>
        <w:rPr>
          <w:rStyle w:val="ab"/>
          <w:b w:val="0"/>
          <w:bCs w:val="0"/>
          <w:color w:val="000000"/>
          <w:sz w:val="28"/>
          <w:szCs w:val="28"/>
          <w:lang w:val="uk-UA"/>
        </w:rPr>
      </w:pPr>
      <w:r>
        <w:rPr>
          <w:rStyle w:val="ab"/>
          <w:b w:val="0"/>
          <w:bCs w:val="0"/>
          <w:color w:val="000000"/>
          <w:sz w:val="28"/>
          <w:szCs w:val="28"/>
          <w:lang w:val="uk-UA"/>
        </w:rPr>
        <w:t>Проблематика функціонування вітчизняного фінансового ринку у 2022–2024 роках була тісно пов’язана з впливом воєнних дій, що призвело до зниження ліквідності, падіння обсягів іноземних і</w:t>
      </w:r>
      <w:r>
        <w:rPr>
          <w:rStyle w:val="ab"/>
          <w:b w:val="0"/>
          <w:bCs w:val="0"/>
          <w:color w:val="000000"/>
          <w:sz w:val="28"/>
          <w:szCs w:val="28"/>
          <w:lang w:val="uk-UA"/>
        </w:rPr>
        <w:t>нвестицій, нестабільності цін на державні та корпоративні цінні папери, а також обмеження роботи банківського та страхового секторів. Водночас кризові умови стимулювали розвиток нових механізмів стабілізації ринку, таких як державні гарантії, страхування і</w:t>
      </w:r>
      <w:r>
        <w:rPr>
          <w:rStyle w:val="ab"/>
          <w:b w:val="0"/>
          <w:bCs w:val="0"/>
          <w:color w:val="000000"/>
          <w:sz w:val="28"/>
          <w:szCs w:val="28"/>
          <w:lang w:val="uk-UA"/>
        </w:rPr>
        <w:t>нвестицій, цифровізація торгів та мобільні фінансові сервіси. Це підкреслює необхідність комплексного підходу до управління фінансовими інструментами, спрямованого на відновлення довіри інвесторів, забезпечення ліквідності та стабілізацію ключових сегменті</w:t>
      </w:r>
      <w:r>
        <w:rPr>
          <w:rStyle w:val="ab"/>
          <w:b w:val="0"/>
          <w:bCs w:val="0"/>
          <w:color w:val="000000"/>
          <w:sz w:val="28"/>
          <w:szCs w:val="28"/>
          <w:lang w:val="uk-UA"/>
        </w:rPr>
        <w:t>в ринку.</w:t>
      </w:r>
    </w:p>
    <w:p w:rsidR="00705F07" w:rsidRDefault="00185A37">
      <w:pPr>
        <w:spacing w:line="360" w:lineRule="auto"/>
        <w:ind w:firstLine="709"/>
        <w:jc w:val="both"/>
        <w:rPr>
          <w:rStyle w:val="ab"/>
          <w:b w:val="0"/>
          <w:bCs w:val="0"/>
          <w:color w:val="000000"/>
          <w:sz w:val="28"/>
          <w:szCs w:val="28"/>
          <w:lang w:val="uk-UA"/>
        </w:rPr>
      </w:pPr>
      <w:r>
        <w:rPr>
          <w:rStyle w:val="ab"/>
          <w:b w:val="0"/>
          <w:bCs w:val="0"/>
          <w:color w:val="000000"/>
          <w:sz w:val="28"/>
          <w:szCs w:val="28"/>
          <w:lang w:val="uk-UA"/>
        </w:rPr>
        <w:t xml:space="preserve">В умовах післявоєнного відновлення ключовим завданням для фінансового ринку України є стабілізація ліквідності, підвищення прозорості регуляторної бази та стимулювання інвестиційної активності. Розвиток державних гарантій, підтримка стратегічного </w:t>
      </w:r>
      <w:r>
        <w:rPr>
          <w:rStyle w:val="ab"/>
          <w:b w:val="0"/>
          <w:bCs w:val="0"/>
          <w:color w:val="000000"/>
          <w:sz w:val="28"/>
          <w:szCs w:val="28"/>
          <w:lang w:val="uk-UA"/>
        </w:rPr>
        <w:t>бізнесу, модернізація банківської інфраструктури та цифровізація біржових і фінансових послуг сприяють відновленню довіри учасників ринку, диверсифікації фінансових потоків та зростанню капіталізації компаній. Такий системний підхід дозволяє не лише подола</w:t>
      </w:r>
      <w:r>
        <w:rPr>
          <w:rStyle w:val="ab"/>
          <w:b w:val="0"/>
          <w:bCs w:val="0"/>
          <w:color w:val="000000"/>
          <w:sz w:val="28"/>
          <w:szCs w:val="28"/>
          <w:lang w:val="uk-UA"/>
        </w:rPr>
        <w:t>ти наслідки війни, а й забезпечити стійке та ефективне функціонування фінансової системи України в середньо- та довгостроковій перспективі.</w:t>
      </w:r>
    </w:p>
    <w:p w:rsidR="00705F07" w:rsidRDefault="00185A37">
      <w:pPr>
        <w:rPr>
          <w:rFonts w:eastAsia="SimSun"/>
          <w:color w:val="000000"/>
        </w:rPr>
      </w:pPr>
      <w:r>
        <w:rPr>
          <w:color w:val="000000"/>
        </w:rPr>
        <w:br w:type="page"/>
      </w:r>
    </w:p>
    <w:p w:rsidR="00705F07" w:rsidRDefault="00185A37">
      <w:pPr>
        <w:pStyle w:val="2"/>
        <w:keepNext w:val="0"/>
        <w:keepLines w:val="0"/>
        <w:spacing w:before="0" w:line="360" w:lineRule="auto"/>
        <w:ind w:firstLine="709"/>
        <w:jc w:val="center"/>
        <w:rPr>
          <w:rFonts w:ascii="Times New Roman" w:hAnsi="Times New Roman" w:cs="Times New Roman"/>
          <w:b w:val="0"/>
          <w:color w:val="000000"/>
          <w:sz w:val="28"/>
          <w:szCs w:val="28"/>
        </w:rPr>
      </w:pPr>
      <w:bookmarkStart w:id="20" w:name="_Toc213845779"/>
      <w:r>
        <w:rPr>
          <w:rFonts w:ascii="Times New Roman" w:hAnsi="Times New Roman" w:cs="Times New Roman"/>
          <w:b w:val="0"/>
          <w:color w:val="000000"/>
          <w:sz w:val="28"/>
          <w:szCs w:val="28"/>
        </w:rPr>
        <w:t>СПИСОК ВИКОРИСТАНИХ ДЖЕРЕЛ</w:t>
      </w:r>
      <w:bookmarkEnd w:id="20"/>
    </w:p>
    <w:p w:rsidR="00705F07" w:rsidRDefault="00705F07">
      <w:pPr>
        <w:pStyle w:val="a4"/>
        <w:tabs>
          <w:tab w:val="left" w:pos="1134"/>
        </w:tabs>
        <w:spacing w:line="360" w:lineRule="auto"/>
        <w:ind w:left="709"/>
        <w:jc w:val="both"/>
        <w:rPr>
          <w:color w:val="000000"/>
          <w:sz w:val="28"/>
          <w:szCs w:val="28"/>
        </w:rPr>
      </w:pP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 xml:space="preserve">Агрес О. Г., Садура О. Б. Стан та перспективи розвитку фондового ринку з урахуванням останніх тенденцій та викликів. </w:t>
      </w:r>
      <w:r>
        <w:rPr>
          <w:i/>
          <w:color w:val="000000"/>
          <w:sz w:val="28"/>
          <w:szCs w:val="28"/>
        </w:rPr>
        <w:t>Вісник ЛТЕУ. Економічні науки.</w:t>
      </w:r>
      <w:r>
        <w:rPr>
          <w:color w:val="000000"/>
          <w:sz w:val="28"/>
          <w:szCs w:val="28"/>
        </w:rPr>
        <w:t xml:space="preserve"> 2024. № 78. С. 96-100.</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 xml:space="preserve">Агрес О. Г., Садура О. Б. Стан та перспективи розвитку фондового ринку з урахуванням </w:t>
      </w:r>
      <w:r>
        <w:rPr>
          <w:color w:val="000000"/>
          <w:sz w:val="28"/>
          <w:szCs w:val="28"/>
        </w:rPr>
        <w:t xml:space="preserve">останніх тенденцій та викликів. </w:t>
      </w:r>
      <w:r>
        <w:rPr>
          <w:i/>
          <w:color w:val="000000"/>
          <w:sz w:val="28"/>
          <w:szCs w:val="28"/>
        </w:rPr>
        <w:t>Вісник Львівського торговельно-економічного університету. Серія : Економічні науки.</w:t>
      </w:r>
      <w:r>
        <w:rPr>
          <w:color w:val="000000"/>
          <w:sz w:val="28"/>
          <w:szCs w:val="28"/>
        </w:rPr>
        <w:t xml:space="preserve"> 2024. № 78. С. 101–107.</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Аналітичні дані щодо розвитку фондового ринку. Національна комісія з цінних паперів та фондового ринку (НКЦПФР). URL</w:t>
      </w:r>
      <w:r>
        <w:rPr>
          <w:color w:val="000000"/>
          <w:sz w:val="28"/>
          <w:szCs w:val="28"/>
        </w:rPr>
        <w:t xml:space="preserve">: </w:t>
      </w:r>
      <w:hyperlink r:id="rId23" w:history="1">
        <w:r>
          <w:rPr>
            <w:rStyle w:val="a3"/>
            <w:color w:val="000000"/>
            <w:sz w:val="28"/>
            <w:szCs w:val="28"/>
          </w:rPr>
          <w:t>https://www.nssmc.gov.ua/news/insights/</w:t>
        </w:r>
      </w:hyperlink>
      <w:r>
        <w:rPr>
          <w:color w:val="000000"/>
          <w:sz w:val="28"/>
          <w:szCs w:val="28"/>
        </w:rPr>
        <w:t xml:space="preserve"> (дата звернення: 12.11.2025)</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 xml:space="preserve">Ананьєв М. Особливості функціонування фінансових ринів в умовах глобальної нестабільності. </w:t>
      </w:r>
      <w:r>
        <w:rPr>
          <w:i/>
          <w:color w:val="000000"/>
          <w:sz w:val="28"/>
          <w:szCs w:val="28"/>
        </w:rPr>
        <w:t>Вісник Хмельницького національного уні</w:t>
      </w:r>
      <w:r>
        <w:rPr>
          <w:i/>
          <w:color w:val="000000"/>
          <w:sz w:val="28"/>
          <w:szCs w:val="28"/>
        </w:rPr>
        <w:t>верситету.</w:t>
      </w:r>
      <w:r>
        <w:rPr>
          <w:color w:val="000000"/>
          <w:sz w:val="28"/>
          <w:szCs w:val="28"/>
        </w:rPr>
        <w:t xml:space="preserve"> 2022. Том 2 (304). С. 242–246. </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 xml:space="preserve">Андрусів У. Я., Черчата А. О., Орловська Ю. В. Трансформація фондового ринку України в умовах цифровізації та європейської інтеграції: сучасні виклики та перспективи розвитку. </w:t>
      </w:r>
      <w:r>
        <w:rPr>
          <w:i/>
          <w:color w:val="000000"/>
          <w:sz w:val="28"/>
          <w:szCs w:val="28"/>
        </w:rPr>
        <w:t>Економічний простір</w:t>
      </w:r>
      <w:r>
        <w:rPr>
          <w:color w:val="000000"/>
          <w:sz w:val="28"/>
          <w:szCs w:val="28"/>
        </w:rPr>
        <w:t xml:space="preserve">. 2024. № 196. С. </w:t>
      </w:r>
      <w:r>
        <w:rPr>
          <w:color w:val="000000"/>
          <w:sz w:val="28"/>
          <w:szCs w:val="28"/>
        </w:rPr>
        <w:t>237-243.</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 xml:space="preserve">Бабенко А. Процеси інституціоналізації фінансового сектору України та роль ринку корпоративних цінних паперів. </w:t>
      </w:r>
      <w:r>
        <w:rPr>
          <w:i/>
          <w:color w:val="000000"/>
          <w:sz w:val="28"/>
          <w:szCs w:val="28"/>
        </w:rPr>
        <w:t>Вісник Хмельницького національного університету</w:t>
      </w:r>
      <w:r>
        <w:rPr>
          <w:color w:val="000000"/>
          <w:sz w:val="28"/>
          <w:szCs w:val="28"/>
        </w:rPr>
        <w:t xml:space="preserve">. 2024. № 2. С. 59-63. </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Бороденко Т. М. Сучасні аспекти розвитку ринку цінних паперів в У</w:t>
      </w:r>
      <w:r>
        <w:rPr>
          <w:color w:val="000000"/>
          <w:sz w:val="28"/>
          <w:szCs w:val="28"/>
        </w:rPr>
        <w:t xml:space="preserve">країні. </w:t>
      </w:r>
      <w:r>
        <w:rPr>
          <w:i/>
          <w:color w:val="000000"/>
          <w:sz w:val="28"/>
          <w:szCs w:val="28"/>
        </w:rPr>
        <w:t>Міжнародний науковий журнал «Грааль науки».</w:t>
      </w:r>
      <w:r>
        <w:rPr>
          <w:color w:val="000000"/>
          <w:sz w:val="28"/>
          <w:szCs w:val="28"/>
        </w:rPr>
        <w:t xml:space="preserve"> 2023. № 24. С. 91-99.</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 xml:space="preserve">Гаряга Л. О. Фінансовий ринок: контент-аналіз особливостей трактування. </w:t>
      </w:r>
      <w:r>
        <w:rPr>
          <w:i/>
          <w:color w:val="000000"/>
          <w:sz w:val="28"/>
          <w:szCs w:val="28"/>
        </w:rPr>
        <w:t>Вісник університету банківської справи.</w:t>
      </w:r>
      <w:r>
        <w:rPr>
          <w:color w:val="000000"/>
          <w:sz w:val="28"/>
          <w:szCs w:val="28"/>
        </w:rPr>
        <w:t xml:space="preserve"> 2021. № 2 (41). С. 24–30. </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Гaтaулліна Е. Проблематика розвитку фінансо</w:t>
      </w:r>
      <w:r>
        <w:rPr>
          <w:color w:val="000000"/>
          <w:sz w:val="28"/>
          <w:szCs w:val="28"/>
        </w:rPr>
        <w:t xml:space="preserve">вого ринку України. </w:t>
      </w:r>
      <w:r>
        <w:rPr>
          <w:i/>
          <w:color w:val="000000"/>
          <w:sz w:val="28"/>
          <w:szCs w:val="28"/>
        </w:rPr>
        <w:t>Економіка та суспільство.</w:t>
      </w:r>
      <w:r>
        <w:rPr>
          <w:color w:val="000000"/>
          <w:sz w:val="28"/>
          <w:szCs w:val="28"/>
        </w:rPr>
        <w:t xml:space="preserve"> 2023. № 50. URL: </w:t>
      </w:r>
      <w:hyperlink r:id="rId24" w:history="1">
        <w:r>
          <w:rPr>
            <w:rStyle w:val="a3"/>
            <w:color w:val="000000"/>
            <w:sz w:val="28"/>
            <w:szCs w:val="28"/>
          </w:rPr>
          <w:t>https://doi.org/10.32782/2524-0072/2023-50-21</w:t>
        </w:r>
      </w:hyperlink>
      <w:r>
        <w:rPr>
          <w:color w:val="000000"/>
          <w:sz w:val="28"/>
          <w:szCs w:val="28"/>
        </w:rPr>
        <w:t xml:space="preserve"> (дата звернення: 29.10.2025)</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 xml:space="preserve">Головач М. Поняття та значення фінансової безпеки ринку </w:t>
      </w:r>
      <w:r>
        <w:rPr>
          <w:color w:val="000000"/>
          <w:sz w:val="28"/>
          <w:szCs w:val="28"/>
        </w:rPr>
        <w:t xml:space="preserve">цінних паперів. </w:t>
      </w:r>
      <w:r>
        <w:rPr>
          <w:i/>
          <w:color w:val="000000"/>
          <w:sz w:val="28"/>
          <w:szCs w:val="28"/>
        </w:rPr>
        <w:t>Економічний аналіз</w:t>
      </w:r>
      <w:r>
        <w:rPr>
          <w:color w:val="000000"/>
          <w:sz w:val="28"/>
          <w:szCs w:val="28"/>
        </w:rPr>
        <w:t>. 2022. Т. 32. № 2. URL: 10.35774/econa2022.02.045 (дата звернення: 12.11.2025).</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Гopбaчoвa O. М., Губіна І. О. Особливості та перспективи розвитку фінансового ринку України</w:t>
      </w:r>
      <w:r>
        <w:rPr>
          <w:i/>
          <w:color w:val="000000"/>
          <w:sz w:val="28"/>
          <w:szCs w:val="28"/>
        </w:rPr>
        <w:t>. Науковий вісник Ужгородського національного унів</w:t>
      </w:r>
      <w:r>
        <w:rPr>
          <w:i/>
          <w:color w:val="000000"/>
          <w:sz w:val="28"/>
          <w:szCs w:val="28"/>
        </w:rPr>
        <w:t>ерситету</w:t>
      </w:r>
      <w:r>
        <w:rPr>
          <w:color w:val="000000"/>
          <w:sz w:val="28"/>
          <w:szCs w:val="28"/>
        </w:rPr>
        <w:t xml:space="preserve">. 2021. Вип. 39. С. 41–47. </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 xml:space="preserve">Горбаневич В. Л. Виклики сучасного стану та їх вплив на фондовий ринок. </w:t>
      </w:r>
      <w:r>
        <w:rPr>
          <w:i/>
          <w:color w:val="000000"/>
          <w:sz w:val="28"/>
          <w:szCs w:val="28"/>
        </w:rPr>
        <w:t>Академічні візії</w:t>
      </w:r>
      <w:r>
        <w:rPr>
          <w:color w:val="000000"/>
          <w:sz w:val="28"/>
          <w:szCs w:val="28"/>
        </w:rPr>
        <w:t xml:space="preserve">. 2023. № 17. С. 34–42. </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 xml:space="preserve">Гудзь Ю., Карпенко В. PEST-аналіз в системі маркетингового аналізу аграрних підприємств. </w:t>
      </w:r>
      <w:r>
        <w:rPr>
          <w:i/>
          <w:color w:val="000000"/>
          <w:sz w:val="28"/>
          <w:szCs w:val="28"/>
        </w:rPr>
        <w:t>Herald of Khmelnyt</w:t>
      </w:r>
      <w:r>
        <w:rPr>
          <w:i/>
          <w:color w:val="000000"/>
          <w:sz w:val="28"/>
          <w:szCs w:val="28"/>
        </w:rPr>
        <w:t>skyi National University. Economic Sciences</w:t>
      </w:r>
      <w:r>
        <w:rPr>
          <w:color w:val="000000"/>
          <w:sz w:val="28"/>
          <w:szCs w:val="28"/>
        </w:rPr>
        <w:t xml:space="preserve">. 2023. № 318 (3). С. 260–264. </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 xml:space="preserve">Державний веб-портал бюджету для громадян. URL: </w:t>
      </w:r>
      <w:hyperlink r:id="rId25" w:history="1">
        <w:r>
          <w:rPr>
            <w:rStyle w:val="a3"/>
            <w:color w:val="000000"/>
            <w:sz w:val="28"/>
            <w:szCs w:val="28"/>
          </w:rPr>
          <w:t>https://openbudget.gov.ua/</w:t>
        </w:r>
      </w:hyperlink>
      <w:r>
        <w:rPr>
          <w:color w:val="000000"/>
          <w:sz w:val="28"/>
          <w:szCs w:val="28"/>
        </w:rPr>
        <w:t xml:space="preserve"> (дата звернення: 29.10.2025)</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Другов О. О., Вавженяк Д. Повоєнни</w:t>
      </w:r>
      <w:r>
        <w:rPr>
          <w:color w:val="000000"/>
          <w:sz w:val="28"/>
          <w:szCs w:val="28"/>
        </w:rPr>
        <w:t xml:space="preserve">й розвиток фондового ринку України: проблеми та напрями розвитку. </w:t>
      </w:r>
      <w:r>
        <w:rPr>
          <w:i/>
          <w:color w:val="000000"/>
          <w:sz w:val="28"/>
          <w:szCs w:val="28"/>
        </w:rPr>
        <w:t>Стратегія економічного розвитку України</w:t>
      </w:r>
      <w:r>
        <w:rPr>
          <w:color w:val="000000"/>
          <w:sz w:val="28"/>
          <w:szCs w:val="28"/>
        </w:rPr>
        <w:t>. 2024. № 53. С. 106-122.</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 xml:space="preserve">Житар М. О., Ананьєва Ю. В. Методологічна система формування стратегій управління фінансовими ризиками в умовах глобалізації </w:t>
      </w:r>
      <w:r>
        <w:rPr>
          <w:color w:val="000000"/>
          <w:sz w:val="28"/>
          <w:szCs w:val="28"/>
        </w:rPr>
        <w:t xml:space="preserve">економіки. </w:t>
      </w:r>
      <w:r>
        <w:rPr>
          <w:i/>
          <w:color w:val="000000"/>
          <w:sz w:val="28"/>
          <w:szCs w:val="28"/>
        </w:rPr>
        <w:t>БізнесІнформ</w:t>
      </w:r>
      <w:r>
        <w:rPr>
          <w:color w:val="000000"/>
          <w:sz w:val="28"/>
          <w:szCs w:val="28"/>
        </w:rPr>
        <w:t xml:space="preserve">. 2025. № 1. С. 229–240. </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 xml:space="preserve">Заросило В. О. Загрози фінансовій безпеці та їх класифікація. </w:t>
      </w:r>
      <w:r>
        <w:rPr>
          <w:i/>
          <w:color w:val="000000"/>
          <w:sz w:val="28"/>
          <w:szCs w:val="28"/>
        </w:rPr>
        <w:t>Експерт: парадигми юридичних наук і державного управління</w:t>
      </w:r>
      <w:r>
        <w:rPr>
          <w:color w:val="000000"/>
          <w:sz w:val="28"/>
          <w:szCs w:val="28"/>
        </w:rPr>
        <w:t xml:space="preserve">. 2018. № 2. С. 26–34. </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Зоценко О. К. Вплив світових інвестиційних процесів на українськ</w:t>
      </w:r>
      <w:r>
        <w:rPr>
          <w:color w:val="000000"/>
          <w:sz w:val="28"/>
          <w:szCs w:val="28"/>
        </w:rPr>
        <w:t xml:space="preserve">ий ринок акцій. </w:t>
      </w:r>
      <w:r>
        <w:rPr>
          <w:i/>
          <w:color w:val="000000"/>
          <w:sz w:val="28"/>
          <w:szCs w:val="28"/>
        </w:rPr>
        <w:t>Вісник Житомирського державного технологічного університету. Серія : Економіка, управління та адміністрування.</w:t>
      </w:r>
      <w:r>
        <w:rPr>
          <w:color w:val="000000"/>
          <w:sz w:val="28"/>
          <w:szCs w:val="28"/>
        </w:rPr>
        <w:t xml:space="preserve"> 2023. № 4 (106). С. 56–64. </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Ільченко В. Інвестиційна привабливості ринку цінних паперів україни в умовах європейської інтеграції.</w:t>
      </w:r>
      <w:r>
        <w:rPr>
          <w:color w:val="000000"/>
          <w:sz w:val="28"/>
          <w:szCs w:val="28"/>
        </w:rPr>
        <w:t xml:space="preserve"> </w:t>
      </w:r>
      <w:r>
        <w:rPr>
          <w:i/>
          <w:color w:val="000000"/>
          <w:sz w:val="28"/>
          <w:szCs w:val="28"/>
        </w:rPr>
        <w:t xml:space="preserve">Європейський науковий журнал Економічних та Фінансових інновацій. </w:t>
      </w:r>
      <w:r>
        <w:rPr>
          <w:color w:val="000000"/>
          <w:sz w:val="28"/>
          <w:szCs w:val="28"/>
        </w:rPr>
        <w:t>2025. № 2(16). С. 404-413.</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 xml:space="preserve">Калінеску Т. В. Український фондовий ринок: реалії сьогодення. </w:t>
      </w:r>
      <w:r>
        <w:rPr>
          <w:i/>
          <w:color w:val="000000"/>
          <w:sz w:val="28"/>
          <w:szCs w:val="28"/>
          <w:lang w:val="en-US"/>
        </w:rPr>
        <w:t>Time Description of Economic Reforms</w:t>
      </w:r>
      <w:r>
        <w:rPr>
          <w:color w:val="000000"/>
          <w:sz w:val="28"/>
          <w:szCs w:val="28"/>
          <w:lang w:val="en-US"/>
        </w:rPr>
        <w:t xml:space="preserve">. </w:t>
      </w:r>
      <w:r>
        <w:rPr>
          <w:color w:val="000000"/>
          <w:sz w:val="28"/>
          <w:szCs w:val="28"/>
        </w:rPr>
        <w:t>2023. № 2. С. 42-47.</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 xml:space="preserve">Кнейслер О. В., Квасовський О. Р., Костецький В. В., Кнейслер Е. Г. Вплив воєнних ризиків на фінансову безпеку суб’єктів господарювання. </w:t>
      </w:r>
      <w:r>
        <w:rPr>
          <w:i/>
          <w:color w:val="000000"/>
          <w:sz w:val="28"/>
          <w:szCs w:val="28"/>
        </w:rPr>
        <w:t>Інвестиції: практика та досвід</w:t>
      </w:r>
      <w:r>
        <w:rPr>
          <w:color w:val="000000"/>
          <w:sz w:val="28"/>
          <w:szCs w:val="28"/>
        </w:rPr>
        <w:t xml:space="preserve">. 2025. № 1. С. 37–43. </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Коваленко В. В., Гайдукович Д. С. (2025). Сучасні детермінанти ро</w:t>
      </w:r>
      <w:r>
        <w:rPr>
          <w:color w:val="000000"/>
          <w:sz w:val="28"/>
          <w:szCs w:val="28"/>
        </w:rPr>
        <w:t>звитку ринку цінних паперів України. Науковий вісник Одеського національного економічного університету, № 2 (327). С. 40-48.</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 xml:space="preserve">Копилюк О. І., Музичка О. М, Системний підхід до регулювання ринку цінних паперів в Україні. </w:t>
      </w:r>
      <w:r>
        <w:rPr>
          <w:i/>
          <w:color w:val="000000"/>
          <w:sz w:val="28"/>
          <w:szCs w:val="28"/>
        </w:rPr>
        <w:t>Вісник Львівського торговельно-економі</w:t>
      </w:r>
      <w:r>
        <w:rPr>
          <w:i/>
          <w:color w:val="000000"/>
          <w:sz w:val="28"/>
          <w:szCs w:val="28"/>
        </w:rPr>
        <w:t>чного університету. Економічні науки</w:t>
      </w:r>
      <w:r>
        <w:rPr>
          <w:color w:val="000000"/>
          <w:sz w:val="28"/>
          <w:szCs w:val="28"/>
        </w:rPr>
        <w:t xml:space="preserve">. 2022. № 69. С. 73-79. </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 xml:space="preserve">Копчак Ю., Лобунець Т., Луковський Р. SWOT-аналіз як важливий інструмент у розробці стратегії бізнесу. </w:t>
      </w:r>
      <w:r>
        <w:rPr>
          <w:i/>
          <w:color w:val="000000"/>
          <w:sz w:val="28"/>
          <w:szCs w:val="28"/>
        </w:rPr>
        <w:t>Економіка та суспільство</w:t>
      </w:r>
      <w:r>
        <w:rPr>
          <w:color w:val="000000"/>
          <w:sz w:val="28"/>
          <w:szCs w:val="28"/>
        </w:rPr>
        <w:t xml:space="preserve">. 2024. № 61. URL: </w:t>
      </w:r>
      <w:hyperlink r:id="rId26" w:history="1">
        <w:r>
          <w:rPr>
            <w:rStyle w:val="a3"/>
            <w:color w:val="000000"/>
            <w:sz w:val="28"/>
            <w:szCs w:val="28"/>
          </w:rPr>
          <w:t>https://doi.org/10.32782/2524-0072/2024-61-146</w:t>
        </w:r>
      </w:hyperlink>
      <w:r>
        <w:rPr>
          <w:color w:val="000000"/>
          <w:sz w:val="28"/>
          <w:szCs w:val="28"/>
        </w:rPr>
        <w:t xml:space="preserve"> (дата звернення: 29.10.2025)</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 xml:space="preserve">Кривенко Ю., Бізянов В., Секретар О. Інноваційні інструменти фінансового ринку в системі міжнародних розрахунків. </w:t>
      </w:r>
      <w:r>
        <w:rPr>
          <w:i/>
          <w:color w:val="000000"/>
          <w:sz w:val="28"/>
          <w:szCs w:val="28"/>
        </w:rPr>
        <w:t xml:space="preserve">Економіка та суспільство. </w:t>
      </w:r>
      <w:r>
        <w:rPr>
          <w:color w:val="000000"/>
          <w:sz w:val="28"/>
          <w:szCs w:val="28"/>
        </w:rPr>
        <w:t xml:space="preserve">2024. № 63. URL: </w:t>
      </w:r>
      <w:hyperlink r:id="rId27" w:history="1">
        <w:r>
          <w:rPr>
            <w:rStyle w:val="a3"/>
            <w:color w:val="000000"/>
            <w:sz w:val="28"/>
            <w:szCs w:val="28"/>
          </w:rPr>
          <w:t>https://doi.org/10.32782/2524-0072/2024-63-21</w:t>
        </w:r>
      </w:hyperlink>
      <w:r>
        <w:rPr>
          <w:color w:val="000000"/>
          <w:sz w:val="28"/>
          <w:szCs w:val="28"/>
        </w:rPr>
        <w:t xml:space="preserve"> (дата звернення: 12.11.2025)</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Крупка І. М. Фінансовий ринок України в умовах інтеграції у світовий фінансовий простір. Дисертація на здобуття ступеня</w:t>
      </w:r>
      <w:r>
        <w:rPr>
          <w:color w:val="000000"/>
          <w:sz w:val="28"/>
          <w:szCs w:val="28"/>
        </w:rPr>
        <w:t xml:space="preserve"> доктора наук. Спеціальність – 08.00.08 – Гроші, фінанси і кредит. Дата захисту 12-05-2021.43 с.</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 xml:space="preserve">Кужелєв М. О. Інтегрування ринку криптовалют у фінансову систему України: теоретичні аспекти. </w:t>
      </w:r>
      <w:r>
        <w:rPr>
          <w:i/>
          <w:color w:val="000000"/>
          <w:sz w:val="28"/>
          <w:szCs w:val="28"/>
        </w:rPr>
        <w:t>Економічний вісник університету</w:t>
      </w:r>
      <w:r>
        <w:rPr>
          <w:color w:val="000000"/>
          <w:sz w:val="28"/>
          <w:szCs w:val="28"/>
        </w:rPr>
        <w:t>. 2023. № 56. С. 137–142.</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Кушнерен</w:t>
      </w:r>
      <w:r>
        <w:rPr>
          <w:color w:val="000000"/>
          <w:sz w:val="28"/>
          <w:szCs w:val="28"/>
        </w:rPr>
        <w:t xml:space="preserve">ко С. М. Інтеграція ринку цінних паперів України в міжнародний фондовий ринок як фактор розвитку української економіки. </w:t>
      </w:r>
      <w:r>
        <w:rPr>
          <w:i/>
          <w:color w:val="000000"/>
          <w:sz w:val="28"/>
          <w:szCs w:val="28"/>
        </w:rPr>
        <w:t>Академічні візії.</w:t>
      </w:r>
      <w:r>
        <w:rPr>
          <w:color w:val="000000"/>
          <w:sz w:val="28"/>
          <w:szCs w:val="28"/>
        </w:rPr>
        <w:t xml:space="preserve"> 2022. Вип. 8-9. С. 83-91. </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Лобоцька Л. Л., Дідух С. М., Фрум О. Л. Потенціал ринків капіталу України в сучасний період</w:t>
      </w:r>
      <w:r>
        <w:rPr>
          <w:color w:val="000000"/>
          <w:sz w:val="28"/>
          <w:szCs w:val="28"/>
        </w:rPr>
        <w:t xml:space="preserve">: вектор розвитку та обґрунтування стратегічних рішень. </w:t>
      </w:r>
      <w:r>
        <w:rPr>
          <w:i/>
          <w:color w:val="000000"/>
          <w:sz w:val="28"/>
          <w:szCs w:val="28"/>
        </w:rPr>
        <w:t>Наукові перспективи.</w:t>
      </w:r>
      <w:r>
        <w:rPr>
          <w:color w:val="000000"/>
          <w:sz w:val="28"/>
          <w:szCs w:val="28"/>
        </w:rPr>
        <w:t xml:space="preserve"> 2025. № 2 (56). С. 940–951. </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 xml:space="preserve">Лубохинець Л. С., Лабунець О. О. Світові фінансові ринки в умовах глобалізації. </w:t>
      </w:r>
      <w:r>
        <w:rPr>
          <w:i/>
          <w:color w:val="000000"/>
          <w:sz w:val="28"/>
          <w:szCs w:val="28"/>
        </w:rPr>
        <w:t>Економіка та суспільство</w:t>
      </w:r>
      <w:r>
        <w:rPr>
          <w:color w:val="000000"/>
          <w:sz w:val="28"/>
          <w:szCs w:val="28"/>
        </w:rPr>
        <w:t xml:space="preserve">. 2018. Вип. 15. С. 40–45. </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Луцишин О. О. Фіна</w:t>
      </w:r>
      <w:r>
        <w:rPr>
          <w:color w:val="000000"/>
          <w:sz w:val="28"/>
          <w:szCs w:val="28"/>
        </w:rPr>
        <w:t xml:space="preserve">нсовий ринок : опорн. консп. лекцій / уклад. О. О. Луцишин. Тернопіль: ТНЕУ, 2018. 173 с. </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 xml:space="preserve">Майданюк С., Потетуєва М., Клімова І. Економічні аспекти війни та конфліктів. </w:t>
      </w:r>
      <w:r>
        <w:rPr>
          <w:i/>
          <w:color w:val="000000"/>
          <w:sz w:val="28"/>
          <w:szCs w:val="28"/>
        </w:rPr>
        <w:t>Соціальний розвиток: економічні та правові питання</w:t>
      </w:r>
      <w:r>
        <w:rPr>
          <w:color w:val="000000"/>
          <w:sz w:val="28"/>
          <w:szCs w:val="28"/>
        </w:rPr>
        <w:t xml:space="preserve">. 2025. № 4. URL: </w:t>
      </w:r>
      <w:hyperlink r:id="rId28" w:history="1">
        <w:r>
          <w:rPr>
            <w:rStyle w:val="a3"/>
            <w:color w:val="000000"/>
            <w:sz w:val="28"/>
            <w:szCs w:val="28"/>
          </w:rPr>
          <w:t>https://doi.org/10.70651/3083-6018/2025.4.19</w:t>
        </w:r>
      </w:hyperlink>
      <w:r>
        <w:rPr>
          <w:color w:val="000000"/>
          <w:sz w:val="28"/>
          <w:szCs w:val="28"/>
        </w:rPr>
        <w:t xml:space="preserve"> (дата звернення: 29.10.2025)</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 xml:space="preserve">Маліка А. Вплив військового конфлікту в Україні на глобальні логістичні мережі та міжнародні економічні відносини. </w:t>
      </w:r>
      <w:r>
        <w:rPr>
          <w:i/>
          <w:color w:val="000000"/>
          <w:sz w:val="28"/>
          <w:szCs w:val="28"/>
        </w:rPr>
        <w:t>Вісник: Міжнародні віднос</w:t>
      </w:r>
      <w:r>
        <w:rPr>
          <w:i/>
          <w:color w:val="000000"/>
          <w:sz w:val="28"/>
          <w:szCs w:val="28"/>
        </w:rPr>
        <w:t>ини</w:t>
      </w:r>
      <w:r>
        <w:rPr>
          <w:color w:val="000000"/>
          <w:sz w:val="28"/>
          <w:szCs w:val="28"/>
        </w:rPr>
        <w:t xml:space="preserve">. 2025. № 59(2). С. 50–52. </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 xml:space="preserve">Мінфін. Видатки державного бюджету України. URL: </w:t>
      </w:r>
      <w:hyperlink r:id="rId29" w:history="1">
        <w:r>
          <w:rPr>
            <w:rStyle w:val="a3"/>
            <w:color w:val="000000"/>
            <w:sz w:val="28"/>
            <w:szCs w:val="28"/>
          </w:rPr>
          <w:t>https://index.minfin.com.ua/ua/finance/budget/gov/</w:t>
        </w:r>
      </w:hyperlink>
      <w:r>
        <w:rPr>
          <w:color w:val="000000"/>
          <w:sz w:val="28"/>
          <w:szCs w:val="28"/>
        </w:rPr>
        <w:t xml:space="preserve"> (дата звернення: 29.10.2025)</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 xml:space="preserve">Онікієнко С. В., Літвинов О. </w:t>
      </w:r>
      <w:r>
        <w:rPr>
          <w:color w:val="000000"/>
          <w:sz w:val="28"/>
          <w:szCs w:val="28"/>
        </w:rPr>
        <w:t xml:space="preserve">В. Проблеми та перспективи розвитку ринку облігацій в Україні. </w:t>
      </w:r>
      <w:r>
        <w:rPr>
          <w:i/>
          <w:color w:val="000000"/>
          <w:sz w:val="28"/>
          <w:szCs w:val="28"/>
        </w:rPr>
        <w:t xml:space="preserve">Сучасні інструменти управління корпоративними фінансами </w:t>
      </w:r>
      <w:r>
        <w:rPr>
          <w:color w:val="000000"/>
          <w:sz w:val="28"/>
          <w:szCs w:val="28"/>
        </w:rPr>
        <w:t>(м. Київ, 15 листопада 2024 р.). С. 448-451.</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 xml:space="preserve">Офіційний сайт Національного банку України. URL: </w:t>
      </w:r>
      <w:hyperlink r:id="rId30" w:history="1">
        <w:r>
          <w:rPr>
            <w:rStyle w:val="a3"/>
            <w:color w:val="000000"/>
            <w:sz w:val="28"/>
            <w:szCs w:val="28"/>
          </w:rPr>
          <w:t>https://bank.gov.ua/ua/statistic/supervision-statist</w:t>
        </w:r>
      </w:hyperlink>
      <w:r>
        <w:rPr>
          <w:color w:val="000000"/>
          <w:sz w:val="28"/>
          <w:szCs w:val="28"/>
        </w:rPr>
        <w:t xml:space="preserve"> (дата звернення: 29.10.2025)</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 xml:space="preserve">Петриченко О., Грінько І. Вплив збройних конфліктів на фінансово-економічний розвиток країн. </w:t>
      </w:r>
      <w:r>
        <w:rPr>
          <w:i/>
          <w:color w:val="000000"/>
          <w:sz w:val="28"/>
          <w:szCs w:val="28"/>
        </w:rPr>
        <w:t>Економіка та</w:t>
      </w:r>
      <w:r>
        <w:rPr>
          <w:i/>
          <w:color w:val="000000"/>
          <w:sz w:val="28"/>
          <w:szCs w:val="28"/>
        </w:rPr>
        <w:t xml:space="preserve"> суспільство</w:t>
      </w:r>
      <w:r>
        <w:rPr>
          <w:color w:val="000000"/>
          <w:sz w:val="28"/>
          <w:szCs w:val="28"/>
        </w:rPr>
        <w:t xml:space="preserve">. 2024. № 70. URL: </w:t>
      </w:r>
      <w:hyperlink r:id="rId31" w:history="1">
        <w:r>
          <w:rPr>
            <w:rStyle w:val="a3"/>
            <w:color w:val="000000"/>
            <w:sz w:val="28"/>
            <w:szCs w:val="28"/>
          </w:rPr>
          <w:t>https://doi.org/10.32782/2524-0072/2024-70-34</w:t>
        </w:r>
      </w:hyperlink>
      <w:r>
        <w:rPr>
          <w:color w:val="000000"/>
          <w:sz w:val="28"/>
          <w:szCs w:val="28"/>
        </w:rPr>
        <w:t xml:space="preserve"> (дата звернення: 29.10.2025)</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Руденко В. В., Погріщук Г. Б. Ідентифікація змісту та класифікаційних ознак загроз і риз</w:t>
      </w:r>
      <w:r>
        <w:rPr>
          <w:color w:val="000000"/>
          <w:sz w:val="28"/>
          <w:szCs w:val="28"/>
        </w:rPr>
        <w:t xml:space="preserve">иків фінансовій безпеці підприємства. </w:t>
      </w:r>
      <w:r>
        <w:rPr>
          <w:i/>
          <w:color w:val="000000"/>
          <w:sz w:val="28"/>
          <w:szCs w:val="28"/>
        </w:rPr>
        <w:t>Modern Economics</w:t>
      </w:r>
      <w:r>
        <w:rPr>
          <w:color w:val="000000"/>
          <w:sz w:val="28"/>
          <w:szCs w:val="28"/>
        </w:rPr>
        <w:t xml:space="preserve">. 2023. № 41. С. 105–112. </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 xml:space="preserve">Савченко Р. О. Мінливість на фондовому ринку: проблематика аналізу впливу зовнішніх політичних та економічних факторів. </w:t>
      </w:r>
      <w:r>
        <w:rPr>
          <w:i/>
          <w:color w:val="000000"/>
          <w:sz w:val="28"/>
          <w:szCs w:val="28"/>
        </w:rPr>
        <w:t>Бізнес Інформ.</w:t>
      </w:r>
      <w:r>
        <w:rPr>
          <w:color w:val="000000"/>
          <w:sz w:val="28"/>
          <w:szCs w:val="28"/>
        </w:rPr>
        <w:t xml:space="preserve"> 2025. № 8. С. 417-428.</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Садчикова І., Кал</w:t>
      </w:r>
      <w:r>
        <w:rPr>
          <w:color w:val="000000"/>
          <w:sz w:val="28"/>
          <w:szCs w:val="28"/>
        </w:rPr>
        <w:t xml:space="preserve">ьченко О., Панченко О. Сучасні тенденції розвитку кредитного ринку України. </w:t>
      </w:r>
      <w:r>
        <w:rPr>
          <w:i/>
          <w:color w:val="000000"/>
          <w:sz w:val="28"/>
          <w:szCs w:val="28"/>
        </w:rPr>
        <w:t>Проблеми і перспективи економіки та управління</w:t>
      </w:r>
      <w:r>
        <w:rPr>
          <w:color w:val="000000"/>
          <w:sz w:val="28"/>
          <w:szCs w:val="28"/>
        </w:rPr>
        <w:t xml:space="preserve">. 2024. № 2 (38). С. 234–252. </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Сергієнко О., Полякова Т., Савченко Р. Фондовий ринок України та його зв’язок із фондовими ринками світ</w:t>
      </w:r>
      <w:r>
        <w:rPr>
          <w:color w:val="000000"/>
          <w:sz w:val="28"/>
          <w:szCs w:val="28"/>
        </w:rPr>
        <w:t xml:space="preserve">у (на прикладі кореляції індексів). </w:t>
      </w:r>
      <w:r>
        <w:rPr>
          <w:i/>
          <w:color w:val="000000"/>
          <w:sz w:val="28"/>
          <w:szCs w:val="28"/>
        </w:rPr>
        <w:t>Електротехніка і електроенергетика</w:t>
      </w:r>
      <w:r>
        <w:rPr>
          <w:color w:val="000000"/>
          <w:sz w:val="28"/>
          <w:szCs w:val="28"/>
        </w:rPr>
        <w:t>. 2024. № 4 (71). С. 41–47.</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 xml:space="preserve">Середа О. О. Фактори впливу на функціонування фондового ринку України. </w:t>
      </w:r>
      <w:r>
        <w:rPr>
          <w:i/>
          <w:color w:val="000000"/>
          <w:sz w:val="28"/>
          <w:szCs w:val="28"/>
        </w:rPr>
        <w:t>Механізм регулювання економіки</w:t>
      </w:r>
      <w:r>
        <w:rPr>
          <w:color w:val="000000"/>
          <w:sz w:val="28"/>
          <w:szCs w:val="28"/>
        </w:rPr>
        <w:t>. 2022. № 3–4 (97–98). С. 105–110.</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Татарин Н., Габрильчук</w:t>
      </w:r>
      <w:r>
        <w:rPr>
          <w:color w:val="000000"/>
          <w:sz w:val="28"/>
          <w:szCs w:val="28"/>
        </w:rPr>
        <w:t xml:space="preserve"> Я. Стан і перспективи розвитку фінансового ринку України під час повномасштабного вторгнення. </w:t>
      </w:r>
      <w:r>
        <w:rPr>
          <w:i/>
          <w:color w:val="000000"/>
          <w:sz w:val="28"/>
          <w:szCs w:val="28"/>
        </w:rPr>
        <w:t>Галицький економічний вісник.</w:t>
      </w:r>
      <w:r>
        <w:rPr>
          <w:color w:val="000000"/>
          <w:sz w:val="28"/>
          <w:szCs w:val="28"/>
        </w:rPr>
        <w:t xml:space="preserve"> 2025. Том 93. № 2. С. 60–65. </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Татарин Н., Олійник О. Фондовий ринок як один із елементів фінансового ринку: історія та його сучасни</w:t>
      </w:r>
      <w:r>
        <w:rPr>
          <w:color w:val="000000"/>
          <w:sz w:val="28"/>
          <w:szCs w:val="28"/>
        </w:rPr>
        <w:t xml:space="preserve">й стан в Україні. </w:t>
      </w:r>
      <w:r>
        <w:rPr>
          <w:i/>
          <w:color w:val="000000"/>
          <w:sz w:val="28"/>
          <w:szCs w:val="28"/>
        </w:rPr>
        <w:t>Молодий вчений</w:t>
      </w:r>
      <w:r>
        <w:rPr>
          <w:color w:val="000000"/>
          <w:sz w:val="28"/>
          <w:szCs w:val="28"/>
        </w:rPr>
        <w:t xml:space="preserve">. 2023. № 3 (115). С. 128–133. </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 xml:space="preserve">Татарин Н., Половко Д. Фінансовий ринок України: аналіз сучасного стану, загрози, проблеми та перспективи. </w:t>
      </w:r>
      <w:r>
        <w:rPr>
          <w:i/>
          <w:color w:val="000000"/>
          <w:sz w:val="28"/>
          <w:szCs w:val="28"/>
        </w:rPr>
        <w:t>Галицький економічний вісник.</w:t>
      </w:r>
      <w:r>
        <w:rPr>
          <w:color w:val="000000"/>
          <w:sz w:val="28"/>
          <w:szCs w:val="28"/>
        </w:rPr>
        <w:t xml:space="preserve"> 2023. № 4 (83). С. 78–88. </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ТОП-5 ризиків для фінансової</w:t>
      </w:r>
      <w:r>
        <w:rPr>
          <w:color w:val="000000"/>
          <w:sz w:val="28"/>
          <w:szCs w:val="28"/>
        </w:rPr>
        <w:t xml:space="preserve"> системи України: банкіри відповідають. URL: </w:t>
      </w:r>
      <w:hyperlink r:id="rId32" w:history="1">
        <w:r>
          <w:rPr>
            <w:rStyle w:val="a3"/>
            <w:color w:val="000000"/>
            <w:sz w:val="28"/>
            <w:szCs w:val="28"/>
          </w:rPr>
          <w:t>https://vechirniy.kyiv.ua/news/32772/</w:t>
        </w:r>
      </w:hyperlink>
      <w:r>
        <w:rPr>
          <w:color w:val="000000"/>
          <w:sz w:val="28"/>
          <w:szCs w:val="28"/>
        </w:rPr>
        <w:t xml:space="preserve"> (дата звернення: 29.10.2025)</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Фінтех тренди 2025. URL: https://fintechua.org/fintech_trends_2025. Про e-гривню – цифрові</w:t>
      </w:r>
      <w:r>
        <w:rPr>
          <w:color w:val="000000"/>
          <w:sz w:val="28"/>
          <w:szCs w:val="28"/>
        </w:rPr>
        <w:t xml:space="preserve"> гроші Національного банку. URL: </w:t>
      </w:r>
      <w:hyperlink r:id="rId33" w:history="1">
        <w:r>
          <w:rPr>
            <w:rStyle w:val="a3"/>
            <w:color w:val="000000"/>
            <w:sz w:val="28"/>
            <w:szCs w:val="28"/>
          </w:rPr>
          <w:t>https://bank.gov.ua/ua/payments/e-hryvnia</w:t>
        </w:r>
      </w:hyperlink>
      <w:r>
        <w:rPr>
          <w:color w:val="000000"/>
          <w:sz w:val="28"/>
          <w:szCs w:val="28"/>
        </w:rPr>
        <w:t xml:space="preserve"> (дата звернення: 12.11.2025)</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 xml:space="preserve">Харабара В. М., Грешко Р. І., Харабара В. І. Фондовий ринок України: стан, актуальні проблеми </w:t>
      </w:r>
      <w:r>
        <w:rPr>
          <w:color w:val="000000"/>
          <w:sz w:val="28"/>
          <w:szCs w:val="28"/>
        </w:rPr>
        <w:t>та перспективи.</w:t>
      </w:r>
      <w:r>
        <w:rPr>
          <w:i/>
          <w:color w:val="000000"/>
          <w:sz w:val="28"/>
          <w:szCs w:val="28"/>
        </w:rPr>
        <w:t xml:space="preserve"> «Young Scientist». </w:t>
      </w:r>
      <w:r>
        <w:rPr>
          <w:color w:val="000000"/>
          <w:sz w:val="28"/>
          <w:szCs w:val="28"/>
        </w:rPr>
        <w:t xml:space="preserve">2024. № 6 (130). С. 195-200. </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 xml:space="preserve">Харабара В., Харабара В., Грешко Р. Фондовий ринок України: стан, актуальні проблеми та перспективи. </w:t>
      </w:r>
      <w:r>
        <w:rPr>
          <w:i/>
          <w:color w:val="000000"/>
          <w:sz w:val="28"/>
          <w:szCs w:val="28"/>
        </w:rPr>
        <w:t>Молодий вчений.</w:t>
      </w:r>
      <w:r>
        <w:rPr>
          <w:color w:val="000000"/>
          <w:sz w:val="28"/>
          <w:szCs w:val="28"/>
        </w:rPr>
        <w:t xml:space="preserve"> 2024. № 6 (130). С. 112–116. </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Хмеловський Т., Майданюк С., Малишко Є. Анал</w:t>
      </w:r>
      <w:r>
        <w:rPr>
          <w:color w:val="000000"/>
          <w:sz w:val="28"/>
          <w:szCs w:val="28"/>
        </w:rPr>
        <w:t xml:space="preserve">із ефективності втручань нбу у валютний ринок для регулювання курсу гривні. </w:t>
      </w:r>
      <w:r>
        <w:rPr>
          <w:i/>
          <w:color w:val="000000"/>
          <w:sz w:val="28"/>
          <w:szCs w:val="28"/>
        </w:rPr>
        <w:t>Економіка та суспільство</w:t>
      </w:r>
      <w:r>
        <w:rPr>
          <w:color w:val="000000"/>
          <w:sz w:val="28"/>
          <w:szCs w:val="28"/>
        </w:rPr>
        <w:t xml:space="preserve">. 2025. № 74. URL: </w:t>
      </w:r>
      <w:hyperlink r:id="rId34" w:history="1">
        <w:r>
          <w:rPr>
            <w:rStyle w:val="a3"/>
            <w:color w:val="000000"/>
            <w:sz w:val="28"/>
            <w:szCs w:val="28"/>
          </w:rPr>
          <w:t>https://doi.org/10.32782/2524-0072/2025-74-118</w:t>
        </w:r>
      </w:hyperlink>
      <w:r>
        <w:rPr>
          <w:color w:val="000000"/>
          <w:sz w:val="28"/>
          <w:szCs w:val="28"/>
        </w:rPr>
        <w:t xml:space="preserve"> (дата звернення: 12.11.2025</w:t>
      </w:r>
      <w:r>
        <w:rPr>
          <w:color w:val="000000"/>
          <w:sz w:val="28"/>
          <w:szCs w:val="28"/>
        </w:rPr>
        <w:t>)</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 xml:space="preserve">Циб Ю. Ринок корпоративних цінних паперів України: емісійна активність та перспективи розвитку у макроекономічному контексті. </w:t>
      </w:r>
      <w:r>
        <w:rPr>
          <w:i/>
          <w:color w:val="000000"/>
          <w:sz w:val="28"/>
          <w:szCs w:val="28"/>
        </w:rPr>
        <w:t>Економіка та суспільство</w:t>
      </w:r>
      <w:r>
        <w:rPr>
          <w:color w:val="000000"/>
          <w:sz w:val="28"/>
          <w:szCs w:val="28"/>
        </w:rPr>
        <w:t xml:space="preserve">. 2025. № 75. URL: </w:t>
      </w:r>
      <w:hyperlink r:id="rId35" w:history="1">
        <w:r>
          <w:rPr>
            <w:rStyle w:val="a3"/>
            <w:color w:val="000000"/>
            <w:sz w:val="28"/>
            <w:szCs w:val="28"/>
          </w:rPr>
          <w:t>https://doi.org/10.32782/2</w:t>
        </w:r>
        <w:r>
          <w:rPr>
            <w:rStyle w:val="a3"/>
            <w:color w:val="000000"/>
            <w:sz w:val="28"/>
            <w:szCs w:val="28"/>
          </w:rPr>
          <w:t>524-0072/2025-75-40</w:t>
        </w:r>
      </w:hyperlink>
      <w:r>
        <w:rPr>
          <w:color w:val="000000"/>
          <w:sz w:val="28"/>
          <w:szCs w:val="28"/>
        </w:rPr>
        <w:t xml:space="preserve"> (дата звернення: 29.10.2025)</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 xml:space="preserve">Черкасова С. В. Регулювання діяльності банків на вітчизняному ринку цінних паперів. </w:t>
      </w:r>
      <w:r>
        <w:rPr>
          <w:i/>
          <w:color w:val="000000"/>
          <w:sz w:val="28"/>
          <w:szCs w:val="28"/>
        </w:rPr>
        <w:t>Економіка та суспільство</w:t>
      </w:r>
      <w:r>
        <w:rPr>
          <w:color w:val="000000"/>
          <w:sz w:val="28"/>
          <w:szCs w:val="28"/>
        </w:rPr>
        <w:t xml:space="preserve">. 2023. № 52. URL: </w:t>
      </w:r>
      <w:hyperlink r:id="rId36" w:history="1">
        <w:r>
          <w:rPr>
            <w:rStyle w:val="a3"/>
            <w:color w:val="000000"/>
            <w:sz w:val="28"/>
            <w:szCs w:val="28"/>
          </w:rPr>
          <w:t>https://economyandsociety.in.ua/index.php/journal/article/view/2633</w:t>
        </w:r>
      </w:hyperlink>
      <w:r>
        <w:rPr>
          <w:color w:val="000000"/>
          <w:sz w:val="28"/>
          <w:szCs w:val="28"/>
        </w:rPr>
        <w:t xml:space="preserve"> (дата звернення: 12.11.2025).</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Школьник І. О., Рекуненко І. І. Структура фінансового ринку країни в умова</w:t>
      </w:r>
      <w:r>
        <w:rPr>
          <w:color w:val="000000"/>
          <w:sz w:val="28"/>
          <w:szCs w:val="28"/>
        </w:rPr>
        <w:t xml:space="preserve">х розвитку ринкових відносин. URL: </w:t>
      </w:r>
      <w:hyperlink r:id="rId37" w:history="1">
        <w:r>
          <w:rPr>
            <w:rStyle w:val="a3"/>
            <w:color w:val="000000"/>
            <w:sz w:val="28"/>
            <w:szCs w:val="28"/>
          </w:rPr>
          <w:t>https://essuir.sumdu.edu.ua/server/api/core/bitstreams/7a5cba63-6853-4f7b-884a-8c44153fd4cb/content</w:t>
        </w:r>
      </w:hyperlink>
      <w:r>
        <w:rPr>
          <w:color w:val="000000"/>
          <w:sz w:val="28"/>
          <w:szCs w:val="28"/>
        </w:rPr>
        <w:t xml:space="preserve"> (дата</w:t>
      </w:r>
      <w:r>
        <w:rPr>
          <w:color w:val="000000"/>
          <w:sz w:val="28"/>
          <w:szCs w:val="28"/>
        </w:rPr>
        <w:t xml:space="preserve"> звернення: 29.10.2025)</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 xml:space="preserve">Що чекає на економіку у 2025 році і далі? Макро-прогнози від економістів та влади // Центр економічної стратегії. 2025. URL: </w:t>
      </w:r>
      <w:hyperlink r:id="rId38" w:history="1">
        <w:r>
          <w:rPr>
            <w:rStyle w:val="a3"/>
            <w:color w:val="000000"/>
            <w:sz w:val="28"/>
            <w:szCs w:val="28"/>
          </w:rPr>
          <w:t>https://ces.org.ua/macroforecasts-2025-2026/</w:t>
        </w:r>
      </w:hyperlink>
      <w:r>
        <w:rPr>
          <w:color w:val="000000"/>
          <w:sz w:val="28"/>
          <w:szCs w:val="28"/>
        </w:rPr>
        <w:t xml:space="preserve"> </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rPr>
        <w:t xml:space="preserve">Ярмішко A. Фондовий ринок України: аналіз факторів впливу та шляхи модернізації. </w:t>
      </w:r>
      <w:r>
        <w:rPr>
          <w:i/>
          <w:color w:val="000000"/>
          <w:sz w:val="28"/>
          <w:szCs w:val="28"/>
        </w:rPr>
        <w:t>Європейський науковий журнал економічних та фінансових інновацій</w:t>
      </w:r>
      <w:r>
        <w:rPr>
          <w:color w:val="000000"/>
          <w:sz w:val="28"/>
          <w:szCs w:val="28"/>
        </w:rPr>
        <w:t>. 2024. Т. 2, № 14. С. 68–76.</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lang w:val="en-US"/>
        </w:rPr>
        <w:t xml:space="preserve">Ukraine – Political Stability And Absence Of Violence/Terrorism: Percentile Rank </w:t>
      </w:r>
      <w:r>
        <w:rPr>
          <w:color w:val="000000"/>
          <w:sz w:val="28"/>
          <w:szCs w:val="28"/>
          <w:lang w:val="en-US"/>
        </w:rPr>
        <w:t xml:space="preserve">// Trading Economix. </w:t>
      </w:r>
      <w:r>
        <w:rPr>
          <w:color w:val="000000"/>
          <w:sz w:val="28"/>
          <w:szCs w:val="28"/>
        </w:rPr>
        <w:t xml:space="preserve">URL: </w:t>
      </w:r>
      <w:hyperlink r:id="rId39" w:history="1">
        <w:r>
          <w:rPr>
            <w:rStyle w:val="a3"/>
            <w:color w:val="000000"/>
            <w:sz w:val="28"/>
            <w:szCs w:val="28"/>
          </w:rPr>
          <w:t>https://tradingeconomics.com/ukraine/political-stability-and-absence-of-violence-terrorism-percen</w:t>
        </w:r>
        <w:r>
          <w:rPr>
            <w:rStyle w:val="a3"/>
            <w:color w:val="000000"/>
            <w:sz w:val="28"/>
            <w:szCs w:val="28"/>
          </w:rPr>
          <w:t>tile-rank-wb-data.html</w:t>
        </w:r>
      </w:hyperlink>
      <w:r>
        <w:rPr>
          <w:color w:val="000000"/>
          <w:sz w:val="28"/>
          <w:szCs w:val="28"/>
        </w:rPr>
        <w:t xml:space="preserve"> (дата звернення: 12.11.2025).</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lang w:val="en-US"/>
        </w:rPr>
        <w:t xml:space="preserve">Global Peace Index 2023: Measuring Peace in a Complex World, Sydney, June 2023 // Institute for Economics &amp; Peace. </w:t>
      </w:r>
      <w:r>
        <w:rPr>
          <w:color w:val="000000"/>
          <w:sz w:val="28"/>
          <w:szCs w:val="28"/>
        </w:rPr>
        <w:t xml:space="preserve">URL: </w:t>
      </w:r>
      <w:hyperlink r:id="rId40" w:history="1">
        <w:r>
          <w:rPr>
            <w:rStyle w:val="a3"/>
            <w:color w:val="000000"/>
            <w:sz w:val="28"/>
            <w:szCs w:val="28"/>
          </w:rPr>
          <w:t>https://www.visionofhumanity.org/wp-content/uploads/2023/06/GPI-2023-Web.pdf</w:t>
        </w:r>
      </w:hyperlink>
      <w:r>
        <w:rPr>
          <w:color w:val="000000"/>
          <w:sz w:val="28"/>
          <w:szCs w:val="28"/>
        </w:rPr>
        <w:t xml:space="preserve"> (дата звернення: 12.11.2025).</w:t>
      </w:r>
    </w:p>
    <w:p w:rsidR="00705F07" w:rsidRDefault="00185A37">
      <w:pPr>
        <w:pStyle w:val="a4"/>
        <w:numPr>
          <w:ilvl w:val="0"/>
          <w:numId w:val="6"/>
        </w:numPr>
        <w:tabs>
          <w:tab w:val="left" w:pos="1134"/>
        </w:tabs>
        <w:spacing w:line="360" w:lineRule="auto"/>
        <w:ind w:left="0" w:firstLine="709"/>
        <w:jc w:val="both"/>
        <w:rPr>
          <w:color w:val="000000"/>
          <w:sz w:val="28"/>
          <w:szCs w:val="28"/>
          <w:lang w:val="en-US"/>
        </w:rPr>
      </w:pPr>
      <w:r>
        <w:rPr>
          <w:color w:val="000000"/>
          <w:sz w:val="28"/>
          <w:szCs w:val="28"/>
        </w:rPr>
        <w:t xml:space="preserve"> </w:t>
      </w:r>
      <w:r>
        <w:rPr>
          <w:color w:val="000000"/>
          <w:sz w:val="28"/>
          <w:szCs w:val="28"/>
          <w:lang w:val="en-US"/>
        </w:rPr>
        <w:t xml:space="preserve">Global Peace Index 2024: Measuring Peace in a Complex World, Sydney, June 2024 // Institute for Economics &amp; Peace. URL: </w:t>
      </w:r>
      <w:hyperlink r:id="rId41" w:history="1">
        <w:r>
          <w:rPr>
            <w:rStyle w:val="a3"/>
            <w:color w:val="000000"/>
            <w:sz w:val="28"/>
            <w:szCs w:val="28"/>
            <w:lang w:val="en-US"/>
          </w:rPr>
          <w:t>https://www.economicsandpeace.org/wp- content/uploads/2024/06/GPI-2024-web.pdf</w:t>
        </w:r>
      </w:hyperlink>
      <w:r>
        <w:rPr>
          <w:color w:val="000000"/>
          <w:sz w:val="28"/>
          <w:szCs w:val="28"/>
          <w:lang w:val="en-US"/>
        </w:rPr>
        <w:t xml:space="preserve"> (</w:t>
      </w:r>
      <w:r>
        <w:rPr>
          <w:color w:val="000000"/>
          <w:sz w:val="28"/>
          <w:szCs w:val="28"/>
        </w:rPr>
        <w:t>дата</w:t>
      </w:r>
      <w:r>
        <w:rPr>
          <w:color w:val="000000"/>
          <w:sz w:val="28"/>
          <w:szCs w:val="28"/>
          <w:lang w:val="en-US"/>
        </w:rPr>
        <w:t xml:space="preserve"> </w:t>
      </w:r>
      <w:r>
        <w:rPr>
          <w:color w:val="000000"/>
          <w:sz w:val="28"/>
          <w:szCs w:val="28"/>
        </w:rPr>
        <w:t>звернення</w:t>
      </w:r>
      <w:r>
        <w:rPr>
          <w:color w:val="000000"/>
          <w:sz w:val="28"/>
          <w:szCs w:val="28"/>
          <w:lang w:val="en-US"/>
        </w:rPr>
        <w:t>: 12.11.2025).</w:t>
      </w:r>
    </w:p>
    <w:p w:rsidR="00705F07" w:rsidRDefault="00185A37">
      <w:pPr>
        <w:pStyle w:val="a4"/>
        <w:numPr>
          <w:ilvl w:val="0"/>
          <w:numId w:val="6"/>
        </w:numPr>
        <w:tabs>
          <w:tab w:val="left" w:pos="1134"/>
        </w:tabs>
        <w:spacing w:line="360" w:lineRule="auto"/>
        <w:ind w:left="0" w:firstLine="709"/>
        <w:jc w:val="both"/>
        <w:rPr>
          <w:color w:val="000000"/>
          <w:sz w:val="28"/>
          <w:szCs w:val="28"/>
          <w:lang w:val="en-US"/>
        </w:rPr>
      </w:pPr>
      <w:r>
        <w:rPr>
          <w:color w:val="000000"/>
          <w:sz w:val="28"/>
          <w:szCs w:val="28"/>
          <w:lang w:val="en-US"/>
        </w:rPr>
        <w:t xml:space="preserve"> Global Peace Index 2025: Identifying and Measuring the Factors t</w:t>
      </w:r>
      <w:r>
        <w:rPr>
          <w:color w:val="000000"/>
          <w:sz w:val="28"/>
          <w:szCs w:val="28"/>
          <w:lang w:val="en-US"/>
        </w:rPr>
        <w:t xml:space="preserve">hat Drive Peace, Sydney, June 2025 // Institute for Economics &amp; Peace. URL: </w:t>
      </w:r>
      <w:hyperlink r:id="rId42" w:history="1">
        <w:r>
          <w:rPr>
            <w:rStyle w:val="a3"/>
            <w:color w:val="000000"/>
            <w:sz w:val="28"/>
            <w:szCs w:val="28"/>
            <w:lang w:val="en-US"/>
          </w:rPr>
          <w:t>https://www.visionofhumanity.org/wp-content/uploads/2025/06/Global-Peace-In</w:t>
        </w:r>
        <w:r>
          <w:rPr>
            <w:rStyle w:val="a3"/>
            <w:color w:val="000000"/>
            <w:sz w:val="28"/>
            <w:szCs w:val="28"/>
            <w:lang w:val="en-US"/>
          </w:rPr>
          <w:t>dex-2025-web.pdf</w:t>
        </w:r>
      </w:hyperlink>
      <w:r>
        <w:rPr>
          <w:color w:val="000000"/>
          <w:sz w:val="28"/>
          <w:szCs w:val="28"/>
          <w:lang w:val="en-US"/>
        </w:rPr>
        <w:t xml:space="preserve"> </w:t>
      </w:r>
    </w:p>
    <w:p w:rsidR="00705F07" w:rsidRDefault="00185A37">
      <w:pPr>
        <w:pStyle w:val="a4"/>
        <w:numPr>
          <w:ilvl w:val="0"/>
          <w:numId w:val="6"/>
        </w:numPr>
        <w:tabs>
          <w:tab w:val="left" w:pos="1134"/>
        </w:tabs>
        <w:spacing w:line="360" w:lineRule="auto"/>
        <w:ind w:left="0" w:firstLine="709"/>
        <w:jc w:val="both"/>
        <w:rPr>
          <w:color w:val="000000"/>
          <w:sz w:val="28"/>
          <w:szCs w:val="28"/>
          <w:lang w:val="en-US"/>
        </w:rPr>
      </w:pPr>
      <w:r>
        <w:rPr>
          <w:color w:val="000000"/>
          <w:sz w:val="28"/>
          <w:szCs w:val="28"/>
          <w:lang w:val="en-US"/>
        </w:rPr>
        <w:t xml:space="preserve">WJP Rule of Law Index. 2024. Ukraine // World Justice Project. URL: </w:t>
      </w:r>
      <w:hyperlink r:id="rId43" w:history="1">
        <w:r>
          <w:rPr>
            <w:rStyle w:val="a3"/>
            <w:color w:val="000000"/>
            <w:sz w:val="28"/>
            <w:szCs w:val="28"/>
            <w:lang w:val="en-US"/>
          </w:rPr>
          <w:t>https://worldjusticeproject.org/rule-of-law-index/country/2024/Ukraine</w:t>
        </w:r>
      </w:hyperlink>
      <w:r>
        <w:rPr>
          <w:color w:val="000000"/>
          <w:sz w:val="28"/>
          <w:szCs w:val="28"/>
          <w:lang w:val="en-US"/>
        </w:rPr>
        <w:t xml:space="preserve"> (</w:t>
      </w:r>
      <w:r>
        <w:rPr>
          <w:color w:val="000000"/>
          <w:sz w:val="28"/>
          <w:szCs w:val="28"/>
        </w:rPr>
        <w:t>дата</w:t>
      </w:r>
      <w:r>
        <w:rPr>
          <w:color w:val="000000"/>
          <w:sz w:val="28"/>
          <w:szCs w:val="28"/>
          <w:lang w:val="en-US"/>
        </w:rPr>
        <w:t xml:space="preserve"> </w:t>
      </w:r>
      <w:r>
        <w:rPr>
          <w:color w:val="000000"/>
          <w:sz w:val="28"/>
          <w:szCs w:val="28"/>
        </w:rPr>
        <w:t>зве</w:t>
      </w:r>
      <w:r>
        <w:rPr>
          <w:color w:val="000000"/>
          <w:sz w:val="28"/>
          <w:szCs w:val="28"/>
        </w:rPr>
        <w:t>рнення</w:t>
      </w:r>
      <w:r>
        <w:rPr>
          <w:color w:val="000000"/>
          <w:sz w:val="28"/>
          <w:szCs w:val="28"/>
          <w:lang w:val="en-US"/>
        </w:rPr>
        <w:t>: 12.11.2025).</w:t>
      </w:r>
    </w:p>
    <w:p w:rsidR="00705F07" w:rsidRDefault="00185A37">
      <w:pPr>
        <w:pStyle w:val="a4"/>
        <w:numPr>
          <w:ilvl w:val="0"/>
          <w:numId w:val="6"/>
        </w:numPr>
        <w:tabs>
          <w:tab w:val="left" w:pos="1134"/>
        </w:tabs>
        <w:spacing w:line="360" w:lineRule="auto"/>
        <w:ind w:left="0" w:firstLine="709"/>
        <w:jc w:val="both"/>
        <w:rPr>
          <w:color w:val="000000"/>
          <w:sz w:val="28"/>
          <w:szCs w:val="28"/>
          <w:lang w:val="en-US"/>
        </w:rPr>
      </w:pPr>
      <w:r>
        <w:rPr>
          <w:color w:val="000000"/>
          <w:sz w:val="28"/>
          <w:szCs w:val="28"/>
          <w:lang w:val="uk-UA"/>
        </w:rPr>
        <w:t xml:space="preserve">Bankografo.com Аналіз банків України: огляди, графіки, факти </w:t>
      </w:r>
      <w:hyperlink r:id="rId44" w:history="1">
        <w:r>
          <w:rPr>
            <w:rStyle w:val="a3"/>
            <w:color w:val="000000"/>
            <w:sz w:val="28"/>
            <w:szCs w:val="28"/>
            <w:lang w:val="uk-UA"/>
          </w:rPr>
          <w:t>URL:http://bankogra-fo.com/</w:t>
        </w:r>
      </w:hyperlink>
      <w:r>
        <w:rPr>
          <w:color w:val="000000"/>
          <w:sz w:val="28"/>
          <w:szCs w:val="28"/>
          <w:lang w:val="uk-UA"/>
        </w:rPr>
        <w:t xml:space="preserve"> (дата звернення: 13.11.2025)</w:t>
      </w:r>
    </w:p>
    <w:p w:rsidR="00705F07" w:rsidRDefault="00185A37">
      <w:pPr>
        <w:pStyle w:val="a4"/>
        <w:numPr>
          <w:ilvl w:val="0"/>
          <w:numId w:val="6"/>
        </w:numPr>
        <w:tabs>
          <w:tab w:val="left" w:pos="1134"/>
        </w:tabs>
        <w:spacing w:line="360" w:lineRule="auto"/>
        <w:ind w:left="0" w:firstLine="709"/>
        <w:jc w:val="both"/>
        <w:rPr>
          <w:color w:val="000000"/>
          <w:sz w:val="28"/>
          <w:szCs w:val="28"/>
          <w:lang w:val="en-US"/>
        </w:rPr>
      </w:pPr>
      <w:r>
        <w:rPr>
          <w:color w:val="000000"/>
          <w:sz w:val="28"/>
          <w:szCs w:val="28"/>
          <w:lang w:val="en-US"/>
        </w:rPr>
        <w:t>Forinsurer</w:t>
      </w:r>
      <w:r>
        <w:rPr>
          <w:color w:val="000000"/>
          <w:sz w:val="28"/>
          <w:szCs w:val="28"/>
        </w:rPr>
        <w:t xml:space="preserve"> Особливості банківського обслуговування на основі </w:t>
      </w:r>
      <w:r>
        <w:rPr>
          <w:color w:val="000000"/>
          <w:sz w:val="28"/>
          <w:szCs w:val="28"/>
          <w:lang w:val="en-US"/>
        </w:rPr>
        <w:t>Internet</w:t>
      </w:r>
      <w:r>
        <w:rPr>
          <w:color w:val="000000"/>
          <w:sz w:val="28"/>
          <w:szCs w:val="28"/>
        </w:rPr>
        <w:t xml:space="preserve">-технологій. </w:t>
      </w:r>
      <w:r>
        <w:rPr>
          <w:color w:val="000000"/>
          <w:sz w:val="28"/>
          <w:szCs w:val="28"/>
          <w:lang w:val="en-US"/>
        </w:rPr>
        <w:t>URL: https://forinsurer.com/public/03/10/16/774 (</w:t>
      </w:r>
      <w:r>
        <w:rPr>
          <w:color w:val="000000"/>
          <w:sz w:val="28"/>
          <w:szCs w:val="28"/>
        </w:rPr>
        <w:t>дата</w:t>
      </w:r>
      <w:r>
        <w:rPr>
          <w:color w:val="000000"/>
          <w:sz w:val="28"/>
          <w:szCs w:val="28"/>
          <w:lang w:val="en-US"/>
        </w:rPr>
        <w:t xml:space="preserve"> </w:t>
      </w:r>
      <w:r>
        <w:rPr>
          <w:color w:val="000000"/>
          <w:sz w:val="28"/>
          <w:szCs w:val="28"/>
        </w:rPr>
        <w:t>звернення</w:t>
      </w:r>
      <w:r>
        <w:rPr>
          <w:color w:val="000000"/>
          <w:sz w:val="28"/>
          <w:szCs w:val="28"/>
          <w:lang w:val="en-US"/>
        </w:rPr>
        <w:t xml:space="preserve">: </w:t>
      </w:r>
      <w:r>
        <w:rPr>
          <w:color w:val="000000"/>
          <w:sz w:val="28"/>
          <w:szCs w:val="28"/>
          <w:lang w:val="uk-UA"/>
        </w:rPr>
        <w:t>13.11.2025</w:t>
      </w:r>
      <w:r>
        <w:rPr>
          <w:color w:val="000000"/>
          <w:sz w:val="28"/>
          <w:szCs w:val="28"/>
          <w:lang w:val="en-US"/>
        </w:rPr>
        <w:t>)</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lang w:val="en-US"/>
        </w:rPr>
        <w:t xml:space="preserve">Eurostat. E-banking and e-commerce. </w:t>
      </w:r>
      <w:r>
        <w:rPr>
          <w:color w:val="000000"/>
          <w:sz w:val="28"/>
          <w:szCs w:val="28"/>
        </w:rPr>
        <w:t xml:space="preserve">URL: http://appsso.eurostat.ec.europa.eu/nui/submitViewTableAction.do (дата звернення: </w:t>
      </w:r>
      <w:r>
        <w:rPr>
          <w:color w:val="000000"/>
          <w:sz w:val="28"/>
          <w:szCs w:val="28"/>
          <w:lang w:val="uk-UA"/>
        </w:rPr>
        <w:t>13.11.2025</w:t>
      </w:r>
      <w:r>
        <w:rPr>
          <w:color w:val="000000"/>
          <w:sz w:val="28"/>
          <w:szCs w:val="28"/>
        </w:rPr>
        <w:t>)</w:t>
      </w:r>
    </w:p>
    <w:p w:rsidR="00705F07" w:rsidRDefault="00185A37">
      <w:pPr>
        <w:pStyle w:val="a4"/>
        <w:numPr>
          <w:ilvl w:val="0"/>
          <w:numId w:val="6"/>
        </w:numPr>
        <w:tabs>
          <w:tab w:val="left" w:pos="1134"/>
        </w:tabs>
        <w:spacing w:line="360" w:lineRule="auto"/>
        <w:ind w:left="0" w:firstLine="709"/>
        <w:jc w:val="both"/>
        <w:rPr>
          <w:color w:val="000000"/>
          <w:sz w:val="28"/>
          <w:szCs w:val="28"/>
          <w:lang w:val="en-US"/>
        </w:rPr>
      </w:pPr>
      <w:r>
        <w:rPr>
          <w:color w:val="000000"/>
          <w:sz w:val="28"/>
          <w:szCs w:val="28"/>
          <w:lang w:val="uk-UA"/>
        </w:rPr>
        <w:t xml:space="preserve">Martseniuk O. Internet banking </w:t>
      </w:r>
      <w:r>
        <w:rPr>
          <w:color w:val="000000"/>
          <w:sz w:val="28"/>
          <w:szCs w:val="28"/>
          <w:lang w:val="uk-UA"/>
        </w:rPr>
        <w:t>– innovative development of the banking sector in Ukraine. In: Іnformation and innovative technologies in the turbulence era. 2022. Monograph 60. Р. 263-282.</w:t>
      </w:r>
    </w:p>
    <w:p w:rsidR="00705F07" w:rsidRDefault="00185A37">
      <w:pPr>
        <w:pStyle w:val="a4"/>
        <w:numPr>
          <w:ilvl w:val="0"/>
          <w:numId w:val="6"/>
        </w:numPr>
        <w:tabs>
          <w:tab w:val="left" w:pos="1134"/>
        </w:tabs>
        <w:spacing w:line="360" w:lineRule="auto"/>
        <w:ind w:left="0" w:firstLine="709"/>
        <w:jc w:val="both"/>
        <w:rPr>
          <w:color w:val="000000"/>
          <w:sz w:val="28"/>
          <w:szCs w:val="28"/>
          <w:lang w:val="en-US"/>
        </w:rPr>
      </w:pPr>
      <w:r>
        <w:rPr>
          <w:color w:val="000000"/>
          <w:sz w:val="28"/>
          <w:szCs w:val="28"/>
          <w:lang w:val="uk-UA"/>
        </w:rPr>
        <w:t>Ruda O. Management of banks in terms of digitalization of banking. In: Digitalization and informat</w:t>
      </w:r>
      <w:r>
        <w:rPr>
          <w:color w:val="000000"/>
          <w:sz w:val="28"/>
          <w:szCs w:val="28"/>
          <w:lang w:val="uk-UA"/>
        </w:rPr>
        <w:t xml:space="preserve">ion society. Selected issues. Publishing House of University of Technology. Katowice. 2022. Monograph 53. Part 3. Р. 326-338. </w:t>
      </w:r>
    </w:p>
    <w:p w:rsidR="00705F07" w:rsidRDefault="00185A37">
      <w:pPr>
        <w:pStyle w:val="a4"/>
        <w:numPr>
          <w:ilvl w:val="0"/>
          <w:numId w:val="6"/>
        </w:numPr>
        <w:tabs>
          <w:tab w:val="left" w:pos="1134"/>
        </w:tabs>
        <w:spacing w:line="360" w:lineRule="auto"/>
        <w:ind w:left="0" w:firstLine="709"/>
        <w:jc w:val="both"/>
        <w:rPr>
          <w:color w:val="000000"/>
          <w:sz w:val="28"/>
          <w:szCs w:val="28"/>
        </w:rPr>
      </w:pPr>
      <w:r>
        <w:rPr>
          <w:color w:val="000000"/>
          <w:sz w:val="28"/>
          <w:szCs w:val="28"/>
          <w:lang w:val="en-US"/>
        </w:rPr>
        <w:t xml:space="preserve">Digital banking 2025: TOP20 SME Banks </w:t>
      </w:r>
      <w:r>
        <w:rPr>
          <w:color w:val="000000"/>
          <w:sz w:val="28"/>
          <w:szCs w:val="28"/>
        </w:rPr>
        <w:t>на</w:t>
      </w:r>
      <w:r>
        <w:rPr>
          <w:color w:val="000000"/>
          <w:sz w:val="28"/>
          <w:szCs w:val="28"/>
          <w:lang w:val="en-US"/>
        </w:rPr>
        <w:t xml:space="preserve"> </w:t>
      </w:r>
      <w:r>
        <w:rPr>
          <w:color w:val="000000"/>
          <w:sz w:val="28"/>
          <w:szCs w:val="28"/>
        </w:rPr>
        <w:t>рівні</w:t>
      </w:r>
      <w:r>
        <w:rPr>
          <w:color w:val="000000"/>
          <w:sz w:val="28"/>
          <w:szCs w:val="28"/>
          <w:lang w:val="en-US"/>
        </w:rPr>
        <w:t xml:space="preserve"> </w:t>
      </w:r>
      <w:r>
        <w:rPr>
          <w:color w:val="000000"/>
          <w:sz w:val="28"/>
          <w:szCs w:val="28"/>
        </w:rPr>
        <w:t>країн</w:t>
      </w:r>
      <w:r>
        <w:rPr>
          <w:color w:val="000000"/>
          <w:sz w:val="28"/>
          <w:szCs w:val="28"/>
          <w:lang w:val="en-US"/>
        </w:rPr>
        <w:t>. URL</w:t>
      </w:r>
      <w:r>
        <w:rPr>
          <w:color w:val="000000"/>
          <w:sz w:val="28"/>
          <w:szCs w:val="28"/>
        </w:rPr>
        <w:t xml:space="preserve">: </w:t>
      </w:r>
      <w:hyperlink r:id="rId45" w:history="1">
        <w:r>
          <w:rPr>
            <w:rStyle w:val="a3"/>
            <w:color w:val="000000"/>
            <w:sz w:val="28"/>
            <w:szCs w:val="28"/>
            <w:lang w:val="en-US"/>
          </w:rPr>
          <w:t>https</w:t>
        </w:r>
        <w:r>
          <w:rPr>
            <w:rStyle w:val="a3"/>
            <w:color w:val="000000"/>
            <w:sz w:val="28"/>
            <w:szCs w:val="28"/>
          </w:rPr>
          <w:t>://</w:t>
        </w:r>
        <w:r>
          <w:rPr>
            <w:rStyle w:val="a3"/>
            <w:color w:val="000000"/>
            <w:sz w:val="28"/>
            <w:szCs w:val="28"/>
            <w:lang w:val="en-US"/>
          </w:rPr>
          <w:t>smebanking</w:t>
        </w:r>
        <w:r>
          <w:rPr>
            <w:rStyle w:val="a3"/>
            <w:color w:val="000000"/>
            <w:sz w:val="28"/>
            <w:szCs w:val="28"/>
          </w:rPr>
          <w:t>.</w:t>
        </w:r>
        <w:r>
          <w:rPr>
            <w:rStyle w:val="a3"/>
            <w:color w:val="000000"/>
            <w:sz w:val="28"/>
            <w:szCs w:val="28"/>
            <w:lang w:val="en-US"/>
          </w:rPr>
          <w:t>agency</w:t>
        </w:r>
        <w:r>
          <w:rPr>
            <w:rStyle w:val="a3"/>
            <w:color w:val="000000"/>
            <w:sz w:val="28"/>
            <w:szCs w:val="28"/>
          </w:rPr>
          <w:t>/</w:t>
        </w:r>
        <w:r>
          <w:rPr>
            <w:rStyle w:val="a3"/>
            <w:color w:val="000000"/>
            <w:sz w:val="28"/>
            <w:szCs w:val="28"/>
            <w:lang w:val="en-US"/>
          </w:rPr>
          <w:t>ua</w:t>
        </w:r>
        <w:r>
          <w:rPr>
            <w:rStyle w:val="a3"/>
            <w:color w:val="000000"/>
            <w:sz w:val="28"/>
            <w:szCs w:val="28"/>
          </w:rPr>
          <w:t>/</w:t>
        </w:r>
        <w:r>
          <w:rPr>
            <w:rStyle w:val="a3"/>
            <w:color w:val="000000"/>
            <w:sz w:val="28"/>
            <w:szCs w:val="28"/>
            <w:lang w:val="en-US"/>
          </w:rPr>
          <w:t>digital</w:t>
        </w:r>
        <w:r>
          <w:rPr>
            <w:rStyle w:val="a3"/>
            <w:color w:val="000000"/>
            <w:sz w:val="28"/>
            <w:szCs w:val="28"/>
          </w:rPr>
          <w:t>-</w:t>
        </w:r>
        <w:r>
          <w:rPr>
            <w:rStyle w:val="a3"/>
            <w:color w:val="000000"/>
            <w:sz w:val="28"/>
            <w:szCs w:val="28"/>
            <w:lang w:val="en-US"/>
          </w:rPr>
          <w:t>banking</w:t>
        </w:r>
        <w:r>
          <w:rPr>
            <w:rStyle w:val="a3"/>
            <w:color w:val="000000"/>
            <w:sz w:val="28"/>
            <w:szCs w:val="28"/>
          </w:rPr>
          <w:t>-2025-</w:t>
        </w:r>
        <w:r>
          <w:rPr>
            <w:rStyle w:val="a3"/>
            <w:color w:val="000000"/>
            <w:sz w:val="28"/>
            <w:szCs w:val="28"/>
            <w:lang w:val="en-US"/>
          </w:rPr>
          <w:t>top</w:t>
        </w:r>
        <w:r>
          <w:rPr>
            <w:rStyle w:val="a3"/>
            <w:color w:val="000000"/>
            <w:sz w:val="28"/>
            <w:szCs w:val="28"/>
          </w:rPr>
          <w:t>20-</w:t>
        </w:r>
        <w:r>
          <w:rPr>
            <w:rStyle w:val="a3"/>
            <w:color w:val="000000"/>
            <w:sz w:val="28"/>
            <w:szCs w:val="28"/>
            <w:lang w:val="en-US"/>
          </w:rPr>
          <w:t>sme</w:t>
        </w:r>
        <w:r>
          <w:rPr>
            <w:rStyle w:val="a3"/>
            <w:color w:val="000000"/>
            <w:sz w:val="28"/>
            <w:szCs w:val="28"/>
          </w:rPr>
          <w:t>-</w:t>
        </w:r>
        <w:r>
          <w:rPr>
            <w:rStyle w:val="a3"/>
            <w:color w:val="000000"/>
            <w:sz w:val="28"/>
            <w:szCs w:val="28"/>
            <w:lang w:val="en-US"/>
          </w:rPr>
          <w:t>banks</w:t>
        </w:r>
        <w:r>
          <w:rPr>
            <w:rStyle w:val="a3"/>
            <w:color w:val="000000"/>
            <w:sz w:val="28"/>
            <w:szCs w:val="28"/>
          </w:rPr>
          <w:t>-</w:t>
        </w:r>
        <w:r>
          <w:rPr>
            <w:rStyle w:val="a3"/>
            <w:color w:val="000000"/>
            <w:sz w:val="28"/>
            <w:szCs w:val="28"/>
            <w:lang w:val="en-US"/>
          </w:rPr>
          <w:t>na</w:t>
        </w:r>
        <w:r>
          <w:rPr>
            <w:rStyle w:val="a3"/>
            <w:color w:val="000000"/>
            <w:sz w:val="28"/>
            <w:szCs w:val="28"/>
          </w:rPr>
          <w:t>-</w:t>
        </w:r>
        <w:r>
          <w:rPr>
            <w:rStyle w:val="a3"/>
            <w:color w:val="000000"/>
            <w:sz w:val="28"/>
            <w:szCs w:val="28"/>
            <w:lang w:val="en-US"/>
          </w:rPr>
          <w:t>rivni</w:t>
        </w:r>
        <w:r>
          <w:rPr>
            <w:rStyle w:val="a3"/>
            <w:color w:val="000000"/>
            <w:sz w:val="28"/>
            <w:szCs w:val="28"/>
          </w:rPr>
          <w:t>-</w:t>
        </w:r>
        <w:r>
          <w:rPr>
            <w:rStyle w:val="a3"/>
            <w:color w:val="000000"/>
            <w:sz w:val="28"/>
            <w:szCs w:val="28"/>
            <w:lang w:val="en-US"/>
          </w:rPr>
          <w:t>kra</w:t>
        </w:r>
        <w:r>
          <w:rPr>
            <w:rStyle w:val="a3"/>
            <w:color w:val="000000"/>
            <w:sz w:val="28"/>
            <w:szCs w:val="28"/>
          </w:rPr>
          <w:t>%</w:t>
        </w:r>
        <w:r>
          <w:rPr>
            <w:rStyle w:val="a3"/>
            <w:color w:val="000000"/>
            <w:sz w:val="28"/>
            <w:szCs w:val="28"/>
            <w:lang w:val="en-US"/>
          </w:rPr>
          <w:t>D</w:t>
        </w:r>
        <w:r>
          <w:rPr>
            <w:rStyle w:val="a3"/>
            <w:color w:val="000000"/>
            <w:sz w:val="28"/>
            <w:szCs w:val="28"/>
          </w:rPr>
          <w:t>1%97</w:t>
        </w:r>
        <w:r>
          <w:rPr>
            <w:rStyle w:val="a3"/>
            <w:color w:val="000000"/>
            <w:sz w:val="28"/>
            <w:szCs w:val="28"/>
            <w:lang w:val="en-US"/>
          </w:rPr>
          <w:t>n</w:t>
        </w:r>
        <w:r>
          <w:rPr>
            <w:rStyle w:val="a3"/>
            <w:color w:val="000000"/>
            <w:sz w:val="28"/>
            <w:szCs w:val="28"/>
          </w:rPr>
          <w:t>/</w:t>
        </w:r>
      </w:hyperlink>
      <w:r>
        <w:rPr>
          <w:color w:val="000000"/>
          <w:sz w:val="28"/>
          <w:szCs w:val="28"/>
          <w:lang w:val="uk-UA"/>
        </w:rPr>
        <w:t xml:space="preserve"> </w:t>
      </w:r>
      <w:r>
        <w:rPr>
          <w:color w:val="000000"/>
          <w:sz w:val="28"/>
          <w:szCs w:val="28"/>
        </w:rPr>
        <w:t xml:space="preserve">(дата звернення: </w:t>
      </w:r>
      <w:r>
        <w:rPr>
          <w:color w:val="000000"/>
          <w:sz w:val="28"/>
          <w:szCs w:val="28"/>
          <w:lang w:val="uk-UA"/>
        </w:rPr>
        <w:t>13.11.2025</w:t>
      </w:r>
      <w:r>
        <w:rPr>
          <w:color w:val="000000"/>
          <w:sz w:val="28"/>
          <w:szCs w:val="28"/>
        </w:rPr>
        <w:t>).</w:t>
      </w:r>
    </w:p>
    <w:p w:rsidR="00705F07" w:rsidRDefault="00185A37">
      <w:pPr>
        <w:pStyle w:val="a4"/>
        <w:numPr>
          <w:ilvl w:val="0"/>
          <w:numId w:val="6"/>
        </w:numPr>
        <w:tabs>
          <w:tab w:val="left" w:pos="1134"/>
        </w:tabs>
        <w:spacing w:line="360" w:lineRule="auto"/>
        <w:ind w:left="0" w:firstLine="709"/>
        <w:jc w:val="both"/>
        <w:rPr>
          <w:color w:val="000000"/>
          <w:sz w:val="28"/>
          <w:szCs w:val="28"/>
          <w:lang w:val="en-US"/>
        </w:rPr>
      </w:pPr>
      <w:r>
        <w:rPr>
          <w:rFonts w:eastAsia="Times New Roman"/>
          <w:color w:val="000000"/>
          <w:sz w:val="28"/>
          <w:szCs w:val="28"/>
          <w:lang w:val="en-US" w:eastAsia="ru-RU"/>
        </w:rPr>
        <w:t>Capgemini Financial Services Analysis</w:t>
      </w:r>
      <w:r>
        <w:rPr>
          <w:color w:val="000000"/>
          <w:sz w:val="28"/>
          <w:szCs w:val="28"/>
          <w:lang w:val="uk-UA"/>
        </w:rPr>
        <w:t xml:space="preserve">. </w:t>
      </w:r>
      <w:r>
        <w:rPr>
          <w:color w:val="000000"/>
          <w:sz w:val="28"/>
          <w:szCs w:val="28"/>
          <w:lang w:val="en-US"/>
        </w:rPr>
        <w:t xml:space="preserve">URL: </w:t>
      </w:r>
      <w:hyperlink r:id="rId46" w:history="1">
        <w:r>
          <w:rPr>
            <w:rStyle w:val="a3"/>
            <w:color w:val="000000"/>
            <w:sz w:val="28"/>
            <w:szCs w:val="28"/>
            <w:lang w:val="en-US"/>
          </w:rPr>
          <w:t>https://plusworld.ru/professionals/dengi-i-tehnologii-pochemu-ne-spyat-bankiry/</w:t>
        </w:r>
      </w:hyperlink>
      <w:r>
        <w:rPr>
          <w:color w:val="000000"/>
          <w:sz w:val="28"/>
          <w:szCs w:val="28"/>
          <w:lang w:val="uk-UA"/>
        </w:rPr>
        <w:t xml:space="preserve"> </w:t>
      </w:r>
      <w:r>
        <w:rPr>
          <w:color w:val="000000"/>
          <w:sz w:val="28"/>
          <w:szCs w:val="28"/>
          <w:lang w:val="en-US"/>
        </w:rPr>
        <w:t>(</w:t>
      </w:r>
      <w:r>
        <w:rPr>
          <w:color w:val="000000"/>
          <w:sz w:val="28"/>
          <w:szCs w:val="28"/>
        </w:rPr>
        <w:t>дата</w:t>
      </w:r>
      <w:r>
        <w:rPr>
          <w:color w:val="000000"/>
          <w:sz w:val="28"/>
          <w:szCs w:val="28"/>
          <w:lang w:val="en-US"/>
        </w:rPr>
        <w:t xml:space="preserve"> </w:t>
      </w:r>
      <w:r>
        <w:rPr>
          <w:color w:val="000000"/>
          <w:sz w:val="28"/>
          <w:szCs w:val="28"/>
        </w:rPr>
        <w:t>звернення</w:t>
      </w:r>
      <w:r>
        <w:rPr>
          <w:color w:val="000000"/>
          <w:sz w:val="28"/>
          <w:szCs w:val="28"/>
          <w:lang w:val="en-US"/>
        </w:rPr>
        <w:t xml:space="preserve">: </w:t>
      </w:r>
      <w:r>
        <w:rPr>
          <w:color w:val="000000"/>
          <w:sz w:val="28"/>
          <w:szCs w:val="28"/>
          <w:lang w:val="uk-UA"/>
        </w:rPr>
        <w:t>13.11.2025</w:t>
      </w:r>
      <w:r>
        <w:rPr>
          <w:color w:val="000000"/>
          <w:sz w:val="28"/>
          <w:szCs w:val="28"/>
          <w:lang w:val="en-US"/>
        </w:rPr>
        <w:t>)</w:t>
      </w:r>
    </w:p>
    <w:p w:rsidR="00705F07" w:rsidRDefault="00185A37">
      <w:pPr>
        <w:pStyle w:val="a4"/>
        <w:numPr>
          <w:ilvl w:val="0"/>
          <w:numId w:val="6"/>
        </w:numPr>
        <w:tabs>
          <w:tab w:val="left" w:pos="1134"/>
        </w:tabs>
        <w:spacing w:line="360" w:lineRule="auto"/>
        <w:ind w:left="0" w:firstLine="709"/>
        <w:jc w:val="both"/>
        <w:rPr>
          <w:color w:val="000000"/>
          <w:sz w:val="28"/>
          <w:szCs w:val="28"/>
          <w:lang w:val="en-US"/>
        </w:rPr>
      </w:pPr>
      <w:r>
        <w:rPr>
          <w:color w:val="000000"/>
          <w:sz w:val="28"/>
          <w:szCs w:val="28"/>
          <w:lang w:val="en-US"/>
        </w:rPr>
        <w:t xml:space="preserve">GlobusPlus. URL: </w:t>
      </w:r>
      <w:hyperlink r:id="rId47" w:history="1">
        <w:r>
          <w:rPr>
            <w:rStyle w:val="a3"/>
            <w:color w:val="000000"/>
            <w:sz w:val="28"/>
            <w:szCs w:val="28"/>
            <w:lang w:val="en-US"/>
          </w:rPr>
          <w:t>https://globusplus.ua/about</w:t>
        </w:r>
      </w:hyperlink>
      <w:r>
        <w:rPr>
          <w:color w:val="000000"/>
          <w:sz w:val="28"/>
          <w:szCs w:val="28"/>
          <w:lang w:val="en-US"/>
        </w:rPr>
        <w:t xml:space="preserve"> (</w:t>
      </w:r>
      <w:r>
        <w:rPr>
          <w:color w:val="000000"/>
          <w:sz w:val="28"/>
          <w:szCs w:val="28"/>
        </w:rPr>
        <w:t>дата</w:t>
      </w:r>
      <w:r>
        <w:rPr>
          <w:color w:val="000000"/>
          <w:sz w:val="28"/>
          <w:szCs w:val="28"/>
          <w:lang w:val="en-US"/>
        </w:rPr>
        <w:t xml:space="preserve"> </w:t>
      </w:r>
      <w:r>
        <w:rPr>
          <w:color w:val="000000"/>
          <w:sz w:val="28"/>
          <w:szCs w:val="28"/>
        </w:rPr>
        <w:t>звернення</w:t>
      </w:r>
      <w:r>
        <w:rPr>
          <w:color w:val="000000"/>
          <w:sz w:val="28"/>
          <w:szCs w:val="28"/>
          <w:lang w:val="en-US"/>
        </w:rPr>
        <w:t xml:space="preserve">: 13.11.2025) </w:t>
      </w:r>
    </w:p>
    <w:p w:rsidR="00705F07" w:rsidRDefault="00185A37">
      <w:pPr>
        <w:pStyle w:val="a4"/>
        <w:numPr>
          <w:ilvl w:val="0"/>
          <w:numId w:val="6"/>
        </w:numPr>
        <w:tabs>
          <w:tab w:val="left" w:pos="1134"/>
        </w:tabs>
        <w:spacing w:line="360" w:lineRule="auto"/>
        <w:ind w:left="0" w:firstLine="709"/>
        <w:jc w:val="both"/>
        <w:rPr>
          <w:color w:val="000000"/>
          <w:sz w:val="28"/>
          <w:szCs w:val="28"/>
          <w:lang w:val="en-US"/>
        </w:rPr>
      </w:pPr>
      <w:r>
        <w:rPr>
          <w:color w:val="000000"/>
          <w:sz w:val="28"/>
          <w:szCs w:val="28"/>
          <w:lang w:val="en-US"/>
        </w:rPr>
        <w:t>Dou W. W., Lo A. W., Muley A., Uhlig H. Macroeconomic models for monetary policy: A critical review from a finance perspective. Annual Review of Financial Economics. 2020. Vol. 12. Pp. 95-</w:t>
      </w:r>
      <w:r>
        <w:rPr>
          <w:color w:val="000000"/>
          <w:sz w:val="28"/>
          <w:szCs w:val="28"/>
          <w:lang w:val="en-US"/>
        </w:rPr>
        <w:t>140.</w:t>
      </w:r>
    </w:p>
    <w:p w:rsidR="00705F07" w:rsidRDefault="00185A37">
      <w:pPr>
        <w:pStyle w:val="a4"/>
        <w:numPr>
          <w:ilvl w:val="0"/>
          <w:numId w:val="6"/>
        </w:numPr>
        <w:tabs>
          <w:tab w:val="left" w:pos="1134"/>
        </w:tabs>
        <w:spacing w:line="360" w:lineRule="auto"/>
        <w:ind w:left="0" w:firstLine="709"/>
        <w:jc w:val="both"/>
        <w:rPr>
          <w:color w:val="000000"/>
          <w:sz w:val="28"/>
          <w:szCs w:val="28"/>
          <w:lang w:val="en-US"/>
        </w:rPr>
      </w:pPr>
      <w:r>
        <w:rPr>
          <w:color w:val="000000"/>
          <w:sz w:val="28"/>
          <w:szCs w:val="28"/>
          <w:lang w:val="en-US"/>
        </w:rPr>
        <w:t xml:space="preserve">Faryna O., Tsapin A. Tracking the War in Real Time. National Bank of Ukraine. URL: </w:t>
      </w:r>
      <w:hyperlink r:id="rId48" w:history="1">
        <w:r>
          <w:rPr>
            <w:rStyle w:val="a3"/>
            <w:color w:val="000000"/>
            <w:sz w:val="28"/>
            <w:szCs w:val="28"/>
            <w:lang w:val="en-US"/>
          </w:rPr>
          <w:t>https://bank.gov.ua/admin_uploads/article/Tracking_the_Wa</w:t>
        </w:r>
        <w:r>
          <w:rPr>
            <w:rStyle w:val="a3"/>
            <w:color w:val="000000"/>
            <w:sz w:val="28"/>
            <w:szCs w:val="28"/>
            <w:lang w:val="en-US"/>
          </w:rPr>
          <w:t>r_in_Real_Time_NBU_pr_2023-03-21.pdf?v=4</w:t>
        </w:r>
      </w:hyperlink>
      <w:r>
        <w:rPr>
          <w:color w:val="000000"/>
          <w:sz w:val="28"/>
          <w:szCs w:val="28"/>
          <w:lang w:val="en-US"/>
        </w:rPr>
        <w:t xml:space="preserve"> (</w:t>
      </w:r>
      <w:r>
        <w:rPr>
          <w:color w:val="000000"/>
          <w:sz w:val="28"/>
          <w:szCs w:val="28"/>
        </w:rPr>
        <w:t>дата</w:t>
      </w:r>
      <w:r>
        <w:rPr>
          <w:color w:val="000000"/>
          <w:sz w:val="28"/>
          <w:szCs w:val="28"/>
          <w:lang w:val="en-US"/>
        </w:rPr>
        <w:t xml:space="preserve"> </w:t>
      </w:r>
      <w:r>
        <w:rPr>
          <w:color w:val="000000"/>
          <w:sz w:val="28"/>
          <w:szCs w:val="28"/>
        </w:rPr>
        <w:t>звернення</w:t>
      </w:r>
      <w:r>
        <w:rPr>
          <w:color w:val="000000"/>
          <w:sz w:val="28"/>
          <w:szCs w:val="28"/>
          <w:lang w:val="en-US"/>
        </w:rPr>
        <w:t>: 13.11.2025).</w:t>
      </w:r>
    </w:p>
    <w:p w:rsidR="00705F07" w:rsidRDefault="00185A37">
      <w:pPr>
        <w:pStyle w:val="a4"/>
        <w:numPr>
          <w:ilvl w:val="0"/>
          <w:numId w:val="6"/>
        </w:numPr>
        <w:tabs>
          <w:tab w:val="left" w:pos="1134"/>
        </w:tabs>
        <w:spacing w:line="360" w:lineRule="auto"/>
        <w:ind w:left="0" w:firstLine="709"/>
        <w:jc w:val="both"/>
        <w:rPr>
          <w:color w:val="000000"/>
          <w:sz w:val="28"/>
          <w:szCs w:val="28"/>
          <w:lang w:val="en-US"/>
        </w:rPr>
      </w:pPr>
      <w:r>
        <w:rPr>
          <w:color w:val="000000"/>
          <w:sz w:val="28"/>
          <w:szCs w:val="28"/>
          <w:lang w:val="en-US"/>
        </w:rPr>
        <w:t xml:space="preserve">Florin Aliu, Simona Hašková, Ujkan Q. Bajra «Consequences of Russian invasion on Ukraine: evidence from foreign exchange rates. Journal of Risk Finance. URL: </w:t>
      </w:r>
      <w:hyperlink r:id="rId49" w:history="1">
        <w:r>
          <w:rPr>
            <w:rStyle w:val="a3"/>
            <w:color w:val="000000"/>
            <w:sz w:val="28"/>
            <w:szCs w:val="28"/>
            <w:lang w:val="en-US"/>
          </w:rPr>
          <w:t>https://www.emerald.com/insight/content/doi/10.1108/JRF-05-2022-0127/full/html</w:t>
        </w:r>
      </w:hyperlink>
      <w:r>
        <w:rPr>
          <w:color w:val="000000"/>
          <w:sz w:val="28"/>
          <w:szCs w:val="28"/>
          <w:lang w:val="en-US"/>
        </w:rPr>
        <w:t xml:space="preserve"> (</w:t>
      </w:r>
      <w:r>
        <w:rPr>
          <w:color w:val="000000"/>
          <w:sz w:val="28"/>
          <w:szCs w:val="28"/>
        </w:rPr>
        <w:t>дата</w:t>
      </w:r>
      <w:r>
        <w:rPr>
          <w:color w:val="000000"/>
          <w:sz w:val="28"/>
          <w:szCs w:val="28"/>
          <w:lang w:val="en-US"/>
        </w:rPr>
        <w:t xml:space="preserve"> </w:t>
      </w:r>
      <w:r>
        <w:rPr>
          <w:color w:val="000000"/>
          <w:sz w:val="28"/>
          <w:szCs w:val="28"/>
        </w:rPr>
        <w:t>звернення</w:t>
      </w:r>
      <w:r>
        <w:rPr>
          <w:color w:val="000000"/>
          <w:sz w:val="28"/>
          <w:szCs w:val="28"/>
          <w:lang w:val="en-US"/>
        </w:rPr>
        <w:t>: 13.11.2025).</w:t>
      </w:r>
    </w:p>
    <w:p w:rsidR="00705F07" w:rsidRDefault="00185A37">
      <w:pPr>
        <w:pStyle w:val="a4"/>
        <w:numPr>
          <w:ilvl w:val="0"/>
          <w:numId w:val="6"/>
        </w:numPr>
        <w:tabs>
          <w:tab w:val="left" w:pos="1134"/>
        </w:tabs>
        <w:spacing w:line="360" w:lineRule="auto"/>
        <w:ind w:left="0" w:firstLine="709"/>
        <w:jc w:val="both"/>
        <w:rPr>
          <w:color w:val="000000"/>
          <w:sz w:val="28"/>
          <w:szCs w:val="28"/>
          <w:lang w:val="en-US"/>
        </w:rPr>
      </w:pPr>
      <w:r>
        <w:rPr>
          <w:color w:val="000000"/>
          <w:sz w:val="28"/>
          <w:szCs w:val="28"/>
          <w:lang w:val="en-US"/>
        </w:rPr>
        <w:t>Itskhoki O., Mukhin D. «Sanctions and the exchange rate». NATIONAL BUREAU OF</w:t>
      </w:r>
      <w:r>
        <w:rPr>
          <w:color w:val="000000"/>
          <w:sz w:val="28"/>
          <w:szCs w:val="28"/>
          <w:lang w:val="en-US"/>
        </w:rPr>
        <w:t xml:space="preserve"> ECONOMIC RESEARCH. Cambridge, 2022. URL: </w:t>
      </w:r>
      <w:hyperlink r:id="rId50" w:history="1">
        <w:r>
          <w:rPr>
            <w:rStyle w:val="a3"/>
            <w:color w:val="000000"/>
            <w:sz w:val="28"/>
            <w:szCs w:val="28"/>
            <w:lang w:val="en-US"/>
          </w:rPr>
          <w:t>https://www.nber.org/system/files/working_papers/w30009/w30009.pdf</w:t>
        </w:r>
      </w:hyperlink>
      <w:r>
        <w:rPr>
          <w:color w:val="000000"/>
          <w:sz w:val="28"/>
          <w:szCs w:val="28"/>
          <w:lang w:val="en-US"/>
        </w:rPr>
        <w:t xml:space="preserve"> (</w:t>
      </w:r>
      <w:r>
        <w:rPr>
          <w:color w:val="000000"/>
          <w:sz w:val="28"/>
          <w:szCs w:val="28"/>
        </w:rPr>
        <w:t>дата</w:t>
      </w:r>
      <w:r>
        <w:rPr>
          <w:color w:val="000000"/>
          <w:sz w:val="28"/>
          <w:szCs w:val="28"/>
          <w:lang w:val="en-US"/>
        </w:rPr>
        <w:t xml:space="preserve"> </w:t>
      </w:r>
      <w:r>
        <w:rPr>
          <w:color w:val="000000"/>
          <w:sz w:val="28"/>
          <w:szCs w:val="28"/>
        </w:rPr>
        <w:t>звернення</w:t>
      </w:r>
      <w:r>
        <w:rPr>
          <w:color w:val="000000"/>
          <w:sz w:val="28"/>
          <w:szCs w:val="28"/>
          <w:lang w:val="en-US"/>
        </w:rPr>
        <w:t>: 13.11.2025).</w:t>
      </w:r>
    </w:p>
    <w:p w:rsidR="00705F07" w:rsidRDefault="00185A37">
      <w:pPr>
        <w:pStyle w:val="a4"/>
        <w:numPr>
          <w:ilvl w:val="0"/>
          <w:numId w:val="6"/>
        </w:numPr>
        <w:tabs>
          <w:tab w:val="left" w:pos="1134"/>
        </w:tabs>
        <w:spacing w:line="360" w:lineRule="auto"/>
        <w:ind w:left="0" w:firstLine="709"/>
        <w:jc w:val="both"/>
        <w:rPr>
          <w:color w:val="000000"/>
          <w:sz w:val="28"/>
          <w:szCs w:val="28"/>
          <w:lang w:val="en-US"/>
        </w:rPr>
      </w:pPr>
      <w:r>
        <w:rPr>
          <w:color w:val="000000"/>
          <w:sz w:val="28"/>
          <w:szCs w:val="28"/>
          <w:lang w:val="en-US"/>
        </w:rPr>
        <w:t xml:space="preserve">Sokhanvar A. Commodity price shocks related to the war in Ukraine and exchange rates of commodity exporters and importers. Borsa Istanbul Review. Istanbul, 2022. URL: </w:t>
      </w:r>
      <w:hyperlink r:id="rId51" w:history="1">
        <w:r>
          <w:rPr>
            <w:rStyle w:val="a3"/>
            <w:color w:val="000000"/>
            <w:sz w:val="28"/>
            <w:szCs w:val="28"/>
            <w:lang w:val="en-US"/>
          </w:rPr>
          <w:t>https://</w:t>
        </w:r>
        <w:r>
          <w:rPr>
            <w:rStyle w:val="a3"/>
            <w:color w:val="000000"/>
            <w:sz w:val="28"/>
            <w:szCs w:val="28"/>
            <w:lang w:val="en-US"/>
          </w:rPr>
          <w:t>www.sciencedirect.com/science/article/pii/S2214845022000667</w:t>
        </w:r>
      </w:hyperlink>
      <w:r>
        <w:rPr>
          <w:color w:val="000000"/>
          <w:sz w:val="28"/>
          <w:szCs w:val="28"/>
          <w:lang w:val="en-US"/>
        </w:rPr>
        <w:t xml:space="preserve"> (</w:t>
      </w:r>
      <w:r>
        <w:rPr>
          <w:color w:val="000000"/>
          <w:sz w:val="28"/>
          <w:szCs w:val="28"/>
        </w:rPr>
        <w:t>дата</w:t>
      </w:r>
      <w:r>
        <w:rPr>
          <w:color w:val="000000"/>
          <w:sz w:val="28"/>
          <w:szCs w:val="28"/>
          <w:lang w:val="en-US"/>
        </w:rPr>
        <w:t xml:space="preserve"> </w:t>
      </w:r>
      <w:r>
        <w:rPr>
          <w:color w:val="000000"/>
          <w:sz w:val="28"/>
          <w:szCs w:val="28"/>
        </w:rPr>
        <w:t>звернення</w:t>
      </w:r>
      <w:r>
        <w:rPr>
          <w:color w:val="000000"/>
          <w:sz w:val="28"/>
          <w:szCs w:val="28"/>
          <w:lang w:val="en-US"/>
        </w:rPr>
        <w:t xml:space="preserve">: 13.11.2025). </w:t>
      </w:r>
    </w:p>
    <w:p w:rsidR="00705F07" w:rsidRDefault="00185A37">
      <w:pPr>
        <w:pStyle w:val="a4"/>
        <w:numPr>
          <w:ilvl w:val="0"/>
          <w:numId w:val="6"/>
        </w:numPr>
        <w:tabs>
          <w:tab w:val="left" w:pos="1134"/>
        </w:tabs>
        <w:spacing w:line="360" w:lineRule="auto"/>
        <w:ind w:left="0" w:firstLine="709"/>
        <w:jc w:val="both"/>
        <w:rPr>
          <w:color w:val="000000"/>
          <w:sz w:val="28"/>
          <w:szCs w:val="28"/>
          <w:lang w:val="en-US"/>
        </w:rPr>
      </w:pPr>
      <w:r>
        <w:rPr>
          <w:color w:val="000000"/>
          <w:sz w:val="28"/>
          <w:szCs w:val="28"/>
          <w:lang w:val="en-US"/>
        </w:rPr>
        <w:t>Jamil M. N. Impact the choice of exchange rate regime on country economic growth: which anchor currency leading the 21st century. Journal of Environmental Science</w:t>
      </w:r>
      <w:r>
        <w:rPr>
          <w:color w:val="000000"/>
          <w:sz w:val="28"/>
          <w:szCs w:val="28"/>
          <w:lang w:val="en-US"/>
        </w:rPr>
        <w:t xml:space="preserve"> and Economics. 2022. Vol. 1(1). Pp. 18–27. </w:t>
      </w:r>
    </w:p>
    <w:p w:rsidR="00705F07" w:rsidRDefault="00185A37">
      <w:pPr>
        <w:pStyle w:val="a4"/>
        <w:numPr>
          <w:ilvl w:val="0"/>
          <w:numId w:val="6"/>
        </w:numPr>
        <w:tabs>
          <w:tab w:val="left" w:pos="1134"/>
        </w:tabs>
        <w:spacing w:line="360" w:lineRule="auto"/>
        <w:ind w:left="0" w:firstLine="709"/>
        <w:jc w:val="both"/>
        <w:rPr>
          <w:color w:val="000000"/>
          <w:sz w:val="28"/>
          <w:szCs w:val="28"/>
          <w:lang w:val="en-US"/>
        </w:rPr>
      </w:pPr>
      <w:r>
        <w:rPr>
          <w:color w:val="000000"/>
          <w:sz w:val="28"/>
          <w:szCs w:val="28"/>
          <w:lang w:val="en-US"/>
        </w:rPr>
        <w:t xml:space="preserve">Verbivska L., Lagodiienko V., Filyppova S., Papaika O., Malin O., Neustroiev Y. Regulatory Policy of the Entrepreneurship Development as a Dominant of Economic Security of the National Economy. </w:t>
      </w:r>
      <w:r>
        <w:rPr>
          <w:color w:val="000000"/>
          <w:sz w:val="28"/>
          <w:szCs w:val="28"/>
        </w:rPr>
        <w:t>International Jou</w:t>
      </w:r>
      <w:r>
        <w:rPr>
          <w:color w:val="000000"/>
          <w:sz w:val="28"/>
          <w:szCs w:val="28"/>
        </w:rPr>
        <w:t xml:space="preserve">rnal of Safety and Security Engineering. 2022. Vol. 12(5). </w:t>
      </w:r>
      <w:r>
        <w:rPr>
          <w:color w:val="000000"/>
          <w:sz w:val="28"/>
          <w:szCs w:val="28"/>
          <w:lang w:val="en-US"/>
        </w:rPr>
        <w:t>Pp. 543-552.</w:t>
      </w:r>
    </w:p>
    <w:p w:rsidR="00705F07" w:rsidRDefault="00185A37">
      <w:pPr>
        <w:pStyle w:val="a4"/>
        <w:numPr>
          <w:ilvl w:val="0"/>
          <w:numId w:val="6"/>
        </w:numPr>
        <w:tabs>
          <w:tab w:val="left" w:pos="1134"/>
        </w:tabs>
        <w:spacing w:line="360" w:lineRule="auto"/>
        <w:ind w:left="0" w:firstLine="709"/>
        <w:jc w:val="both"/>
        <w:rPr>
          <w:color w:val="000000"/>
          <w:sz w:val="28"/>
          <w:szCs w:val="28"/>
          <w:lang w:val="en-US"/>
        </w:rPr>
      </w:pPr>
      <w:r>
        <w:rPr>
          <w:color w:val="000000"/>
          <w:sz w:val="28"/>
          <w:szCs w:val="28"/>
          <w:lang w:val="en-US"/>
        </w:rPr>
        <w:t>Verbivska, L., Zhuk, O., Ievsieieva, O., Kuchmiiova, T., Saienko, V. The role of e-commerce in stimulating innovative business development in the conditions of European integration. Fi</w:t>
      </w:r>
      <w:r>
        <w:rPr>
          <w:color w:val="000000"/>
          <w:sz w:val="28"/>
          <w:szCs w:val="28"/>
          <w:lang w:val="en-US"/>
        </w:rPr>
        <w:t xml:space="preserve">nancial and credit activity-problems of theory and practice, 2023. Vol. 3(50). </w:t>
      </w:r>
      <w:r>
        <w:rPr>
          <w:color w:val="000000"/>
          <w:sz w:val="28"/>
          <w:szCs w:val="28"/>
        </w:rPr>
        <w:t>Pp. 330-340.</w:t>
      </w:r>
    </w:p>
    <w:p w:rsidR="00705F07" w:rsidRDefault="00185A37">
      <w:pPr>
        <w:pStyle w:val="a4"/>
        <w:numPr>
          <w:ilvl w:val="0"/>
          <w:numId w:val="6"/>
        </w:numPr>
        <w:tabs>
          <w:tab w:val="left" w:pos="1134"/>
        </w:tabs>
        <w:spacing w:line="360" w:lineRule="auto"/>
        <w:ind w:left="0" w:firstLine="709"/>
        <w:jc w:val="both"/>
        <w:rPr>
          <w:color w:val="000000"/>
          <w:sz w:val="28"/>
          <w:szCs w:val="28"/>
          <w:lang w:val="en-US"/>
        </w:rPr>
      </w:pPr>
      <w:r>
        <w:rPr>
          <w:color w:val="000000"/>
          <w:sz w:val="28"/>
          <w:szCs w:val="28"/>
          <w:lang w:val="en-US"/>
        </w:rPr>
        <w:t xml:space="preserve">Niss.gov.ua. URL: </w:t>
      </w:r>
      <w:hyperlink r:id="rId52" w:history="1">
        <w:r>
          <w:rPr>
            <w:rStyle w:val="a3"/>
            <w:color w:val="000000"/>
            <w:sz w:val="28"/>
            <w:szCs w:val="28"/>
            <w:lang w:val="en-US"/>
          </w:rPr>
          <w:t>https://niss.go</w:t>
        </w:r>
        <w:r>
          <w:rPr>
            <w:rStyle w:val="a3"/>
            <w:color w:val="000000"/>
            <w:sz w:val="28"/>
            <w:szCs w:val="28"/>
            <w:lang w:val="en-US"/>
          </w:rPr>
          <w:t>v.ua/news/komentari-ekspertiv/dopomoha-mizhnarodnykh-finansovykh-instytutiv-ukrayini-berezen-2024-roku</w:t>
        </w:r>
      </w:hyperlink>
      <w:r>
        <w:rPr>
          <w:color w:val="000000"/>
          <w:sz w:val="28"/>
          <w:szCs w:val="28"/>
          <w:lang w:val="en-US"/>
        </w:rPr>
        <w:t xml:space="preserve">; </w:t>
      </w:r>
      <w:hyperlink r:id="rId53" w:history="1">
        <w:r>
          <w:rPr>
            <w:rStyle w:val="a3"/>
            <w:color w:val="000000"/>
            <w:sz w:val="28"/>
            <w:szCs w:val="28"/>
            <w:lang w:val="en-US"/>
          </w:rPr>
          <w:t>https://niss.gov</w:t>
        </w:r>
        <w:r>
          <w:rPr>
            <w:rStyle w:val="a3"/>
            <w:color w:val="000000"/>
            <w:sz w:val="28"/>
            <w:szCs w:val="28"/>
            <w:lang w:val="en-US"/>
          </w:rPr>
          <w:t>.ua/news/komentari-ekspertiv/ohlyad-instrumentiv-pidtrymky-finansovoyi-stiykosti-v-umovakh-voyennoho-17</w:t>
        </w:r>
      </w:hyperlink>
      <w:r>
        <w:rPr>
          <w:color w:val="000000"/>
          <w:sz w:val="28"/>
          <w:szCs w:val="28"/>
          <w:lang w:val="en-US"/>
        </w:rPr>
        <w:t xml:space="preserve"> (</w:t>
      </w:r>
      <w:r>
        <w:rPr>
          <w:color w:val="000000"/>
          <w:sz w:val="28"/>
          <w:szCs w:val="28"/>
        </w:rPr>
        <w:t>дата</w:t>
      </w:r>
      <w:r>
        <w:rPr>
          <w:color w:val="000000"/>
          <w:sz w:val="28"/>
          <w:szCs w:val="28"/>
          <w:lang w:val="en-US"/>
        </w:rPr>
        <w:t xml:space="preserve"> </w:t>
      </w:r>
      <w:r>
        <w:rPr>
          <w:color w:val="000000"/>
          <w:sz w:val="28"/>
          <w:szCs w:val="28"/>
        </w:rPr>
        <w:t>звернення</w:t>
      </w:r>
      <w:r>
        <w:rPr>
          <w:color w:val="000000"/>
          <w:sz w:val="28"/>
          <w:szCs w:val="28"/>
          <w:lang w:val="en-US"/>
        </w:rPr>
        <w:t>: 13.11.2025).</w:t>
      </w:r>
    </w:p>
    <w:p w:rsidR="00705F07" w:rsidRDefault="00705F07">
      <w:pPr>
        <w:pStyle w:val="a4"/>
        <w:tabs>
          <w:tab w:val="left" w:pos="1134"/>
        </w:tabs>
        <w:spacing w:line="360" w:lineRule="auto"/>
        <w:ind w:left="709"/>
        <w:jc w:val="both"/>
        <w:rPr>
          <w:color w:val="000000"/>
          <w:sz w:val="28"/>
          <w:szCs w:val="28"/>
          <w:lang w:val="en-US"/>
        </w:rPr>
      </w:pPr>
    </w:p>
    <w:p w:rsidR="00705F07" w:rsidRDefault="00705F07">
      <w:pPr>
        <w:tabs>
          <w:tab w:val="left" w:pos="1134"/>
        </w:tabs>
        <w:spacing w:line="360" w:lineRule="auto"/>
        <w:jc w:val="both"/>
        <w:rPr>
          <w:color w:val="000000"/>
          <w:sz w:val="28"/>
          <w:szCs w:val="28"/>
          <w:lang w:val="uk-UA"/>
        </w:rPr>
      </w:pPr>
    </w:p>
    <w:p w:rsidR="00705F07" w:rsidRDefault="00705F07">
      <w:pPr>
        <w:pStyle w:val="a4"/>
        <w:tabs>
          <w:tab w:val="left" w:pos="1134"/>
        </w:tabs>
        <w:spacing w:line="360" w:lineRule="auto"/>
        <w:ind w:left="709"/>
        <w:jc w:val="both"/>
        <w:rPr>
          <w:color w:val="000000"/>
          <w:sz w:val="28"/>
          <w:szCs w:val="28"/>
          <w:lang w:val="uk-UA"/>
        </w:rPr>
      </w:pPr>
    </w:p>
    <w:p w:rsidR="00705F07" w:rsidRDefault="00705F07">
      <w:pPr>
        <w:pStyle w:val="a4"/>
        <w:tabs>
          <w:tab w:val="left" w:pos="1134"/>
        </w:tabs>
        <w:spacing w:line="360" w:lineRule="auto"/>
        <w:ind w:left="709"/>
        <w:jc w:val="both"/>
        <w:rPr>
          <w:color w:val="000000"/>
          <w:sz w:val="28"/>
          <w:szCs w:val="28"/>
          <w:lang w:val="uk-UA"/>
        </w:rPr>
      </w:pPr>
    </w:p>
    <w:p w:rsidR="00705F07" w:rsidRDefault="00705F07">
      <w:pPr>
        <w:pStyle w:val="a4"/>
        <w:tabs>
          <w:tab w:val="left" w:pos="1134"/>
        </w:tabs>
        <w:spacing w:line="360" w:lineRule="auto"/>
        <w:ind w:left="709"/>
        <w:jc w:val="both"/>
        <w:rPr>
          <w:color w:val="000000"/>
          <w:sz w:val="28"/>
          <w:szCs w:val="28"/>
          <w:lang w:val="uk-UA"/>
        </w:rPr>
      </w:pPr>
    </w:p>
    <w:p w:rsidR="00705F07" w:rsidRDefault="00185A37">
      <w:pPr>
        <w:rPr>
          <w:color w:val="000000"/>
          <w:lang w:val="uk-UA"/>
        </w:rPr>
      </w:pPr>
      <w:r>
        <w:rPr>
          <w:color w:val="000000"/>
          <w:lang w:val="uk-UA"/>
        </w:rPr>
        <w:br w:type="page"/>
      </w:r>
    </w:p>
    <w:p w:rsidR="00705F07" w:rsidRDefault="00185A37">
      <w:pPr>
        <w:pStyle w:val="2"/>
        <w:spacing w:before="0" w:line="360" w:lineRule="auto"/>
        <w:jc w:val="center"/>
        <w:rPr>
          <w:rFonts w:ascii="Times New Roman" w:hAnsi="Times New Roman" w:cs="Times New Roman"/>
          <w:b w:val="0"/>
          <w:color w:val="000000"/>
          <w:sz w:val="28"/>
          <w:szCs w:val="28"/>
        </w:rPr>
      </w:pPr>
      <w:bookmarkStart w:id="21" w:name="_Toc213845780"/>
      <w:r>
        <w:rPr>
          <w:rFonts w:ascii="Times New Roman" w:hAnsi="Times New Roman" w:cs="Times New Roman"/>
          <w:b w:val="0"/>
          <w:color w:val="000000"/>
          <w:sz w:val="28"/>
          <w:szCs w:val="28"/>
        </w:rPr>
        <w:t>ДОДАТКИ</w:t>
      </w:r>
      <w:bookmarkEnd w:id="21"/>
    </w:p>
    <w:p w:rsidR="00705F07" w:rsidRDefault="00185A37">
      <w:pPr>
        <w:spacing w:line="360" w:lineRule="auto"/>
        <w:jc w:val="right"/>
        <w:rPr>
          <w:color w:val="000000"/>
          <w:sz w:val="28"/>
          <w:szCs w:val="28"/>
          <w:lang w:val="uk-UA"/>
        </w:rPr>
      </w:pPr>
      <w:r>
        <w:rPr>
          <w:color w:val="000000"/>
          <w:sz w:val="28"/>
          <w:szCs w:val="28"/>
        </w:rPr>
        <w:t>Додаток А</w:t>
      </w:r>
    </w:p>
    <w:p w:rsidR="00705F07" w:rsidRDefault="00185A37">
      <w:pPr>
        <w:spacing w:line="360" w:lineRule="auto"/>
        <w:jc w:val="right"/>
        <w:rPr>
          <w:color w:val="000000"/>
          <w:sz w:val="28"/>
          <w:szCs w:val="28"/>
          <w:lang w:val="uk-UA"/>
        </w:rPr>
      </w:pPr>
      <w:r>
        <w:rPr>
          <w:color w:val="000000"/>
          <w:sz w:val="28"/>
          <w:szCs w:val="28"/>
          <w:lang w:val="uk-UA"/>
        </w:rPr>
        <w:t>Таблиця А.1</w:t>
      </w:r>
    </w:p>
    <w:p w:rsidR="00705F07" w:rsidRDefault="00185A37">
      <w:pPr>
        <w:spacing w:line="360" w:lineRule="auto"/>
        <w:jc w:val="center"/>
        <w:rPr>
          <w:color w:val="000000"/>
          <w:sz w:val="28"/>
          <w:szCs w:val="28"/>
          <w:lang w:val="uk-UA"/>
        </w:rPr>
      </w:pPr>
      <w:r>
        <w:rPr>
          <w:color w:val="000000"/>
          <w:sz w:val="28"/>
          <w:szCs w:val="28"/>
          <w:lang w:val="uk-UA"/>
        </w:rPr>
        <w:t>Показники валютного ринку України за 2022 рік</w:t>
      </w:r>
    </w:p>
    <w:tbl>
      <w:tblPr>
        <w:tblW w:w="9692" w:type="dxa"/>
        <w:jc w:val="center"/>
        <w:tblLook w:val="04A0" w:firstRow="1" w:lastRow="0" w:firstColumn="1" w:lastColumn="0" w:noHBand="0" w:noVBand="1"/>
      </w:tblPr>
      <w:tblGrid>
        <w:gridCol w:w="1159"/>
        <w:gridCol w:w="674"/>
        <w:gridCol w:w="674"/>
        <w:gridCol w:w="787"/>
        <w:gridCol w:w="719"/>
        <w:gridCol w:w="608"/>
        <w:gridCol w:w="615"/>
        <w:gridCol w:w="699"/>
        <w:gridCol w:w="613"/>
        <w:gridCol w:w="793"/>
        <w:gridCol w:w="787"/>
        <w:gridCol w:w="826"/>
        <w:gridCol w:w="742"/>
      </w:tblGrid>
      <w:tr w:rsidR="00705F07">
        <w:trPr>
          <w:trHeight w:val="810"/>
          <w:jc w:val="center"/>
        </w:trPr>
        <w:tc>
          <w:tcPr>
            <w:tcW w:w="1085" w:type="dxa"/>
            <w:vMerge w:val="restart"/>
            <w:tcBorders>
              <w:top w:val="single" w:sz="4" w:space="0" w:color="auto"/>
              <w:left w:val="single" w:sz="4" w:space="0" w:color="auto"/>
              <w:bottom w:val="single" w:sz="4" w:space="0" w:color="000000"/>
              <w:right w:val="nil"/>
            </w:tcBorders>
            <w:vAlign w:val="center"/>
            <w:hideMark/>
          </w:tcPr>
          <w:p w:rsidR="00705F07" w:rsidRDefault="00185A37">
            <w:pPr>
              <w:jc w:val="center"/>
              <w:rPr>
                <w:bCs/>
                <w:color w:val="000000"/>
                <w:sz w:val="10"/>
                <w:szCs w:val="10"/>
              </w:rPr>
            </w:pPr>
            <w:r>
              <w:rPr>
                <w:bCs/>
                <w:color w:val="000000"/>
                <w:sz w:val="10"/>
                <w:szCs w:val="10"/>
              </w:rPr>
              <w:t>Показники валютного ринку України за</w:t>
            </w:r>
            <w:r>
              <w:rPr>
                <w:bCs/>
                <w:color w:val="000000"/>
                <w:sz w:val="10"/>
                <w:szCs w:val="10"/>
              </w:rPr>
              <w:t xml:space="preserve"> 2022 рік</w:t>
            </w:r>
          </w:p>
        </w:tc>
        <w:tc>
          <w:tcPr>
            <w:tcW w:w="683" w:type="dxa"/>
            <w:vMerge w:val="restart"/>
            <w:tcBorders>
              <w:top w:val="single" w:sz="4" w:space="0" w:color="auto"/>
              <w:left w:val="single" w:sz="4" w:space="0" w:color="auto"/>
              <w:bottom w:val="single" w:sz="4" w:space="0" w:color="000000"/>
              <w:right w:val="single" w:sz="4" w:space="0" w:color="auto"/>
            </w:tcBorders>
            <w:vAlign w:val="center"/>
            <w:hideMark/>
          </w:tcPr>
          <w:p w:rsidR="00705F07" w:rsidRDefault="00185A37">
            <w:pPr>
              <w:jc w:val="center"/>
              <w:rPr>
                <w:bCs/>
                <w:color w:val="000000"/>
                <w:sz w:val="10"/>
                <w:szCs w:val="10"/>
              </w:rPr>
            </w:pPr>
            <w:r>
              <w:rPr>
                <w:bCs/>
                <w:color w:val="000000"/>
                <w:sz w:val="10"/>
                <w:szCs w:val="10"/>
              </w:rPr>
              <w:t>Січень</w:t>
            </w:r>
          </w:p>
        </w:tc>
        <w:tc>
          <w:tcPr>
            <w:tcW w:w="683" w:type="dxa"/>
            <w:vMerge w:val="restart"/>
            <w:tcBorders>
              <w:top w:val="single" w:sz="4" w:space="0" w:color="auto"/>
              <w:left w:val="single" w:sz="4" w:space="0" w:color="auto"/>
              <w:bottom w:val="single" w:sz="4" w:space="0" w:color="000000"/>
              <w:right w:val="single" w:sz="4" w:space="0" w:color="auto"/>
            </w:tcBorders>
            <w:vAlign w:val="center"/>
            <w:hideMark/>
          </w:tcPr>
          <w:p w:rsidR="00705F07" w:rsidRDefault="00185A37">
            <w:pPr>
              <w:jc w:val="center"/>
              <w:rPr>
                <w:bCs/>
                <w:color w:val="000000"/>
                <w:sz w:val="10"/>
                <w:szCs w:val="10"/>
              </w:rPr>
            </w:pPr>
            <w:r>
              <w:rPr>
                <w:bCs/>
                <w:color w:val="000000"/>
                <w:sz w:val="10"/>
                <w:szCs w:val="10"/>
              </w:rPr>
              <w:t>Лютий</w:t>
            </w:r>
          </w:p>
        </w:tc>
        <w:tc>
          <w:tcPr>
            <w:tcW w:w="799" w:type="dxa"/>
            <w:vMerge w:val="restart"/>
            <w:tcBorders>
              <w:top w:val="single" w:sz="4" w:space="0" w:color="auto"/>
              <w:left w:val="single" w:sz="4" w:space="0" w:color="auto"/>
              <w:bottom w:val="single" w:sz="4" w:space="0" w:color="000000"/>
              <w:right w:val="single" w:sz="4" w:space="0" w:color="auto"/>
            </w:tcBorders>
            <w:vAlign w:val="center"/>
            <w:hideMark/>
          </w:tcPr>
          <w:p w:rsidR="00705F07" w:rsidRDefault="00185A37">
            <w:pPr>
              <w:jc w:val="center"/>
              <w:rPr>
                <w:bCs/>
                <w:color w:val="000000"/>
                <w:sz w:val="10"/>
                <w:szCs w:val="10"/>
              </w:rPr>
            </w:pPr>
            <w:r>
              <w:rPr>
                <w:bCs/>
                <w:color w:val="000000"/>
                <w:sz w:val="10"/>
                <w:szCs w:val="10"/>
              </w:rPr>
              <w:t>Березень</w:t>
            </w:r>
          </w:p>
        </w:tc>
        <w:tc>
          <w:tcPr>
            <w:tcW w:w="732" w:type="dxa"/>
            <w:vMerge w:val="restart"/>
            <w:tcBorders>
              <w:top w:val="single" w:sz="4" w:space="0" w:color="auto"/>
              <w:left w:val="single" w:sz="4" w:space="0" w:color="auto"/>
              <w:bottom w:val="single" w:sz="4" w:space="0" w:color="000000"/>
              <w:right w:val="single" w:sz="4" w:space="0" w:color="auto"/>
            </w:tcBorders>
            <w:vAlign w:val="center"/>
            <w:hideMark/>
          </w:tcPr>
          <w:p w:rsidR="00705F07" w:rsidRDefault="00185A37">
            <w:pPr>
              <w:jc w:val="center"/>
              <w:rPr>
                <w:bCs/>
                <w:color w:val="000000"/>
                <w:sz w:val="10"/>
                <w:szCs w:val="10"/>
              </w:rPr>
            </w:pPr>
            <w:r>
              <w:rPr>
                <w:bCs/>
                <w:color w:val="000000"/>
                <w:sz w:val="10"/>
                <w:szCs w:val="10"/>
              </w:rPr>
              <w:t>Квітень</w:t>
            </w:r>
          </w:p>
        </w:tc>
        <w:tc>
          <w:tcPr>
            <w:tcW w:w="598" w:type="dxa"/>
            <w:vMerge w:val="restart"/>
            <w:tcBorders>
              <w:top w:val="single" w:sz="4" w:space="0" w:color="auto"/>
              <w:left w:val="single" w:sz="4" w:space="0" w:color="auto"/>
              <w:bottom w:val="single" w:sz="4" w:space="0" w:color="000000"/>
              <w:right w:val="single" w:sz="4" w:space="0" w:color="auto"/>
            </w:tcBorders>
            <w:vAlign w:val="center"/>
            <w:hideMark/>
          </w:tcPr>
          <w:p w:rsidR="00705F07" w:rsidRDefault="00185A37">
            <w:pPr>
              <w:jc w:val="center"/>
              <w:rPr>
                <w:bCs/>
                <w:color w:val="000000"/>
                <w:sz w:val="10"/>
                <w:szCs w:val="10"/>
              </w:rPr>
            </w:pPr>
            <w:r>
              <w:rPr>
                <w:bCs/>
                <w:color w:val="000000"/>
                <w:sz w:val="10"/>
                <w:szCs w:val="10"/>
              </w:rPr>
              <w:t>Травень</w:t>
            </w:r>
          </w:p>
        </w:tc>
        <w:tc>
          <w:tcPr>
            <w:tcW w:w="599" w:type="dxa"/>
            <w:vMerge w:val="restart"/>
            <w:tcBorders>
              <w:top w:val="single" w:sz="4" w:space="0" w:color="auto"/>
              <w:left w:val="single" w:sz="4" w:space="0" w:color="auto"/>
              <w:bottom w:val="single" w:sz="4" w:space="0" w:color="000000"/>
              <w:right w:val="single" w:sz="4" w:space="0" w:color="auto"/>
            </w:tcBorders>
            <w:vAlign w:val="center"/>
            <w:hideMark/>
          </w:tcPr>
          <w:p w:rsidR="00705F07" w:rsidRDefault="00185A37">
            <w:pPr>
              <w:jc w:val="center"/>
              <w:rPr>
                <w:bCs/>
                <w:color w:val="000000"/>
                <w:sz w:val="10"/>
                <w:szCs w:val="10"/>
              </w:rPr>
            </w:pPr>
            <w:r>
              <w:rPr>
                <w:bCs/>
                <w:color w:val="000000"/>
                <w:sz w:val="10"/>
                <w:szCs w:val="10"/>
              </w:rPr>
              <w:t>Червень</w:t>
            </w:r>
          </w:p>
        </w:tc>
        <w:tc>
          <w:tcPr>
            <w:tcW w:w="711" w:type="dxa"/>
            <w:vMerge w:val="restart"/>
            <w:tcBorders>
              <w:top w:val="single" w:sz="4" w:space="0" w:color="auto"/>
              <w:left w:val="single" w:sz="4" w:space="0" w:color="auto"/>
              <w:bottom w:val="single" w:sz="4" w:space="0" w:color="000000"/>
              <w:right w:val="single" w:sz="4" w:space="0" w:color="auto"/>
            </w:tcBorders>
            <w:vAlign w:val="center"/>
            <w:hideMark/>
          </w:tcPr>
          <w:p w:rsidR="00705F07" w:rsidRDefault="00185A37">
            <w:pPr>
              <w:jc w:val="center"/>
              <w:rPr>
                <w:bCs/>
                <w:color w:val="000000"/>
                <w:sz w:val="10"/>
                <w:szCs w:val="10"/>
              </w:rPr>
            </w:pPr>
            <w:r>
              <w:rPr>
                <w:bCs/>
                <w:color w:val="000000"/>
                <w:sz w:val="10"/>
                <w:szCs w:val="10"/>
              </w:rPr>
              <w:t>Липень</w:t>
            </w:r>
          </w:p>
        </w:tc>
        <w:tc>
          <w:tcPr>
            <w:tcW w:w="601" w:type="dxa"/>
            <w:vMerge w:val="restart"/>
            <w:tcBorders>
              <w:top w:val="single" w:sz="4" w:space="0" w:color="auto"/>
              <w:left w:val="single" w:sz="4" w:space="0" w:color="auto"/>
              <w:bottom w:val="single" w:sz="4" w:space="0" w:color="000000"/>
              <w:right w:val="single" w:sz="4" w:space="0" w:color="auto"/>
            </w:tcBorders>
            <w:vAlign w:val="center"/>
            <w:hideMark/>
          </w:tcPr>
          <w:p w:rsidR="00705F07" w:rsidRDefault="00185A37">
            <w:pPr>
              <w:jc w:val="center"/>
              <w:rPr>
                <w:bCs/>
                <w:color w:val="000000"/>
                <w:sz w:val="10"/>
                <w:szCs w:val="10"/>
              </w:rPr>
            </w:pPr>
            <w:r>
              <w:rPr>
                <w:bCs/>
                <w:color w:val="000000"/>
                <w:sz w:val="10"/>
                <w:szCs w:val="10"/>
              </w:rPr>
              <w:t>Серпень</w:t>
            </w:r>
          </w:p>
        </w:tc>
        <w:tc>
          <w:tcPr>
            <w:tcW w:w="805" w:type="dxa"/>
            <w:vMerge w:val="restart"/>
            <w:tcBorders>
              <w:top w:val="single" w:sz="4" w:space="0" w:color="auto"/>
              <w:left w:val="single" w:sz="4" w:space="0" w:color="auto"/>
              <w:bottom w:val="single" w:sz="4" w:space="0" w:color="000000"/>
              <w:right w:val="single" w:sz="4" w:space="0" w:color="auto"/>
            </w:tcBorders>
            <w:vAlign w:val="center"/>
            <w:hideMark/>
          </w:tcPr>
          <w:p w:rsidR="00705F07" w:rsidRDefault="00185A37">
            <w:pPr>
              <w:jc w:val="center"/>
              <w:rPr>
                <w:bCs/>
                <w:color w:val="000000"/>
                <w:sz w:val="10"/>
                <w:szCs w:val="10"/>
              </w:rPr>
            </w:pPr>
            <w:r>
              <w:rPr>
                <w:bCs/>
                <w:color w:val="000000"/>
                <w:sz w:val="10"/>
                <w:szCs w:val="10"/>
              </w:rPr>
              <w:t>Вересень</w:t>
            </w:r>
          </w:p>
        </w:tc>
        <w:tc>
          <w:tcPr>
            <w:tcW w:w="801" w:type="dxa"/>
            <w:vMerge w:val="restart"/>
            <w:tcBorders>
              <w:top w:val="single" w:sz="4" w:space="0" w:color="auto"/>
              <w:left w:val="single" w:sz="4" w:space="0" w:color="auto"/>
              <w:bottom w:val="single" w:sz="4" w:space="0" w:color="000000"/>
              <w:right w:val="single" w:sz="4" w:space="0" w:color="auto"/>
            </w:tcBorders>
            <w:vAlign w:val="center"/>
            <w:hideMark/>
          </w:tcPr>
          <w:p w:rsidR="00705F07" w:rsidRDefault="00185A37">
            <w:pPr>
              <w:jc w:val="center"/>
              <w:rPr>
                <w:bCs/>
                <w:color w:val="000000"/>
                <w:sz w:val="10"/>
                <w:szCs w:val="10"/>
              </w:rPr>
            </w:pPr>
            <w:r>
              <w:rPr>
                <w:bCs/>
                <w:color w:val="000000"/>
                <w:sz w:val="10"/>
                <w:szCs w:val="10"/>
              </w:rPr>
              <w:t>Жовтень</w:t>
            </w:r>
          </w:p>
        </w:tc>
        <w:tc>
          <w:tcPr>
            <w:tcW w:w="840" w:type="dxa"/>
            <w:vMerge w:val="restart"/>
            <w:tcBorders>
              <w:top w:val="single" w:sz="4" w:space="0" w:color="auto"/>
              <w:left w:val="single" w:sz="4" w:space="0" w:color="auto"/>
              <w:bottom w:val="single" w:sz="4" w:space="0" w:color="000000"/>
              <w:right w:val="single" w:sz="4" w:space="0" w:color="auto"/>
            </w:tcBorders>
            <w:vAlign w:val="center"/>
            <w:hideMark/>
          </w:tcPr>
          <w:p w:rsidR="00705F07" w:rsidRDefault="00185A37">
            <w:pPr>
              <w:jc w:val="center"/>
              <w:rPr>
                <w:bCs/>
                <w:color w:val="000000"/>
                <w:sz w:val="10"/>
                <w:szCs w:val="10"/>
              </w:rPr>
            </w:pPr>
            <w:r>
              <w:rPr>
                <w:bCs/>
                <w:color w:val="000000"/>
                <w:sz w:val="10"/>
                <w:szCs w:val="10"/>
              </w:rPr>
              <w:t>Листопад</w:t>
            </w:r>
          </w:p>
        </w:tc>
        <w:tc>
          <w:tcPr>
            <w:tcW w:w="755" w:type="dxa"/>
            <w:vMerge w:val="restart"/>
            <w:tcBorders>
              <w:top w:val="single" w:sz="4" w:space="0" w:color="auto"/>
              <w:left w:val="single" w:sz="4" w:space="0" w:color="auto"/>
              <w:bottom w:val="single" w:sz="4" w:space="0" w:color="000000"/>
              <w:right w:val="single" w:sz="4" w:space="0" w:color="auto"/>
            </w:tcBorders>
            <w:vAlign w:val="center"/>
            <w:hideMark/>
          </w:tcPr>
          <w:p w:rsidR="00705F07" w:rsidRDefault="00185A37">
            <w:pPr>
              <w:jc w:val="center"/>
              <w:rPr>
                <w:bCs/>
                <w:color w:val="000000"/>
                <w:sz w:val="10"/>
                <w:szCs w:val="10"/>
              </w:rPr>
            </w:pPr>
            <w:r>
              <w:rPr>
                <w:bCs/>
                <w:color w:val="000000"/>
                <w:sz w:val="10"/>
                <w:szCs w:val="10"/>
              </w:rPr>
              <w:t>Грудень</w:t>
            </w:r>
          </w:p>
        </w:tc>
      </w:tr>
      <w:tr w:rsidR="00705F07">
        <w:trPr>
          <w:trHeight w:val="517"/>
          <w:jc w:val="center"/>
        </w:trPr>
        <w:tc>
          <w:tcPr>
            <w:tcW w:w="1085" w:type="dxa"/>
            <w:vMerge/>
            <w:tcBorders>
              <w:top w:val="single" w:sz="4" w:space="0" w:color="auto"/>
              <w:left w:val="single" w:sz="4" w:space="0" w:color="auto"/>
              <w:bottom w:val="single" w:sz="4" w:space="0" w:color="000000"/>
              <w:right w:val="nil"/>
            </w:tcBorders>
            <w:vAlign w:val="center"/>
            <w:hideMark/>
          </w:tcPr>
          <w:p w:rsidR="00705F07" w:rsidRDefault="00705F07">
            <w:pPr>
              <w:rPr>
                <w:bCs/>
                <w:color w:val="000000"/>
                <w:sz w:val="10"/>
                <w:szCs w:val="10"/>
              </w:rPr>
            </w:pPr>
          </w:p>
        </w:tc>
        <w:tc>
          <w:tcPr>
            <w:tcW w:w="683" w:type="dxa"/>
            <w:vMerge/>
            <w:tcBorders>
              <w:top w:val="single" w:sz="4" w:space="0" w:color="auto"/>
              <w:left w:val="single" w:sz="4" w:space="0" w:color="auto"/>
              <w:bottom w:val="single" w:sz="4" w:space="0" w:color="000000"/>
              <w:right w:val="single" w:sz="4" w:space="0" w:color="auto"/>
            </w:tcBorders>
            <w:vAlign w:val="center"/>
            <w:hideMark/>
          </w:tcPr>
          <w:p w:rsidR="00705F07" w:rsidRDefault="00705F07">
            <w:pPr>
              <w:rPr>
                <w:bCs/>
                <w:color w:val="000000"/>
                <w:sz w:val="10"/>
                <w:szCs w:val="10"/>
              </w:rPr>
            </w:pPr>
          </w:p>
        </w:tc>
        <w:tc>
          <w:tcPr>
            <w:tcW w:w="683" w:type="dxa"/>
            <w:vMerge/>
            <w:tcBorders>
              <w:top w:val="single" w:sz="4" w:space="0" w:color="auto"/>
              <w:left w:val="single" w:sz="4" w:space="0" w:color="auto"/>
              <w:bottom w:val="single" w:sz="4" w:space="0" w:color="000000"/>
              <w:right w:val="single" w:sz="4" w:space="0" w:color="auto"/>
            </w:tcBorders>
            <w:vAlign w:val="center"/>
            <w:hideMark/>
          </w:tcPr>
          <w:p w:rsidR="00705F07" w:rsidRDefault="00705F07">
            <w:pPr>
              <w:rPr>
                <w:bCs/>
                <w:color w:val="000000"/>
                <w:sz w:val="10"/>
                <w:szCs w:val="10"/>
              </w:rPr>
            </w:pPr>
          </w:p>
        </w:tc>
        <w:tc>
          <w:tcPr>
            <w:tcW w:w="799" w:type="dxa"/>
            <w:vMerge/>
            <w:tcBorders>
              <w:top w:val="single" w:sz="4" w:space="0" w:color="auto"/>
              <w:left w:val="single" w:sz="4" w:space="0" w:color="auto"/>
              <w:bottom w:val="single" w:sz="4" w:space="0" w:color="000000"/>
              <w:right w:val="single" w:sz="4" w:space="0" w:color="auto"/>
            </w:tcBorders>
            <w:vAlign w:val="center"/>
            <w:hideMark/>
          </w:tcPr>
          <w:p w:rsidR="00705F07" w:rsidRDefault="00705F07">
            <w:pPr>
              <w:rPr>
                <w:bCs/>
                <w:color w:val="000000"/>
                <w:sz w:val="10"/>
                <w:szCs w:val="10"/>
              </w:rPr>
            </w:pPr>
          </w:p>
        </w:tc>
        <w:tc>
          <w:tcPr>
            <w:tcW w:w="732" w:type="dxa"/>
            <w:vMerge/>
            <w:tcBorders>
              <w:top w:val="single" w:sz="4" w:space="0" w:color="auto"/>
              <w:left w:val="single" w:sz="4" w:space="0" w:color="auto"/>
              <w:bottom w:val="single" w:sz="4" w:space="0" w:color="000000"/>
              <w:right w:val="single" w:sz="4" w:space="0" w:color="auto"/>
            </w:tcBorders>
            <w:vAlign w:val="center"/>
            <w:hideMark/>
          </w:tcPr>
          <w:p w:rsidR="00705F07" w:rsidRDefault="00705F07">
            <w:pPr>
              <w:rPr>
                <w:bCs/>
                <w:color w:val="000000"/>
                <w:sz w:val="10"/>
                <w:szCs w:val="10"/>
              </w:rPr>
            </w:pPr>
          </w:p>
        </w:tc>
        <w:tc>
          <w:tcPr>
            <w:tcW w:w="598" w:type="dxa"/>
            <w:vMerge/>
            <w:tcBorders>
              <w:top w:val="single" w:sz="4" w:space="0" w:color="auto"/>
              <w:left w:val="single" w:sz="4" w:space="0" w:color="auto"/>
              <w:bottom w:val="single" w:sz="4" w:space="0" w:color="000000"/>
              <w:right w:val="single" w:sz="4" w:space="0" w:color="auto"/>
            </w:tcBorders>
            <w:vAlign w:val="center"/>
            <w:hideMark/>
          </w:tcPr>
          <w:p w:rsidR="00705F07" w:rsidRDefault="00705F07">
            <w:pPr>
              <w:rPr>
                <w:bCs/>
                <w:color w:val="000000"/>
                <w:sz w:val="10"/>
                <w:szCs w:val="10"/>
              </w:rPr>
            </w:pPr>
          </w:p>
        </w:tc>
        <w:tc>
          <w:tcPr>
            <w:tcW w:w="599" w:type="dxa"/>
            <w:vMerge/>
            <w:tcBorders>
              <w:top w:val="single" w:sz="4" w:space="0" w:color="auto"/>
              <w:left w:val="single" w:sz="4" w:space="0" w:color="auto"/>
              <w:bottom w:val="single" w:sz="4" w:space="0" w:color="000000"/>
              <w:right w:val="single" w:sz="4" w:space="0" w:color="auto"/>
            </w:tcBorders>
            <w:vAlign w:val="center"/>
            <w:hideMark/>
          </w:tcPr>
          <w:p w:rsidR="00705F07" w:rsidRDefault="00705F07">
            <w:pPr>
              <w:rPr>
                <w:bCs/>
                <w:color w:val="000000"/>
                <w:sz w:val="10"/>
                <w:szCs w:val="10"/>
              </w:rPr>
            </w:pPr>
          </w:p>
        </w:tc>
        <w:tc>
          <w:tcPr>
            <w:tcW w:w="711" w:type="dxa"/>
            <w:vMerge/>
            <w:tcBorders>
              <w:top w:val="single" w:sz="4" w:space="0" w:color="auto"/>
              <w:left w:val="single" w:sz="4" w:space="0" w:color="auto"/>
              <w:bottom w:val="single" w:sz="4" w:space="0" w:color="000000"/>
              <w:right w:val="single" w:sz="4" w:space="0" w:color="auto"/>
            </w:tcBorders>
            <w:vAlign w:val="center"/>
            <w:hideMark/>
          </w:tcPr>
          <w:p w:rsidR="00705F07" w:rsidRDefault="00705F07">
            <w:pPr>
              <w:rPr>
                <w:bCs/>
                <w:color w:val="000000"/>
                <w:sz w:val="10"/>
                <w:szCs w:val="10"/>
              </w:rPr>
            </w:pPr>
          </w:p>
        </w:tc>
        <w:tc>
          <w:tcPr>
            <w:tcW w:w="601" w:type="dxa"/>
            <w:vMerge/>
            <w:tcBorders>
              <w:top w:val="single" w:sz="4" w:space="0" w:color="auto"/>
              <w:left w:val="single" w:sz="4" w:space="0" w:color="auto"/>
              <w:bottom w:val="single" w:sz="4" w:space="0" w:color="000000"/>
              <w:right w:val="single" w:sz="4" w:space="0" w:color="auto"/>
            </w:tcBorders>
            <w:vAlign w:val="center"/>
            <w:hideMark/>
          </w:tcPr>
          <w:p w:rsidR="00705F07" w:rsidRDefault="00705F07">
            <w:pPr>
              <w:rPr>
                <w:bCs/>
                <w:color w:val="000000"/>
                <w:sz w:val="10"/>
                <w:szCs w:val="10"/>
              </w:rPr>
            </w:pPr>
          </w:p>
        </w:tc>
        <w:tc>
          <w:tcPr>
            <w:tcW w:w="805" w:type="dxa"/>
            <w:vMerge/>
            <w:tcBorders>
              <w:top w:val="single" w:sz="4" w:space="0" w:color="auto"/>
              <w:left w:val="single" w:sz="4" w:space="0" w:color="auto"/>
              <w:bottom w:val="single" w:sz="4" w:space="0" w:color="000000"/>
              <w:right w:val="single" w:sz="4" w:space="0" w:color="auto"/>
            </w:tcBorders>
            <w:vAlign w:val="center"/>
            <w:hideMark/>
          </w:tcPr>
          <w:p w:rsidR="00705F07" w:rsidRDefault="00705F07">
            <w:pPr>
              <w:rPr>
                <w:bCs/>
                <w:color w:val="000000"/>
                <w:sz w:val="10"/>
                <w:szCs w:val="10"/>
              </w:rPr>
            </w:pPr>
          </w:p>
        </w:tc>
        <w:tc>
          <w:tcPr>
            <w:tcW w:w="801" w:type="dxa"/>
            <w:vMerge/>
            <w:tcBorders>
              <w:top w:val="single" w:sz="4" w:space="0" w:color="auto"/>
              <w:left w:val="single" w:sz="4" w:space="0" w:color="auto"/>
              <w:bottom w:val="single" w:sz="4" w:space="0" w:color="000000"/>
              <w:right w:val="single" w:sz="4" w:space="0" w:color="auto"/>
            </w:tcBorders>
            <w:vAlign w:val="center"/>
            <w:hideMark/>
          </w:tcPr>
          <w:p w:rsidR="00705F07" w:rsidRDefault="00705F07">
            <w:pPr>
              <w:rPr>
                <w:bCs/>
                <w:color w:val="000000"/>
                <w:sz w:val="10"/>
                <w:szCs w:val="10"/>
              </w:rPr>
            </w:pPr>
          </w:p>
        </w:tc>
        <w:tc>
          <w:tcPr>
            <w:tcW w:w="840" w:type="dxa"/>
            <w:vMerge/>
            <w:tcBorders>
              <w:top w:val="single" w:sz="4" w:space="0" w:color="auto"/>
              <w:left w:val="single" w:sz="4" w:space="0" w:color="auto"/>
              <w:bottom w:val="single" w:sz="4" w:space="0" w:color="000000"/>
              <w:right w:val="single" w:sz="4" w:space="0" w:color="auto"/>
            </w:tcBorders>
            <w:vAlign w:val="center"/>
            <w:hideMark/>
          </w:tcPr>
          <w:p w:rsidR="00705F07" w:rsidRDefault="00705F07">
            <w:pPr>
              <w:rPr>
                <w:bCs/>
                <w:color w:val="000000"/>
                <w:sz w:val="10"/>
                <w:szCs w:val="10"/>
              </w:rPr>
            </w:pPr>
          </w:p>
        </w:tc>
        <w:tc>
          <w:tcPr>
            <w:tcW w:w="755" w:type="dxa"/>
            <w:vMerge/>
            <w:tcBorders>
              <w:top w:val="single" w:sz="4" w:space="0" w:color="auto"/>
              <w:left w:val="single" w:sz="4" w:space="0" w:color="auto"/>
              <w:bottom w:val="single" w:sz="4" w:space="0" w:color="000000"/>
              <w:right w:val="single" w:sz="4" w:space="0" w:color="auto"/>
            </w:tcBorders>
            <w:vAlign w:val="center"/>
            <w:hideMark/>
          </w:tcPr>
          <w:p w:rsidR="00705F07" w:rsidRDefault="00705F07">
            <w:pPr>
              <w:rPr>
                <w:bCs/>
                <w:color w:val="000000"/>
                <w:sz w:val="10"/>
                <w:szCs w:val="10"/>
              </w:rPr>
            </w:pPr>
          </w:p>
        </w:tc>
      </w:tr>
      <w:tr w:rsidR="00705F07">
        <w:trPr>
          <w:trHeight w:val="630"/>
          <w:jc w:val="center"/>
        </w:trPr>
        <w:tc>
          <w:tcPr>
            <w:tcW w:w="1085" w:type="dxa"/>
            <w:tcBorders>
              <w:top w:val="nil"/>
              <w:left w:val="single" w:sz="4" w:space="0" w:color="auto"/>
              <w:bottom w:val="nil"/>
              <w:right w:val="single" w:sz="4" w:space="0" w:color="auto"/>
            </w:tcBorders>
            <w:shd w:val="clear" w:color="000000" w:fill="D7E4BC"/>
            <w:vAlign w:val="center"/>
            <w:hideMark/>
          </w:tcPr>
          <w:p w:rsidR="00705F07" w:rsidRDefault="00185A37">
            <w:pPr>
              <w:jc w:val="center"/>
              <w:rPr>
                <w:bCs/>
                <w:color w:val="000000"/>
                <w:sz w:val="10"/>
                <w:szCs w:val="10"/>
              </w:rPr>
            </w:pPr>
            <w:r>
              <w:rPr>
                <w:bCs/>
                <w:color w:val="000000"/>
                <w:sz w:val="10"/>
                <w:szCs w:val="10"/>
              </w:rPr>
              <w:t>Офіційний курс гривні до іноземних валют на останній день місяця:</w:t>
            </w:r>
          </w:p>
        </w:tc>
        <w:tc>
          <w:tcPr>
            <w:tcW w:w="683"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683"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799"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732"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598"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599"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711"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601"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805"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801"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840"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755"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r>
      <w:tr w:rsidR="00705F07">
        <w:trPr>
          <w:trHeight w:val="450"/>
          <w:jc w:val="center"/>
        </w:trPr>
        <w:tc>
          <w:tcPr>
            <w:tcW w:w="1085" w:type="dxa"/>
            <w:tcBorders>
              <w:top w:val="single" w:sz="4" w:space="0" w:color="auto"/>
              <w:left w:val="single" w:sz="4" w:space="0" w:color="auto"/>
              <w:bottom w:val="single" w:sz="4" w:space="0" w:color="auto"/>
              <w:right w:val="nil"/>
            </w:tcBorders>
            <w:vAlign w:val="center"/>
            <w:hideMark/>
          </w:tcPr>
          <w:p w:rsidR="00705F07" w:rsidRDefault="00185A37">
            <w:pPr>
              <w:jc w:val="center"/>
              <w:rPr>
                <w:color w:val="000000"/>
                <w:sz w:val="10"/>
                <w:szCs w:val="10"/>
              </w:rPr>
            </w:pPr>
            <w:r>
              <w:rPr>
                <w:color w:val="000000"/>
                <w:sz w:val="10"/>
                <w:szCs w:val="10"/>
              </w:rPr>
              <w:t xml:space="preserve">                        - до долара США (за 1 од.)</w:t>
            </w:r>
          </w:p>
        </w:tc>
        <w:tc>
          <w:tcPr>
            <w:tcW w:w="683" w:type="dxa"/>
            <w:tcBorders>
              <w:top w:val="single" w:sz="4" w:space="0" w:color="auto"/>
              <w:left w:val="single" w:sz="4" w:space="0" w:color="auto"/>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28,7839</w:t>
            </w:r>
          </w:p>
        </w:tc>
        <w:tc>
          <w:tcPr>
            <w:tcW w:w="683"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29,2549</w:t>
            </w:r>
          </w:p>
        </w:tc>
        <w:tc>
          <w:tcPr>
            <w:tcW w:w="799"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29,2549</w:t>
            </w:r>
          </w:p>
        </w:tc>
        <w:tc>
          <w:tcPr>
            <w:tcW w:w="732"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29,2549</w:t>
            </w:r>
          </w:p>
        </w:tc>
        <w:tc>
          <w:tcPr>
            <w:tcW w:w="598"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29,2549</w:t>
            </w:r>
          </w:p>
        </w:tc>
        <w:tc>
          <w:tcPr>
            <w:tcW w:w="599"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29,2549</w:t>
            </w:r>
          </w:p>
        </w:tc>
        <w:tc>
          <w:tcPr>
            <w:tcW w:w="711"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36,5686</w:t>
            </w:r>
          </w:p>
        </w:tc>
        <w:tc>
          <w:tcPr>
            <w:tcW w:w="601"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36,5686</w:t>
            </w:r>
          </w:p>
        </w:tc>
        <w:tc>
          <w:tcPr>
            <w:tcW w:w="805"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36,5686</w:t>
            </w:r>
          </w:p>
        </w:tc>
        <w:tc>
          <w:tcPr>
            <w:tcW w:w="801"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36,5686</w:t>
            </w:r>
          </w:p>
        </w:tc>
        <w:tc>
          <w:tcPr>
            <w:tcW w:w="840"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36,5686</w:t>
            </w:r>
          </w:p>
        </w:tc>
        <w:tc>
          <w:tcPr>
            <w:tcW w:w="755"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36,5686</w:t>
            </w:r>
          </w:p>
        </w:tc>
      </w:tr>
      <w:tr w:rsidR="00705F07">
        <w:trPr>
          <w:trHeight w:val="450"/>
          <w:jc w:val="center"/>
        </w:trPr>
        <w:tc>
          <w:tcPr>
            <w:tcW w:w="1085" w:type="dxa"/>
            <w:tcBorders>
              <w:top w:val="nil"/>
              <w:left w:val="single" w:sz="4" w:space="0" w:color="auto"/>
              <w:bottom w:val="single" w:sz="4" w:space="0" w:color="auto"/>
              <w:right w:val="nil"/>
            </w:tcBorders>
            <w:vAlign w:val="center"/>
            <w:hideMark/>
          </w:tcPr>
          <w:p w:rsidR="00705F07" w:rsidRDefault="00185A37">
            <w:pPr>
              <w:jc w:val="center"/>
              <w:rPr>
                <w:color w:val="000000"/>
                <w:sz w:val="10"/>
                <w:szCs w:val="10"/>
              </w:rPr>
            </w:pPr>
            <w:r>
              <w:rPr>
                <w:color w:val="000000"/>
                <w:sz w:val="10"/>
                <w:szCs w:val="10"/>
              </w:rPr>
              <w:t xml:space="preserve">                        - до євро (за 1 од.)</w:t>
            </w:r>
          </w:p>
        </w:tc>
        <w:tc>
          <w:tcPr>
            <w:tcW w:w="683"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32,0293</w:t>
            </w:r>
          </w:p>
        </w:tc>
        <w:tc>
          <w:tcPr>
            <w:tcW w:w="683"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33,1707</w:t>
            </w:r>
          </w:p>
        </w:tc>
        <w:tc>
          <w:tcPr>
            <w:tcW w:w="799"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32,5856</w:t>
            </w:r>
          </w:p>
        </w:tc>
        <w:tc>
          <w:tcPr>
            <w:tcW w:w="732"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30,6869</w:t>
            </w:r>
          </w:p>
        </w:tc>
        <w:tc>
          <w:tcPr>
            <w:tcW w:w="598"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31,5031</w:t>
            </w:r>
          </w:p>
        </w:tc>
        <w:tc>
          <w:tcPr>
            <w:tcW w:w="599"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30,7776</w:t>
            </w:r>
          </w:p>
        </w:tc>
        <w:tc>
          <w:tcPr>
            <w:tcW w:w="711"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36,9965</w:t>
            </w:r>
          </w:p>
        </w:tc>
        <w:tc>
          <w:tcPr>
            <w:tcW w:w="601"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36,6564</w:t>
            </w:r>
          </w:p>
        </w:tc>
        <w:tc>
          <w:tcPr>
            <w:tcW w:w="805"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35,5611</w:t>
            </w:r>
          </w:p>
        </w:tc>
        <w:tc>
          <w:tcPr>
            <w:tcW w:w="801"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36,4095</w:t>
            </w:r>
          </w:p>
        </w:tc>
        <w:tc>
          <w:tcPr>
            <w:tcW w:w="840"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37,9344</w:t>
            </w:r>
          </w:p>
        </w:tc>
        <w:tc>
          <w:tcPr>
            <w:tcW w:w="755"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38,9510</w:t>
            </w:r>
          </w:p>
        </w:tc>
      </w:tr>
      <w:tr w:rsidR="00705F07">
        <w:trPr>
          <w:trHeight w:val="675"/>
          <w:jc w:val="center"/>
        </w:trPr>
        <w:tc>
          <w:tcPr>
            <w:tcW w:w="1085" w:type="dxa"/>
            <w:tcBorders>
              <w:top w:val="nil"/>
              <w:left w:val="single" w:sz="4" w:space="0" w:color="auto"/>
              <w:bottom w:val="single" w:sz="4" w:space="0" w:color="auto"/>
              <w:right w:val="nil"/>
            </w:tcBorders>
            <w:vAlign w:val="center"/>
            <w:hideMark/>
          </w:tcPr>
          <w:p w:rsidR="00705F07" w:rsidRDefault="00185A37">
            <w:pPr>
              <w:jc w:val="center"/>
              <w:rPr>
                <w:color w:val="000000"/>
                <w:sz w:val="10"/>
                <w:szCs w:val="10"/>
              </w:rPr>
            </w:pPr>
            <w:r>
              <w:rPr>
                <w:color w:val="000000"/>
                <w:sz w:val="10"/>
                <w:szCs w:val="10"/>
              </w:rPr>
              <w:t xml:space="preserve">                        - до російського рубля (за 10 од)</w:t>
            </w:r>
          </w:p>
        </w:tc>
        <w:tc>
          <w:tcPr>
            <w:tcW w:w="683"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3,7128</w:t>
            </w:r>
          </w:p>
        </w:tc>
        <w:tc>
          <w:tcPr>
            <w:tcW w:w="683"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3,6448</w:t>
            </w:r>
          </w:p>
        </w:tc>
        <w:tc>
          <w:tcPr>
            <w:tcW w:w="799"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3,5149</w:t>
            </w:r>
          </w:p>
        </w:tc>
        <w:tc>
          <w:tcPr>
            <w:tcW w:w="732"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4,0756</w:t>
            </w:r>
          </w:p>
        </w:tc>
        <w:tc>
          <w:tcPr>
            <w:tcW w:w="598"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4,6209</w:t>
            </w:r>
          </w:p>
        </w:tc>
        <w:tc>
          <w:tcPr>
            <w:tcW w:w="599"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5,5594</w:t>
            </w:r>
          </w:p>
        </w:tc>
        <w:tc>
          <w:tcPr>
            <w:tcW w:w="711"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6,0292</w:t>
            </w:r>
          </w:p>
        </w:tc>
        <w:tc>
          <w:tcPr>
            <w:tcW w:w="601"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5,9973</w:t>
            </w:r>
          </w:p>
        </w:tc>
        <w:tc>
          <w:tcPr>
            <w:tcW w:w="805"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6,3087</w:t>
            </w:r>
          </w:p>
        </w:tc>
        <w:tc>
          <w:tcPr>
            <w:tcW w:w="801"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5,9296</w:t>
            </w:r>
          </w:p>
        </w:tc>
        <w:tc>
          <w:tcPr>
            <w:tcW w:w="840"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6,0094</w:t>
            </w:r>
          </w:p>
        </w:tc>
        <w:tc>
          <w:tcPr>
            <w:tcW w:w="755"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5,0708</w:t>
            </w:r>
          </w:p>
        </w:tc>
      </w:tr>
      <w:tr w:rsidR="00705F07">
        <w:trPr>
          <w:trHeight w:val="1050"/>
          <w:jc w:val="center"/>
        </w:trPr>
        <w:tc>
          <w:tcPr>
            <w:tcW w:w="1085" w:type="dxa"/>
            <w:tcBorders>
              <w:top w:val="nil"/>
              <w:left w:val="single" w:sz="4" w:space="0" w:color="auto"/>
              <w:bottom w:val="nil"/>
              <w:right w:val="single" w:sz="4" w:space="0" w:color="auto"/>
            </w:tcBorders>
            <w:shd w:val="clear" w:color="000000" w:fill="D7E4BC"/>
            <w:vAlign w:val="center"/>
            <w:hideMark/>
          </w:tcPr>
          <w:p w:rsidR="00705F07" w:rsidRDefault="00185A37">
            <w:pPr>
              <w:jc w:val="center"/>
              <w:rPr>
                <w:bCs/>
                <w:color w:val="000000"/>
                <w:sz w:val="10"/>
                <w:szCs w:val="10"/>
              </w:rPr>
            </w:pPr>
            <w:r>
              <w:rPr>
                <w:bCs/>
                <w:color w:val="000000"/>
                <w:sz w:val="10"/>
                <w:szCs w:val="10"/>
              </w:rPr>
              <w:t>Середньозважений курс гривні за операціями з готівковою іноземною валютою:</w:t>
            </w:r>
          </w:p>
        </w:tc>
        <w:tc>
          <w:tcPr>
            <w:tcW w:w="683"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683"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799"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732"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598"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599"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711"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601"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805"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801"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840"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755"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r>
      <w:tr w:rsidR="00705F07">
        <w:trPr>
          <w:trHeight w:val="225"/>
          <w:jc w:val="center"/>
        </w:trPr>
        <w:tc>
          <w:tcPr>
            <w:tcW w:w="1085" w:type="dxa"/>
            <w:tcBorders>
              <w:top w:val="single" w:sz="4" w:space="0" w:color="auto"/>
              <w:left w:val="single" w:sz="4" w:space="0" w:color="auto"/>
              <w:bottom w:val="single" w:sz="4" w:space="0" w:color="auto"/>
              <w:right w:val="nil"/>
            </w:tcBorders>
            <w:vAlign w:val="center"/>
            <w:hideMark/>
          </w:tcPr>
          <w:p w:rsidR="00705F07" w:rsidRDefault="00185A37">
            <w:pPr>
              <w:jc w:val="center"/>
              <w:rPr>
                <w:color w:val="000000"/>
                <w:sz w:val="10"/>
                <w:szCs w:val="10"/>
              </w:rPr>
            </w:pPr>
            <w:r>
              <w:rPr>
                <w:color w:val="000000"/>
                <w:sz w:val="10"/>
                <w:szCs w:val="10"/>
              </w:rPr>
              <w:t xml:space="preserve">          продажу:</w:t>
            </w:r>
          </w:p>
        </w:tc>
        <w:tc>
          <w:tcPr>
            <w:tcW w:w="683" w:type="dxa"/>
            <w:tcBorders>
              <w:top w:val="single" w:sz="4" w:space="0" w:color="auto"/>
              <w:left w:val="single" w:sz="4" w:space="0" w:color="auto"/>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 </w:t>
            </w:r>
          </w:p>
        </w:tc>
        <w:tc>
          <w:tcPr>
            <w:tcW w:w="683"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 </w:t>
            </w:r>
          </w:p>
        </w:tc>
        <w:tc>
          <w:tcPr>
            <w:tcW w:w="799"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 </w:t>
            </w:r>
          </w:p>
        </w:tc>
        <w:tc>
          <w:tcPr>
            <w:tcW w:w="732"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 </w:t>
            </w:r>
          </w:p>
        </w:tc>
        <w:tc>
          <w:tcPr>
            <w:tcW w:w="598"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 </w:t>
            </w:r>
          </w:p>
        </w:tc>
        <w:tc>
          <w:tcPr>
            <w:tcW w:w="599"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 </w:t>
            </w:r>
          </w:p>
        </w:tc>
        <w:tc>
          <w:tcPr>
            <w:tcW w:w="711"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 </w:t>
            </w:r>
          </w:p>
        </w:tc>
        <w:tc>
          <w:tcPr>
            <w:tcW w:w="601"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 </w:t>
            </w:r>
          </w:p>
        </w:tc>
        <w:tc>
          <w:tcPr>
            <w:tcW w:w="805"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 </w:t>
            </w:r>
          </w:p>
        </w:tc>
        <w:tc>
          <w:tcPr>
            <w:tcW w:w="801"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 </w:t>
            </w:r>
          </w:p>
        </w:tc>
        <w:tc>
          <w:tcPr>
            <w:tcW w:w="840"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 </w:t>
            </w:r>
          </w:p>
        </w:tc>
        <w:tc>
          <w:tcPr>
            <w:tcW w:w="755"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 </w:t>
            </w:r>
          </w:p>
        </w:tc>
      </w:tr>
      <w:tr w:rsidR="00705F07">
        <w:trPr>
          <w:trHeight w:val="450"/>
          <w:jc w:val="center"/>
        </w:trPr>
        <w:tc>
          <w:tcPr>
            <w:tcW w:w="1085" w:type="dxa"/>
            <w:tcBorders>
              <w:top w:val="nil"/>
              <w:left w:val="single" w:sz="4" w:space="0" w:color="auto"/>
              <w:bottom w:val="single" w:sz="4" w:space="0" w:color="auto"/>
              <w:right w:val="nil"/>
            </w:tcBorders>
            <w:vAlign w:val="center"/>
            <w:hideMark/>
          </w:tcPr>
          <w:p w:rsidR="00705F07" w:rsidRDefault="00185A37">
            <w:pPr>
              <w:jc w:val="center"/>
              <w:rPr>
                <w:color w:val="000000"/>
                <w:sz w:val="10"/>
                <w:szCs w:val="10"/>
              </w:rPr>
            </w:pPr>
            <w:r>
              <w:rPr>
                <w:color w:val="000000"/>
                <w:sz w:val="10"/>
                <w:szCs w:val="10"/>
              </w:rPr>
              <w:t xml:space="preserve">                        - долар США</w:t>
            </w:r>
          </w:p>
        </w:tc>
        <w:tc>
          <w:tcPr>
            <w:tcW w:w="683"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28,1391</w:t>
            </w:r>
          </w:p>
        </w:tc>
        <w:tc>
          <w:tcPr>
            <w:tcW w:w="683"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28,4890</w:t>
            </w:r>
          </w:p>
        </w:tc>
        <w:tc>
          <w:tcPr>
            <w:tcW w:w="799"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30,1622</w:t>
            </w:r>
          </w:p>
        </w:tc>
        <w:tc>
          <w:tcPr>
            <w:tcW w:w="732"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31,1292</w:t>
            </w:r>
          </w:p>
        </w:tc>
        <w:tc>
          <w:tcPr>
            <w:tcW w:w="598"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34,9203</w:t>
            </w:r>
          </w:p>
        </w:tc>
        <w:tc>
          <w:tcPr>
            <w:tcW w:w="599"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35,4844</w:t>
            </w:r>
          </w:p>
        </w:tc>
        <w:tc>
          <w:tcPr>
            <w:tcW w:w="711"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37,7585</w:t>
            </w:r>
          </w:p>
        </w:tc>
        <w:tc>
          <w:tcPr>
            <w:tcW w:w="601"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40,1042</w:t>
            </w:r>
          </w:p>
        </w:tc>
        <w:tc>
          <w:tcPr>
            <w:tcW w:w="805"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41,6404</w:t>
            </w:r>
          </w:p>
        </w:tc>
        <w:tc>
          <w:tcPr>
            <w:tcW w:w="801"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40,5848</w:t>
            </w:r>
          </w:p>
        </w:tc>
        <w:tc>
          <w:tcPr>
            <w:tcW w:w="840"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40,3397</w:t>
            </w:r>
          </w:p>
        </w:tc>
        <w:tc>
          <w:tcPr>
            <w:tcW w:w="755"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40,1910</w:t>
            </w:r>
          </w:p>
        </w:tc>
      </w:tr>
      <w:tr w:rsidR="00705F07">
        <w:trPr>
          <w:trHeight w:val="225"/>
          <w:jc w:val="center"/>
        </w:trPr>
        <w:tc>
          <w:tcPr>
            <w:tcW w:w="1085" w:type="dxa"/>
            <w:tcBorders>
              <w:top w:val="nil"/>
              <w:left w:val="single" w:sz="4" w:space="0" w:color="auto"/>
              <w:bottom w:val="single" w:sz="4" w:space="0" w:color="auto"/>
              <w:right w:val="nil"/>
            </w:tcBorders>
            <w:vAlign w:val="center"/>
            <w:hideMark/>
          </w:tcPr>
          <w:p w:rsidR="00705F07" w:rsidRDefault="00185A37">
            <w:pPr>
              <w:jc w:val="center"/>
              <w:rPr>
                <w:color w:val="000000"/>
                <w:sz w:val="10"/>
                <w:szCs w:val="10"/>
              </w:rPr>
            </w:pPr>
            <w:r>
              <w:rPr>
                <w:color w:val="000000"/>
                <w:sz w:val="10"/>
                <w:szCs w:val="10"/>
              </w:rPr>
              <w:t xml:space="preserve">                        - євро</w:t>
            </w:r>
          </w:p>
        </w:tc>
        <w:tc>
          <w:tcPr>
            <w:tcW w:w="683"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31,7564</w:t>
            </w:r>
          </w:p>
        </w:tc>
        <w:tc>
          <w:tcPr>
            <w:tcW w:w="683"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32,3614</w:t>
            </w:r>
          </w:p>
        </w:tc>
        <w:tc>
          <w:tcPr>
            <w:tcW w:w="799"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33,9124</w:t>
            </w:r>
          </w:p>
        </w:tc>
        <w:tc>
          <w:tcPr>
            <w:tcW w:w="732"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33,5605</w:t>
            </w:r>
          </w:p>
        </w:tc>
        <w:tc>
          <w:tcPr>
            <w:tcW w:w="598"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36,3414</w:t>
            </w:r>
          </w:p>
        </w:tc>
        <w:tc>
          <w:tcPr>
            <w:tcW w:w="599"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37,4668</w:t>
            </w:r>
          </w:p>
        </w:tc>
        <w:tc>
          <w:tcPr>
            <w:tcW w:w="711"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38,2623</w:t>
            </w:r>
          </w:p>
        </w:tc>
        <w:tc>
          <w:tcPr>
            <w:tcW w:w="601"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40,4681</w:t>
            </w:r>
          </w:p>
        </w:tc>
        <w:tc>
          <w:tcPr>
            <w:tcW w:w="805"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40,6155</w:t>
            </w:r>
          </w:p>
        </w:tc>
        <w:tc>
          <w:tcPr>
            <w:tcW w:w="801"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39,1113</w:t>
            </w:r>
          </w:p>
        </w:tc>
        <w:tc>
          <w:tcPr>
            <w:tcW w:w="840"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40,1564</w:t>
            </w:r>
          </w:p>
        </w:tc>
        <w:tc>
          <w:tcPr>
            <w:tcW w:w="755"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41,8091</w:t>
            </w:r>
          </w:p>
        </w:tc>
      </w:tr>
      <w:tr w:rsidR="00705F07">
        <w:trPr>
          <w:trHeight w:val="225"/>
          <w:jc w:val="center"/>
        </w:trPr>
        <w:tc>
          <w:tcPr>
            <w:tcW w:w="1085" w:type="dxa"/>
            <w:tcBorders>
              <w:top w:val="nil"/>
              <w:left w:val="single" w:sz="4" w:space="0" w:color="auto"/>
              <w:bottom w:val="single" w:sz="4" w:space="0" w:color="auto"/>
              <w:right w:val="nil"/>
            </w:tcBorders>
            <w:vAlign w:val="center"/>
            <w:hideMark/>
          </w:tcPr>
          <w:p w:rsidR="00705F07" w:rsidRDefault="00185A37">
            <w:pPr>
              <w:jc w:val="center"/>
              <w:rPr>
                <w:color w:val="000000"/>
                <w:sz w:val="10"/>
                <w:szCs w:val="10"/>
              </w:rPr>
            </w:pPr>
            <w:r>
              <w:rPr>
                <w:color w:val="000000"/>
                <w:sz w:val="10"/>
                <w:szCs w:val="10"/>
              </w:rPr>
              <w:t xml:space="preserve">         купівлі:</w:t>
            </w:r>
          </w:p>
        </w:tc>
        <w:tc>
          <w:tcPr>
            <w:tcW w:w="683"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 </w:t>
            </w:r>
          </w:p>
        </w:tc>
        <w:tc>
          <w:tcPr>
            <w:tcW w:w="683"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 </w:t>
            </w:r>
          </w:p>
        </w:tc>
        <w:tc>
          <w:tcPr>
            <w:tcW w:w="799"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 </w:t>
            </w:r>
          </w:p>
        </w:tc>
        <w:tc>
          <w:tcPr>
            <w:tcW w:w="732"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 </w:t>
            </w:r>
          </w:p>
        </w:tc>
        <w:tc>
          <w:tcPr>
            <w:tcW w:w="598"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 </w:t>
            </w:r>
          </w:p>
        </w:tc>
        <w:tc>
          <w:tcPr>
            <w:tcW w:w="599"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 </w:t>
            </w:r>
          </w:p>
        </w:tc>
        <w:tc>
          <w:tcPr>
            <w:tcW w:w="711"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 </w:t>
            </w:r>
          </w:p>
        </w:tc>
        <w:tc>
          <w:tcPr>
            <w:tcW w:w="601"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 </w:t>
            </w:r>
          </w:p>
        </w:tc>
        <w:tc>
          <w:tcPr>
            <w:tcW w:w="805"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 </w:t>
            </w:r>
          </w:p>
        </w:tc>
        <w:tc>
          <w:tcPr>
            <w:tcW w:w="801"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 </w:t>
            </w:r>
          </w:p>
        </w:tc>
        <w:tc>
          <w:tcPr>
            <w:tcW w:w="840"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 </w:t>
            </w:r>
          </w:p>
        </w:tc>
        <w:tc>
          <w:tcPr>
            <w:tcW w:w="755"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 </w:t>
            </w:r>
          </w:p>
        </w:tc>
      </w:tr>
      <w:tr w:rsidR="00705F07">
        <w:trPr>
          <w:trHeight w:val="450"/>
          <w:jc w:val="center"/>
        </w:trPr>
        <w:tc>
          <w:tcPr>
            <w:tcW w:w="1085" w:type="dxa"/>
            <w:tcBorders>
              <w:top w:val="nil"/>
              <w:left w:val="single" w:sz="4" w:space="0" w:color="auto"/>
              <w:bottom w:val="single" w:sz="4" w:space="0" w:color="auto"/>
              <w:right w:val="nil"/>
            </w:tcBorders>
            <w:vAlign w:val="center"/>
            <w:hideMark/>
          </w:tcPr>
          <w:p w:rsidR="00705F07" w:rsidRDefault="00185A37">
            <w:pPr>
              <w:jc w:val="center"/>
              <w:rPr>
                <w:color w:val="000000"/>
                <w:sz w:val="10"/>
                <w:szCs w:val="10"/>
              </w:rPr>
            </w:pPr>
            <w:r>
              <w:rPr>
                <w:color w:val="000000"/>
                <w:sz w:val="10"/>
                <w:szCs w:val="10"/>
              </w:rPr>
              <w:t xml:space="preserve">                        - долар США</w:t>
            </w:r>
          </w:p>
        </w:tc>
        <w:tc>
          <w:tcPr>
            <w:tcW w:w="683"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28,0063</w:t>
            </w:r>
          </w:p>
        </w:tc>
        <w:tc>
          <w:tcPr>
            <w:tcW w:w="683"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28,1764</w:t>
            </w:r>
          </w:p>
        </w:tc>
        <w:tc>
          <w:tcPr>
            <w:tcW w:w="799"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29,2549</w:t>
            </w:r>
          </w:p>
        </w:tc>
        <w:tc>
          <w:tcPr>
            <w:tcW w:w="732"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30,4188</w:t>
            </w:r>
          </w:p>
        </w:tc>
        <w:tc>
          <w:tcPr>
            <w:tcW w:w="598"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34,5235</w:t>
            </w:r>
          </w:p>
        </w:tc>
        <w:tc>
          <w:tcPr>
            <w:tcW w:w="599"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35,1725</w:t>
            </w:r>
          </w:p>
        </w:tc>
        <w:tc>
          <w:tcPr>
            <w:tcW w:w="711"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37,3310</w:t>
            </w:r>
          </w:p>
        </w:tc>
        <w:tc>
          <w:tcPr>
            <w:tcW w:w="601"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39,8760</w:t>
            </w:r>
          </w:p>
        </w:tc>
        <w:tc>
          <w:tcPr>
            <w:tcW w:w="805"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41,4648</w:t>
            </w:r>
          </w:p>
        </w:tc>
        <w:tc>
          <w:tcPr>
            <w:tcW w:w="801"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40,3697</w:t>
            </w:r>
          </w:p>
        </w:tc>
        <w:tc>
          <w:tcPr>
            <w:tcW w:w="840"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40,1601</w:t>
            </w:r>
          </w:p>
        </w:tc>
        <w:tc>
          <w:tcPr>
            <w:tcW w:w="755"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39,9963</w:t>
            </w:r>
          </w:p>
        </w:tc>
      </w:tr>
      <w:tr w:rsidR="00705F07">
        <w:trPr>
          <w:trHeight w:val="225"/>
          <w:jc w:val="center"/>
        </w:trPr>
        <w:tc>
          <w:tcPr>
            <w:tcW w:w="1085" w:type="dxa"/>
            <w:tcBorders>
              <w:top w:val="nil"/>
              <w:left w:val="single" w:sz="4" w:space="0" w:color="auto"/>
              <w:bottom w:val="single" w:sz="4" w:space="0" w:color="auto"/>
              <w:right w:val="nil"/>
            </w:tcBorders>
            <w:vAlign w:val="center"/>
            <w:hideMark/>
          </w:tcPr>
          <w:p w:rsidR="00705F07" w:rsidRDefault="00185A37">
            <w:pPr>
              <w:jc w:val="center"/>
              <w:rPr>
                <w:color w:val="000000"/>
                <w:sz w:val="10"/>
                <w:szCs w:val="10"/>
              </w:rPr>
            </w:pPr>
            <w:r>
              <w:rPr>
                <w:color w:val="000000"/>
                <w:sz w:val="10"/>
                <w:szCs w:val="10"/>
              </w:rPr>
              <w:t xml:space="preserve">                        - євро</w:t>
            </w:r>
          </w:p>
        </w:tc>
        <w:tc>
          <w:tcPr>
            <w:tcW w:w="683"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31,4815</w:t>
            </w:r>
          </w:p>
        </w:tc>
        <w:tc>
          <w:tcPr>
            <w:tcW w:w="683"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31,9549</w:t>
            </w:r>
          </w:p>
        </w:tc>
        <w:tc>
          <w:tcPr>
            <w:tcW w:w="799"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32,4255</w:t>
            </w:r>
          </w:p>
        </w:tc>
        <w:tc>
          <w:tcPr>
            <w:tcW w:w="732"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32,6817</w:t>
            </w:r>
          </w:p>
        </w:tc>
        <w:tc>
          <w:tcPr>
            <w:tcW w:w="598"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36,2018</w:t>
            </w:r>
          </w:p>
        </w:tc>
        <w:tc>
          <w:tcPr>
            <w:tcW w:w="599"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37,0528</w:t>
            </w:r>
          </w:p>
        </w:tc>
        <w:tc>
          <w:tcPr>
            <w:tcW w:w="711"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37,7364</w:t>
            </w:r>
          </w:p>
        </w:tc>
        <w:tc>
          <w:tcPr>
            <w:tcW w:w="601"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40,0794</w:t>
            </w:r>
          </w:p>
        </w:tc>
        <w:tc>
          <w:tcPr>
            <w:tcW w:w="805"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40,4373</w:t>
            </w:r>
          </w:p>
        </w:tc>
        <w:tc>
          <w:tcPr>
            <w:tcW w:w="801"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38,8538</w:t>
            </w:r>
          </w:p>
        </w:tc>
        <w:tc>
          <w:tcPr>
            <w:tcW w:w="840"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40,0129</w:t>
            </w:r>
          </w:p>
        </w:tc>
        <w:tc>
          <w:tcPr>
            <w:tcW w:w="755"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41,6507</w:t>
            </w:r>
          </w:p>
        </w:tc>
      </w:tr>
      <w:tr w:rsidR="00705F07">
        <w:trPr>
          <w:trHeight w:val="630"/>
          <w:jc w:val="center"/>
        </w:trPr>
        <w:tc>
          <w:tcPr>
            <w:tcW w:w="1085" w:type="dxa"/>
            <w:tcBorders>
              <w:top w:val="nil"/>
              <w:left w:val="single" w:sz="4" w:space="0" w:color="auto"/>
              <w:bottom w:val="nil"/>
              <w:right w:val="single" w:sz="4" w:space="0" w:color="auto"/>
            </w:tcBorders>
            <w:shd w:val="clear" w:color="000000" w:fill="D7E4BC"/>
            <w:vAlign w:val="center"/>
            <w:hideMark/>
          </w:tcPr>
          <w:p w:rsidR="00705F07" w:rsidRDefault="00185A37">
            <w:pPr>
              <w:jc w:val="center"/>
              <w:rPr>
                <w:bCs/>
                <w:color w:val="000000"/>
                <w:sz w:val="10"/>
                <w:szCs w:val="10"/>
              </w:rPr>
            </w:pPr>
            <w:r>
              <w:rPr>
                <w:bCs/>
                <w:color w:val="000000"/>
                <w:sz w:val="10"/>
                <w:szCs w:val="10"/>
              </w:rPr>
              <w:t>Курс інтервенцій Національного банку України:</w:t>
            </w:r>
          </w:p>
        </w:tc>
        <w:tc>
          <w:tcPr>
            <w:tcW w:w="683" w:type="dxa"/>
            <w:tcBorders>
              <w:top w:val="nil"/>
              <w:left w:val="nil"/>
              <w:bottom w:val="single" w:sz="4" w:space="0" w:color="auto"/>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683" w:type="dxa"/>
            <w:tcBorders>
              <w:top w:val="nil"/>
              <w:left w:val="nil"/>
              <w:bottom w:val="single" w:sz="4" w:space="0" w:color="auto"/>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799" w:type="dxa"/>
            <w:tcBorders>
              <w:top w:val="nil"/>
              <w:left w:val="nil"/>
              <w:bottom w:val="single" w:sz="4" w:space="0" w:color="auto"/>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732" w:type="dxa"/>
            <w:tcBorders>
              <w:top w:val="nil"/>
              <w:left w:val="nil"/>
              <w:bottom w:val="single" w:sz="4" w:space="0" w:color="auto"/>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598" w:type="dxa"/>
            <w:tcBorders>
              <w:top w:val="nil"/>
              <w:left w:val="nil"/>
              <w:bottom w:val="single" w:sz="4" w:space="0" w:color="auto"/>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599" w:type="dxa"/>
            <w:tcBorders>
              <w:top w:val="nil"/>
              <w:left w:val="nil"/>
              <w:bottom w:val="single" w:sz="4" w:space="0" w:color="auto"/>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711" w:type="dxa"/>
            <w:tcBorders>
              <w:top w:val="nil"/>
              <w:left w:val="nil"/>
              <w:bottom w:val="single" w:sz="4" w:space="0" w:color="auto"/>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601" w:type="dxa"/>
            <w:tcBorders>
              <w:top w:val="nil"/>
              <w:left w:val="nil"/>
              <w:bottom w:val="single" w:sz="4" w:space="0" w:color="auto"/>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805" w:type="dxa"/>
            <w:tcBorders>
              <w:top w:val="nil"/>
              <w:left w:val="nil"/>
              <w:bottom w:val="single" w:sz="4" w:space="0" w:color="auto"/>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801" w:type="dxa"/>
            <w:tcBorders>
              <w:top w:val="nil"/>
              <w:left w:val="nil"/>
              <w:bottom w:val="single" w:sz="4" w:space="0" w:color="auto"/>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840" w:type="dxa"/>
            <w:tcBorders>
              <w:top w:val="nil"/>
              <w:left w:val="nil"/>
              <w:bottom w:val="single" w:sz="4" w:space="0" w:color="auto"/>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755" w:type="dxa"/>
            <w:tcBorders>
              <w:top w:val="nil"/>
              <w:left w:val="nil"/>
              <w:bottom w:val="single" w:sz="4" w:space="0" w:color="auto"/>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r>
      <w:tr w:rsidR="00705F07">
        <w:trPr>
          <w:trHeight w:val="630"/>
          <w:jc w:val="center"/>
        </w:trPr>
        <w:tc>
          <w:tcPr>
            <w:tcW w:w="1085" w:type="dxa"/>
            <w:tcBorders>
              <w:top w:val="single" w:sz="4" w:space="0" w:color="auto"/>
              <w:left w:val="single" w:sz="4" w:space="0" w:color="auto"/>
              <w:bottom w:val="single" w:sz="4" w:space="0" w:color="auto"/>
              <w:right w:val="single" w:sz="4" w:space="0" w:color="auto"/>
            </w:tcBorders>
            <w:shd w:val="clear" w:color="000000" w:fill="B6DDE8"/>
            <w:vAlign w:val="center"/>
            <w:hideMark/>
          </w:tcPr>
          <w:p w:rsidR="00705F07" w:rsidRDefault="00185A37">
            <w:pPr>
              <w:jc w:val="center"/>
              <w:rPr>
                <w:bCs/>
                <w:color w:val="000000"/>
                <w:sz w:val="10"/>
                <w:szCs w:val="10"/>
              </w:rPr>
            </w:pPr>
            <w:r>
              <w:rPr>
                <w:bCs/>
                <w:color w:val="000000"/>
                <w:sz w:val="10"/>
                <w:szCs w:val="10"/>
              </w:rPr>
              <w:t xml:space="preserve">       долари США  (середньозважений за 1 долар США):</w:t>
            </w:r>
          </w:p>
        </w:tc>
        <w:tc>
          <w:tcPr>
            <w:tcW w:w="683" w:type="dxa"/>
            <w:tcBorders>
              <w:top w:val="nil"/>
              <w:left w:val="nil"/>
              <w:bottom w:val="single" w:sz="4" w:space="0" w:color="auto"/>
              <w:right w:val="single" w:sz="4" w:space="0" w:color="auto"/>
            </w:tcBorders>
            <w:shd w:val="clear" w:color="000000" w:fill="B6DDE8"/>
            <w:vAlign w:val="center"/>
            <w:hideMark/>
          </w:tcPr>
          <w:p w:rsidR="00705F07" w:rsidRDefault="00185A37">
            <w:pPr>
              <w:jc w:val="center"/>
              <w:rPr>
                <w:color w:val="000000"/>
                <w:sz w:val="10"/>
                <w:szCs w:val="10"/>
              </w:rPr>
            </w:pPr>
            <w:r>
              <w:rPr>
                <w:color w:val="000000"/>
                <w:sz w:val="10"/>
                <w:szCs w:val="10"/>
              </w:rPr>
              <w:t> </w:t>
            </w:r>
          </w:p>
        </w:tc>
        <w:tc>
          <w:tcPr>
            <w:tcW w:w="683" w:type="dxa"/>
            <w:tcBorders>
              <w:top w:val="nil"/>
              <w:left w:val="nil"/>
              <w:bottom w:val="nil"/>
              <w:right w:val="single" w:sz="4" w:space="0" w:color="auto"/>
            </w:tcBorders>
            <w:shd w:val="clear" w:color="000000" w:fill="B6DDE8"/>
            <w:vAlign w:val="center"/>
            <w:hideMark/>
          </w:tcPr>
          <w:p w:rsidR="00705F07" w:rsidRDefault="00185A37">
            <w:pPr>
              <w:jc w:val="center"/>
              <w:rPr>
                <w:color w:val="000000"/>
                <w:sz w:val="10"/>
                <w:szCs w:val="10"/>
              </w:rPr>
            </w:pPr>
            <w:r>
              <w:rPr>
                <w:color w:val="000000"/>
                <w:sz w:val="10"/>
                <w:szCs w:val="10"/>
              </w:rPr>
              <w:t> </w:t>
            </w:r>
          </w:p>
        </w:tc>
        <w:tc>
          <w:tcPr>
            <w:tcW w:w="799" w:type="dxa"/>
            <w:tcBorders>
              <w:top w:val="nil"/>
              <w:left w:val="nil"/>
              <w:bottom w:val="nil"/>
              <w:right w:val="single" w:sz="4" w:space="0" w:color="auto"/>
            </w:tcBorders>
            <w:shd w:val="clear" w:color="000000" w:fill="B6DDE8"/>
            <w:vAlign w:val="center"/>
            <w:hideMark/>
          </w:tcPr>
          <w:p w:rsidR="00705F07" w:rsidRDefault="00185A37">
            <w:pPr>
              <w:jc w:val="center"/>
              <w:rPr>
                <w:color w:val="000000"/>
                <w:sz w:val="10"/>
                <w:szCs w:val="10"/>
              </w:rPr>
            </w:pPr>
            <w:r>
              <w:rPr>
                <w:color w:val="000000"/>
                <w:sz w:val="10"/>
                <w:szCs w:val="10"/>
              </w:rPr>
              <w:t> </w:t>
            </w:r>
          </w:p>
        </w:tc>
        <w:tc>
          <w:tcPr>
            <w:tcW w:w="732" w:type="dxa"/>
            <w:tcBorders>
              <w:top w:val="nil"/>
              <w:left w:val="nil"/>
              <w:bottom w:val="nil"/>
              <w:right w:val="single" w:sz="4" w:space="0" w:color="auto"/>
            </w:tcBorders>
            <w:shd w:val="clear" w:color="000000" w:fill="B6DDE8"/>
            <w:vAlign w:val="center"/>
            <w:hideMark/>
          </w:tcPr>
          <w:p w:rsidR="00705F07" w:rsidRDefault="00185A37">
            <w:pPr>
              <w:jc w:val="center"/>
              <w:rPr>
                <w:color w:val="000000"/>
                <w:sz w:val="10"/>
                <w:szCs w:val="10"/>
              </w:rPr>
            </w:pPr>
            <w:r>
              <w:rPr>
                <w:color w:val="000000"/>
                <w:sz w:val="10"/>
                <w:szCs w:val="10"/>
              </w:rPr>
              <w:t> </w:t>
            </w:r>
          </w:p>
        </w:tc>
        <w:tc>
          <w:tcPr>
            <w:tcW w:w="598" w:type="dxa"/>
            <w:tcBorders>
              <w:top w:val="nil"/>
              <w:left w:val="nil"/>
              <w:bottom w:val="nil"/>
              <w:right w:val="single" w:sz="4" w:space="0" w:color="auto"/>
            </w:tcBorders>
            <w:shd w:val="clear" w:color="000000" w:fill="B6DDE8"/>
            <w:vAlign w:val="center"/>
            <w:hideMark/>
          </w:tcPr>
          <w:p w:rsidR="00705F07" w:rsidRDefault="00185A37">
            <w:pPr>
              <w:jc w:val="center"/>
              <w:rPr>
                <w:color w:val="000000"/>
                <w:sz w:val="10"/>
                <w:szCs w:val="10"/>
              </w:rPr>
            </w:pPr>
            <w:r>
              <w:rPr>
                <w:color w:val="000000"/>
                <w:sz w:val="10"/>
                <w:szCs w:val="10"/>
              </w:rPr>
              <w:t> </w:t>
            </w:r>
          </w:p>
        </w:tc>
        <w:tc>
          <w:tcPr>
            <w:tcW w:w="599" w:type="dxa"/>
            <w:tcBorders>
              <w:top w:val="nil"/>
              <w:left w:val="nil"/>
              <w:bottom w:val="nil"/>
              <w:right w:val="single" w:sz="4" w:space="0" w:color="auto"/>
            </w:tcBorders>
            <w:shd w:val="clear" w:color="000000" w:fill="B6DDE8"/>
            <w:vAlign w:val="center"/>
            <w:hideMark/>
          </w:tcPr>
          <w:p w:rsidR="00705F07" w:rsidRDefault="00185A37">
            <w:pPr>
              <w:jc w:val="center"/>
              <w:rPr>
                <w:color w:val="000000"/>
                <w:sz w:val="10"/>
                <w:szCs w:val="10"/>
              </w:rPr>
            </w:pPr>
            <w:r>
              <w:rPr>
                <w:color w:val="000000"/>
                <w:sz w:val="10"/>
                <w:szCs w:val="10"/>
              </w:rPr>
              <w:t> </w:t>
            </w:r>
          </w:p>
        </w:tc>
        <w:tc>
          <w:tcPr>
            <w:tcW w:w="711" w:type="dxa"/>
            <w:tcBorders>
              <w:top w:val="nil"/>
              <w:left w:val="nil"/>
              <w:bottom w:val="nil"/>
              <w:right w:val="single" w:sz="4" w:space="0" w:color="auto"/>
            </w:tcBorders>
            <w:shd w:val="clear" w:color="000000" w:fill="B6DDE8"/>
            <w:vAlign w:val="center"/>
            <w:hideMark/>
          </w:tcPr>
          <w:p w:rsidR="00705F07" w:rsidRDefault="00185A37">
            <w:pPr>
              <w:jc w:val="center"/>
              <w:rPr>
                <w:color w:val="000000"/>
                <w:sz w:val="10"/>
                <w:szCs w:val="10"/>
              </w:rPr>
            </w:pPr>
            <w:r>
              <w:rPr>
                <w:color w:val="000000"/>
                <w:sz w:val="10"/>
                <w:szCs w:val="10"/>
              </w:rPr>
              <w:t> </w:t>
            </w:r>
          </w:p>
        </w:tc>
        <w:tc>
          <w:tcPr>
            <w:tcW w:w="601" w:type="dxa"/>
            <w:tcBorders>
              <w:top w:val="nil"/>
              <w:left w:val="nil"/>
              <w:bottom w:val="nil"/>
              <w:right w:val="single" w:sz="4" w:space="0" w:color="auto"/>
            </w:tcBorders>
            <w:shd w:val="clear" w:color="000000" w:fill="B6DDE8"/>
            <w:vAlign w:val="center"/>
            <w:hideMark/>
          </w:tcPr>
          <w:p w:rsidR="00705F07" w:rsidRDefault="00185A37">
            <w:pPr>
              <w:jc w:val="center"/>
              <w:rPr>
                <w:color w:val="000000"/>
                <w:sz w:val="10"/>
                <w:szCs w:val="10"/>
              </w:rPr>
            </w:pPr>
            <w:r>
              <w:rPr>
                <w:color w:val="000000"/>
                <w:sz w:val="10"/>
                <w:szCs w:val="10"/>
              </w:rPr>
              <w:t> </w:t>
            </w:r>
          </w:p>
        </w:tc>
        <w:tc>
          <w:tcPr>
            <w:tcW w:w="805" w:type="dxa"/>
            <w:tcBorders>
              <w:top w:val="nil"/>
              <w:left w:val="nil"/>
              <w:bottom w:val="nil"/>
              <w:right w:val="single" w:sz="4" w:space="0" w:color="auto"/>
            </w:tcBorders>
            <w:shd w:val="clear" w:color="000000" w:fill="B6DDE8"/>
            <w:vAlign w:val="center"/>
            <w:hideMark/>
          </w:tcPr>
          <w:p w:rsidR="00705F07" w:rsidRDefault="00185A37">
            <w:pPr>
              <w:jc w:val="center"/>
              <w:rPr>
                <w:color w:val="000000"/>
                <w:sz w:val="10"/>
                <w:szCs w:val="10"/>
              </w:rPr>
            </w:pPr>
            <w:r>
              <w:rPr>
                <w:color w:val="000000"/>
                <w:sz w:val="10"/>
                <w:szCs w:val="10"/>
              </w:rPr>
              <w:t> </w:t>
            </w:r>
          </w:p>
        </w:tc>
        <w:tc>
          <w:tcPr>
            <w:tcW w:w="801" w:type="dxa"/>
            <w:tcBorders>
              <w:top w:val="nil"/>
              <w:left w:val="nil"/>
              <w:bottom w:val="nil"/>
              <w:right w:val="single" w:sz="4" w:space="0" w:color="auto"/>
            </w:tcBorders>
            <w:shd w:val="clear" w:color="000000" w:fill="B6DDE8"/>
            <w:vAlign w:val="center"/>
            <w:hideMark/>
          </w:tcPr>
          <w:p w:rsidR="00705F07" w:rsidRDefault="00185A37">
            <w:pPr>
              <w:jc w:val="center"/>
              <w:rPr>
                <w:color w:val="000000"/>
                <w:sz w:val="10"/>
                <w:szCs w:val="10"/>
              </w:rPr>
            </w:pPr>
            <w:r>
              <w:rPr>
                <w:color w:val="000000"/>
                <w:sz w:val="10"/>
                <w:szCs w:val="10"/>
              </w:rPr>
              <w:t> </w:t>
            </w:r>
          </w:p>
        </w:tc>
        <w:tc>
          <w:tcPr>
            <w:tcW w:w="840" w:type="dxa"/>
            <w:tcBorders>
              <w:top w:val="nil"/>
              <w:left w:val="nil"/>
              <w:bottom w:val="nil"/>
              <w:right w:val="single" w:sz="4" w:space="0" w:color="auto"/>
            </w:tcBorders>
            <w:shd w:val="clear" w:color="000000" w:fill="B6DDE8"/>
            <w:vAlign w:val="center"/>
            <w:hideMark/>
          </w:tcPr>
          <w:p w:rsidR="00705F07" w:rsidRDefault="00185A37">
            <w:pPr>
              <w:jc w:val="center"/>
              <w:rPr>
                <w:color w:val="000000"/>
                <w:sz w:val="10"/>
                <w:szCs w:val="10"/>
              </w:rPr>
            </w:pPr>
            <w:r>
              <w:rPr>
                <w:color w:val="000000"/>
                <w:sz w:val="10"/>
                <w:szCs w:val="10"/>
              </w:rPr>
              <w:t> </w:t>
            </w:r>
          </w:p>
        </w:tc>
        <w:tc>
          <w:tcPr>
            <w:tcW w:w="755" w:type="dxa"/>
            <w:tcBorders>
              <w:top w:val="nil"/>
              <w:left w:val="nil"/>
              <w:bottom w:val="nil"/>
              <w:right w:val="single" w:sz="4" w:space="0" w:color="auto"/>
            </w:tcBorders>
            <w:shd w:val="clear" w:color="000000" w:fill="B6DDE8"/>
            <w:vAlign w:val="center"/>
            <w:hideMark/>
          </w:tcPr>
          <w:p w:rsidR="00705F07" w:rsidRDefault="00185A37">
            <w:pPr>
              <w:jc w:val="center"/>
              <w:rPr>
                <w:color w:val="000000"/>
                <w:sz w:val="10"/>
                <w:szCs w:val="10"/>
              </w:rPr>
            </w:pPr>
            <w:r>
              <w:rPr>
                <w:color w:val="000000"/>
                <w:sz w:val="10"/>
                <w:szCs w:val="10"/>
              </w:rPr>
              <w:t> </w:t>
            </w:r>
          </w:p>
        </w:tc>
      </w:tr>
      <w:tr w:rsidR="00705F07">
        <w:trPr>
          <w:trHeight w:val="225"/>
          <w:jc w:val="center"/>
        </w:trPr>
        <w:tc>
          <w:tcPr>
            <w:tcW w:w="1085" w:type="dxa"/>
            <w:tcBorders>
              <w:top w:val="nil"/>
              <w:left w:val="single" w:sz="4" w:space="0" w:color="auto"/>
              <w:bottom w:val="single" w:sz="4" w:space="0" w:color="auto"/>
              <w:right w:val="nil"/>
            </w:tcBorders>
            <w:vAlign w:val="center"/>
            <w:hideMark/>
          </w:tcPr>
          <w:p w:rsidR="00705F07" w:rsidRDefault="00185A37">
            <w:pPr>
              <w:jc w:val="center"/>
              <w:rPr>
                <w:color w:val="000000"/>
                <w:sz w:val="10"/>
                <w:szCs w:val="10"/>
              </w:rPr>
            </w:pPr>
            <w:r>
              <w:rPr>
                <w:color w:val="000000"/>
                <w:sz w:val="10"/>
                <w:szCs w:val="10"/>
              </w:rPr>
              <w:t xml:space="preserve">         продажу</w:t>
            </w:r>
          </w:p>
        </w:tc>
        <w:tc>
          <w:tcPr>
            <w:tcW w:w="683"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28,3544</w:t>
            </w:r>
          </w:p>
        </w:tc>
        <w:tc>
          <w:tcPr>
            <w:tcW w:w="683"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28,7907</w:t>
            </w:r>
          </w:p>
        </w:tc>
        <w:tc>
          <w:tcPr>
            <w:tcW w:w="799"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29,5474</w:t>
            </w:r>
          </w:p>
        </w:tc>
        <w:tc>
          <w:tcPr>
            <w:tcW w:w="732"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29,5474</w:t>
            </w:r>
          </w:p>
        </w:tc>
        <w:tc>
          <w:tcPr>
            <w:tcW w:w="598"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29,5474</w:t>
            </w:r>
          </w:p>
        </w:tc>
        <w:tc>
          <w:tcPr>
            <w:tcW w:w="599"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29,5474</w:t>
            </w:r>
          </w:p>
        </w:tc>
        <w:tc>
          <w:tcPr>
            <w:tcW w:w="711"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29,7961</w:t>
            </w:r>
          </w:p>
        </w:tc>
        <w:tc>
          <w:tcPr>
            <w:tcW w:w="601"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36,9343</w:t>
            </w:r>
          </w:p>
        </w:tc>
        <w:tc>
          <w:tcPr>
            <w:tcW w:w="805"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36,9343</w:t>
            </w:r>
          </w:p>
        </w:tc>
        <w:tc>
          <w:tcPr>
            <w:tcW w:w="801"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36,9343</w:t>
            </w:r>
          </w:p>
        </w:tc>
        <w:tc>
          <w:tcPr>
            <w:tcW w:w="840"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36,9227</w:t>
            </w:r>
          </w:p>
        </w:tc>
        <w:tc>
          <w:tcPr>
            <w:tcW w:w="755"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36,9260</w:t>
            </w:r>
          </w:p>
        </w:tc>
      </w:tr>
      <w:tr w:rsidR="00705F07">
        <w:trPr>
          <w:trHeight w:val="225"/>
          <w:jc w:val="center"/>
        </w:trPr>
        <w:tc>
          <w:tcPr>
            <w:tcW w:w="1085" w:type="dxa"/>
            <w:tcBorders>
              <w:top w:val="nil"/>
              <w:left w:val="single" w:sz="4" w:space="0" w:color="auto"/>
              <w:bottom w:val="single" w:sz="4" w:space="0" w:color="auto"/>
              <w:right w:val="nil"/>
            </w:tcBorders>
            <w:vAlign w:val="center"/>
            <w:hideMark/>
          </w:tcPr>
          <w:p w:rsidR="00705F07" w:rsidRDefault="00185A37">
            <w:pPr>
              <w:jc w:val="center"/>
              <w:rPr>
                <w:color w:val="000000"/>
                <w:sz w:val="10"/>
                <w:szCs w:val="10"/>
              </w:rPr>
            </w:pPr>
            <w:r>
              <w:rPr>
                <w:color w:val="000000"/>
                <w:sz w:val="10"/>
                <w:szCs w:val="10"/>
              </w:rPr>
              <w:t xml:space="preserve">         купівлі</w:t>
            </w:r>
          </w:p>
        </w:tc>
        <w:tc>
          <w:tcPr>
            <w:tcW w:w="683"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28,4028</w:t>
            </w:r>
          </w:p>
        </w:tc>
        <w:tc>
          <w:tcPr>
            <w:tcW w:w="683"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28,6809</w:t>
            </w:r>
          </w:p>
        </w:tc>
        <w:tc>
          <w:tcPr>
            <w:tcW w:w="799"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29,2549</w:t>
            </w:r>
          </w:p>
        </w:tc>
        <w:tc>
          <w:tcPr>
            <w:tcW w:w="732"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29,2549</w:t>
            </w:r>
          </w:p>
        </w:tc>
        <w:tc>
          <w:tcPr>
            <w:tcW w:w="598"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29,2549</w:t>
            </w:r>
          </w:p>
        </w:tc>
        <w:tc>
          <w:tcPr>
            <w:tcW w:w="599"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29,2549</w:t>
            </w:r>
          </w:p>
        </w:tc>
        <w:tc>
          <w:tcPr>
            <w:tcW w:w="711"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36,3981</w:t>
            </w:r>
          </w:p>
        </w:tc>
        <w:tc>
          <w:tcPr>
            <w:tcW w:w="601"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36,5686</w:t>
            </w:r>
          </w:p>
        </w:tc>
        <w:tc>
          <w:tcPr>
            <w:tcW w:w="805"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36,5686</w:t>
            </w:r>
          </w:p>
        </w:tc>
        <w:tc>
          <w:tcPr>
            <w:tcW w:w="801"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36,5686</w:t>
            </w:r>
          </w:p>
        </w:tc>
        <w:tc>
          <w:tcPr>
            <w:tcW w:w="840"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36,5686</w:t>
            </w:r>
          </w:p>
        </w:tc>
        <w:tc>
          <w:tcPr>
            <w:tcW w:w="755"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36,5686</w:t>
            </w:r>
          </w:p>
        </w:tc>
      </w:tr>
      <w:tr w:rsidR="00705F07">
        <w:trPr>
          <w:trHeight w:val="300"/>
          <w:jc w:val="center"/>
        </w:trPr>
        <w:tc>
          <w:tcPr>
            <w:tcW w:w="1085" w:type="dxa"/>
            <w:tcBorders>
              <w:top w:val="single" w:sz="4" w:space="0" w:color="auto"/>
              <w:left w:val="single" w:sz="4" w:space="0" w:color="auto"/>
              <w:bottom w:val="single" w:sz="4" w:space="0" w:color="auto"/>
              <w:right w:val="single" w:sz="4" w:space="0" w:color="auto"/>
            </w:tcBorders>
            <w:shd w:val="clear" w:color="000000" w:fill="C2D69A"/>
            <w:vAlign w:val="center"/>
            <w:hideMark/>
          </w:tcPr>
          <w:p w:rsidR="00705F07" w:rsidRDefault="00185A37">
            <w:pPr>
              <w:jc w:val="center"/>
              <w:rPr>
                <w:bCs/>
                <w:color w:val="000000"/>
                <w:sz w:val="10"/>
                <w:szCs w:val="10"/>
              </w:rPr>
            </w:pPr>
            <w:r>
              <w:rPr>
                <w:bCs/>
                <w:color w:val="000000"/>
                <w:sz w:val="10"/>
                <w:szCs w:val="10"/>
              </w:rPr>
              <w:t xml:space="preserve">Обсяг </w:t>
            </w:r>
            <w:r>
              <w:rPr>
                <w:bCs/>
                <w:color w:val="000000"/>
                <w:sz w:val="10"/>
                <w:szCs w:val="10"/>
              </w:rPr>
              <w:t>операцій банків на валютному ринку України на умовах «тод», «том», «спот» (без операцій НБУ):</w:t>
            </w:r>
          </w:p>
        </w:tc>
        <w:tc>
          <w:tcPr>
            <w:tcW w:w="683" w:type="dxa"/>
            <w:tcBorders>
              <w:top w:val="single" w:sz="4" w:space="0" w:color="auto"/>
              <w:left w:val="nil"/>
              <w:bottom w:val="single" w:sz="4" w:space="0" w:color="auto"/>
              <w:right w:val="single" w:sz="4" w:space="0" w:color="auto"/>
            </w:tcBorders>
            <w:shd w:val="clear" w:color="000000" w:fill="C2D69A"/>
            <w:vAlign w:val="center"/>
            <w:hideMark/>
          </w:tcPr>
          <w:p w:rsidR="00705F07" w:rsidRDefault="00185A37">
            <w:pPr>
              <w:jc w:val="center"/>
              <w:rPr>
                <w:color w:val="000000"/>
                <w:sz w:val="10"/>
                <w:szCs w:val="10"/>
              </w:rPr>
            </w:pPr>
            <w:r>
              <w:rPr>
                <w:color w:val="000000"/>
                <w:sz w:val="10"/>
                <w:szCs w:val="10"/>
              </w:rPr>
              <w:t> </w:t>
            </w:r>
          </w:p>
        </w:tc>
        <w:tc>
          <w:tcPr>
            <w:tcW w:w="683" w:type="dxa"/>
            <w:tcBorders>
              <w:top w:val="single" w:sz="4" w:space="0" w:color="auto"/>
              <w:left w:val="nil"/>
              <w:bottom w:val="single" w:sz="4" w:space="0" w:color="auto"/>
              <w:right w:val="single" w:sz="4" w:space="0" w:color="auto"/>
            </w:tcBorders>
            <w:shd w:val="clear" w:color="000000" w:fill="C2D69A"/>
            <w:vAlign w:val="center"/>
            <w:hideMark/>
          </w:tcPr>
          <w:p w:rsidR="00705F07" w:rsidRDefault="00185A37">
            <w:pPr>
              <w:jc w:val="center"/>
              <w:rPr>
                <w:color w:val="000000"/>
                <w:sz w:val="10"/>
                <w:szCs w:val="10"/>
              </w:rPr>
            </w:pPr>
            <w:r>
              <w:rPr>
                <w:color w:val="000000"/>
                <w:sz w:val="10"/>
                <w:szCs w:val="10"/>
              </w:rPr>
              <w:t> </w:t>
            </w:r>
          </w:p>
        </w:tc>
        <w:tc>
          <w:tcPr>
            <w:tcW w:w="799" w:type="dxa"/>
            <w:tcBorders>
              <w:top w:val="single" w:sz="4" w:space="0" w:color="auto"/>
              <w:left w:val="nil"/>
              <w:bottom w:val="single" w:sz="4" w:space="0" w:color="auto"/>
              <w:right w:val="single" w:sz="4" w:space="0" w:color="auto"/>
            </w:tcBorders>
            <w:shd w:val="clear" w:color="000000" w:fill="C2D69A"/>
            <w:vAlign w:val="center"/>
            <w:hideMark/>
          </w:tcPr>
          <w:p w:rsidR="00705F07" w:rsidRDefault="00185A37">
            <w:pPr>
              <w:jc w:val="center"/>
              <w:rPr>
                <w:color w:val="000000"/>
                <w:sz w:val="10"/>
                <w:szCs w:val="10"/>
              </w:rPr>
            </w:pPr>
            <w:r>
              <w:rPr>
                <w:color w:val="000000"/>
                <w:sz w:val="10"/>
                <w:szCs w:val="10"/>
              </w:rPr>
              <w:t> </w:t>
            </w:r>
          </w:p>
        </w:tc>
        <w:tc>
          <w:tcPr>
            <w:tcW w:w="732" w:type="dxa"/>
            <w:tcBorders>
              <w:top w:val="single" w:sz="4" w:space="0" w:color="auto"/>
              <w:left w:val="nil"/>
              <w:bottom w:val="single" w:sz="4" w:space="0" w:color="auto"/>
              <w:right w:val="single" w:sz="4" w:space="0" w:color="auto"/>
            </w:tcBorders>
            <w:shd w:val="clear" w:color="000000" w:fill="C2D69A"/>
            <w:vAlign w:val="center"/>
            <w:hideMark/>
          </w:tcPr>
          <w:p w:rsidR="00705F07" w:rsidRDefault="00185A37">
            <w:pPr>
              <w:jc w:val="center"/>
              <w:rPr>
                <w:color w:val="000000"/>
                <w:sz w:val="10"/>
                <w:szCs w:val="10"/>
              </w:rPr>
            </w:pPr>
            <w:r>
              <w:rPr>
                <w:color w:val="000000"/>
                <w:sz w:val="10"/>
                <w:szCs w:val="10"/>
              </w:rPr>
              <w:t> </w:t>
            </w:r>
          </w:p>
        </w:tc>
        <w:tc>
          <w:tcPr>
            <w:tcW w:w="598" w:type="dxa"/>
            <w:tcBorders>
              <w:top w:val="single" w:sz="4" w:space="0" w:color="auto"/>
              <w:left w:val="nil"/>
              <w:bottom w:val="single" w:sz="4" w:space="0" w:color="auto"/>
              <w:right w:val="single" w:sz="4" w:space="0" w:color="auto"/>
            </w:tcBorders>
            <w:shd w:val="clear" w:color="000000" w:fill="C2D69A"/>
            <w:vAlign w:val="center"/>
            <w:hideMark/>
          </w:tcPr>
          <w:p w:rsidR="00705F07" w:rsidRDefault="00185A37">
            <w:pPr>
              <w:jc w:val="center"/>
              <w:rPr>
                <w:color w:val="000000"/>
                <w:sz w:val="10"/>
                <w:szCs w:val="10"/>
              </w:rPr>
            </w:pPr>
            <w:r>
              <w:rPr>
                <w:color w:val="000000"/>
                <w:sz w:val="10"/>
                <w:szCs w:val="10"/>
              </w:rPr>
              <w:t> </w:t>
            </w:r>
          </w:p>
        </w:tc>
        <w:tc>
          <w:tcPr>
            <w:tcW w:w="599" w:type="dxa"/>
            <w:tcBorders>
              <w:top w:val="single" w:sz="4" w:space="0" w:color="auto"/>
              <w:left w:val="nil"/>
              <w:bottom w:val="single" w:sz="4" w:space="0" w:color="auto"/>
              <w:right w:val="single" w:sz="4" w:space="0" w:color="auto"/>
            </w:tcBorders>
            <w:shd w:val="clear" w:color="000000" w:fill="C2D69A"/>
            <w:vAlign w:val="center"/>
            <w:hideMark/>
          </w:tcPr>
          <w:p w:rsidR="00705F07" w:rsidRDefault="00185A37">
            <w:pPr>
              <w:jc w:val="center"/>
              <w:rPr>
                <w:color w:val="000000"/>
                <w:sz w:val="10"/>
                <w:szCs w:val="10"/>
              </w:rPr>
            </w:pPr>
            <w:r>
              <w:rPr>
                <w:color w:val="000000"/>
                <w:sz w:val="10"/>
                <w:szCs w:val="10"/>
              </w:rPr>
              <w:t> </w:t>
            </w:r>
          </w:p>
        </w:tc>
        <w:tc>
          <w:tcPr>
            <w:tcW w:w="711" w:type="dxa"/>
            <w:tcBorders>
              <w:top w:val="single" w:sz="4" w:space="0" w:color="auto"/>
              <w:left w:val="nil"/>
              <w:bottom w:val="single" w:sz="4" w:space="0" w:color="auto"/>
              <w:right w:val="single" w:sz="4" w:space="0" w:color="auto"/>
            </w:tcBorders>
            <w:shd w:val="clear" w:color="000000" w:fill="C2D69A"/>
            <w:vAlign w:val="center"/>
            <w:hideMark/>
          </w:tcPr>
          <w:p w:rsidR="00705F07" w:rsidRDefault="00185A37">
            <w:pPr>
              <w:jc w:val="center"/>
              <w:rPr>
                <w:color w:val="000000"/>
                <w:sz w:val="10"/>
                <w:szCs w:val="10"/>
              </w:rPr>
            </w:pPr>
            <w:r>
              <w:rPr>
                <w:color w:val="000000"/>
                <w:sz w:val="10"/>
                <w:szCs w:val="10"/>
              </w:rPr>
              <w:t> </w:t>
            </w:r>
          </w:p>
        </w:tc>
        <w:tc>
          <w:tcPr>
            <w:tcW w:w="601" w:type="dxa"/>
            <w:tcBorders>
              <w:top w:val="single" w:sz="4" w:space="0" w:color="auto"/>
              <w:left w:val="nil"/>
              <w:bottom w:val="single" w:sz="4" w:space="0" w:color="auto"/>
              <w:right w:val="single" w:sz="4" w:space="0" w:color="auto"/>
            </w:tcBorders>
            <w:shd w:val="clear" w:color="000000" w:fill="C2D69A"/>
            <w:vAlign w:val="center"/>
            <w:hideMark/>
          </w:tcPr>
          <w:p w:rsidR="00705F07" w:rsidRDefault="00185A37">
            <w:pPr>
              <w:jc w:val="center"/>
              <w:rPr>
                <w:color w:val="000000"/>
                <w:sz w:val="10"/>
                <w:szCs w:val="10"/>
              </w:rPr>
            </w:pPr>
            <w:r>
              <w:rPr>
                <w:color w:val="000000"/>
                <w:sz w:val="10"/>
                <w:szCs w:val="10"/>
              </w:rPr>
              <w:t> </w:t>
            </w:r>
          </w:p>
        </w:tc>
        <w:tc>
          <w:tcPr>
            <w:tcW w:w="805" w:type="dxa"/>
            <w:tcBorders>
              <w:top w:val="single" w:sz="4" w:space="0" w:color="auto"/>
              <w:left w:val="nil"/>
              <w:bottom w:val="single" w:sz="4" w:space="0" w:color="auto"/>
              <w:right w:val="single" w:sz="4" w:space="0" w:color="auto"/>
            </w:tcBorders>
            <w:shd w:val="clear" w:color="000000" w:fill="C2D69A"/>
            <w:vAlign w:val="center"/>
            <w:hideMark/>
          </w:tcPr>
          <w:p w:rsidR="00705F07" w:rsidRDefault="00185A37">
            <w:pPr>
              <w:jc w:val="center"/>
              <w:rPr>
                <w:color w:val="000000"/>
                <w:sz w:val="10"/>
                <w:szCs w:val="10"/>
              </w:rPr>
            </w:pPr>
            <w:r>
              <w:rPr>
                <w:color w:val="000000"/>
                <w:sz w:val="10"/>
                <w:szCs w:val="10"/>
              </w:rPr>
              <w:t> </w:t>
            </w:r>
          </w:p>
        </w:tc>
        <w:tc>
          <w:tcPr>
            <w:tcW w:w="801" w:type="dxa"/>
            <w:tcBorders>
              <w:top w:val="single" w:sz="4" w:space="0" w:color="auto"/>
              <w:left w:val="nil"/>
              <w:bottom w:val="single" w:sz="4" w:space="0" w:color="auto"/>
              <w:right w:val="single" w:sz="4" w:space="0" w:color="auto"/>
            </w:tcBorders>
            <w:shd w:val="clear" w:color="000000" w:fill="C2D69A"/>
            <w:vAlign w:val="center"/>
            <w:hideMark/>
          </w:tcPr>
          <w:p w:rsidR="00705F07" w:rsidRDefault="00185A37">
            <w:pPr>
              <w:jc w:val="center"/>
              <w:rPr>
                <w:color w:val="000000"/>
                <w:sz w:val="10"/>
                <w:szCs w:val="10"/>
              </w:rPr>
            </w:pPr>
            <w:r>
              <w:rPr>
                <w:color w:val="000000"/>
                <w:sz w:val="10"/>
                <w:szCs w:val="10"/>
              </w:rPr>
              <w:t> </w:t>
            </w:r>
          </w:p>
        </w:tc>
        <w:tc>
          <w:tcPr>
            <w:tcW w:w="840" w:type="dxa"/>
            <w:tcBorders>
              <w:top w:val="single" w:sz="4" w:space="0" w:color="auto"/>
              <w:left w:val="nil"/>
              <w:bottom w:val="single" w:sz="4" w:space="0" w:color="auto"/>
              <w:right w:val="single" w:sz="4" w:space="0" w:color="auto"/>
            </w:tcBorders>
            <w:shd w:val="clear" w:color="000000" w:fill="C2D69A"/>
            <w:vAlign w:val="center"/>
            <w:hideMark/>
          </w:tcPr>
          <w:p w:rsidR="00705F07" w:rsidRDefault="00185A37">
            <w:pPr>
              <w:jc w:val="center"/>
              <w:rPr>
                <w:color w:val="000000"/>
                <w:sz w:val="10"/>
                <w:szCs w:val="10"/>
              </w:rPr>
            </w:pPr>
            <w:r>
              <w:rPr>
                <w:color w:val="000000"/>
                <w:sz w:val="10"/>
                <w:szCs w:val="10"/>
              </w:rPr>
              <w:t> </w:t>
            </w:r>
          </w:p>
        </w:tc>
        <w:tc>
          <w:tcPr>
            <w:tcW w:w="755" w:type="dxa"/>
            <w:tcBorders>
              <w:top w:val="single" w:sz="4" w:space="0" w:color="auto"/>
              <w:left w:val="nil"/>
              <w:bottom w:val="single" w:sz="4" w:space="0" w:color="auto"/>
              <w:right w:val="single" w:sz="4" w:space="0" w:color="auto"/>
            </w:tcBorders>
            <w:shd w:val="clear" w:color="000000" w:fill="C2D69A"/>
            <w:vAlign w:val="center"/>
            <w:hideMark/>
          </w:tcPr>
          <w:p w:rsidR="00705F07" w:rsidRDefault="00185A37">
            <w:pPr>
              <w:jc w:val="center"/>
              <w:rPr>
                <w:color w:val="000000"/>
                <w:sz w:val="10"/>
                <w:szCs w:val="10"/>
              </w:rPr>
            </w:pPr>
            <w:r>
              <w:rPr>
                <w:color w:val="000000"/>
                <w:sz w:val="10"/>
                <w:szCs w:val="10"/>
              </w:rPr>
              <w:t> </w:t>
            </w:r>
          </w:p>
        </w:tc>
      </w:tr>
      <w:tr w:rsidR="00705F07">
        <w:trPr>
          <w:trHeight w:val="840"/>
          <w:jc w:val="center"/>
        </w:trPr>
        <w:tc>
          <w:tcPr>
            <w:tcW w:w="1085" w:type="dxa"/>
            <w:tcBorders>
              <w:top w:val="nil"/>
              <w:left w:val="single" w:sz="4" w:space="0" w:color="auto"/>
              <w:bottom w:val="single" w:sz="4" w:space="0" w:color="auto"/>
              <w:right w:val="nil"/>
            </w:tcBorders>
            <w:shd w:val="clear" w:color="000000" w:fill="D7E4BC"/>
            <w:vAlign w:val="center"/>
            <w:hideMark/>
          </w:tcPr>
          <w:p w:rsidR="00705F07" w:rsidRDefault="00185A37">
            <w:pPr>
              <w:jc w:val="center"/>
              <w:rPr>
                <w:bCs/>
                <w:color w:val="000000"/>
                <w:sz w:val="10"/>
                <w:szCs w:val="10"/>
              </w:rPr>
            </w:pPr>
            <w:r>
              <w:rPr>
                <w:bCs/>
                <w:color w:val="000000"/>
                <w:sz w:val="10"/>
                <w:szCs w:val="10"/>
              </w:rPr>
              <w:t>із безготівковою іноземною валютою (млн. дол США в еквіваленті):</w:t>
            </w:r>
          </w:p>
        </w:tc>
        <w:tc>
          <w:tcPr>
            <w:tcW w:w="683" w:type="dxa"/>
            <w:tcBorders>
              <w:top w:val="nil"/>
              <w:left w:val="nil"/>
              <w:bottom w:val="single" w:sz="4" w:space="0" w:color="auto"/>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683"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799"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732"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598"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599"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711"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601"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805"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801"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840"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755"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r>
      <w:tr w:rsidR="00705F07">
        <w:trPr>
          <w:trHeight w:val="225"/>
          <w:jc w:val="center"/>
        </w:trPr>
        <w:tc>
          <w:tcPr>
            <w:tcW w:w="1085" w:type="dxa"/>
            <w:tcBorders>
              <w:top w:val="nil"/>
              <w:left w:val="single" w:sz="4" w:space="0" w:color="auto"/>
              <w:bottom w:val="single" w:sz="4" w:space="0" w:color="auto"/>
              <w:right w:val="nil"/>
            </w:tcBorders>
            <w:vAlign w:val="center"/>
            <w:hideMark/>
          </w:tcPr>
          <w:p w:rsidR="00705F07" w:rsidRDefault="00185A37">
            <w:pPr>
              <w:jc w:val="center"/>
              <w:rPr>
                <w:color w:val="000000"/>
                <w:sz w:val="10"/>
                <w:szCs w:val="10"/>
              </w:rPr>
            </w:pPr>
            <w:r>
              <w:rPr>
                <w:color w:val="000000"/>
                <w:sz w:val="10"/>
                <w:szCs w:val="10"/>
              </w:rPr>
              <w:t xml:space="preserve">         продажу</w:t>
            </w:r>
          </w:p>
        </w:tc>
        <w:tc>
          <w:tcPr>
            <w:tcW w:w="683"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10 189,3</w:t>
            </w:r>
          </w:p>
        </w:tc>
        <w:tc>
          <w:tcPr>
            <w:tcW w:w="683"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9 884,4</w:t>
            </w:r>
          </w:p>
        </w:tc>
        <w:tc>
          <w:tcPr>
            <w:tcW w:w="799"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392,7</w:t>
            </w:r>
          </w:p>
        </w:tc>
        <w:tc>
          <w:tcPr>
            <w:tcW w:w="732"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576,8</w:t>
            </w:r>
          </w:p>
        </w:tc>
        <w:tc>
          <w:tcPr>
            <w:tcW w:w="598"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633,8</w:t>
            </w:r>
          </w:p>
        </w:tc>
        <w:tc>
          <w:tcPr>
            <w:tcW w:w="599"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399,5</w:t>
            </w:r>
          </w:p>
        </w:tc>
        <w:tc>
          <w:tcPr>
            <w:tcW w:w="711"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1 252,5</w:t>
            </w:r>
          </w:p>
        </w:tc>
        <w:tc>
          <w:tcPr>
            <w:tcW w:w="601"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1 331,8</w:t>
            </w:r>
          </w:p>
        </w:tc>
        <w:tc>
          <w:tcPr>
            <w:tcW w:w="805"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975,5</w:t>
            </w:r>
          </w:p>
        </w:tc>
        <w:tc>
          <w:tcPr>
            <w:tcW w:w="801"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1 126,5</w:t>
            </w:r>
          </w:p>
        </w:tc>
        <w:tc>
          <w:tcPr>
            <w:tcW w:w="840"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1 484,1</w:t>
            </w:r>
          </w:p>
        </w:tc>
        <w:tc>
          <w:tcPr>
            <w:tcW w:w="755"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917,3</w:t>
            </w:r>
          </w:p>
        </w:tc>
      </w:tr>
      <w:tr w:rsidR="00705F07">
        <w:trPr>
          <w:trHeight w:val="225"/>
          <w:jc w:val="center"/>
        </w:trPr>
        <w:tc>
          <w:tcPr>
            <w:tcW w:w="1085" w:type="dxa"/>
            <w:tcBorders>
              <w:top w:val="nil"/>
              <w:left w:val="single" w:sz="4" w:space="0" w:color="auto"/>
              <w:bottom w:val="single" w:sz="4" w:space="0" w:color="auto"/>
              <w:right w:val="nil"/>
            </w:tcBorders>
            <w:vAlign w:val="center"/>
            <w:hideMark/>
          </w:tcPr>
          <w:p w:rsidR="00705F07" w:rsidRDefault="00185A37">
            <w:pPr>
              <w:jc w:val="center"/>
              <w:rPr>
                <w:color w:val="000000"/>
                <w:sz w:val="10"/>
                <w:szCs w:val="10"/>
              </w:rPr>
            </w:pPr>
            <w:r>
              <w:rPr>
                <w:color w:val="000000"/>
                <w:sz w:val="10"/>
                <w:szCs w:val="10"/>
              </w:rPr>
              <w:t xml:space="preserve">         купівлі</w:t>
            </w:r>
          </w:p>
        </w:tc>
        <w:tc>
          <w:tcPr>
            <w:tcW w:w="683"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10 189,3</w:t>
            </w:r>
          </w:p>
        </w:tc>
        <w:tc>
          <w:tcPr>
            <w:tcW w:w="683"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9 884,4</w:t>
            </w:r>
          </w:p>
        </w:tc>
        <w:tc>
          <w:tcPr>
            <w:tcW w:w="799"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392,7</w:t>
            </w:r>
          </w:p>
        </w:tc>
        <w:tc>
          <w:tcPr>
            <w:tcW w:w="732"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576,8</w:t>
            </w:r>
          </w:p>
        </w:tc>
        <w:tc>
          <w:tcPr>
            <w:tcW w:w="598"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633,8</w:t>
            </w:r>
          </w:p>
        </w:tc>
        <w:tc>
          <w:tcPr>
            <w:tcW w:w="599"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399,5</w:t>
            </w:r>
          </w:p>
        </w:tc>
        <w:tc>
          <w:tcPr>
            <w:tcW w:w="711"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1 252,5</w:t>
            </w:r>
          </w:p>
        </w:tc>
        <w:tc>
          <w:tcPr>
            <w:tcW w:w="601"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1 331,8</w:t>
            </w:r>
          </w:p>
        </w:tc>
        <w:tc>
          <w:tcPr>
            <w:tcW w:w="805"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975,5</w:t>
            </w:r>
          </w:p>
        </w:tc>
        <w:tc>
          <w:tcPr>
            <w:tcW w:w="801"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1 126,5</w:t>
            </w:r>
          </w:p>
        </w:tc>
        <w:tc>
          <w:tcPr>
            <w:tcW w:w="840"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1 484,1</w:t>
            </w:r>
          </w:p>
        </w:tc>
        <w:tc>
          <w:tcPr>
            <w:tcW w:w="755"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917,3</w:t>
            </w:r>
          </w:p>
        </w:tc>
      </w:tr>
      <w:tr w:rsidR="00705F07">
        <w:trPr>
          <w:trHeight w:val="300"/>
          <w:jc w:val="center"/>
        </w:trPr>
        <w:tc>
          <w:tcPr>
            <w:tcW w:w="1085" w:type="dxa"/>
            <w:tcBorders>
              <w:top w:val="nil"/>
              <w:left w:val="single" w:sz="4" w:space="0" w:color="auto"/>
              <w:bottom w:val="nil"/>
              <w:right w:val="single" w:sz="4" w:space="0" w:color="auto"/>
            </w:tcBorders>
            <w:shd w:val="clear" w:color="000000" w:fill="D7E4BC"/>
            <w:vAlign w:val="center"/>
            <w:hideMark/>
          </w:tcPr>
          <w:p w:rsidR="00705F07" w:rsidRDefault="00185A37">
            <w:pPr>
              <w:jc w:val="center"/>
              <w:rPr>
                <w:bCs/>
                <w:color w:val="000000"/>
                <w:sz w:val="10"/>
                <w:szCs w:val="10"/>
              </w:rPr>
            </w:pPr>
            <w:r>
              <w:rPr>
                <w:bCs/>
                <w:color w:val="000000"/>
                <w:sz w:val="10"/>
                <w:szCs w:val="10"/>
              </w:rPr>
              <w:t>інтервенції Національного банку України:</w:t>
            </w:r>
          </w:p>
        </w:tc>
        <w:tc>
          <w:tcPr>
            <w:tcW w:w="683"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683"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799"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732"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598"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599"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711"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601"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805"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801"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840"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755"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0"/>
                <w:szCs w:val="10"/>
              </w:rPr>
            </w:pPr>
            <w:r>
              <w:rPr>
                <w:color w:val="000000"/>
                <w:sz w:val="10"/>
                <w:szCs w:val="10"/>
              </w:rPr>
              <w:t> </w:t>
            </w:r>
          </w:p>
        </w:tc>
      </w:tr>
      <w:tr w:rsidR="00705F07">
        <w:trPr>
          <w:trHeight w:val="450"/>
          <w:jc w:val="center"/>
        </w:trPr>
        <w:tc>
          <w:tcPr>
            <w:tcW w:w="1085" w:type="dxa"/>
            <w:tcBorders>
              <w:top w:val="single" w:sz="4" w:space="0" w:color="auto"/>
              <w:left w:val="single" w:sz="4" w:space="0" w:color="auto"/>
              <w:bottom w:val="single" w:sz="4" w:space="0" w:color="auto"/>
              <w:right w:val="nil"/>
            </w:tcBorders>
            <w:shd w:val="clear" w:color="000000" w:fill="B6DDE8"/>
            <w:vAlign w:val="center"/>
            <w:hideMark/>
          </w:tcPr>
          <w:p w:rsidR="00705F07" w:rsidRDefault="00185A37">
            <w:pPr>
              <w:jc w:val="center"/>
              <w:rPr>
                <w:color w:val="000000"/>
                <w:sz w:val="10"/>
                <w:szCs w:val="10"/>
              </w:rPr>
            </w:pPr>
            <w:r>
              <w:rPr>
                <w:color w:val="000000"/>
                <w:sz w:val="10"/>
                <w:szCs w:val="10"/>
              </w:rPr>
              <w:t xml:space="preserve">         продажу (млн. дол США в еквіваленті)</w:t>
            </w:r>
          </w:p>
        </w:tc>
        <w:tc>
          <w:tcPr>
            <w:tcW w:w="683" w:type="dxa"/>
            <w:tcBorders>
              <w:top w:val="single" w:sz="4" w:space="0" w:color="auto"/>
              <w:left w:val="single" w:sz="4" w:space="0" w:color="auto"/>
              <w:bottom w:val="single" w:sz="4" w:space="0" w:color="auto"/>
              <w:right w:val="single" w:sz="4" w:space="0" w:color="auto"/>
            </w:tcBorders>
            <w:shd w:val="clear" w:color="000000" w:fill="B6DDE8"/>
            <w:vAlign w:val="center"/>
            <w:hideMark/>
          </w:tcPr>
          <w:p w:rsidR="00705F07" w:rsidRDefault="00185A37">
            <w:pPr>
              <w:jc w:val="center"/>
              <w:rPr>
                <w:color w:val="000000"/>
                <w:sz w:val="10"/>
                <w:szCs w:val="10"/>
              </w:rPr>
            </w:pPr>
            <w:r>
              <w:rPr>
                <w:color w:val="000000"/>
                <w:sz w:val="10"/>
                <w:szCs w:val="10"/>
              </w:rPr>
              <w:t>1 511,2</w:t>
            </w:r>
          </w:p>
        </w:tc>
        <w:tc>
          <w:tcPr>
            <w:tcW w:w="683" w:type="dxa"/>
            <w:tcBorders>
              <w:top w:val="single" w:sz="4" w:space="0" w:color="auto"/>
              <w:left w:val="nil"/>
              <w:bottom w:val="single" w:sz="4" w:space="0" w:color="auto"/>
              <w:right w:val="single" w:sz="4" w:space="0" w:color="auto"/>
            </w:tcBorders>
            <w:shd w:val="clear" w:color="000000" w:fill="B6DDE8"/>
            <w:vAlign w:val="center"/>
            <w:hideMark/>
          </w:tcPr>
          <w:p w:rsidR="00705F07" w:rsidRDefault="00185A37">
            <w:pPr>
              <w:jc w:val="center"/>
              <w:rPr>
                <w:color w:val="000000"/>
                <w:sz w:val="10"/>
                <w:szCs w:val="10"/>
              </w:rPr>
            </w:pPr>
            <w:r>
              <w:rPr>
                <w:color w:val="000000"/>
                <w:sz w:val="10"/>
                <w:szCs w:val="10"/>
              </w:rPr>
              <w:t>1 261,5</w:t>
            </w:r>
          </w:p>
        </w:tc>
        <w:tc>
          <w:tcPr>
            <w:tcW w:w="799" w:type="dxa"/>
            <w:tcBorders>
              <w:top w:val="single" w:sz="4" w:space="0" w:color="auto"/>
              <w:left w:val="nil"/>
              <w:bottom w:val="single" w:sz="4" w:space="0" w:color="auto"/>
              <w:right w:val="single" w:sz="4" w:space="0" w:color="auto"/>
            </w:tcBorders>
            <w:shd w:val="clear" w:color="000000" w:fill="B6DDE8"/>
            <w:vAlign w:val="center"/>
            <w:hideMark/>
          </w:tcPr>
          <w:p w:rsidR="00705F07" w:rsidRDefault="00185A37">
            <w:pPr>
              <w:jc w:val="center"/>
              <w:rPr>
                <w:color w:val="000000"/>
                <w:sz w:val="10"/>
                <w:szCs w:val="10"/>
              </w:rPr>
            </w:pPr>
            <w:r>
              <w:rPr>
                <w:color w:val="000000"/>
                <w:sz w:val="10"/>
                <w:szCs w:val="10"/>
              </w:rPr>
              <w:t>2 475,9</w:t>
            </w:r>
          </w:p>
        </w:tc>
        <w:tc>
          <w:tcPr>
            <w:tcW w:w="732" w:type="dxa"/>
            <w:tcBorders>
              <w:top w:val="single" w:sz="4" w:space="0" w:color="auto"/>
              <w:left w:val="nil"/>
              <w:bottom w:val="single" w:sz="4" w:space="0" w:color="auto"/>
              <w:right w:val="single" w:sz="4" w:space="0" w:color="auto"/>
            </w:tcBorders>
            <w:shd w:val="clear" w:color="000000" w:fill="B6DDE8"/>
            <w:vAlign w:val="center"/>
            <w:hideMark/>
          </w:tcPr>
          <w:p w:rsidR="00705F07" w:rsidRDefault="00185A37">
            <w:pPr>
              <w:jc w:val="center"/>
              <w:rPr>
                <w:color w:val="000000"/>
                <w:sz w:val="10"/>
                <w:szCs w:val="10"/>
              </w:rPr>
            </w:pPr>
            <w:r>
              <w:rPr>
                <w:color w:val="000000"/>
                <w:sz w:val="10"/>
                <w:szCs w:val="10"/>
              </w:rPr>
              <w:t>2 244,3</w:t>
            </w:r>
          </w:p>
        </w:tc>
        <w:tc>
          <w:tcPr>
            <w:tcW w:w="598" w:type="dxa"/>
            <w:tcBorders>
              <w:top w:val="single" w:sz="4" w:space="0" w:color="auto"/>
              <w:left w:val="nil"/>
              <w:bottom w:val="single" w:sz="4" w:space="0" w:color="auto"/>
              <w:right w:val="single" w:sz="4" w:space="0" w:color="auto"/>
            </w:tcBorders>
            <w:shd w:val="clear" w:color="000000" w:fill="B6DDE8"/>
            <w:vAlign w:val="center"/>
            <w:hideMark/>
          </w:tcPr>
          <w:p w:rsidR="00705F07" w:rsidRDefault="00185A37">
            <w:pPr>
              <w:jc w:val="center"/>
              <w:rPr>
                <w:color w:val="000000"/>
                <w:sz w:val="10"/>
                <w:szCs w:val="10"/>
              </w:rPr>
            </w:pPr>
            <w:r>
              <w:rPr>
                <w:color w:val="000000"/>
                <w:sz w:val="10"/>
                <w:szCs w:val="10"/>
              </w:rPr>
              <w:t>3 410,6</w:t>
            </w:r>
          </w:p>
        </w:tc>
        <w:tc>
          <w:tcPr>
            <w:tcW w:w="599" w:type="dxa"/>
            <w:tcBorders>
              <w:top w:val="single" w:sz="4" w:space="0" w:color="auto"/>
              <w:left w:val="nil"/>
              <w:bottom w:val="single" w:sz="4" w:space="0" w:color="auto"/>
              <w:right w:val="single" w:sz="4" w:space="0" w:color="auto"/>
            </w:tcBorders>
            <w:shd w:val="clear" w:color="000000" w:fill="B6DDE8"/>
            <w:vAlign w:val="center"/>
            <w:hideMark/>
          </w:tcPr>
          <w:p w:rsidR="00705F07" w:rsidRDefault="00185A37">
            <w:pPr>
              <w:jc w:val="center"/>
              <w:rPr>
                <w:color w:val="000000"/>
                <w:sz w:val="10"/>
                <w:szCs w:val="10"/>
              </w:rPr>
            </w:pPr>
            <w:r>
              <w:rPr>
                <w:color w:val="000000"/>
                <w:sz w:val="10"/>
                <w:szCs w:val="10"/>
              </w:rPr>
              <w:t>3 986,8</w:t>
            </w:r>
          </w:p>
        </w:tc>
        <w:tc>
          <w:tcPr>
            <w:tcW w:w="711" w:type="dxa"/>
            <w:tcBorders>
              <w:top w:val="single" w:sz="4" w:space="0" w:color="auto"/>
              <w:left w:val="nil"/>
              <w:bottom w:val="single" w:sz="4" w:space="0" w:color="auto"/>
              <w:right w:val="single" w:sz="4" w:space="0" w:color="auto"/>
            </w:tcBorders>
            <w:shd w:val="clear" w:color="000000" w:fill="B6DDE8"/>
            <w:vAlign w:val="center"/>
            <w:hideMark/>
          </w:tcPr>
          <w:p w:rsidR="00705F07" w:rsidRDefault="00185A37">
            <w:pPr>
              <w:jc w:val="center"/>
              <w:rPr>
                <w:color w:val="000000"/>
                <w:sz w:val="10"/>
                <w:szCs w:val="10"/>
              </w:rPr>
            </w:pPr>
            <w:r>
              <w:rPr>
                <w:color w:val="000000"/>
                <w:sz w:val="10"/>
                <w:szCs w:val="10"/>
              </w:rPr>
              <w:t>2 117,0</w:t>
            </w:r>
          </w:p>
        </w:tc>
        <w:tc>
          <w:tcPr>
            <w:tcW w:w="601" w:type="dxa"/>
            <w:tcBorders>
              <w:top w:val="single" w:sz="4" w:space="0" w:color="auto"/>
              <w:left w:val="nil"/>
              <w:bottom w:val="single" w:sz="4" w:space="0" w:color="auto"/>
              <w:right w:val="single" w:sz="4" w:space="0" w:color="auto"/>
            </w:tcBorders>
            <w:shd w:val="clear" w:color="000000" w:fill="B6DDE8"/>
            <w:vAlign w:val="center"/>
            <w:hideMark/>
          </w:tcPr>
          <w:p w:rsidR="00705F07" w:rsidRDefault="00185A37">
            <w:pPr>
              <w:jc w:val="center"/>
              <w:rPr>
                <w:color w:val="000000"/>
                <w:sz w:val="10"/>
                <w:szCs w:val="10"/>
              </w:rPr>
            </w:pPr>
            <w:r>
              <w:rPr>
                <w:color w:val="000000"/>
                <w:sz w:val="10"/>
                <w:szCs w:val="10"/>
              </w:rPr>
              <w:t>1 641,4</w:t>
            </w:r>
          </w:p>
        </w:tc>
        <w:tc>
          <w:tcPr>
            <w:tcW w:w="805" w:type="dxa"/>
            <w:tcBorders>
              <w:top w:val="single" w:sz="4" w:space="0" w:color="auto"/>
              <w:left w:val="nil"/>
              <w:bottom w:val="single" w:sz="4" w:space="0" w:color="auto"/>
              <w:right w:val="single" w:sz="4" w:space="0" w:color="auto"/>
            </w:tcBorders>
            <w:shd w:val="clear" w:color="000000" w:fill="B6DDE8"/>
            <w:vAlign w:val="center"/>
            <w:hideMark/>
          </w:tcPr>
          <w:p w:rsidR="00705F07" w:rsidRDefault="00185A37">
            <w:pPr>
              <w:jc w:val="center"/>
              <w:rPr>
                <w:color w:val="000000"/>
                <w:sz w:val="10"/>
                <w:szCs w:val="10"/>
              </w:rPr>
            </w:pPr>
            <w:r>
              <w:rPr>
                <w:color w:val="000000"/>
                <w:sz w:val="10"/>
                <w:szCs w:val="10"/>
              </w:rPr>
              <w:t>2 792,1</w:t>
            </w:r>
          </w:p>
        </w:tc>
        <w:tc>
          <w:tcPr>
            <w:tcW w:w="801" w:type="dxa"/>
            <w:tcBorders>
              <w:top w:val="single" w:sz="4" w:space="0" w:color="auto"/>
              <w:left w:val="nil"/>
              <w:bottom w:val="single" w:sz="4" w:space="0" w:color="auto"/>
              <w:right w:val="single" w:sz="4" w:space="0" w:color="auto"/>
            </w:tcBorders>
            <w:shd w:val="clear" w:color="000000" w:fill="B6DDE8"/>
            <w:vAlign w:val="center"/>
            <w:hideMark/>
          </w:tcPr>
          <w:p w:rsidR="00705F07" w:rsidRDefault="00185A37">
            <w:pPr>
              <w:jc w:val="center"/>
              <w:rPr>
                <w:color w:val="000000"/>
                <w:sz w:val="10"/>
                <w:szCs w:val="10"/>
              </w:rPr>
            </w:pPr>
            <w:r>
              <w:rPr>
                <w:color w:val="000000"/>
                <w:sz w:val="10"/>
                <w:szCs w:val="10"/>
              </w:rPr>
              <w:t>2 079,6</w:t>
            </w:r>
          </w:p>
        </w:tc>
        <w:tc>
          <w:tcPr>
            <w:tcW w:w="840" w:type="dxa"/>
            <w:tcBorders>
              <w:top w:val="single" w:sz="4" w:space="0" w:color="auto"/>
              <w:left w:val="nil"/>
              <w:bottom w:val="single" w:sz="4" w:space="0" w:color="auto"/>
              <w:right w:val="single" w:sz="4" w:space="0" w:color="auto"/>
            </w:tcBorders>
            <w:shd w:val="clear" w:color="000000" w:fill="B6DDE8"/>
            <w:vAlign w:val="center"/>
            <w:hideMark/>
          </w:tcPr>
          <w:p w:rsidR="00705F07" w:rsidRDefault="00185A37">
            <w:pPr>
              <w:jc w:val="center"/>
              <w:rPr>
                <w:color w:val="000000"/>
                <w:sz w:val="10"/>
                <w:szCs w:val="10"/>
              </w:rPr>
            </w:pPr>
            <w:r>
              <w:rPr>
                <w:color w:val="000000"/>
                <w:sz w:val="10"/>
                <w:szCs w:val="10"/>
              </w:rPr>
              <w:t>1 632,7</w:t>
            </w:r>
          </w:p>
        </w:tc>
        <w:tc>
          <w:tcPr>
            <w:tcW w:w="755" w:type="dxa"/>
            <w:tcBorders>
              <w:top w:val="single" w:sz="4" w:space="0" w:color="auto"/>
              <w:left w:val="nil"/>
              <w:bottom w:val="single" w:sz="4" w:space="0" w:color="auto"/>
              <w:right w:val="single" w:sz="4" w:space="0" w:color="auto"/>
            </w:tcBorders>
            <w:shd w:val="clear" w:color="000000" w:fill="B6DDE8"/>
            <w:vAlign w:val="center"/>
            <w:hideMark/>
          </w:tcPr>
          <w:p w:rsidR="00705F07" w:rsidRDefault="00185A37">
            <w:pPr>
              <w:jc w:val="center"/>
              <w:rPr>
                <w:color w:val="000000"/>
                <w:sz w:val="10"/>
                <w:szCs w:val="10"/>
              </w:rPr>
            </w:pPr>
            <w:r>
              <w:rPr>
                <w:color w:val="000000"/>
                <w:sz w:val="10"/>
                <w:szCs w:val="10"/>
              </w:rPr>
              <w:t>3 193,1</w:t>
            </w:r>
          </w:p>
        </w:tc>
      </w:tr>
      <w:tr w:rsidR="00705F07">
        <w:trPr>
          <w:trHeight w:val="450"/>
          <w:jc w:val="center"/>
        </w:trPr>
        <w:tc>
          <w:tcPr>
            <w:tcW w:w="1085" w:type="dxa"/>
            <w:tcBorders>
              <w:top w:val="nil"/>
              <w:left w:val="single" w:sz="4" w:space="0" w:color="auto"/>
              <w:bottom w:val="single" w:sz="4" w:space="0" w:color="auto"/>
              <w:right w:val="nil"/>
            </w:tcBorders>
            <w:vAlign w:val="center"/>
            <w:hideMark/>
          </w:tcPr>
          <w:p w:rsidR="00705F07" w:rsidRDefault="00185A37">
            <w:pPr>
              <w:jc w:val="center"/>
              <w:rPr>
                <w:color w:val="000000"/>
                <w:sz w:val="10"/>
                <w:szCs w:val="10"/>
              </w:rPr>
            </w:pPr>
            <w:r>
              <w:rPr>
                <w:color w:val="000000"/>
                <w:sz w:val="10"/>
                <w:szCs w:val="10"/>
              </w:rPr>
              <w:t xml:space="preserve">                        - млн долар США</w:t>
            </w:r>
          </w:p>
        </w:tc>
        <w:tc>
          <w:tcPr>
            <w:tcW w:w="683"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1 511,2</w:t>
            </w:r>
          </w:p>
        </w:tc>
        <w:tc>
          <w:tcPr>
            <w:tcW w:w="683"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1 261,5</w:t>
            </w:r>
          </w:p>
        </w:tc>
        <w:tc>
          <w:tcPr>
            <w:tcW w:w="799"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1 390,9</w:t>
            </w:r>
          </w:p>
        </w:tc>
        <w:tc>
          <w:tcPr>
            <w:tcW w:w="732"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1 685,3</w:t>
            </w:r>
          </w:p>
        </w:tc>
        <w:tc>
          <w:tcPr>
            <w:tcW w:w="598"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3 091,0</w:t>
            </w:r>
          </w:p>
        </w:tc>
        <w:tc>
          <w:tcPr>
            <w:tcW w:w="599"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3 986,8</w:t>
            </w:r>
          </w:p>
        </w:tc>
        <w:tc>
          <w:tcPr>
            <w:tcW w:w="711"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2 117,0</w:t>
            </w:r>
          </w:p>
        </w:tc>
        <w:tc>
          <w:tcPr>
            <w:tcW w:w="601"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1 641,4</w:t>
            </w:r>
          </w:p>
        </w:tc>
        <w:tc>
          <w:tcPr>
            <w:tcW w:w="805"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2 792,1</w:t>
            </w:r>
          </w:p>
        </w:tc>
        <w:tc>
          <w:tcPr>
            <w:tcW w:w="801"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2</w:t>
            </w:r>
            <w:r>
              <w:rPr>
                <w:color w:val="000000"/>
                <w:sz w:val="10"/>
                <w:szCs w:val="10"/>
              </w:rPr>
              <w:t xml:space="preserve"> 079,6</w:t>
            </w:r>
          </w:p>
        </w:tc>
        <w:tc>
          <w:tcPr>
            <w:tcW w:w="840"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1 632,7</w:t>
            </w:r>
          </w:p>
        </w:tc>
        <w:tc>
          <w:tcPr>
            <w:tcW w:w="755"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3 193,1</w:t>
            </w:r>
          </w:p>
        </w:tc>
      </w:tr>
      <w:tr w:rsidR="00705F07">
        <w:trPr>
          <w:trHeight w:val="450"/>
          <w:jc w:val="center"/>
        </w:trPr>
        <w:tc>
          <w:tcPr>
            <w:tcW w:w="1085" w:type="dxa"/>
            <w:tcBorders>
              <w:top w:val="nil"/>
              <w:left w:val="single" w:sz="4" w:space="0" w:color="auto"/>
              <w:bottom w:val="single" w:sz="4" w:space="0" w:color="auto"/>
              <w:right w:val="nil"/>
            </w:tcBorders>
            <w:vAlign w:val="center"/>
            <w:hideMark/>
          </w:tcPr>
          <w:p w:rsidR="00705F07" w:rsidRDefault="00185A37">
            <w:pPr>
              <w:jc w:val="center"/>
              <w:rPr>
                <w:color w:val="000000"/>
                <w:sz w:val="10"/>
                <w:szCs w:val="10"/>
              </w:rPr>
            </w:pPr>
            <w:r>
              <w:rPr>
                <w:color w:val="000000"/>
                <w:sz w:val="10"/>
                <w:szCs w:val="10"/>
              </w:rPr>
              <w:t xml:space="preserve">                        - млн євро *</w:t>
            </w:r>
          </w:p>
        </w:tc>
        <w:tc>
          <w:tcPr>
            <w:tcW w:w="683"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0,0</w:t>
            </w:r>
          </w:p>
        </w:tc>
        <w:tc>
          <w:tcPr>
            <w:tcW w:w="683"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0,0</w:t>
            </w:r>
          </w:p>
        </w:tc>
        <w:tc>
          <w:tcPr>
            <w:tcW w:w="799"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1 084,9</w:t>
            </w:r>
          </w:p>
        </w:tc>
        <w:tc>
          <w:tcPr>
            <w:tcW w:w="732"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559,1</w:t>
            </w:r>
          </w:p>
        </w:tc>
        <w:tc>
          <w:tcPr>
            <w:tcW w:w="598"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319,6</w:t>
            </w:r>
          </w:p>
        </w:tc>
        <w:tc>
          <w:tcPr>
            <w:tcW w:w="599"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0,0</w:t>
            </w:r>
          </w:p>
        </w:tc>
        <w:tc>
          <w:tcPr>
            <w:tcW w:w="711"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0,0</w:t>
            </w:r>
          </w:p>
        </w:tc>
        <w:tc>
          <w:tcPr>
            <w:tcW w:w="601"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0,0</w:t>
            </w:r>
          </w:p>
        </w:tc>
        <w:tc>
          <w:tcPr>
            <w:tcW w:w="805"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0,0</w:t>
            </w:r>
          </w:p>
        </w:tc>
        <w:tc>
          <w:tcPr>
            <w:tcW w:w="801"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0,0</w:t>
            </w:r>
          </w:p>
        </w:tc>
        <w:tc>
          <w:tcPr>
            <w:tcW w:w="840"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0,0</w:t>
            </w:r>
          </w:p>
        </w:tc>
        <w:tc>
          <w:tcPr>
            <w:tcW w:w="755"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0,0</w:t>
            </w:r>
          </w:p>
        </w:tc>
      </w:tr>
      <w:tr w:rsidR="00705F07">
        <w:trPr>
          <w:trHeight w:val="675"/>
          <w:jc w:val="center"/>
        </w:trPr>
        <w:tc>
          <w:tcPr>
            <w:tcW w:w="1085" w:type="dxa"/>
            <w:tcBorders>
              <w:top w:val="nil"/>
              <w:left w:val="single" w:sz="4" w:space="0" w:color="auto"/>
              <w:bottom w:val="single" w:sz="4" w:space="0" w:color="auto"/>
              <w:right w:val="nil"/>
            </w:tcBorders>
            <w:vAlign w:val="center"/>
            <w:hideMark/>
          </w:tcPr>
          <w:p w:rsidR="00705F07" w:rsidRDefault="00185A37">
            <w:pPr>
              <w:jc w:val="center"/>
              <w:rPr>
                <w:color w:val="000000"/>
                <w:sz w:val="10"/>
                <w:szCs w:val="10"/>
              </w:rPr>
            </w:pPr>
            <w:r>
              <w:rPr>
                <w:color w:val="000000"/>
                <w:sz w:val="10"/>
                <w:szCs w:val="10"/>
              </w:rPr>
              <w:t xml:space="preserve">                        - млн інших валют в доларовому еквіваленті</w:t>
            </w:r>
          </w:p>
        </w:tc>
        <w:tc>
          <w:tcPr>
            <w:tcW w:w="683"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0,0</w:t>
            </w:r>
          </w:p>
        </w:tc>
        <w:tc>
          <w:tcPr>
            <w:tcW w:w="683"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0,0</w:t>
            </w:r>
          </w:p>
        </w:tc>
        <w:tc>
          <w:tcPr>
            <w:tcW w:w="799"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0,0</w:t>
            </w:r>
          </w:p>
        </w:tc>
        <w:tc>
          <w:tcPr>
            <w:tcW w:w="732"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0,0</w:t>
            </w:r>
          </w:p>
        </w:tc>
        <w:tc>
          <w:tcPr>
            <w:tcW w:w="598"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0,0</w:t>
            </w:r>
          </w:p>
        </w:tc>
        <w:tc>
          <w:tcPr>
            <w:tcW w:w="599"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0,0</w:t>
            </w:r>
          </w:p>
        </w:tc>
        <w:tc>
          <w:tcPr>
            <w:tcW w:w="711"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0,0</w:t>
            </w:r>
          </w:p>
        </w:tc>
        <w:tc>
          <w:tcPr>
            <w:tcW w:w="601"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0,0</w:t>
            </w:r>
          </w:p>
        </w:tc>
        <w:tc>
          <w:tcPr>
            <w:tcW w:w="805"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0,0</w:t>
            </w:r>
          </w:p>
        </w:tc>
        <w:tc>
          <w:tcPr>
            <w:tcW w:w="801"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0,0</w:t>
            </w:r>
          </w:p>
        </w:tc>
        <w:tc>
          <w:tcPr>
            <w:tcW w:w="840"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0,0</w:t>
            </w:r>
          </w:p>
        </w:tc>
        <w:tc>
          <w:tcPr>
            <w:tcW w:w="755" w:type="dxa"/>
            <w:tcBorders>
              <w:top w:val="nil"/>
              <w:left w:val="nil"/>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0,0</w:t>
            </w:r>
          </w:p>
        </w:tc>
      </w:tr>
    </w:tbl>
    <w:p w:rsidR="00705F07" w:rsidRDefault="00185A37">
      <w:pPr>
        <w:spacing w:line="360" w:lineRule="auto"/>
        <w:ind w:firstLine="709"/>
        <w:jc w:val="right"/>
        <w:rPr>
          <w:color w:val="000000"/>
          <w:sz w:val="28"/>
          <w:szCs w:val="28"/>
          <w:lang w:val="uk-UA"/>
        </w:rPr>
      </w:pPr>
      <w:r>
        <w:rPr>
          <w:color w:val="000000"/>
          <w:sz w:val="28"/>
          <w:szCs w:val="28"/>
          <w:lang w:val="uk-UA"/>
        </w:rPr>
        <w:t>Продовження додатку А</w:t>
      </w:r>
    </w:p>
    <w:p w:rsidR="00705F07" w:rsidRDefault="00185A37">
      <w:pPr>
        <w:spacing w:line="360" w:lineRule="auto"/>
        <w:ind w:firstLine="709"/>
        <w:jc w:val="right"/>
        <w:rPr>
          <w:color w:val="000000"/>
          <w:sz w:val="28"/>
          <w:szCs w:val="28"/>
          <w:lang w:val="uk-UA"/>
        </w:rPr>
      </w:pPr>
      <w:r>
        <w:rPr>
          <w:color w:val="000000"/>
          <w:sz w:val="28"/>
          <w:szCs w:val="28"/>
          <w:lang w:val="uk-UA"/>
        </w:rPr>
        <w:t>Продовження табл. А.1</w:t>
      </w:r>
    </w:p>
    <w:tbl>
      <w:tblPr>
        <w:tblW w:w="96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5"/>
        <w:gridCol w:w="683"/>
        <w:gridCol w:w="683"/>
        <w:gridCol w:w="799"/>
        <w:gridCol w:w="732"/>
        <w:gridCol w:w="598"/>
        <w:gridCol w:w="599"/>
        <w:gridCol w:w="711"/>
        <w:gridCol w:w="601"/>
        <w:gridCol w:w="805"/>
        <w:gridCol w:w="801"/>
        <w:gridCol w:w="840"/>
        <w:gridCol w:w="755"/>
      </w:tblGrid>
      <w:tr w:rsidR="00705F07">
        <w:trPr>
          <w:trHeight w:val="450"/>
          <w:jc w:val="center"/>
        </w:trPr>
        <w:tc>
          <w:tcPr>
            <w:tcW w:w="1085" w:type="dxa"/>
            <w:tcBorders>
              <w:top w:val="single" w:sz="4" w:space="0" w:color="auto"/>
              <w:left w:val="single" w:sz="4" w:space="0" w:color="auto"/>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 xml:space="preserve">         купівлі (млн. дол США в еквіваленті)</w:t>
            </w:r>
          </w:p>
        </w:tc>
        <w:tc>
          <w:tcPr>
            <w:tcW w:w="683" w:type="dxa"/>
            <w:tcBorders>
              <w:top w:val="single" w:sz="4" w:space="0" w:color="auto"/>
              <w:left w:val="single" w:sz="4" w:space="0" w:color="auto"/>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197,7</w:t>
            </w:r>
          </w:p>
        </w:tc>
        <w:tc>
          <w:tcPr>
            <w:tcW w:w="683" w:type="dxa"/>
            <w:tcBorders>
              <w:top w:val="single" w:sz="4" w:space="0" w:color="auto"/>
              <w:left w:val="single" w:sz="4" w:space="0" w:color="auto"/>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951,2</w:t>
            </w:r>
          </w:p>
        </w:tc>
        <w:tc>
          <w:tcPr>
            <w:tcW w:w="799" w:type="dxa"/>
            <w:tcBorders>
              <w:top w:val="single" w:sz="4" w:space="0" w:color="auto"/>
              <w:left w:val="single" w:sz="4" w:space="0" w:color="auto"/>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699,7</w:t>
            </w:r>
          </w:p>
        </w:tc>
        <w:tc>
          <w:tcPr>
            <w:tcW w:w="732" w:type="dxa"/>
            <w:tcBorders>
              <w:top w:val="single" w:sz="4" w:space="0" w:color="auto"/>
              <w:left w:val="single" w:sz="4" w:space="0" w:color="auto"/>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41,0</w:t>
            </w:r>
          </w:p>
        </w:tc>
        <w:tc>
          <w:tcPr>
            <w:tcW w:w="598" w:type="dxa"/>
            <w:tcBorders>
              <w:top w:val="single" w:sz="4" w:space="0" w:color="auto"/>
              <w:left w:val="single" w:sz="4" w:space="0" w:color="auto"/>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56,4</w:t>
            </w:r>
          </w:p>
        </w:tc>
        <w:tc>
          <w:tcPr>
            <w:tcW w:w="599" w:type="dxa"/>
            <w:tcBorders>
              <w:top w:val="single" w:sz="4" w:space="0" w:color="auto"/>
              <w:left w:val="single" w:sz="4" w:space="0" w:color="auto"/>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26,7</w:t>
            </w:r>
          </w:p>
        </w:tc>
        <w:tc>
          <w:tcPr>
            <w:tcW w:w="711" w:type="dxa"/>
            <w:tcBorders>
              <w:top w:val="single" w:sz="4" w:space="0" w:color="auto"/>
              <w:left w:val="single" w:sz="4" w:space="0" w:color="auto"/>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922,0</w:t>
            </w:r>
          </w:p>
        </w:tc>
        <w:tc>
          <w:tcPr>
            <w:tcW w:w="601" w:type="dxa"/>
            <w:tcBorders>
              <w:top w:val="single" w:sz="4" w:space="0" w:color="auto"/>
              <w:left w:val="single" w:sz="4" w:space="0" w:color="auto"/>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311,7</w:t>
            </w:r>
          </w:p>
        </w:tc>
        <w:tc>
          <w:tcPr>
            <w:tcW w:w="805" w:type="dxa"/>
            <w:tcBorders>
              <w:top w:val="single" w:sz="4" w:space="0" w:color="auto"/>
              <w:left w:val="single" w:sz="4" w:space="0" w:color="auto"/>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39,4</w:t>
            </w:r>
          </w:p>
        </w:tc>
        <w:tc>
          <w:tcPr>
            <w:tcW w:w="801" w:type="dxa"/>
            <w:tcBorders>
              <w:top w:val="single" w:sz="4" w:space="0" w:color="auto"/>
              <w:left w:val="single" w:sz="4" w:space="0" w:color="auto"/>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47,7</w:t>
            </w:r>
          </w:p>
        </w:tc>
        <w:tc>
          <w:tcPr>
            <w:tcW w:w="840" w:type="dxa"/>
            <w:tcBorders>
              <w:top w:val="single" w:sz="4" w:space="0" w:color="auto"/>
              <w:left w:val="single" w:sz="4" w:space="0" w:color="auto"/>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63,9</w:t>
            </w:r>
          </w:p>
        </w:tc>
        <w:tc>
          <w:tcPr>
            <w:tcW w:w="755" w:type="dxa"/>
            <w:tcBorders>
              <w:top w:val="single" w:sz="4" w:space="0" w:color="auto"/>
              <w:left w:val="single" w:sz="4" w:space="0" w:color="auto"/>
              <w:bottom w:val="single" w:sz="4" w:space="0" w:color="auto"/>
              <w:right w:val="single" w:sz="4" w:space="0" w:color="auto"/>
            </w:tcBorders>
            <w:vAlign w:val="center"/>
            <w:hideMark/>
          </w:tcPr>
          <w:p w:rsidR="00705F07" w:rsidRDefault="00185A37">
            <w:pPr>
              <w:jc w:val="center"/>
              <w:rPr>
                <w:color w:val="000000"/>
                <w:sz w:val="10"/>
                <w:szCs w:val="10"/>
              </w:rPr>
            </w:pPr>
            <w:r>
              <w:rPr>
                <w:color w:val="000000"/>
                <w:sz w:val="10"/>
                <w:szCs w:val="10"/>
              </w:rPr>
              <w:t>29,6</w:t>
            </w:r>
          </w:p>
        </w:tc>
      </w:tr>
      <w:tr w:rsidR="00705F07">
        <w:trPr>
          <w:trHeight w:val="450"/>
          <w:jc w:val="center"/>
        </w:trPr>
        <w:tc>
          <w:tcPr>
            <w:tcW w:w="1085" w:type="dxa"/>
            <w:vAlign w:val="center"/>
            <w:hideMark/>
          </w:tcPr>
          <w:p w:rsidR="00705F07" w:rsidRDefault="00185A37">
            <w:pPr>
              <w:jc w:val="center"/>
              <w:rPr>
                <w:color w:val="000000"/>
                <w:sz w:val="10"/>
                <w:szCs w:val="10"/>
              </w:rPr>
            </w:pPr>
            <w:r>
              <w:rPr>
                <w:color w:val="000000"/>
                <w:sz w:val="10"/>
                <w:szCs w:val="10"/>
              </w:rPr>
              <w:t xml:space="preserve">                        - млн долар США</w:t>
            </w:r>
          </w:p>
        </w:tc>
        <w:tc>
          <w:tcPr>
            <w:tcW w:w="683" w:type="dxa"/>
            <w:vAlign w:val="center"/>
            <w:hideMark/>
          </w:tcPr>
          <w:p w:rsidR="00705F07" w:rsidRDefault="00185A37">
            <w:pPr>
              <w:jc w:val="center"/>
              <w:rPr>
                <w:color w:val="000000"/>
                <w:sz w:val="10"/>
                <w:szCs w:val="10"/>
              </w:rPr>
            </w:pPr>
            <w:r>
              <w:rPr>
                <w:color w:val="000000"/>
                <w:sz w:val="10"/>
                <w:szCs w:val="10"/>
              </w:rPr>
              <w:t>197,7</w:t>
            </w:r>
          </w:p>
        </w:tc>
        <w:tc>
          <w:tcPr>
            <w:tcW w:w="683" w:type="dxa"/>
            <w:vAlign w:val="center"/>
            <w:hideMark/>
          </w:tcPr>
          <w:p w:rsidR="00705F07" w:rsidRDefault="00185A37">
            <w:pPr>
              <w:jc w:val="center"/>
              <w:rPr>
                <w:color w:val="000000"/>
                <w:sz w:val="10"/>
                <w:szCs w:val="10"/>
              </w:rPr>
            </w:pPr>
            <w:r>
              <w:rPr>
                <w:color w:val="000000"/>
                <w:sz w:val="10"/>
                <w:szCs w:val="10"/>
              </w:rPr>
              <w:t>951,2</w:t>
            </w:r>
          </w:p>
        </w:tc>
        <w:tc>
          <w:tcPr>
            <w:tcW w:w="799" w:type="dxa"/>
            <w:vAlign w:val="center"/>
            <w:hideMark/>
          </w:tcPr>
          <w:p w:rsidR="00705F07" w:rsidRDefault="00185A37">
            <w:pPr>
              <w:jc w:val="center"/>
              <w:rPr>
                <w:color w:val="000000"/>
                <w:sz w:val="10"/>
                <w:szCs w:val="10"/>
              </w:rPr>
            </w:pPr>
            <w:r>
              <w:rPr>
                <w:color w:val="000000"/>
                <w:sz w:val="10"/>
                <w:szCs w:val="10"/>
              </w:rPr>
              <w:t>616,9</w:t>
            </w:r>
          </w:p>
        </w:tc>
        <w:tc>
          <w:tcPr>
            <w:tcW w:w="732" w:type="dxa"/>
            <w:vAlign w:val="center"/>
            <w:hideMark/>
          </w:tcPr>
          <w:p w:rsidR="00705F07" w:rsidRDefault="00185A37">
            <w:pPr>
              <w:jc w:val="center"/>
              <w:rPr>
                <w:color w:val="000000"/>
                <w:sz w:val="10"/>
                <w:szCs w:val="10"/>
              </w:rPr>
            </w:pPr>
            <w:r>
              <w:rPr>
                <w:color w:val="000000"/>
                <w:sz w:val="10"/>
                <w:szCs w:val="10"/>
              </w:rPr>
              <w:t>15,5</w:t>
            </w:r>
          </w:p>
        </w:tc>
        <w:tc>
          <w:tcPr>
            <w:tcW w:w="598" w:type="dxa"/>
            <w:vAlign w:val="center"/>
            <w:hideMark/>
          </w:tcPr>
          <w:p w:rsidR="00705F07" w:rsidRDefault="00185A37">
            <w:pPr>
              <w:jc w:val="center"/>
              <w:rPr>
                <w:color w:val="000000"/>
                <w:sz w:val="10"/>
                <w:szCs w:val="10"/>
              </w:rPr>
            </w:pPr>
            <w:r>
              <w:rPr>
                <w:color w:val="000000"/>
                <w:sz w:val="10"/>
                <w:szCs w:val="10"/>
              </w:rPr>
              <w:t>41,3</w:t>
            </w:r>
          </w:p>
        </w:tc>
        <w:tc>
          <w:tcPr>
            <w:tcW w:w="599" w:type="dxa"/>
            <w:vAlign w:val="center"/>
            <w:hideMark/>
          </w:tcPr>
          <w:p w:rsidR="00705F07" w:rsidRDefault="00185A37">
            <w:pPr>
              <w:jc w:val="center"/>
              <w:rPr>
                <w:color w:val="000000"/>
                <w:sz w:val="10"/>
                <w:szCs w:val="10"/>
              </w:rPr>
            </w:pPr>
            <w:r>
              <w:rPr>
                <w:color w:val="000000"/>
                <w:sz w:val="10"/>
                <w:szCs w:val="10"/>
              </w:rPr>
              <w:t>26,7</w:t>
            </w:r>
          </w:p>
        </w:tc>
        <w:tc>
          <w:tcPr>
            <w:tcW w:w="711" w:type="dxa"/>
            <w:vAlign w:val="center"/>
            <w:hideMark/>
          </w:tcPr>
          <w:p w:rsidR="00705F07" w:rsidRDefault="00185A37">
            <w:pPr>
              <w:jc w:val="center"/>
              <w:rPr>
                <w:color w:val="000000"/>
                <w:sz w:val="10"/>
                <w:szCs w:val="10"/>
              </w:rPr>
            </w:pPr>
            <w:r>
              <w:rPr>
                <w:color w:val="000000"/>
                <w:sz w:val="10"/>
                <w:szCs w:val="10"/>
              </w:rPr>
              <w:t>922,0</w:t>
            </w:r>
          </w:p>
        </w:tc>
        <w:tc>
          <w:tcPr>
            <w:tcW w:w="601" w:type="dxa"/>
            <w:vAlign w:val="center"/>
            <w:hideMark/>
          </w:tcPr>
          <w:p w:rsidR="00705F07" w:rsidRDefault="00185A37">
            <w:pPr>
              <w:jc w:val="center"/>
              <w:rPr>
                <w:color w:val="000000"/>
                <w:sz w:val="10"/>
                <w:szCs w:val="10"/>
              </w:rPr>
            </w:pPr>
            <w:r>
              <w:rPr>
                <w:color w:val="000000"/>
                <w:sz w:val="10"/>
                <w:szCs w:val="10"/>
              </w:rPr>
              <w:t>311,7</w:t>
            </w:r>
          </w:p>
        </w:tc>
        <w:tc>
          <w:tcPr>
            <w:tcW w:w="805" w:type="dxa"/>
            <w:vAlign w:val="center"/>
            <w:hideMark/>
          </w:tcPr>
          <w:p w:rsidR="00705F07" w:rsidRDefault="00185A37">
            <w:pPr>
              <w:jc w:val="center"/>
              <w:rPr>
                <w:color w:val="000000"/>
                <w:sz w:val="10"/>
                <w:szCs w:val="10"/>
              </w:rPr>
            </w:pPr>
            <w:r>
              <w:rPr>
                <w:color w:val="000000"/>
                <w:sz w:val="10"/>
                <w:szCs w:val="10"/>
              </w:rPr>
              <w:t>39,4</w:t>
            </w:r>
          </w:p>
        </w:tc>
        <w:tc>
          <w:tcPr>
            <w:tcW w:w="801" w:type="dxa"/>
            <w:vAlign w:val="center"/>
            <w:hideMark/>
          </w:tcPr>
          <w:p w:rsidR="00705F07" w:rsidRDefault="00185A37">
            <w:pPr>
              <w:jc w:val="center"/>
              <w:rPr>
                <w:color w:val="000000"/>
                <w:sz w:val="10"/>
                <w:szCs w:val="10"/>
              </w:rPr>
            </w:pPr>
            <w:r>
              <w:rPr>
                <w:color w:val="000000"/>
                <w:sz w:val="10"/>
                <w:szCs w:val="10"/>
              </w:rPr>
              <w:t>47,7</w:t>
            </w:r>
          </w:p>
        </w:tc>
        <w:tc>
          <w:tcPr>
            <w:tcW w:w="840" w:type="dxa"/>
            <w:vAlign w:val="center"/>
            <w:hideMark/>
          </w:tcPr>
          <w:p w:rsidR="00705F07" w:rsidRDefault="00185A37">
            <w:pPr>
              <w:jc w:val="center"/>
              <w:rPr>
                <w:color w:val="000000"/>
                <w:sz w:val="10"/>
                <w:szCs w:val="10"/>
              </w:rPr>
            </w:pPr>
            <w:r>
              <w:rPr>
                <w:color w:val="000000"/>
                <w:sz w:val="10"/>
                <w:szCs w:val="10"/>
              </w:rPr>
              <w:t>63,9</w:t>
            </w:r>
          </w:p>
        </w:tc>
        <w:tc>
          <w:tcPr>
            <w:tcW w:w="755" w:type="dxa"/>
            <w:vAlign w:val="center"/>
            <w:hideMark/>
          </w:tcPr>
          <w:p w:rsidR="00705F07" w:rsidRDefault="00185A37">
            <w:pPr>
              <w:jc w:val="center"/>
              <w:rPr>
                <w:color w:val="000000"/>
                <w:sz w:val="10"/>
                <w:szCs w:val="10"/>
              </w:rPr>
            </w:pPr>
            <w:r>
              <w:rPr>
                <w:color w:val="000000"/>
                <w:sz w:val="10"/>
                <w:szCs w:val="10"/>
              </w:rPr>
              <w:t>29,6</w:t>
            </w:r>
          </w:p>
        </w:tc>
      </w:tr>
      <w:tr w:rsidR="00705F07">
        <w:trPr>
          <w:trHeight w:val="450"/>
          <w:jc w:val="center"/>
        </w:trPr>
        <w:tc>
          <w:tcPr>
            <w:tcW w:w="1085" w:type="dxa"/>
            <w:vAlign w:val="center"/>
            <w:hideMark/>
          </w:tcPr>
          <w:p w:rsidR="00705F07" w:rsidRDefault="00185A37">
            <w:pPr>
              <w:jc w:val="center"/>
              <w:rPr>
                <w:color w:val="000000"/>
                <w:sz w:val="10"/>
                <w:szCs w:val="10"/>
              </w:rPr>
            </w:pPr>
            <w:r>
              <w:rPr>
                <w:color w:val="000000"/>
                <w:sz w:val="10"/>
                <w:szCs w:val="10"/>
              </w:rPr>
              <w:t xml:space="preserve">                        - млн євро **</w:t>
            </w:r>
          </w:p>
        </w:tc>
        <w:tc>
          <w:tcPr>
            <w:tcW w:w="683" w:type="dxa"/>
            <w:vAlign w:val="center"/>
            <w:hideMark/>
          </w:tcPr>
          <w:p w:rsidR="00705F07" w:rsidRDefault="00185A37">
            <w:pPr>
              <w:jc w:val="center"/>
              <w:rPr>
                <w:color w:val="000000"/>
                <w:sz w:val="10"/>
                <w:szCs w:val="10"/>
              </w:rPr>
            </w:pPr>
            <w:r>
              <w:rPr>
                <w:color w:val="000000"/>
                <w:sz w:val="10"/>
                <w:szCs w:val="10"/>
              </w:rPr>
              <w:t>0,0</w:t>
            </w:r>
          </w:p>
        </w:tc>
        <w:tc>
          <w:tcPr>
            <w:tcW w:w="683" w:type="dxa"/>
            <w:vAlign w:val="center"/>
            <w:hideMark/>
          </w:tcPr>
          <w:p w:rsidR="00705F07" w:rsidRDefault="00185A37">
            <w:pPr>
              <w:jc w:val="center"/>
              <w:rPr>
                <w:color w:val="000000"/>
                <w:sz w:val="10"/>
                <w:szCs w:val="10"/>
              </w:rPr>
            </w:pPr>
            <w:r>
              <w:rPr>
                <w:color w:val="000000"/>
                <w:sz w:val="10"/>
                <w:szCs w:val="10"/>
              </w:rPr>
              <w:t>0,0</w:t>
            </w:r>
          </w:p>
        </w:tc>
        <w:tc>
          <w:tcPr>
            <w:tcW w:w="799" w:type="dxa"/>
            <w:vAlign w:val="center"/>
            <w:hideMark/>
          </w:tcPr>
          <w:p w:rsidR="00705F07" w:rsidRDefault="00185A37">
            <w:pPr>
              <w:jc w:val="center"/>
              <w:rPr>
                <w:color w:val="000000"/>
                <w:sz w:val="10"/>
                <w:szCs w:val="10"/>
              </w:rPr>
            </w:pPr>
            <w:r>
              <w:rPr>
                <w:color w:val="000000"/>
                <w:sz w:val="10"/>
                <w:szCs w:val="10"/>
              </w:rPr>
              <w:t>82,8</w:t>
            </w:r>
          </w:p>
        </w:tc>
        <w:tc>
          <w:tcPr>
            <w:tcW w:w="732" w:type="dxa"/>
            <w:vAlign w:val="center"/>
            <w:hideMark/>
          </w:tcPr>
          <w:p w:rsidR="00705F07" w:rsidRDefault="00185A37">
            <w:pPr>
              <w:jc w:val="center"/>
              <w:rPr>
                <w:color w:val="000000"/>
                <w:sz w:val="10"/>
                <w:szCs w:val="10"/>
              </w:rPr>
            </w:pPr>
            <w:r>
              <w:rPr>
                <w:color w:val="000000"/>
                <w:sz w:val="10"/>
                <w:szCs w:val="10"/>
              </w:rPr>
              <w:t>25,5</w:t>
            </w:r>
          </w:p>
        </w:tc>
        <w:tc>
          <w:tcPr>
            <w:tcW w:w="598" w:type="dxa"/>
            <w:vAlign w:val="center"/>
            <w:hideMark/>
          </w:tcPr>
          <w:p w:rsidR="00705F07" w:rsidRDefault="00185A37">
            <w:pPr>
              <w:jc w:val="center"/>
              <w:rPr>
                <w:color w:val="000000"/>
                <w:sz w:val="10"/>
                <w:szCs w:val="10"/>
              </w:rPr>
            </w:pPr>
            <w:r>
              <w:rPr>
                <w:color w:val="000000"/>
                <w:sz w:val="10"/>
                <w:szCs w:val="10"/>
              </w:rPr>
              <w:t>15,1</w:t>
            </w:r>
          </w:p>
        </w:tc>
        <w:tc>
          <w:tcPr>
            <w:tcW w:w="599" w:type="dxa"/>
            <w:vAlign w:val="center"/>
            <w:hideMark/>
          </w:tcPr>
          <w:p w:rsidR="00705F07" w:rsidRDefault="00185A37">
            <w:pPr>
              <w:jc w:val="center"/>
              <w:rPr>
                <w:color w:val="000000"/>
                <w:sz w:val="10"/>
                <w:szCs w:val="10"/>
              </w:rPr>
            </w:pPr>
            <w:r>
              <w:rPr>
                <w:color w:val="000000"/>
                <w:sz w:val="10"/>
                <w:szCs w:val="10"/>
              </w:rPr>
              <w:t>0,0</w:t>
            </w:r>
          </w:p>
        </w:tc>
        <w:tc>
          <w:tcPr>
            <w:tcW w:w="711" w:type="dxa"/>
            <w:vAlign w:val="center"/>
            <w:hideMark/>
          </w:tcPr>
          <w:p w:rsidR="00705F07" w:rsidRDefault="00185A37">
            <w:pPr>
              <w:jc w:val="center"/>
              <w:rPr>
                <w:color w:val="000000"/>
                <w:sz w:val="10"/>
                <w:szCs w:val="10"/>
              </w:rPr>
            </w:pPr>
            <w:r>
              <w:rPr>
                <w:color w:val="000000"/>
                <w:sz w:val="10"/>
                <w:szCs w:val="10"/>
              </w:rPr>
              <w:t>0,0</w:t>
            </w:r>
          </w:p>
        </w:tc>
        <w:tc>
          <w:tcPr>
            <w:tcW w:w="601" w:type="dxa"/>
            <w:vAlign w:val="center"/>
            <w:hideMark/>
          </w:tcPr>
          <w:p w:rsidR="00705F07" w:rsidRDefault="00185A37">
            <w:pPr>
              <w:jc w:val="center"/>
              <w:rPr>
                <w:color w:val="000000"/>
                <w:sz w:val="10"/>
                <w:szCs w:val="10"/>
              </w:rPr>
            </w:pPr>
            <w:r>
              <w:rPr>
                <w:color w:val="000000"/>
                <w:sz w:val="10"/>
                <w:szCs w:val="10"/>
              </w:rPr>
              <w:t>0,0</w:t>
            </w:r>
          </w:p>
        </w:tc>
        <w:tc>
          <w:tcPr>
            <w:tcW w:w="805" w:type="dxa"/>
            <w:vAlign w:val="center"/>
            <w:hideMark/>
          </w:tcPr>
          <w:p w:rsidR="00705F07" w:rsidRDefault="00185A37">
            <w:pPr>
              <w:jc w:val="center"/>
              <w:rPr>
                <w:color w:val="000000"/>
                <w:sz w:val="10"/>
                <w:szCs w:val="10"/>
              </w:rPr>
            </w:pPr>
            <w:r>
              <w:rPr>
                <w:color w:val="000000"/>
                <w:sz w:val="10"/>
                <w:szCs w:val="10"/>
              </w:rPr>
              <w:t>0,0</w:t>
            </w:r>
          </w:p>
        </w:tc>
        <w:tc>
          <w:tcPr>
            <w:tcW w:w="801" w:type="dxa"/>
            <w:vAlign w:val="center"/>
            <w:hideMark/>
          </w:tcPr>
          <w:p w:rsidR="00705F07" w:rsidRDefault="00185A37">
            <w:pPr>
              <w:jc w:val="center"/>
              <w:rPr>
                <w:color w:val="000000"/>
                <w:sz w:val="10"/>
                <w:szCs w:val="10"/>
              </w:rPr>
            </w:pPr>
            <w:r>
              <w:rPr>
                <w:color w:val="000000"/>
                <w:sz w:val="10"/>
                <w:szCs w:val="10"/>
              </w:rPr>
              <w:t>0,0</w:t>
            </w:r>
          </w:p>
        </w:tc>
        <w:tc>
          <w:tcPr>
            <w:tcW w:w="840" w:type="dxa"/>
            <w:vAlign w:val="center"/>
            <w:hideMark/>
          </w:tcPr>
          <w:p w:rsidR="00705F07" w:rsidRDefault="00185A37">
            <w:pPr>
              <w:jc w:val="center"/>
              <w:rPr>
                <w:color w:val="000000"/>
                <w:sz w:val="10"/>
                <w:szCs w:val="10"/>
              </w:rPr>
            </w:pPr>
            <w:r>
              <w:rPr>
                <w:color w:val="000000"/>
                <w:sz w:val="10"/>
                <w:szCs w:val="10"/>
              </w:rPr>
              <w:t>0,0</w:t>
            </w:r>
          </w:p>
        </w:tc>
        <w:tc>
          <w:tcPr>
            <w:tcW w:w="755" w:type="dxa"/>
            <w:vAlign w:val="center"/>
            <w:hideMark/>
          </w:tcPr>
          <w:p w:rsidR="00705F07" w:rsidRDefault="00185A37">
            <w:pPr>
              <w:jc w:val="center"/>
              <w:rPr>
                <w:color w:val="000000"/>
                <w:sz w:val="10"/>
                <w:szCs w:val="10"/>
              </w:rPr>
            </w:pPr>
            <w:r>
              <w:rPr>
                <w:color w:val="000000"/>
                <w:sz w:val="10"/>
                <w:szCs w:val="10"/>
              </w:rPr>
              <w:t>0,0</w:t>
            </w:r>
          </w:p>
        </w:tc>
      </w:tr>
      <w:tr w:rsidR="00705F07">
        <w:trPr>
          <w:trHeight w:val="675"/>
          <w:jc w:val="center"/>
        </w:trPr>
        <w:tc>
          <w:tcPr>
            <w:tcW w:w="1085" w:type="dxa"/>
            <w:vAlign w:val="center"/>
            <w:hideMark/>
          </w:tcPr>
          <w:p w:rsidR="00705F07" w:rsidRDefault="00185A37">
            <w:pPr>
              <w:jc w:val="center"/>
              <w:rPr>
                <w:color w:val="000000"/>
                <w:sz w:val="10"/>
                <w:szCs w:val="10"/>
              </w:rPr>
            </w:pPr>
            <w:r>
              <w:rPr>
                <w:color w:val="000000"/>
                <w:sz w:val="10"/>
                <w:szCs w:val="10"/>
              </w:rPr>
              <w:t xml:space="preserve">                        - млн інших валют в доларовому еквіваленті</w:t>
            </w:r>
          </w:p>
        </w:tc>
        <w:tc>
          <w:tcPr>
            <w:tcW w:w="683" w:type="dxa"/>
            <w:vAlign w:val="center"/>
            <w:hideMark/>
          </w:tcPr>
          <w:p w:rsidR="00705F07" w:rsidRDefault="00185A37">
            <w:pPr>
              <w:jc w:val="center"/>
              <w:rPr>
                <w:color w:val="000000"/>
                <w:sz w:val="10"/>
                <w:szCs w:val="10"/>
              </w:rPr>
            </w:pPr>
            <w:r>
              <w:rPr>
                <w:color w:val="000000"/>
                <w:sz w:val="10"/>
                <w:szCs w:val="10"/>
              </w:rPr>
              <w:t>0,0</w:t>
            </w:r>
          </w:p>
        </w:tc>
        <w:tc>
          <w:tcPr>
            <w:tcW w:w="683" w:type="dxa"/>
            <w:vAlign w:val="center"/>
            <w:hideMark/>
          </w:tcPr>
          <w:p w:rsidR="00705F07" w:rsidRDefault="00185A37">
            <w:pPr>
              <w:jc w:val="center"/>
              <w:rPr>
                <w:color w:val="000000"/>
                <w:sz w:val="10"/>
                <w:szCs w:val="10"/>
              </w:rPr>
            </w:pPr>
            <w:r>
              <w:rPr>
                <w:color w:val="000000"/>
                <w:sz w:val="10"/>
                <w:szCs w:val="10"/>
              </w:rPr>
              <w:t>0,0</w:t>
            </w:r>
          </w:p>
        </w:tc>
        <w:tc>
          <w:tcPr>
            <w:tcW w:w="799" w:type="dxa"/>
            <w:vAlign w:val="center"/>
            <w:hideMark/>
          </w:tcPr>
          <w:p w:rsidR="00705F07" w:rsidRDefault="00185A37">
            <w:pPr>
              <w:jc w:val="center"/>
              <w:rPr>
                <w:color w:val="000000"/>
                <w:sz w:val="10"/>
                <w:szCs w:val="10"/>
              </w:rPr>
            </w:pPr>
            <w:r>
              <w:rPr>
                <w:color w:val="000000"/>
                <w:sz w:val="10"/>
                <w:szCs w:val="10"/>
              </w:rPr>
              <w:t>0,0</w:t>
            </w:r>
          </w:p>
        </w:tc>
        <w:tc>
          <w:tcPr>
            <w:tcW w:w="732" w:type="dxa"/>
            <w:vAlign w:val="center"/>
            <w:hideMark/>
          </w:tcPr>
          <w:p w:rsidR="00705F07" w:rsidRDefault="00185A37">
            <w:pPr>
              <w:jc w:val="center"/>
              <w:rPr>
                <w:color w:val="000000"/>
                <w:sz w:val="10"/>
                <w:szCs w:val="10"/>
              </w:rPr>
            </w:pPr>
            <w:r>
              <w:rPr>
                <w:color w:val="000000"/>
                <w:sz w:val="10"/>
                <w:szCs w:val="10"/>
              </w:rPr>
              <w:t>0,0</w:t>
            </w:r>
          </w:p>
        </w:tc>
        <w:tc>
          <w:tcPr>
            <w:tcW w:w="598" w:type="dxa"/>
            <w:vAlign w:val="center"/>
            <w:hideMark/>
          </w:tcPr>
          <w:p w:rsidR="00705F07" w:rsidRDefault="00185A37">
            <w:pPr>
              <w:jc w:val="center"/>
              <w:rPr>
                <w:color w:val="000000"/>
                <w:sz w:val="10"/>
                <w:szCs w:val="10"/>
              </w:rPr>
            </w:pPr>
            <w:r>
              <w:rPr>
                <w:color w:val="000000"/>
                <w:sz w:val="10"/>
                <w:szCs w:val="10"/>
              </w:rPr>
              <w:t>0,0</w:t>
            </w:r>
          </w:p>
        </w:tc>
        <w:tc>
          <w:tcPr>
            <w:tcW w:w="599" w:type="dxa"/>
            <w:vAlign w:val="center"/>
            <w:hideMark/>
          </w:tcPr>
          <w:p w:rsidR="00705F07" w:rsidRDefault="00185A37">
            <w:pPr>
              <w:jc w:val="center"/>
              <w:rPr>
                <w:color w:val="000000"/>
                <w:sz w:val="10"/>
                <w:szCs w:val="10"/>
              </w:rPr>
            </w:pPr>
            <w:r>
              <w:rPr>
                <w:color w:val="000000"/>
                <w:sz w:val="10"/>
                <w:szCs w:val="10"/>
              </w:rPr>
              <w:t>0,0</w:t>
            </w:r>
          </w:p>
        </w:tc>
        <w:tc>
          <w:tcPr>
            <w:tcW w:w="711" w:type="dxa"/>
            <w:vAlign w:val="center"/>
            <w:hideMark/>
          </w:tcPr>
          <w:p w:rsidR="00705F07" w:rsidRDefault="00185A37">
            <w:pPr>
              <w:jc w:val="center"/>
              <w:rPr>
                <w:color w:val="000000"/>
                <w:sz w:val="10"/>
                <w:szCs w:val="10"/>
              </w:rPr>
            </w:pPr>
            <w:r>
              <w:rPr>
                <w:color w:val="000000"/>
                <w:sz w:val="10"/>
                <w:szCs w:val="10"/>
              </w:rPr>
              <w:t>0,0</w:t>
            </w:r>
          </w:p>
        </w:tc>
        <w:tc>
          <w:tcPr>
            <w:tcW w:w="601" w:type="dxa"/>
            <w:vAlign w:val="center"/>
            <w:hideMark/>
          </w:tcPr>
          <w:p w:rsidR="00705F07" w:rsidRDefault="00185A37">
            <w:pPr>
              <w:jc w:val="center"/>
              <w:rPr>
                <w:color w:val="000000"/>
                <w:sz w:val="10"/>
                <w:szCs w:val="10"/>
              </w:rPr>
            </w:pPr>
            <w:r>
              <w:rPr>
                <w:color w:val="000000"/>
                <w:sz w:val="10"/>
                <w:szCs w:val="10"/>
              </w:rPr>
              <w:t>0,0</w:t>
            </w:r>
          </w:p>
        </w:tc>
        <w:tc>
          <w:tcPr>
            <w:tcW w:w="805" w:type="dxa"/>
            <w:vAlign w:val="center"/>
            <w:hideMark/>
          </w:tcPr>
          <w:p w:rsidR="00705F07" w:rsidRDefault="00185A37">
            <w:pPr>
              <w:jc w:val="center"/>
              <w:rPr>
                <w:color w:val="000000"/>
                <w:sz w:val="10"/>
                <w:szCs w:val="10"/>
              </w:rPr>
            </w:pPr>
            <w:r>
              <w:rPr>
                <w:color w:val="000000"/>
                <w:sz w:val="10"/>
                <w:szCs w:val="10"/>
              </w:rPr>
              <w:t>0,0</w:t>
            </w:r>
          </w:p>
        </w:tc>
        <w:tc>
          <w:tcPr>
            <w:tcW w:w="801" w:type="dxa"/>
            <w:vAlign w:val="center"/>
            <w:hideMark/>
          </w:tcPr>
          <w:p w:rsidR="00705F07" w:rsidRDefault="00185A37">
            <w:pPr>
              <w:jc w:val="center"/>
              <w:rPr>
                <w:color w:val="000000"/>
                <w:sz w:val="10"/>
                <w:szCs w:val="10"/>
              </w:rPr>
            </w:pPr>
            <w:r>
              <w:rPr>
                <w:color w:val="000000"/>
                <w:sz w:val="10"/>
                <w:szCs w:val="10"/>
              </w:rPr>
              <w:t>0,0</w:t>
            </w:r>
          </w:p>
        </w:tc>
        <w:tc>
          <w:tcPr>
            <w:tcW w:w="840" w:type="dxa"/>
            <w:vAlign w:val="center"/>
            <w:hideMark/>
          </w:tcPr>
          <w:p w:rsidR="00705F07" w:rsidRDefault="00185A37">
            <w:pPr>
              <w:jc w:val="center"/>
              <w:rPr>
                <w:color w:val="000000"/>
                <w:sz w:val="10"/>
                <w:szCs w:val="10"/>
              </w:rPr>
            </w:pPr>
            <w:r>
              <w:rPr>
                <w:color w:val="000000"/>
                <w:sz w:val="10"/>
                <w:szCs w:val="10"/>
              </w:rPr>
              <w:t>0,0</w:t>
            </w:r>
          </w:p>
        </w:tc>
        <w:tc>
          <w:tcPr>
            <w:tcW w:w="755" w:type="dxa"/>
            <w:vAlign w:val="center"/>
            <w:hideMark/>
          </w:tcPr>
          <w:p w:rsidR="00705F07" w:rsidRDefault="00185A37">
            <w:pPr>
              <w:jc w:val="center"/>
              <w:rPr>
                <w:color w:val="000000"/>
                <w:sz w:val="10"/>
                <w:szCs w:val="10"/>
              </w:rPr>
            </w:pPr>
            <w:r>
              <w:rPr>
                <w:color w:val="000000"/>
                <w:sz w:val="10"/>
                <w:szCs w:val="10"/>
              </w:rPr>
              <w:t>0,0</w:t>
            </w:r>
          </w:p>
        </w:tc>
      </w:tr>
      <w:tr w:rsidR="00705F07">
        <w:trPr>
          <w:trHeight w:val="1050"/>
          <w:jc w:val="center"/>
        </w:trPr>
        <w:tc>
          <w:tcPr>
            <w:tcW w:w="1085" w:type="dxa"/>
            <w:shd w:val="clear" w:color="000000" w:fill="D7E4BC"/>
            <w:vAlign w:val="center"/>
            <w:hideMark/>
          </w:tcPr>
          <w:p w:rsidR="00705F07" w:rsidRDefault="00185A37">
            <w:pPr>
              <w:jc w:val="center"/>
              <w:rPr>
                <w:bCs/>
                <w:color w:val="000000"/>
                <w:sz w:val="10"/>
                <w:szCs w:val="10"/>
              </w:rPr>
            </w:pPr>
            <w:r>
              <w:rPr>
                <w:bCs/>
                <w:color w:val="000000"/>
                <w:sz w:val="10"/>
                <w:szCs w:val="10"/>
              </w:rPr>
              <w:t xml:space="preserve">Обсяг операцій з готівковою іноземною валютою, </w:t>
            </w:r>
            <w:r>
              <w:rPr>
                <w:bCs/>
                <w:color w:val="000000"/>
                <w:sz w:val="10"/>
                <w:szCs w:val="10"/>
              </w:rPr>
              <w:t>Усього (млн. дол США в еквіваленті):</w:t>
            </w:r>
          </w:p>
        </w:tc>
        <w:tc>
          <w:tcPr>
            <w:tcW w:w="683" w:type="dxa"/>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683" w:type="dxa"/>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799" w:type="dxa"/>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732" w:type="dxa"/>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598" w:type="dxa"/>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599" w:type="dxa"/>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711" w:type="dxa"/>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601" w:type="dxa"/>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805" w:type="dxa"/>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801" w:type="dxa"/>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840" w:type="dxa"/>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755" w:type="dxa"/>
            <w:shd w:val="clear" w:color="000000" w:fill="D7E4BC"/>
            <w:vAlign w:val="center"/>
            <w:hideMark/>
          </w:tcPr>
          <w:p w:rsidR="00705F07" w:rsidRDefault="00185A37">
            <w:pPr>
              <w:jc w:val="center"/>
              <w:rPr>
                <w:color w:val="000000"/>
                <w:sz w:val="10"/>
                <w:szCs w:val="10"/>
              </w:rPr>
            </w:pPr>
            <w:r>
              <w:rPr>
                <w:color w:val="000000"/>
                <w:sz w:val="10"/>
                <w:szCs w:val="10"/>
              </w:rPr>
              <w:t> </w:t>
            </w:r>
          </w:p>
        </w:tc>
      </w:tr>
      <w:tr w:rsidR="00705F07">
        <w:trPr>
          <w:trHeight w:val="225"/>
          <w:jc w:val="center"/>
        </w:trPr>
        <w:tc>
          <w:tcPr>
            <w:tcW w:w="1085" w:type="dxa"/>
            <w:vAlign w:val="center"/>
            <w:hideMark/>
          </w:tcPr>
          <w:p w:rsidR="00705F07" w:rsidRDefault="00185A37">
            <w:pPr>
              <w:jc w:val="center"/>
              <w:rPr>
                <w:color w:val="000000"/>
                <w:sz w:val="10"/>
                <w:szCs w:val="10"/>
              </w:rPr>
            </w:pPr>
            <w:r>
              <w:rPr>
                <w:color w:val="000000"/>
                <w:sz w:val="10"/>
                <w:szCs w:val="10"/>
              </w:rPr>
              <w:t xml:space="preserve">         продажу</w:t>
            </w:r>
          </w:p>
        </w:tc>
        <w:tc>
          <w:tcPr>
            <w:tcW w:w="683" w:type="dxa"/>
            <w:vAlign w:val="center"/>
            <w:hideMark/>
          </w:tcPr>
          <w:p w:rsidR="00705F07" w:rsidRDefault="00185A37">
            <w:pPr>
              <w:jc w:val="center"/>
              <w:rPr>
                <w:color w:val="000000"/>
                <w:sz w:val="10"/>
                <w:szCs w:val="10"/>
              </w:rPr>
            </w:pPr>
            <w:r>
              <w:rPr>
                <w:color w:val="000000"/>
                <w:sz w:val="10"/>
                <w:szCs w:val="10"/>
              </w:rPr>
              <w:t>1 629,8</w:t>
            </w:r>
          </w:p>
        </w:tc>
        <w:tc>
          <w:tcPr>
            <w:tcW w:w="683" w:type="dxa"/>
            <w:vAlign w:val="center"/>
            <w:hideMark/>
          </w:tcPr>
          <w:p w:rsidR="00705F07" w:rsidRDefault="00185A37">
            <w:pPr>
              <w:jc w:val="center"/>
              <w:rPr>
                <w:color w:val="000000"/>
                <w:sz w:val="10"/>
                <w:szCs w:val="10"/>
              </w:rPr>
            </w:pPr>
            <w:r>
              <w:rPr>
                <w:color w:val="000000"/>
                <w:sz w:val="10"/>
                <w:szCs w:val="10"/>
              </w:rPr>
              <w:t>1 408,4</w:t>
            </w:r>
          </w:p>
        </w:tc>
        <w:tc>
          <w:tcPr>
            <w:tcW w:w="799" w:type="dxa"/>
            <w:vAlign w:val="center"/>
            <w:hideMark/>
          </w:tcPr>
          <w:p w:rsidR="00705F07" w:rsidRDefault="00185A37">
            <w:pPr>
              <w:jc w:val="center"/>
              <w:rPr>
                <w:color w:val="000000"/>
                <w:sz w:val="10"/>
                <w:szCs w:val="10"/>
              </w:rPr>
            </w:pPr>
            <w:r>
              <w:rPr>
                <w:color w:val="000000"/>
                <w:sz w:val="10"/>
                <w:szCs w:val="10"/>
              </w:rPr>
              <w:t>71,4</w:t>
            </w:r>
          </w:p>
        </w:tc>
        <w:tc>
          <w:tcPr>
            <w:tcW w:w="732" w:type="dxa"/>
            <w:vAlign w:val="center"/>
            <w:hideMark/>
          </w:tcPr>
          <w:p w:rsidR="00705F07" w:rsidRDefault="00185A37">
            <w:pPr>
              <w:jc w:val="center"/>
              <w:rPr>
                <w:color w:val="000000"/>
                <w:sz w:val="10"/>
                <w:szCs w:val="10"/>
              </w:rPr>
            </w:pPr>
            <w:r>
              <w:rPr>
                <w:color w:val="000000"/>
                <w:sz w:val="10"/>
                <w:szCs w:val="10"/>
              </w:rPr>
              <w:t>68,8</w:t>
            </w:r>
          </w:p>
        </w:tc>
        <w:tc>
          <w:tcPr>
            <w:tcW w:w="598" w:type="dxa"/>
            <w:vAlign w:val="center"/>
            <w:hideMark/>
          </w:tcPr>
          <w:p w:rsidR="00705F07" w:rsidRDefault="00185A37">
            <w:pPr>
              <w:jc w:val="center"/>
              <w:rPr>
                <w:color w:val="000000"/>
                <w:sz w:val="10"/>
                <w:szCs w:val="10"/>
              </w:rPr>
            </w:pPr>
            <w:r>
              <w:rPr>
                <w:color w:val="000000"/>
                <w:sz w:val="10"/>
                <w:szCs w:val="10"/>
              </w:rPr>
              <w:t>188,6</w:t>
            </w:r>
          </w:p>
        </w:tc>
        <w:tc>
          <w:tcPr>
            <w:tcW w:w="599" w:type="dxa"/>
            <w:vAlign w:val="center"/>
            <w:hideMark/>
          </w:tcPr>
          <w:p w:rsidR="00705F07" w:rsidRDefault="00185A37">
            <w:pPr>
              <w:jc w:val="center"/>
              <w:rPr>
                <w:color w:val="000000"/>
                <w:sz w:val="10"/>
                <w:szCs w:val="10"/>
              </w:rPr>
            </w:pPr>
            <w:r>
              <w:rPr>
                <w:color w:val="000000"/>
                <w:sz w:val="10"/>
                <w:szCs w:val="10"/>
              </w:rPr>
              <w:t>852,4</w:t>
            </w:r>
          </w:p>
        </w:tc>
        <w:tc>
          <w:tcPr>
            <w:tcW w:w="711" w:type="dxa"/>
            <w:vAlign w:val="center"/>
            <w:hideMark/>
          </w:tcPr>
          <w:p w:rsidR="00705F07" w:rsidRDefault="00185A37">
            <w:pPr>
              <w:jc w:val="center"/>
              <w:rPr>
                <w:color w:val="000000"/>
                <w:sz w:val="10"/>
                <w:szCs w:val="10"/>
              </w:rPr>
            </w:pPr>
            <w:r>
              <w:rPr>
                <w:color w:val="000000"/>
                <w:sz w:val="10"/>
                <w:szCs w:val="10"/>
              </w:rPr>
              <w:t>1 046,7</w:t>
            </w:r>
          </w:p>
        </w:tc>
        <w:tc>
          <w:tcPr>
            <w:tcW w:w="601" w:type="dxa"/>
            <w:vAlign w:val="center"/>
            <w:hideMark/>
          </w:tcPr>
          <w:p w:rsidR="00705F07" w:rsidRDefault="00185A37">
            <w:pPr>
              <w:jc w:val="center"/>
              <w:rPr>
                <w:color w:val="000000"/>
                <w:sz w:val="10"/>
                <w:szCs w:val="10"/>
              </w:rPr>
            </w:pPr>
            <w:r>
              <w:rPr>
                <w:color w:val="000000"/>
                <w:sz w:val="10"/>
                <w:szCs w:val="10"/>
              </w:rPr>
              <w:t>1 353,8</w:t>
            </w:r>
          </w:p>
        </w:tc>
        <w:tc>
          <w:tcPr>
            <w:tcW w:w="805" w:type="dxa"/>
            <w:vAlign w:val="center"/>
            <w:hideMark/>
          </w:tcPr>
          <w:p w:rsidR="00705F07" w:rsidRDefault="00185A37">
            <w:pPr>
              <w:jc w:val="center"/>
              <w:rPr>
                <w:color w:val="000000"/>
                <w:sz w:val="10"/>
                <w:szCs w:val="10"/>
              </w:rPr>
            </w:pPr>
            <w:r>
              <w:rPr>
                <w:color w:val="000000"/>
                <w:sz w:val="10"/>
                <w:szCs w:val="10"/>
              </w:rPr>
              <w:t>1 438,6</w:t>
            </w:r>
          </w:p>
        </w:tc>
        <w:tc>
          <w:tcPr>
            <w:tcW w:w="801" w:type="dxa"/>
            <w:vAlign w:val="center"/>
            <w:hideMark/>
          </w:tcPr>
          <w:p w:rsidR="00705F07" w:rsidRDefault="00185A37">
            <w:pPr>
              <w:jc w:val="center"/>
              <w:rPr>
                <w:color w:val="000000"/>
                <w:sz w:val="10"/>
                <w:szCs w:val="10"/>
              </w:rPr>
            </w:pPr>
            <w:r>
              <w:rPr>
                <w:color w:val="000000"/>
                <w:sz w:val="10"/>
                <w:szCs w:val="10"/>
              </w:rPr>
              <w:t>1 371,9</w:t>
            </w:r>
          </w:p>
        </w:tc>
        <w:tc>
          <w:tcPr>
            <w:tcW w:w="840" w:type="dxa"/>
            <w:vAlign w:val="center"/>
            <w:hideMark/>
          </w:tcPr>
          <w:p w:rsidR="00705F07" w:rsidRDefault="00185A37">
            <w:pPr>
              <w:jc w:val="center"/>
              <w:rPr>
                <w:color w:val="000000"/>
                <w:sz w:val="10"/>
                <w:szCs w:val="10"/>
              </w:rPr>
            </w:pPr>
            <w:r>
              <w:rPr>
                <w:color w:val="000000"/>
                <w:sz w:val="10"/>
                <w:szCs w:val="10"/>
              </w:rPr>
              <w:t>1 370,0</w:t>
            </w:r>
          </w:p>
        </w:tc>
        <w:tc>
          <w:tcPr>
            <w:tcW w:w="755" w:type="dxa"/>
            <w:vAlign w:val="center"/>
            <w:hideMark/>
          </w:tcPr>
          <w:p w:rsidR="00705F07" w:rsidRDefault="00185A37">
            <w:pPr>
              <w:jc w:val="center"/>
              <w:rPr>
                <w:color w:val="000000"/>
                <w:sz w:val="10"/>
                <w:szCs w:val="10"/>
              </w:rPr>
            </w:pPr>
            <w:r>
              <w:rPr>
                <w:color w:val="000000"/>
                <w:sz w:val="10"/>
                <w:szCs w:val="10"/>
              </w:rPr>
              <w:t>1 424,4</w:t>
            </w:r>
          </w:p>
        </w:tc>
      </w:tr>
      <w:tr w:rsidR="00705F07">
        <w:trPr>
          <w:trHeight w:val="225"/>
          <w:jc w:val="center"/>
        </w:trPr>
        <w:tc>
          <w:tcPr>
            <w:tcW w:w="1085" w:type="dxa"/>
            <w:vAlign w:val="center"/>
            <w:hideMark/>
          </w:tcPr>
          <w:p w:rsidR="00705F07" w:rsidRDefault="00185A37">
            <w:pPr>
              <w:jc w:val="center"/>
              <w:rPr>
                <w:color w:val="000000"/>
                <w:sz w:val="10"/>
                <w:szCs w:val="10"/>
              </w:rPr>
            </w:pPr>
            <w:r>
              <w:rPr>
                <w:color w:val="000000"/>
                <w:sz w:val="10"/>
                <w:szCs w:val="10"/>
              </w:rPr>
              <w:t xml:space="preserve">         купівлі</w:t>
            </w:r>
          </w:p>
        </w:tc>
        <w:tc>
          <w:tcPr>
            <w:tcW w:w="683" w:type="dxa"/>
            <w:vAlign w:val="center"/>
            <w:hideMark/>
          </w:tcPr>
          <w:p w:rsidR="00705F07" w:rsidRDefault="00185A37">
            <w:pPr>
              <w:jc w:val="center"/>
              <w:rPr>
                <w:color w:val="000000"/>
                <w:sz w:val="10"/>
                <w:szCs w:val="10"/>
              </w:rPr>
            </w:pPr>
            <w:r>
              <w:rPr>
                <w:color w:val="000000"/>
                <w:sz w:val="10"/>
                <w:szCs w:val="10"/>
              </w:rPr>
              <w:t>1 627,5</w:t>
            </w:r>
          </w:p>
        </w:tc>
        <w:tc>
          <w:tcPr>
            <w:tcW w:w="683" w:type="dxa"/>
            <w:vAlign w:val="center"/>
            <w:hideMark/>
          </w:tcPr>
          <w:p w:rsidR="00705F07" w:rsidRDefault="00185A37">
            <w:pPr>
              <w:jc w:val="center"/>
              <w:rPr>
                <w:color w:val="000000"/>
                <w:sz w:val="10"/>
                <w:szCs w:val="10"/>
              </w:rPr>
            </w:pPr>
            <w:r>
              <w:rPr>
                <w:color w:val="000000"/>
                <w:sz w:val="10"/>
                <w:szCs w:val="10"/>
              </w:rPr>
              <w:t>1 415,1</w:t>
            </w:r>
          </w:p>
        </w:tc>
        <w:tc>
          <w:tcPr>
            <w:tcW w:w="799" w:type="dxa"/>
            <w:vAlign w:val="center"/>
            <w:hideMark/>
          </w:tcPr>
          <w:p w:rsidR="00705F07" w:rsidRDefault="00185A37">
            <w:pPr>
              <w:jc w:val="center"/>
              <w:rPr>
                <w:color w:val="000000"/>
                <w:sz w:val="10"/>
                <w:szCs w:val="10"/>
              </w:rPr>
            </w:pPr>
            <w:r>
              <w:rPr>
                <w:color w:val="000000"/>
                <w:sz w:val="10"/>
                <w:szCs w:val="10"/>
              </w:rPr>
              <w:t>72,1</w:t>
            </w:r>
          </w:p>
        </w:tc>
        <w:tc>
          <w:tcPr>
            <w:tcW w:w="732" w:type="dxa"/>
            <w:vAlign w:val="center"/>
            <w:hideMark/>
          </w:tcPr>
          <w:p w:rsidR="00705F07" w:rsidRDefault="00185A37">
            <w:pPr>
              <w:jc w:val="center"/>
              <w:rPr>
                <w:color w:val="000000"/>
                <w:sz w:val="10"/>
                <w:szCs w:val="10"/>
              </w:rPr>
            </w:pPr>
            <w:r>
              <w:rPr>
                <w:color w:val="000000"/>
                <w:sz w:val="10"/>
                <w:szCs w:val="10"/>
              </w:rPr>
              <w:t>62,7</w:t>
            </w:r>
          </w:p>
        </w:tc>
        <w:tc>
          <w:tcPr>
            <w:tcW w:w="598" w:type="dxa"/>
            <w:vAlign w:val="center"/>
            <w:hideMark/>
          </w:tcPr>
          <w:p w:rsidR="00705F07" w:rsidRDefault="00185A37">
            <w:pPr>
              <w:jc w:val="center"/>
              <w:rPr>
                <w:color w:val="000000"/>
                <w:sz w:val="10"/>
                <w:szCs w:val="10"/>
              </w:rPr>
            </w:pPr>
            <w:r>
              <w:rPr>
                <w:color w:val="000000"/>
                <w:sz w:val="10"/>
                <w:szCs w:val="10"/>
              </w:rPr>
              <w:t>216,9</w:t>
            </w:r>
          </w:p>
        </w:tc>
        <w:tc>
          <w:tcPr>
            <w:tcW w:w="599" w:type="dxa"/>
            <w:vAlign w:val="center"/>
            <w:hideMark/>
          </w:tcPr>
          <w:p w:rsidR="00705F07" w:rsidRDefault="00185A37">
            <w:pPr>
              <w:jc w:val="center"/>
              <w:rPr>
                <w:color w:val="000000"/>
                <w:sz w:val="10"/>
                <w:szCs w:val="10"/>
              </w:rPr>
            </w:pPr>
            <w:r>
              <w:rPr>
                <w:color w:val="000000"/>
                <w:sz w:val="10"/>
                <w:szCs w:val="10"/>
              </w:rPr>
              <w:t>865,0</w:t>
            </w:r>
          </w:p>
        </w:tc>
        <w:tc>
          <w:tcPr>
            <w:tcW w:w="711" w:type="dxa"/>
            <w:vAlign w:val="center"/>
            <w:hideMark/>
          </w:tcPr>
          <w:p w:rsidR="00705F07" w:rsidRDefault="00185A37">
            <w:pPr>
              <w:jc w:val="center"/>
              <w:rPr>
                <w:color w:val="000000"/>
                <w:sz w:val="10"/>
                <w:szCs w:val="10"/>
              </w:rPr>
            </w:pPr>
            <w:r>
              <w:rPr>
                <w:color w:val="000000"/>
                <w:sz w:val="10"/>
                <w:szCs w:val="10"/>
              </w:rPr>
              <w:t>1 024,9</w:t>
            </w:r>
          </w:p>
        </w:tc>
        <w:tc>
          <w:tcPr>
            <w:tcW w:w="601" w:type="dxa"/>
            <w:vAlign w:val="center"/>
            <w:hideMark/>
          </w:tcPr>
          <w:p w:rsidR="00705F07" w:rsidRDefault="00185A37">
            <w:pPr>
              <w:jc w:val="center"/>
              <w:rPr>
                <w:color w:val="000000"/>
                <w:sz w:val="10"/>
                <w:szCs w:val="10"/>
              </w:rPr>
            </w:pPr>
            <w:r>
              <w:rPr>
                <w:color w:val="000000"/>
                <w:sz w:val="10"/>
                <w:szCs w:val="10"/>
              </w:rPr>
              <w:t>1 176,0</w:t>
            </w:r>
          </w:p>
        </w:tc>
        <w:tc>
          <w:tcPr>
            <w:tcW w:w="805" w:type="dxa"/>
            <w:vAlign w:val="center"/>
            <w:hideMark/>
          </w:tcPr>
          <w:p w:rsidR="00705F07" w:rsidRDefault="00185A37">
            <w:pPr>
              <w:jc w:val="center"/>
              <w:rPr>
                <w:color w:val="000000"/>
                <w:sz w:val="10"/>
                <w:szCs w:val="10"/>
              </w:rPr>
            </w:pPr>
            <w:r>
              <w:rPr>
                <w:color w:val="000000"/>
                <w:sz w:val="10"/>
                <w:szCs w:val="10"/>
              </w:rPr>
              <w:t>1 289,2</w:t>
            </w:r>
          </w:p>
        </w:tc>
        <w:tc>
          <w:tcPr>
            <w:tcW w:w="801" w:type="dxa"/>
            <w:vAlign w:val="center"/>
            <w:hideMark/>
          </w:tcPr>
          <w:p w:rsidR="00705F07" w:rsidRDefault="00185A37">
            <w:pPr>
              <w:jc w:val="center"/>
              <w:rPr>
                <w:color w:val="000000"/>
                <w:sz w:val="10"/>
                <w:szCs w:val="10"/>
              </w:rPr>
            </w:pPr>
            <w:r>
              <w:rPr>
                <w:color w:val="000000"/>
                <w:sz w:val="10"/>
                <w:szCs w:val="10"/>
              </w:rPr>
              <w:t>1 144,0</w:t>
            </w:r>
          </w:p>
        </w:tc>
        <w:tc>
          <w:tcPr>
            <w:tcW w:w="840" w:type="dxa"/>
            <w:vAlign w:val="center"/>
            <w:hideMark/>
          </w:tcPr>
          <w:p w:rsidR="00705F07" w:rsidRDefault="00185A37">
            <w:pPr>
              <w:jc w:val="center"/>
              <w:rPr>
                <w:color w:val="000000"/>
                <w:sz w:val="10"/>
                <w:szCs w:val="10"/>
              </w:rPr>
            </w:pPr>
            <w:r>
              <w:rPr>
                <w:color w:val="000000"/>
                <w:sz w:val="10"/>
                <w:szCs w:val="10"/>
              </w:rPr>
              <w:t xml:space="preserve">1 </w:t>
            </w:r>
            <w:r>
              <w:rPr>
                <w:color w:val="000000"/>
                <w:sz w:val="10"/>
                <w:szCs w:val="10"/>
              </w:rPr>
              <w:t>130,4</w:t>
            </w:r>
          </w:p>
        </w:tc>
        <w:tc>
          <w:tcPr>
            <w:tcW w:w="755" w:type="dxa"/>
            <w:vAlign w:val="center"/>
            <w:hideMark/>
          </w:tcPr>
          <w:p w:rsidR="00705F07" w:rsidRDefault="00185A37">
            <w:pPr>
              <w:jc w:val="center"/>
              <w:rPr>
                <w:color w:val="000000"/>
                <w:sz w:val="10"/>
                <w:szCs w:val="10"/>
              </w:rPr>
            </w:pPr>
            <w:r>
              <w:rPr>
                <w:color w:val="000000"/>
                <w:sz w:val="10"/>
                <w:szCs w:val="10"/>
              </w:rPr>
              <w:t>1 191,5</w:t>
            </w:r>
          </w:p>
        </w:tc>
      </w:tr>
      <w:tr w:rsidR="00705F07">
        <w:trPr>
          <w:trHeight w:val="675"/>
          <w:jc w:val="center"/>
        </w:trPr>
        <w:tc>
          <w:tcPr>
            <w:tcW w:w="1085" w:type="dxa"/>
            <w:shd w:val="clear" w:color="000000" w:fill="B6DDE8"/>
            <w:vAlign w:val="center"/>
            <w:hideMark/>
          </w:tcPr>
          <w:p w:rsidR="00705F07" w:rsidRDefault="00185A37">
            <w:pPr>
              <w:jc w:val="center"/>
              <w:rPr>
                <w:color w:val="000000"/>
                <w:sz w:val="10"/>
                <w:szCs w:val="10"/>
              </w:rPr>
            </w:pPr>
            <w:r>
              <w:rPr>
                <w:color w:val="000000"/>
                <w:sz w:val="10"/>
                <w:szCs w:val="10"/>
              </w:rPr>
              <w:t>Сальдо (продаж мінус купівля, млн. дол США в еквіваленті)</w:t>
            </w:r>
          </w:p>
        </w:tc>
        <w:tc>
          <w:tcPr>
            <w:tcW w:w="683" w:type="dxa"/>
            <w:shd w:val="clear" w:color="000000" w:fill="B6DDE8"/>
            <w:vAlign w:val="center"/>
            <w:hideMark/>
          </w:tcPr>
          <w:p w:rsidR="00705F07" w:rsidRDefault="00185A37">
            <w:pPr>
              <w:jc w:val="center"/>
              <w:rPr>
                <w:color w:val="000000"/>
                <w:sz w:val="10"/>
                <w:szCs w:val="10"/>
              </w:rPr>
            </w:pPr>
            <w:r>
              <w:rPr>
                <w:color w:val="000000"/>
                <w:sz w:val="10"/>
                <w:szCs w:val="10"/>
              </w:rPr>
              <w:t>2,2</w:t>
            </w:r>
          </w:p>
        </w:tc>
        <w:tc>
          <w:tcPr>
            <w:tcW w:w="683" w:type="dxa"/>
            <w:shd w:val="clear" w:color="000000" w:fill="B6DDE8"/>
            <w:vAlign w:val="center"/>
            <w:hideMark/>
          </w:tcPr>
          <w:p w:rsidR="00705F07" w:rsidRDefault="00185A37">
            <w:pPr>
              <w:jc w:val="center"/>
              <w:rPr>
                <w:color w:val="000000"/>
                <w:sz w:val="10"/>
                <w:szCs w:val="10"/>
              </w:rPr>
            </w:pPr>
            <w:r>
              <w:rPr>
                <w:color w:val="000000"/>
                <w:sz w:val="10"/>
                <w:szCs w:val="10"/>
              </w:rPr>
              <w:t>-6,7</w:t>
            </w:r>
          </w:p>
        </w:tc>
        <w:tc>
          <w:tcPr>
            <w:tcW w:w="799" w:type="dxa"/>
            <w:shd w:val="clear" w:color="000000" w:fill="B6DDE8"/>
            <w:vAlign w:val="center"/>
            <w:hideMark/>
          </w:tcPr>
          <w:p w:rsidR="00705F07" w:rsidRDefault="00185A37">
            <w:pPr>
              <w:jc w:val="center"/>
              <w:rPr>
                <w:color w:val="000000"/>
                <w:sz w:val="10"/>
                <w:szCs w:val="10"/>
              </w:rPr>
            </w:pPr>
            <w:r>
              <w:rPr>
                <w:color w:val="000000"/>
                <w:sz w:val="10"/>
                <w:szCs w:val="10"/>
              </w:rPr>
              <w:t>-0,7</w:t>
            </w:r>
          </w:p>
        </w:tc>
        <w:tc>
          <w:tcPr>
            <w:tcW w:w="732" w:type="dxa"/>
            <w:shd w:val="clear" w:color="000000" w:fill="B6DDE8"/>
            <w:vAlign w:val="center"/>
            <w:hideMark/>
          </w:tcPr>
          <w:p w:rsidR="00705F07" w:rsidRDefault="00185A37">
            <w:pPr>
              <w:jc w:val="center"/>
              <w:rPr>
                <w:color w:val="000000"/>
                <w:sz w:val="10"/>
                <w:szCs w:val="10"/>
              </w:rPr>
            </w:pPr>
            <w:r>
              <w:rPr>
                <w:color w:val="000000"/>
                <w:sz w:val="10"/>
                <w:szCs w:val="10"/>
              </w:rPr>
              <w:t>6,1</w:t>
            </w:r>
          </w:p>
        </w:tc>
        <w:tc>
          <w:tcPr>
            <w:tcW w:w="598" w:type="dxa"/>
            <w:shd w:val="clear" w:color="000000" w:fill="B6DDE8"/>
            <w:vAlign w:val="center"/>
            <w:hideMark/>
          </w:tcPr>
          <w:p w:rsidR="00705F07" w:rsidRDefault="00185A37">
            <w:pPr>
              <w:jc w:val="center"/>
              <w:rPr>
                <w:color w:val="000000"/>
                <w:sz w:val="10"/>
                <w:szCs w:val="10"/>
              </w:rPr>
            </w:pPr>
            <w:r>
              <w:rPr>
                <w:color w:val="000000"/>
                <w:sz w:val="10"/>
                <w:szCs w:val="10"/>
              </w:rPr>
              <w:t>-28,2</w:t>
            </w:r>
          </w:p>
        </w:tc>
        <w:tc>
          <w:tcPr>
            <w:tcW w:w="599" w:type="dxa"/>
            <w:shd w:val="clear" w:color="000000" w:fill="B6DDE8"/>
            <w:vAlign w:val="center"/>
            <w:hideMark/>
          </w:tcPr>
          <w:p w:rsidR="00705F07" w:rsidRDefault="00185A37">
            <w:pPr>
              <w:jc w:val="center"/>
              <w:rPr>
                <w:color w:val="000000"/>
                <w:sz w:val="10"/>
                <w:szCs w:val="10"/>
              </w:rPr>
            </w:pPr>
            <w:r>
              <w:rPr>
                <w:color w:val="000000"/>
                <w:sz w:val="10"/>
                <w:szCs w:val="10"/>
              </w:rPr>
              <w:t>-12,6</w:t>
            </w:r>
          </w:p>
        </w:tc>
        <w:tc>
          <w:tcPr>
            <w:tcW w:w="711" w:type="dxa"/>
            <w:shd w:val="clear" w:color="000000" w:fill="B6DDE8"/>
            <w:vAlign w:val="center"/>
            <w:hideMark/>
          </w:tcPr>
          <w:p w:rsidR="00705F07" w:rsidRDefault="00185A37">
            <w:pPr>
              <w:jc w:val="center"/>
              <w:rPr>
                <w:color w:val="000000"/>
                <w:sz w:val="10"/>
                <w:szCs w:val="10"/>
              </w:rPr>
            </w:pPr>
            <w:r>
              <w:rPr>
                <w:color w:val="000000"/>
                <w:sz w:val="10"/>
                <w:szCs w:val="10"/>
              </w:rPr>
              <w:t>21,8</w:t>
            </w:r>
          </w:p>
        </w:tc>
        <w:tc>
          <w:tcPr>
            <w:tcW w:w="601" w:type="dxa"/>
            <w:shd w:val="clear" w:color="000000" w:fill="B6DDE8"/>
            <w:vAlign w:val="center"/>
            <w:hideMark/>
          </w:tcPr>
          <w:p w:rsidR="00705F07" w:rsidRDefault="00185A37">
            <w:pPr>
              <w:jc w:val="center"/>
              <w:rPr>
                <w:color w:val="000000"/>
                <w:sz w:val="10"/>
                <w:szCs w:val="10"/>
              </w:rPr>
            </w:pPr>
            <w:r>
              <w:rPr>
                <w:color w:val="000000"/>
                <w:sz w:val="10"/>
                <w:szCs w:val="10"/>
              </w:rPr>
              <w:t>177,8</w:t>
            </w:r>
          </w:p>
        </w:tc>
        <w:tc>
          <w:tcPr>
            <w:tcW w:w="805" w:type="dxa"/>
            <w:shd w:val="clear" w:color="000000" w:fill="B6DDE8"/>
            <w:vAlign w:val="center"/>
            <w:hideMark/>
          </w:tcPr>
          <w:p w:rsidR="00705F07" w:rsidRDefault="00185A37">
            <w:pPr>
              <w:jc w:val="center"/>
              <w:rPr>
                <w:color w:val="000000"/>
                <w:sz w:val="10"/>
                <w:szCs w:val="10"/>
              </w:rPr>
            </w:pPr>
            <w:r>
              <w:rPr>
                <w:color w:val="000000"/>
                <w:sz w:val="10"/>
                <w:szCs w:val="10"/>
              </w:rPr>
              <w:t>149,3</w:t>
            </w:r>
          </w:p>
        </w:tc>
        <w:tc>
          <w:tcPr>
            <w:tcW w:w="801" w:type="dxa"/>
            <w:shd w:val="clear" w:color="000000" w:fill="B6DDE8"/>
            <w:vAlign w:val="center"/>
            <w:hideMark/>
          </w:tcPr>
          <w:p w:rsidR="00705F07" w:rsidRDefault="00185A37">
            <w:pPr>
              <w:jc w:val="center"/>
              <w:rPr>
                <w:color w:val="000000"/>
                <w:sz w:val="10"/>
                <w:szCs w:val="10"/>
              </w:rPr>
            </w:pPr>
            <w:r>
              <w:rPr>
                <w:color w:val="000000"/>
                <w:sz w:val="10"/>
                <w:szCs w:val="10"/>
              </w:rPr>
              <w:t>228,0</w:t>
            </w:r>
          </w:p>
        </w:tc>
        <w:tc>
          <w:tcPr>
            <w:tcW w:w="840" w:type="dxa"/>
            <w:shd w:val="clear" w:color="000000" w:fill="B6DDE8"/>
            <w:vAlign w:val="center"/>
            <w:hideMark/>
          </w:tcPr>
          <w:p w:rsidR="00705F07" w:rsidRDefault="00185A37">
            <w:pPr>
              <w:jc w:val="center"/>
              <w:rPr>
                <w:color w:val="000000"/>
                <w:sz w:val="10"/>
                <w:szCs w:val="10"/>
              </w:rPr>
            </w:pPr>
            <w:r>
              <w:rPr>
                <w:color w:val="000000"/>
                <w:sz w:val="10"/>
                <w:szCs w:val="10"/>
              </w:rPr>
              <w:t>239,6</w:t>
            </w:r>
          </w:p>
        </w:tc>
        <w:tc>
          <w:tcPr>
            <w:tcW w:w="755" w:type="dxa"/>
            <w:shd w:val="clear" w:color="000000" w:fill="B6DDE8"/>
            <w:vAlign w:val="center"/>
            <w:hideMark/>
          </w:tcPr>
          <w:p w:rsidR="00705F07" w:rsidRDefault="00185A37">
            <w:pPr>
              <w:jc w:val="center"/>
              <w:rPr>
                <w:color w:val="000000"/>
                <w:sz w:val="10"/>
                <w:szCs w:val="10"/>
              </w:rPr>
            </w:pPr>
            <w:r>
              <w:rPr>
                <w:color w:val="000000"/>
                <w:sz w:val="10"/>
                <w:szCs w:val="10"/>
              </w:rPr>
              <w:t>232,9</w:t>
            </w:r>
          </w:p>
        </w:tc>
      </w:tr>
      <w:tr w:rsidR="00705F07">
        <w:trPr>
          <w:trHeight w:val="450"/>
          <w:jc w:val="center"/>
        </w:trPr>
        <w:tc>
          <w:tcPr>
            <w:tcW w:w="1085" w:type="dxa"/>
            <w:vAlign w:val="center"/>
            <w:hideMark/>
          </w:tcPr>
          <w:p w:rsidR="00705F07" w:rsidRDefault="00185A37">
            <w:pPr>
              <w:jc w:val="center"/>
              <w:rPr>
                <w:color w:val="000000"/>
                <w:sz w:val="10"/>
                <w:szCs w:val="10"/>
              </w:rPr>
            </w:pPr>
            <w:r>
              <w:rPr>
                <w:color w:val="000000"/>
                <w:sz w:val="10"/>
                <w:szCs w:val="10"/>
              </w:rPr>
              <w:t xml:space="preserve">         продажу (млн. дол США)</w:t>
            </w:r>
          </w:p>
        </w:tc>
        <w:tc>
          <w:tcPr>
            <w:tcW w:w="683" w:type="dxa"/>
            <w:vAlign w:val="center"/>
            <w:hideMark/>
          </w:tcPr>
          <w:p w:rsidR="00705F07" w:rsidRDefault="00185A37">
            <w:pPr>
              <w:jc w:val="center"/>
              <w:rPr>
                <w:color w:val="000000"/>
                <w:sz w:val="10"/>
                <w:szCs w:val="10"/>
              </w:rPr>
            </w:pPr>
            <w:r>
              <w:rPr>
                <w:color w:val="000000"/>
                <w:sz w:val="10"/>
                <w:szCs w:val="10"/>
              </w:rPr>
              <w:t>1 260,4</w:t>
            </w:r>
          </w:p>
        </w:tc>
        <w:tc>
          <w:tcPr>
            <w:tcW w:w="683" w:type="dxa"/>
            <w:vAlign w:val="center"/>
            <w:hideMark/>
          </w:tcPr>
          <w:p w:rsidR="00705F07" w:rsidRDefault="00185A37">
            <w:pPr>
              <w:jc w:val="center"/>
              <w:rPr>
                <w:color w:val="000000"/>
                <w:sz w:val="10"/>
                <w:szCs w:val="10"/>
              </w:rPr>
            </w:pPr>
            <w:r>
              <w:rPr>
                <w:color w:val="000000"/>
                <w:sz w:val="10"/>
                <w:szCs w:val="10"/>
              </w:rPr>
              <w:t>1 085,5</w:t>
            </w:r>
          </w:p>
        </w:tc>
        <w:tc>
          <w:tcPr>
            <w:tcW w:w="799" w:type="dxa"/>
            <w:vAlign w:val="center"/>
            <w:hideMark/>
          </w:tcPr>
          <w:p w:rsidR="00705F07" w:rsidRDefault="00185A37">
            <w:pPr>
              <w:jc w:val="center"/>
              <w:rPr>
                <w:color w:val="000000"/>
                <w:sz w:val="10"/>
                <w:szCs w:val="10"/>
              </w:rPr>
            </w:pPr>
            <w:r>
              <w:rPr>
                <w:color w:val="000000"/>
                <w:sz w:val="10"/>
                <w:szCs w:val="10"/>
              </w:rPr>
              <w:t>53,4</w:t>
            </w:r>
          </w:p>
        </w:tc>
        <w:tc>
          <w:tcPr>
            <w:tcW w:w="732" w:type="dxa"/>
            <w:vAlign w:val="center"/>
            <w:hideMark/>
          </w:tcPr>
          <w:p w:rsidR="00705F07" w:rsidRDefault="00185A37">
            <w:pPr>
              <w:jc w:val="center"/>
              <w:rPr>
                <w:color w:val="000000"/>
                <w:sz w:val="10"/>
                <w:szCs w:val="10"/>
              </w:rPr>
            </w:pPr>
            <w:r>
              <w:rPr>
                <w:color w:val="000000"/>
                <w:sz w:val="10"/>
                <w:szCs w:val="10"/>
              </w:rPr>
              <w:t>50,0</w:t>
            </w:r>
          </w:p>
        </w:tc>
        <w:tc>
          <w:tcPr>
            <w:tcW w:w="598" w:type="dxa"/>
            <w:vAlign w:val="center"/>
            <w:hideMark/>
          </w:tcPr>
          <w:p w:rsidR="00705F07" w:rsidRDefault="00185A37">
            <w:pPr>
              <w:jc w:val="center"/>
              <w:rPr>
                <w:color w:val="000000"/>
                <w:sz w:val="10"/>
                <w:szCs w:val="10"/>
              </w:rPr>
            </w:pPr>
            <w:r>
              <w:rPr>
                <w:color w:val="000000"/>
                <w:sz w:val="10"/>
                <w:szCs w:val="10"/>
              </w:rPr>
              <w:t>134,1</w:t>
            </w:r>
          </w:p>
        </w:tc>
        <w:tc>
          <w:tcPr>
            <w:tcW w:w="599" w:type="dxa"/>
            <w:vAlign w:val="center"/>
            <w:hideMark/>
          </w:tcPr>
          <w:p w:rsidR="00705F07" w:rsidRDefault="00185A37">
            <w:pPr>
              <w:jc w:val="center"/>
              <w:rPr>
                <w:color w:val="000000"/>
                <w:sz w:val="10"/>
                <w:szCs w:val="10"/>
              </w:rPr>
            </w:pPr>
            <w:r>
              <w:rPr>
                <w:color w:val="000000"/>
                <w:sz w:val="10"/>
                <w:szCs w:val="10"/>
              </w:rPr>
              <w:t>604,5</w:t>
            </w:r>
          </w:p>
        </w:tc>
        <w:tc>
          <w:tcPr>
            <w:tcW w:w="711" w:type="dxa"/>
            <w:vAlign w:val="center"/>
            <w:hideMark/>
          </w:tcPr>
          <w:p w:rsidR="00705F07" w:rsidRDefault="00185A37">
            <w:pPr>
              <w:jc w:val="center"/>
              <w:rPr>
                <w:color w:val="000000"/>
                <w:sz w:val="10"/>
                <w:szCs w:val="10"/>
              </w:rPr>
            </w:pPr>
            <w:r>
              <w:rPr>
                <w:color w:val="000000"/>
                <w:sz w:val="10"/>
                <w:szCs w:val="10"/>
              </w:rPr>
              <w:t>770,8</w:t>
            </w:r>
          </w:p>
        </w:tc>
        <w:tc>
          <w:tcPr>
            <w:tcW w:w="601" w:type="dxa"/>
            <w:vAlign w:val="center"/>
            <w:hideMark/>
          </w:tcPr>
          <w:p w:rsidR="00705F07" w:rsidRDefault="00185A37">
            <w:pPr>
              <w:jc w:val="center"/>
              <w:rPr>
                <w:color w:val="000000"/>
                <w:sz w:val="10"/>
                <w:szCs w:val="10"/>
              </w:rPr>
            </w:pPr>
            <w:r>
              <w:rPr>
                <w:color w:val="000000"/>
                <w:sz w:val="10"/>
                <w:szCs w:val="10"/>
              </w:rPr>
              <w:t>1 032,1</w:t>
            </w:r>
          </w:p>
        </w:tc>
        <w:tc>
          <w:tcPr>
            <w:tcW w:w="805" w:type="dxa"/>
            <w:vAlign w:val="center"/>
            <w:hideMark/>
          </w:tcPr>
          <w:p w:rsidR="00705F07" w:rsidRDefault="00185A37">
            <w:pPr>
              <w:jc w:val="center"/>
              <w:rPr>
                <w:color w:val="000000"/>
                <w:sz w:val="10"/>
                <w:szCs w:val="10"/>
              </w:rPr>
            </w:pPr>
            <w:r>
              <w:rPr>
                <w:color w:val="000000"/>
                <w:sz w:val="10"/>
                <w:szCs w:val="10"/>
              </w:rPr>
              <w:t>1 089,0</w:t>
            </w:r>
          </w:p>
        </w:tc>
        <w:tc>
          <w:tcPr>
            <w:tcW w:w="801" w:type="dxa"/>
            <w:vAlign w:val="center"/>
            <w:hideMark/>
          </w:tcPr>
          <w:p w:rsidR="00705F07" w:rsidRDefault="00185A37">
            <w:pPr>
              <w:jc w:val="center"/>
              <w:rPr>
                <w:color w:val="000000"/>
                <w:sz w:val="10"/>
                <w:szCs w:val="10"/>
              </w:rPr>
            </w:pPr>
            <w:r>
              <w:rPr>
                <w:color w:val="000000"/>
                <w:sz w:val="10"/>
                <w:szCs w:val="10"/>
              </w:rPr>
              <w:t>1 063,0</w:t>
            </w:r>
          </w:p>
        </w:tc>
        <w:tc>
          <w:tcPr>
            <w:tcW w:w="840" w:type="dxa"/>
            <w:vAlign w:val="center"/>
            <w:hideMark/>
          </w:tcPr>
          <w:p w:rsidR="00705F07" w:rsidRDefault="00185A37">
            <w:pPr>
              <w:jc w:val="center"/>
              <w:rPr>
                <w:color w:val="000000"/>
                <w:sz w:val="10"/>
                <w:szCs w:val="10"/>
              </w:rPr>
            </w:pPr>
            <w:r>
              <w:rPr>
                <w:color w:val="000000"/>
                <w:sz w:val="10"/>
                <w:szCs w:val="10"/>
              </w:rPr>
              <w:t>1 064,9</w:t>
            </w:r>
          </w:p>
        </w:tc>
        <w:tc>
          <w:tcPr>
            <w:tcW w:w="755" w:type="dxa"/>
            <w:vAlign w:val="center"/>
            <w:hideMark/>
          </w:tcPr>
          <w:p w:rsidR="00705F07" w:rsidRDefault="00185A37">
            <w:pPr>
              <w:jc w:val="center"/>
              <w:rPr>
                <w:color w:val="000000"/>
                <w:sz w:val="10"/>
                <w:szCs w:val="10"/>
              </w:rPr>
            </w:pPr>
            <w:r>
              <w:rPr>
                <w:color w:val="000000"/>
                <w:sz w:val="10"/>
                <w:szCs w:val="10"/>
              </w:rPr>
              <w:t>1 107,3</w:t>
            </w:r>
          </w:p>
        </w:tc>
      </w:tr>
      <w:tr w:rsidR="00705F07">
        <w:trPr>
          <w:trHeight w:val="450"/>
          <w:jc w:val="center"/>
        </w:trPr>
        <w:tc>
          <w:tcPr>
            <w:tcW w:w="1085" w:type="dxa"/>
            <w:vAlign w:val="center"/>
            <w:hideMark/>
          </w:tcPr>
          <w:p w:rsidR="00705F07" w:rsidRDefault="00185A37">
            <w:pPr>
              <w:jc w:val="center"/>
              <w:rPr>
                <w:color w:val="000000"/>
                <w:sz w:val="10"/>
                <w:szCs w:val="10"/>
              </w:rPr>
            </w:pPr>
            <w:r>
              <w:rPr>
                <w:color w:val="000000"/>
                <w:sz w:val="10"/>
                <w:szCs w:val="10"/>
              </w:rPr>
              <w:t xml:space="preserve">         купівлі (млн. дол США)</w:t>
            </w:r>
          </w:p>
        </w:tc>
        <w:tc>
          <w:tcPr>
            <w:tcW w:w="683" w:type="dxa"/>
            <w:vAlign w:val="center"/>
            <w:hideMark/>
          </w:tcPr>
          <w:p w:rsidR="00705F07" w:rsidRDefault="00185A37">
            <w:pPr>
              <w:jc w:val="center"/>
              <w:rPr>
                <w:color w:val="000000"/>
                <w:sz w:val="10"/>
                <w:szCs w:val="10"/>
              </w:rPr>
            </w:pPr>
            <w:r>
              <w:rPr>
                <w:color w:val="000000"/>
                <w:sz w:val="10"/>
                <w:szCs w:val="10"/>
              </w:rPr>
              <w:t>1 178,8</w:t>
            </w:r>
          </w:p>
        </w:tc>
        <w:tc>
          <w:tcPr>
            <w:tcW w:w="683" w:type="dxa"/>
            <w:vAlign w:val="center"/>
            <w:hideMark/>
          </w:tcPr>
          <w:p w:rsidR="00705F07" w:rsidRDefault="00185A37">
            <w:pPr>
              <w:jc w:val="center"/>
              <w:rPr>
                <w:color w:val="000000"/>
                <w:sz w:val="10"/>
                <w:szCs w:val="10"/>
              </w:rPr>
            </w:pPr>
            <w:r>
              <w:rPr>
                <w:color w:val="000000"/>
                <w:sz w:val="10"/>
                <w:szCs w:val="10"/>
              </w:rPr>
              <w:t>1 053,4</w:t>
            </w:r>
          </w:p>
        </w:tc>
        <w:tc>
          <w:tcPr>
            <w:tcW w:w="799" w:type="dxa"/>
            <w:vAlign w:val="center"/>
            <w:hideMark/>
          </w:tcPr>
          <w:p w:rsidR="00705F07" w:rsidRDefault="00185A37">
            <w:pPr>
              <w:jc w:val="center"/>
              <w:rPr>
                <w:color w:val="000000"/>
                <w:sz w:val="10"/>
                <w:szCs w:val="10"/>
              </w:rPr>
            </w:pPr>
            <w:r>
              <w:rPr>
                <w:color w:val="000000"/>
                <w:sz w:val="10"/>
                <w:szCs w:val="10"/>
              </w:rPr>
              <w:t>51,9</w:t>
            </w:r>
          </w:p>
        </w:tc>
        <w:tc>
          <w:tcPr>
            <w:tcW w:w="732" w:type="dxa"/>
            <w:vAlign w:val="center"/>
            <w:hideMark/>
          </w:tcPr>
          <w:p w:rsidR="00705F07" w:rsidRDefault="00185A37">
            <w:pPr>
              <w:jc w:val="center"/>
              <w:rPr>
                <w:color w:val="000000"/>
                <w:sz w:val="10"/>
                <w:szCs w:val="10"/>
              </w:rPr>
            </w:pPr>
            <w:r>
              <w:rPr>
                <w:color w:val="000000"/>
                <w:sz w:val="10"/>
                <w:szCs w:val="10"/>
              </w:rPr>
              <w:t>44,4</w:t>
            </w:r>
          </w:p>
        </w:tc>
        <w:tc>
          <w:tcPr>
            <w:tcW w:w="598" w:type="dxa"/>
            <w:vAlign w:val="center"/>
            <w:hideMark/>
          </w:tcPr>
          <w:p w:rsidR="00705F07" w:rsidRDefault="00185A37">
            <w:pPr>
              <w:jc w:val="center"/>
              <w:rPr>
                <w:color w:val="000000"/>
                <w:sz w:val="10"/>
                <w:szCs w:val="10"/>
              </w:rPr>
            </w:pPr>
            <w:r>
              <w:rPr>
                <w:color w:val="000000"/>
                <w:sz w:val="10"/>
                <w:szCs w:val="10"/>
              </w:rPr>
              <w:t>148,8</w:t>
            </w:r>
          </w:p>
        </w:tc>
        <w:tc>
          <w:tcPr>
            <w:tcW w:w="599" w:type="dxa"/>
            <w:vAlign w:val="center"/>
            <w:hideMark/>
          </w:tcPr>
          <w:p w:rsidR="00705F07" w:rsidRDefault="00185A37">
            <w:pPr>
              <w:jc w:val="center"/>
              <w:rPr>
                <w:color w:val="000000"/>
                <w:sz w:val="10"/>
                <w:szCs w:val="10"/>
              </w:rPr>
            </w:pPr>
            <w:r>
              <w:rPr>
                <w:color w:val="000000"/>
                <w:sz w:val="10"/>
                <w:szCs w:val="10"/>
              </w:rPr>
              <w:t>598,0</w:t>
            </w:r>
          </w:p>
        </w:tc>
        <w:tc>
          <w:tcPr>
            <w:tcW w:w="711" w:type="dxa"/>
            <w:vAlign w:val="center"/>
            <w:hideMark/>
          </w:tcPr>
          <w:p w:rsidR="00705F07" w:rsidRDefault="00185A37">
            <w:pPr>
              <w:jc w:val="center"/>
              <w:rPr>
                <w:color w:val="000000"/>
                <w:sz w:val="10"/>
                <w:szCs w:val="10"/>
              </w:rPr>
            </w:pPr>
            <w:r>
              <w:rPr>
                <w:color w:val="000000"/>
                <w:sz w:val="10"/>
                <w:szCs w:val="10"/>
              </w:rPr>
              <w:t>723,7</w:t>
            </w:r>
          </w:p>
        </w:tc>
        <w:tc>
          <w:tcPr>
            <w:tcW w:w="601" w:type="dxa"/>
            <w:vAlign w:val="center"/>
            <w:hideMark/>
          </w:tcPr>
          <w:p w:rsidR="00705F07" w:rsidRDefault="00185A37">
            <w:pPr>
              <w:jc w:val="center"/>
              <w:rPr>
                <w:color w:val="000000"/>
                <w:sz w:val="10"/>
                <w:szCs w:val="10"/>
              </w:rPr>
            </w:pPr>
            <w:r>
              <w:rPr>
                <w:color w:val="000000"/>
                <w:sz w:val="10"/>
                <w:szCs w:val="10"/>
              </w:rPr>
              <w:t>843,8</w:t>
            </w:r>
          </w:p>
        </w:tc>
        <w:tc>
          <w:tcPr>
            <w:tcW w:w="805" w:type="dxa"/>
            <w:vAlign w:val="center"/>
            <w:hideMark/>
          </w:tcPr>
          <w:p w:rsidR="00705F07" w:rsidRDefault="00185A37">
            <w:pPr>
              <w:jc w:val="center"/>
              <w:rPr>
                <w:color w:val="000000"/>
                <w:sz w:val="10"/>
                <w:szCs w:val="10"/>
              </w:rPr>
            </w:pPr>
            <w:r>
              <w:rPr>
                <w:color w:val="000000"/>
                <w:sz w:val="10"/>
                <w:szCs w:val="10"/>
              </w:rPr>
              <w:t>912,3</w:t>
            </w:r>
          </w:p>
        </w:tc>
        <w:tc>
          <w:tcPr>
            <w:tcW w:w="801" w:type="dxa"/>
            <w:vAlign w:val="center"/>
            <w:hideMark/>
          </w:tcPr>
          <w:p w:rsidR="00705F07" w:rsidRDefault="00185A37">
            <w:pPr>
              <w:jc w:val="center"/>
              <w:rPr>
                <w:color w:val="000000"/>
                <w:sz w:val="10"/>
                <w:szCs w:val="10"/>
              </w:rPr>
            </w:pPr>
            <w:r>
              <w:rPr>
                <w:color w:val="000000"/>
                <w:sz w:val="10"/>
                <w:szCs w:val="10"/>
              </w:rPr>
              <w:t>819,5</w:t>
            </w:r>
          </w:p>
        </w:tc>
        <w:tc>
          <w:tcPr>
            <w:tcW w:w="840" w:type="dxa"/>
            <w:vAlign w:val="center"/>
            <w:hideMark/>
          </w:tcPr>
          <w:p w:rsidR="00705F07" w:rsidRDefault="00185A37">
            <w:pPr>
              <w:jc w:val="center"/>
              <w:rPr>
                <w:color w:val="000000"/>
                <w:sz w:val="10"/>
                <w:szCs w:val="10"/>
              </w:rPr>
            </w:pPr>
            <w:r>
              <w:rPr>
                <w:color w:val="000000"/>
                <w:sz w:val="10"/>
                <w:szCs w:val="10"/>
              </w:rPr>
              <w:t>815,5</w:t>
            </w:r>
          </w:p>
        </w:tc>
        <w:tc>
          <w:tcPr>
            <w:tcW w:w="755" w:type="dxa"/>
            <w:vAlign w:val="center"/>
            <w:hideMark/>
          </w:tcPr>
          <w:p w:rsidR="00705F07" w:rsidRDefault="00185A37">
            <w:pPr>
              <w:jc w:val="center"/>
              <w:rPr>
                <w:color w:val="000000"/>
                <w:sz w:val="10"/>
                <w:szCs w:val="10"/>
              </w:rPr>
            </w:pPr>
            <w:r>
              <w:rPr>
                <w:color w:val="000000"/>
                <w:sz w:val="10"/>
                <w:szCs w:val="10"/>
              </w:rPr>
              <w:t>864,9</w:t>
            </w:r>
          </w:p>
        </w:tc>
      </w:tr>
      <w:tr w:rsidR="00705F07">
        <w:trPr>
          <w:trHeight w:val="450"/>
          <w:jc w:val="center"/>
        </w:trPr>
        <w:tc>
          <w:tcPr>
            <w:tcW w:w="1085" w:type="dxa"/>
            <w:shd w:val="clear" w:color="000000" w:fill="B6DDE8"/>
            <w:vAlign w:val="center"/>
            <w:hideMark/>
          </w:tcPr>
          <w:p w:rsidR="00705F07" w:rsidRDefault="00185A37">
            <w:pPr>
              <w:jc w:val="center"/>
              <w:rPr>
                <w:color w:val="000000"/>
                <w:sz w:val="10"/>
                <w:szCs w:val="10"/>
              </w:rPr>
            </w:pPr>
            <w:r>
              <w:rPr>
                <w:color w:val="000000"/>
                <w:sz w:val="10"/>
                <w:szCs w:val="10"/>
              </w:rPr>
              <w:t>Сальдо (продаж мінус купівля, млн. дол США)</w:t>
            </w:r>
          </w:p>
        </w:tc>
        <w:tc>
          <w:tcPr>
            <w:tcW w:w="683" w:type="dxa"/>
            <w:shd w:val="clear" w:color="000000" w:fill="B6DDE8"/>
            <w:vAlign w:val="center"/>
            <w:hideMark/>
          </w:tcPr>
          <w:p w:rsidR="00705F07" w:rsidRDefault="00185A37">
            <w:pPr>
              <w:jc w:val="center"/>
              <w:rPr>
                <w:color w:val="000000"/>
                <w:sz w:val="10"/>
                <w:szCs w:val="10"/>
              </w:rPr>
            </w:pPr>
            <w:r>
              <w:rPr>
                <w:color w:val="000000"/>
                <w:sz w:val="10"/>
                <w:szCs w:val="10"/>
              </w:rPr>
              <w:t>81,6</w:t>
            </w:r>
          </w:p>
        </w:tc>
        <w:tc>
          <w:tcPr>
            <w:tcW w:w="683" w:type="dxa"/>
            <w:shd w:val="clear" w:color="000000" w:fill="B6DDE8"/>
            <w:vAlign w:val="center"/>
            <w:hideMark/>
          </w:tcPr>
          <w:p w:rsidR="00705F07" w:rsidRDefault="00185A37">
            <w:pPr>
              <w:jc w:val="center"/>
              <w:rPr>
                <w:color w:val="000000"/>
                <w:sz w:val="10"/>
                <w:szCs w:val="10"/>
              </w:rPr>
            </w:pPr>
            <w:r>
              <w:rPr>
                <w:color w:val="000000"/>
                <w:sz w:val="10"/>
                <w:szCs w:val="10"/>
              </w:rPr>
              <w:t>32,1</w:t>
            </w:r>
          </w:p>
        </w:tc>
        <w:tc>
          <w:tcPr>
            <w:tcW w:w="799" w:type="dxa"/>
            <w:shd w:val="clear" w:color="000000" w:fill="B6DDE8"/>
            <w:vAlign w:val="center"/>
            <w:hideMark/>
          </w:tcPr>
          <w:p w:rsidR="00705F07" w:rsidRDefault="00185A37">
            <w:pPr>
              <w:jc w:val="center"/>
              <w:rPr>
                <w:color w:val="000000"/>
                <w:sz w:val="10"/>
                <w:szCs w:val="10"/>
              </w:rPr>
            </w:pPr>
            <w:r>
              <w:rPr>
                <w:color w:val="000000"/>
                <w:sz w:val="10"/>
                <w:szCs w:val="10"/>
              </w:rPr>
              <w:t>1,5</w:t>
            </w:r>
          </w:p>
        </w:tc>
        <w:tc>
          <w:tcPr>
            <w:tcW w:w="732" w:type="dxa"/>
            <w:shd w:val="clear" w:color="000000" w:fill="B6DDE8"/>
            <w:vAlign w:val="center"/>
            <w:hideMark/>
          </w:tcPr>
          <w:p w:rsidR="00705F07" w:rsidRDefault="00185A37">
            <w:pPr>
              <w:jc w:val="center"/>
              <w:rPr>
                <w:color w:val="000000"/>
                <w:sz w:val="10"/>
                <w:szCs w:val="10"/>
              </w:rPr>
            </w:pPr>
            <w:r>
              <w:rPr>
                <w:color w:val="000000"/>
                <w:sz w:val="10"/>
                <w:szCs w:val="10"/>
              </w:rPr>
              <w:t>5,6</w:t>
            </w:r>
          </w:p>
        </w:tc>
        <w:tc>
          <w:tcPr>
            <w:tcW w:w="598" w:type="dxa"/>
            <w:shd w:val="clear" w:color="000000" w:fill="B6DDE8"/>
            <w:vAlign w:val="center"/>
            <w:hideMark/>
          </w:tcPr>
          <w:p w:rsidR="00705F07" w:rsidRDefault="00185A37">
            <w:pPr>
              <w:jc w:val="center"/>
              <w:rPr>
                <w:color w:val="000000"/>
                <w:sz w:val="10"/>
                <w:szCs w:val="10"/>
              </w:rPr>
            </w:pPr>
            <w:r>
              <w:rPr>
                <w:color w:val="000000"/>
                <w:sz w:val="10"/>
                <w:szCs w:val="10"/>
              </w:rPr>
              <w:t>-14,7</w:t>
            </w:r>
          </w:p>
        </w:tc>
        <w:tc>
          <w:tcPr>
            <w:tcW w:w="599" w:type="dxa"/>
            <w:shd w:val="clear" w:color="000000" w:fill="B6DDE8"/>
            <w:vAlign w:val="center"/>
            <w:hideMark/>
          </w:tcPr>
          <w:p w:rsidR="00705F07" w:rsidRDefault="00185A37">
            <w:pPr>
              <w:jc w:val="center"/>
              <w:rPr>
                <w:color w:val="000000"/>
                <w:sz w:val="10"/>
                <w:szCs w:val="10"/>
              </w:rPr>
            </w:pPr>
            <w:r>
              <w:rPr>
                <w:color w:val="000000"/>
                <w:sz w:val="10"/>
                <w:szCs w:val="10"/>
              </w:rPr>
              <w:t>6,5</w:t>
            </w:r>
          </w:p>
        </w:tc>
        <w:tc>
          <w:tcPr>
            <w:tcW w:w="711" w:type="dxa"/>
            <w:shd w:val="clear" w:color="000000" w:fill="B6DDE8"/>
            <w:vAlign w:val="center"/>
            <w:hideMark/>
          </w:tcPr>
          <w:p w:rsidR="00705F07" w:rsidRDefault="00185A37">
            <w:pPr>
              <w:jc w:val="center"/>
              <w:rPr>
                <w:color w:val="000000"/>
                <w:sz w:val="10"/>
                <w:szCs w:val="10"/>
              </w:rPr>
            </w:pPr>
            <w:r>
              <w:rPr>
                <w:color w:val="000000"/>
                <w:sz w:val="10"/>
                <w:szCs w:val="10"/>
              </w:rPr>
              <w:t>47,1</w:t>
            </w:r>
          </w:p>
        </w:tc>
        <w:tc>
          <w:tcPr>
            <w:tcW w:w="601" w:type="dxa"/>
            <w:shd w:val="clear" w:color="000000" w:fill="B6DDE8"/>
            <w:vAlign w:val="center"/>
            <w:hideMark/>
          </w:tcPr>
          <w:p w:rsidR="00705F07" w:rsidRDefault="00185A37">
            <w:pPr>
              <w:jc w:val="center"/>
              <w:rPr>
                <w:color w:val="000000"/>
                <w:sz w:val="10"/>
                <w:szCs w:val="10"/>
              </w:rPr>
            </w:pPr>
            <w:r>
              <w:rPr>
                <w:color w:val="000000"/>
                <w:sz w:val="10"/>
                <w:szCs w:val="10"/>
              </w:rPr>
              <w:t>188,3</w:t>
            </w:r>
          </w:p>
        </w:tc>
        <w:tc>
          <w:tcPr>
            <w:tcW w:w="805" w:type="dxa"/>
            <w:shd w:val="clear" w:color="000000" w:fill="B6DDE8"/>
            <w:vAlign w:val="center"/>
            <w:hideMark/>
          </w:tcPr>
          <w:p w:rsidR="00705F07" w:rsidRDefault="00185A37">
            <w:pPr>
              <w:jc w:val="center"/>
              <w:rPr>
                <w:color w:val="000000"/>
                <w:sz w:val="10"/>
                <w:szCs w:val="10"/>
              </w:rPr>
            </w:pPr>
            <w:r>
              <w:rPr>
                <w:color w:val="000000"/>
                <w:sz w:val="10"/>
                <w:szCs w:val="10"/>
              </w:rPr>
              <w:t>176,7</w:t>
            </w:r>
          </w:p>
        </w:tc>
        <w:tc>
          <w:tcPr>
            <w:tcW w:w="801" w:type="dxa"/>
            <w:shd w:val="clear" w:color="000000" w:fill="B6DDE8"/>
            <w:vAlign w:val="center"/>
            <w:hideMark/>
          </w:tcPr>
          <w:p w:rsidR="00705F07" w:rsidRDefault="00185A37">
            <w:pPr>
              <w:jc w:val="center"/>
              <w:rPr>
                <w:color w:val="000000"/>
                <w:sz w:val="10"/>
                <w:szCs w:val="10"/>
              </w:rPr>
            </w:pPr>
            <w:r>
              <w:rPr>
                <w:color w:val="000000"/>
                <w:sz w:val="10"/>
                <w:szCs w:val="10"/>
              </w:rPr>
              <w:t>243,5</w:t>
            </w:r>
          </w:p>
        </w:tc>
        <w:tc>
          <w:tcPr>
            <w:tcW w:w="840" w:type="dxa"/>
            <w:shd w:val="clear" w:color="000000" w:fill="B6DDE8"/>
            <w:vAlign w:val="center"/>
            <w:hideMark/>
          </w:tcPr>
          <w:p w:rsidR="00705F07" w:rsidRDefault="00185A37">
            <w:pPr>
              <w:jc w:val="center"/>
              <w:rPr>
                <w:color w:val="000000"/>
                <w:sz w:val="10"/>
                <w:szCs w:val="10"/>
              </w:rPr>
            </w:pPr>
            <w:r>
              <w:rPr>
                <w:color w:val="000000"/>
                <w:sz w:val="10"/>
                <w:szCs w:val="10"/>
              </w:rPr>
              <w:t>249,4</w:t>
            </w:r>
          </w:p>
        </w:tc>
        <w:tc>
          <w:tcPr>
            <w:tcW w:w="755" w:type="dxa"/>
            <w:shd w:val="clear" w:color="000000" w:fill="B6DDE8"/>
            <w:vAlign w:val="center"/>
            <w:hideMark/>
          </w:tcPr>
          <w:p w:rsidR="00705F07" w:rsidRDefault="00185A37">
            <w:pPr>
              <w:jc w:val="center"/>
              <w:rPr>
                <w:color w:val="000000"/>
                <w:sz w:val="10"/>
                <w:szCs w:val="10"/>
              </w:rPr>
            </w:pPr>
            <w:r>
              <w:rPr>
                <w:color w:val="000000"/>
                <w:sz w:val="10"/>
                <w:szCs w:val="10"/>
              </w:rPr>
              <w:t>242,3</w:t>
            </w:r>
          </w:p>
        </w:tc>
      </w:tr>
      <w:tr w:rsidR="00705F07">
        <w:trPr>
          <w:trHeight w:val="450"/>
          <w:jc w:val="center"/>
        </w:trPr>
        <w:tc>
          <w:tcPr>
            <w:tcW w:w="1085" w:type="dxa"/>
            <w:vAlign w:val="center"/>
            <w:hideMark/>
          </w:tcPr>
          <w:p w:rsidR="00705F07" w:rsidRDefault="00185A37">
            <w:pPr>
              <w:jc w:val="center"/>
              <w:rPr>
                <w:color w:val="000000"/>
                <w:sz w:val="10"/>
                <w:szCs w:val="10"/>
              </w:rPr>
            </w:pPr>
            <w:r>
              <w:rPr>
                <w:color w:val="000000"/>
                <w:sz w:val="10"/>
                <w:szCs w:val="10"/>
              </w:rPr>
              <w:t xml:space="preserve">         продажу (млн. євро в доларовому еквіваленті)</w:t>
            </w:r>
          </w:p>
        </w:tc>
        <w:tc>
          <w:tcPr>
            <w:tcW w:w="683" w:type="dxa"/>
            <w:vAlign w:val="center"/>
            <w:hideMark/>
          </w:tcPr>
          <w:p w:rsidR="00705F07" w:rsidRDefault="00185A37">
            <w:pPr>
              <w:jc w:val="center"/>
              <w:rPr>
                <w:color w:val="000000"/>
                <w:sz w:val="10"/>
                <w:szCs w:val="10"/>
              </w:rPr>
            </w:pPr>
            <w:r>
              <w:rPr>
                <w:color w:val="000000"/>
                <w:sz w:val="10"/>
                <w:szCs w:val="10"/>
              </w:rPr>
              <w:t>285,6</w:t>
            </w:r>
          </w:p>
        </w:tc>
        <w:tc>
          <w:tcPr>
            <w:tcW w:w="683" w:type="dxa"/>
            <w:vAlign w:val="center"/>
            <w:hideMark/>
          </w:tcPr>
          <w:p w:rsidR="00705F07" w:rsidRDefault="00185A37">
            <w:pPr>
              <w:jc w:val="center"/>
              <w:rPr>
                <w:color w:val="000000"/>
                <w:sz w:val="10"/>
                <w:szCs w:val="10"/>
              </w:rPr>
            </w:pPr>
            <w:r>
              <w:rPr>
                <w:color w:val="000000"/>
                <w:sz w:val="10"/>
                <w:szCs w:val="10"/>
              </w:rPr>
              <w:t>260,3</w:t>
            </w:r>
          </w:p>
        </w:tc>
        <w:tc>
          <w:tcPr>
            <w:tcW w:w="799" w:type="dxa"/>
            <w:vAlign w:val="center"/>
            <w:hideMark/>
          </w:tcPr>
          <w:p w:rsidR="00705F07" w:rsidRDefault="00185A37">
            <w:pPr>
              <w:jc w:val="center"/>
              <w:rPr>
                <w:color w:val="000000"/>
                <w:sz w:val="10"/>
                <w:szCs w:val="10"/>
              </w:rPr>
            </w:pPr>
            <w:r>
              <w:rPr>
                <w:color w:val="000000"/>
                <w:sz w:val="10"/>
                <w:szCs w:val="10"/>
              </w:rPr>
              <w:t>16,0</w:t>
            </w:r>
          </w:p>
        </w:tc>
        <w:tc>
          <w:tcPr>
            <w:tcW w:w="732" w:type="dxa"/>
            <w:vAlign w:val="center"/>
            <w:hideMark/>
          </w:tcPr>
          <w:p w:rsidR="00705F07" w:rsidRDefault="00185A37">
            <w:pPr>
              <w:jc w:val="center"/>
              <w:rPr>
                <w:color w:val="000000"/>
                <w:sz w:val="10"/>
                <w:szCs w:val="10"/>
              </w:rPr>
            </w:pPr>
            <w:r>
              <w:rPr>
                <w:color w:val="000000"/>
                <w:sz w:val="10"/>
                <w:szCs w:val="10"/>
              </w:rPr>
              <w:t>17,3</w:t>
            </w:r>
          </w:p>
        </w:tc>
        <w:tc>
          <w:tcPr>
            <w:tcW w:w="598" w:type="dxa"/>
            <w:vAlign w:val="center"/>
            <w:hideMark/>
          </w:tcPr>
          <w:p w:rsidR="00705F07" w:rsidRDefault="00185A37">
            <w:pPr>
              <w:jc w:val="center"/>
              <w:rPr>
                <w:color w:val="000000"/>
                <w:sz w:val="10"/>
                <w:szCs w:val="10"/>
              </w:rPr>
            </w:pPr>
            <w:r>
              <w:rPr>
                <w:color w:val="000000"/>
                <w:sz w:val="10"/>
                <w:szCs w:val="10"/>
              </w:rPr>
              <w:t>46,2</w:t>
            </w:r>
          </w:p>
        </w:tc>
        <w:tc>
          <w:tcPr>
            <w:tcW w:w="599" w:type="dxa"/>
            <w:vAlign w:val="center"/>
            <w:hideMark/>
          </w:tcPr>
          <w:p w:rsidR="00705F07" w:rsidRDefault="00185A37">
            <w:pPr>
              <w:jc w:val="center"/>
              <w:rPr>
                <w:color w:val="000000"/>
                <w:sz w:val="10"/>
                <w:szCs w:val="10"/>
              </w:rPr>
            </w:pPr>
            <w:r>
              <w:rPr>
                <w:color w:val="000000"/>
                <w:sz w:val="10"/>
                <w:szCs w:val="10"/>
              </w:rPr>
              <w:t>194,9</w:t>
            </w:r>
          </w:p>
        </w:tc>
        <w:tc>
          <w:tcPr>
            <w:tcW w:w="711" w:type="dxa"/>
            <w:vAlign w:val="center"/>
            <w:hideMark/>
          </w:tcPr>
          <w:p w:rsidR="00705F07" w:rsidRDefault="00185A37">
            <w:pPr>
              <w:jc w:val="center"/>
              <w:rPr>
                <w:color w:val="000000"/>
                <w:sz w:val="10"/>
                <w:szCs w:val="10"/>
              </w:rPr>
            </w:pPr>
            <w:r>
              <w:rPr>
                <w:color w:val="000000"/>
                <w:sz w:val="10"/>
                <w:szCs w:val="10"/>
              </w:rPr>
              <w:t>236,3</w:t>
            </w:r>
          </w:p>
        </w:tc>
        <w:tc>
          <w:tcPr>
            <w:tcW w:w="601" w:type="dxa"/>
            <w:vAlign w:val="center"/>
            <w:hideMark/>
          </w:tcPr>
          <w:p w:rsidR="00705F07" w:rsidRDefault="00185A37">
            <w:pPr>
              <w:jc w:val="center"/>
              <w:rPr>
                <w:color w:val="000000"/>
                <w:sz w:val="10"/>
                <w:szCs w:val="10"/>
              </w:rPr>
            </w:pPr>
            <w:r>
              <w:rPr>
                <w:color w:val="000000"/>
                <w:sz w:val="10"/>
                <w:szCs w:val="10"/>
              </w:rPr>
              <w:t>273,3</w:t>
            </w:r>
          </w:p>
        </w:tc>
        <w:tc>
          <w:tcPr>
            <w:tcW w:w="805" w:type="dxa"/>
            <w:vAlign w:val="center"/>
            <w:hideMark/>
          </w:tcPr>
          <w:p w:rsidR="00705F07" w:rsidRDefault="00185A37">
            <w:pPr>
              <w:jc w:val="center"/>
              <w:rPr>
                <w:color w:val="000000"/>
                <w:sz w:val="10"/>
                <w:szCs w:val="10"/>
              </w:rPr>
            </w:pPr>
            <w:r>
              <w:rPr>
                <w:color w:val="000000"/>
                <w:sz w:val="10"/>
                <w:szCs w:val="10"/>
              </w:rPr>
              <w:t>306,9</w:t>
            </w:r>
          </w:p>
        </w:tc>
        <w:tc>
          <w:tcPr>
            <w:tcW w:w="801" w:type="dxa"/>
            <w:vAlign w:val="center"/>
            <w:hideMark/>
          </w:tcPr>
          <w:p w:rsidR="00705F07" w:rsidRDefault="00185A37">
            <w:pPr>
              <w:jc w:val="center"/>
              <w:rPr>
                <w:color w:val="000000"/>
                <w:sz w:val="10"/>
                <w:szCs w:val="10"/>
              </w:rPr>
            </w:pPr>
            <w:r>
              <w:rPr>
                <w:color w:val="000000"/>
                <w:sz w:val="10"/>
                <w:szCs w:val="10"/>
              </w:rPr>
              <w:t>273,1</w:t>
            </w:r>
          </w:p>
        </w:tc>
        <w:tc>
          <w:tcPr>
            <w:tcW w:w="840" w:type="dxa"/>
            <w:vAlign w:val="center"/>
            <w:hideMark/>
          </w:tcPr>
          <w:p w:rsidR="00705F07" w:rsidRDefault="00185A37">
            <w:pPr>
              <w:jc w:val="center"/>
              <w:rPr>
                <w:color w:val="000000"/>
                <w:sz w:val="10"/>
                <w:szCs w:val="10"/>
              </w:rPr>
            </w:pPr>
            <w:r>
              <w:rPr>
                <w:color w:val="000000"/>
                <w:sz w:val="10"/>
                <w:szCs w:val="10"/>
              </w:rPr>
              <w:t>267,8</w:t>
            </w:r>
          </w:p>
        </w:tc>
        <w:tc>
          <w:tcPr>
            <w:tcW w:w="755" w:type="dxa"/>
            <w:vAlign w:val="center"/>
            <w:hideMark/>
          </w:tcPr>
          <w:p w:rsidR="00705F07" w:rsidRDefault="00185A37">
            <w:pPr>
              <w:jc w:val="center"/>
              <w:rPr>
                <w:color w:val="000000"/>
                <w:sz w:val="10"/>
                <w:szCs w:val="10"/>
              </w:rPr>
            </w:pPr>
            <w:r>
              <w:rPr>
                <w:color w:val="000000"/>
                <w:sz w:val="10"/>
                <w:szCs w:val="10"/>
              </w:rPr>
              <w:t>273,1</w:t>
            </w:r>
          </w:p>
        </w:tc>
      </w:tr>
      <w:tr w:rsidR="00705F07">
        <w:trPr>
          <w:trHeight w:val="450"/>
          <w:jc w:val="center"/>
        </w:trPr>
        <w:tc>
          <w:tcPr>
            <w:tcW w:w="1085" w:type="dxa"/>
            <w:vAlign w:val="center"/>
            <w:hideMark/>
          </w:tcPr>
          <w:p w:rsidR="00705F07" w:rsidRDefault="00185A37">
            <w:pPr>
              <w:jc w:val="center"/>
              <w:rPr>
                <w:color w:val="000000"/>
                <w:sz w:val="10"/>
                <w:szCs w:val="10"/>
              </w:rPr>
            </w:pPr>
            <w:r>
              <w:rPr>
                <w:color w:val="000000"/>
                <w:sz w:val="10"/>
                <w:szCs w:val="10"/>
              </w:rPr>
              <w:t xml:space="preserve">         купівлі (млн. євро в доларовому еквіваленті)</w:t>
            </w:r>
          </w:p>
        </w:tc>
        <w:tc>
          <w:tcPr>
            <w:tcW w:w="683" w:type="dxa"/>
            <w:vAlign w:val="center"/>
            <w:hideMark/>
          </w:tcPr>
          <w:p w:rsidR="00705F07" w:rsidRDefault="00185A37">
            <w:pPr>
              <w:jc w:val="center"/>
              <w:rPr>
                <w:color w:val="000000"/>
                <w:sz w:val="10"/>
                <w:szCs w:val="10"/>
              </w:rPr>
            </w:pPr>
            <w:r>
              <w:rPr>
                <w:color w:val="000000"/>
                <w:sz w:val="10"/>
                <w:szCs w:val="10"/>
              </w:rPr>
              <w:t>347,5</w:t>
            </w:r>
          </w:p>
        </w:tc>
        <w:tc>
          <w:tcPr>
            <w:tcW w:w="683" w:type="dxa"/>
            <w:vAlign w:val="center"/>
            <w:hideMark/>
          </w:tcPr>
          <w:p w:rsidR="00705F07" w:rsidRDefault="00185A37">
            <w:pPr>
              <w:jc w:val="center"/>
              <w:rPr>
                <w:color w:val="000000"/>
                <w:sz w:val="10"/>
                <w:szCs w:val="10"/>
              </w:rPr>
            </w:pPr>
            <w:r>
              <w:rPr>
                <w:color w:val="000000"/>
                <w:sz w:val="10"/>
                <w:szCs w:val="10"/>
              </w:rPr>
              <w:t>290,3</w:t>
            </w:r>
          </w:p>
        </w:tc>
        <w:tc>
          <w:tcPr>
            <w:tcW w:w="799" w:type="dxa"/>
            <w:vAlign w:val="center"/>
            <w:hideMark/>
          </w:tcPr>
          <w:p w:rsidR="00705F07" w:rsidRDefault="00185A37">
            <w:pPr>
              <w:jc w:val="center"/>
              <w:rPr>
                <w:color w:val="000000"/>
                <w:sz w:val="10"/>
                <w:szCs w:val="10"/>
              </w:rPr>
            </w:pPr>
            <w:r>
              <w:rPr>
                <w:color w:val="000000"/>
                <w:sz w:val="10"/>
                <w:szCs w:val="10"/>
              </w:rPr>
              <w:t>18,7</w:t>
            </w:r>
          </w:p>
        </w:tc>
        <w:tc>
          <w:tcPr>
            <w:tcW w:w="732" w:type="dxa"/>
            <w:vAlign w:val="center"/>
            <w:hideMark/>
          </w:tcPr>
          <w:p w:rsidR="00705F07" w:rsidRDefault="00185A37">
            <w:pPr>
              <w:jc w:val="center"/>
              <w:rPr>
                <w:color w:val="000000"/>
                <w:sz w:val="10"/>
                <w:szCs w:val="10"/>
              </w:rPr>
            </w:pPr>
            <w:r>
              <w:rPr>
                <w:color w:val="000000"/>
                <w:sz w:val="10"/>
                <w:szCs w:val="10"/>
              </w:rPr>
              <w:t>15,8</w:t>
            </w:r>
          </w:p>
        </w:tc>
        <w:tc>
          <w:tcPr>
            <w:tcW w:w="598" w:type="dxa"/>
            <w:vAlign w:val="center"/>
            <w:hideMark/>
          </w:tcPr>
          <w:p w:rsidR="00705F07" w:rsidRDefault="00185A37">
            <w:pPr>
              <w:jc w:val="center"/>
              <w:rPr>
                <w:color w:val="000000"/>
                <w:sz w:val="10"/>
                <w:szCs w:val="10"/>
              </w:rPr>
            </w:pPr>
            <w:r>
              <w:rPr>
                <w:color w:val="000000"/>
                <w:sz w:val="10"/>
                <w:szCs w:val="10"/>
              </w:rPr>
              <w:t>57,8</w:t>
            </w:r>
          </w:p>
        </w:tc>
        <w:tc>
          <w:tcPr>
            <w:tcW w:w="599" w:type="dxa"/>
            <w:vAlign w:val="center"/>
            <w:hideMark/>
          </w:tcPr>
          <w:p w:rsidR="00705F07" w:rsidRDefault="00185A37">
            <w:pPr>
              <w:jc w:val="center"/>
              <w:rPr>
                <w:color w:val="000000"/>
                <w:sz w:val="10"/>
                <w:szCs w:val="10"/>
              </w:rPr>
            </w:pPr>
            <w:r>
              <w:rPr>
                <w:color w:val="000000"/>
                <w:sz w:val="10"/>
                <w:szCs w:val="10"/>
              </w:rPr>
              <w:t>212,3</w:t>
            </w:r>
          </w:p>
        </w:tc>
        <w:tc>
          <w:tcPr>
            <w:tcW w:w="711" w:type="dxa"/>
            <w:vAlign w:val="center"/>
            <w:hideMark/>
          </w:tcPr>
          <w:p w:rsidR="00705F07" w:rsidRDefault="00185A37">
            <w:pPr>
              <w:jc w:val="center"/>
              <w:rPr>
                <w:color w:val="000000"/>
                <w:sz w:val="10"/>
                <w:szCs w:val="10"/>
              </w:rPr>
            </w:pPr>
            <w:r>
              <w:rPr>
                <w:color w:val="000000"/>
                <w:sz w:val="10"/>
                <w:szCs w:val="10"/>
              </w:rPr>
              <w:t>260,6</w:t>
            </w:r>
          </w:p>
        </w:tc>
        <w:tc>
          <w:tcPr>
            <w:tcW w:w="601" w:type="dxa"/>
            <w:vAlign w:val="center"/>
            <w:hideMark/>
          </w:tcPr>
          <w:p w:rsidR="00705F07" w:rsidRDefault="00185A37">
            <w:pPr>
              <w:jc w:val="center"/>
              <w:rPr>
                <w:color w:val="000000"/>
                <w:sz w:val="10"/>
                <w:szCs w:val="10"/>
              </w:rPr>
            </w:pPr>
            <w:r>
              <w:rPr>
                <w:color w:val="000000"/>
                <w:sz w:val="10"/>
                <w:szCs w:val="10"/>
              </w:rPr>
              <w:t>283,5</w:t>
            </w:r>
          </w:p>
        </w:tc>
        <w:tc>
          <w:tcPr>
            <w:tcW w:w="805" w:type="dxa"/>
            <w:vAlign w:val="center"/>
            <w:hideMark/>
          </w:tcPr>
          <w:p w:rsidR="00705F07" w:rsidRDefault="00185A37">
            <w:pPr>
              <w:jc w:val="center"/>
              <w:rPr>
                <w:color w:val="000000"/>
                <w:sz w:val="10"/>
                <w:szCs w:val="10"/>
              </w:rPr>
            </w:pPr>
            <w:r>
              <w:rPr>
                <w:color w:val="000000"/>
                <w:sz w:val="10"/>
                <w:szCs w:val="10"/>
              </w:rPr>
              <w:t>332,9</w:t>
            </w:r>
          </w:p>
        </w:tc>
        <w:tc>
          <w:tcPr>
            <w:tcW w:w="801" w:type="dxa"/>
            <w:vAlign w:val="center"/>
            <w:hideMark/>
          </w:tcPr>
          <w:p w:rsidR="00705F07" w:rsidRDefault="00185A37">
            <w:pPr>
              <w:jc w:val="center"/>
              <w:rPr>
                <w:color w:val="000000"/>
                <w:sz w:val="10"/>
                <w:szCs w:val="10"/>
              </w:rPr>
            </w:pPr>
            <w:r>
              <w:rPr>
                <w:color w:val="000000"/>
                <w:sz w:val="10"/>
                <w:szCs w:val="10"/>
              </w:rPr>
              <w:t>286,2</w:t>
            </w:r>
          </w:p>
        </w:tc>
        <w:tc>
          <w:tcPr>
            <w:tcW w:w="840" w:type="dxa"/>
            <w:vAlign w:val="center"/>
            <w:hideMark/>
          </w:tcPr>
          <w:p w:rsidR="00705F07" w:rsidRDefault="00185A37">
            <w:pPr>
              <w:jc w:val="center"/>
              <w:rPr>
                <w:color w:val="000000"/>
                <w:sz w:val="10"/>
                <w:szCs w:val="10"/>
              </w:rPr>
            </w:pPr>
            <w:r>
              <w:rPr>
                <w:color w:val="000000"/>
                <w:sz w:val="10"/>
                <w:szCs w:val="10"/>
              </w:rPr>
              <w:t>276,3</w:t>
            </w:r>
          </w:p>
        </w:tc>
        <w:tc>
          <w:tcPr>
            <w:tcW w:w="755" w:type="dxa"/>
            <w:vAlign w:val="center"/>
            <w:hideMark/>
          </w:tcPr>
          <w:p w:rsidR="00705F07" w:rsidRDefault="00185A37">
            <w:pPr>
              <w:jc w:val="center"/>
              <w:rPr>
                <w:color w:val="000000"/>
                <w:sz w:val="10"/>
                <w:szCs w:val="10"/>
              </w:rPr>
            </w:pPr>
            <w:r>
              <w:rPr>
                <w:color w:val="000000"/>
                <w:sz w:val="10"/>
                <w:szCs w:val="10"/>
              </w:rPr>
              <w:t>280,6</w:t>
            </w:r>
          </w:p>
        </w:tc>
      </w:tr>
      <w:tr w:rsidR="00705F07">
        <w:trPr>
          <w:trHeight w:val="675"/>
          <w:jc w:val="center"/>
        </w:trPr>
        <w:tc>
          <w:tcPr>
            <w:tcW w:w="1085" w:type="dxa"/>
            <w:shd w:val="clear" w:color="000000" w:fill="B6DDE8"/>
            <w:vAlign w:val="center"/>
            <w:hideMark/>
          </w:tcPr>
          <w:p w:rsidR="00705F07" w:rsidRDefault="00185A37">
            <w:pPr>
              <w:jc w:val="center"/>
              <w:rPr>
                <w:color w:val="000000"/>
                <w:sz w:val="10"/>
                <w:szCs w:val="10"/>
              </w:rPr>
            </w:pPr>
            <w:r>
              <w:rPr>
                <w:color w:val="000000"/>
                <w:sz w:val="10"/>
                <w:szCs w:val="10"/>
              </w:rPr>
              <w:t xml:space="preserve">Сальдо </w:t>
            </w:r>
            <w:r>
              <w:rPr>
                <w:color w:val="000000"/>
                <w:sz w:val="10"/>
                <w:szCs w:val="10"/>
              </w:rPr>
              <w:t>(продаж мінус купівля, млн. євро в доларовому еквів.)</w:t>
            </w:r>
          </w:p>
        </w:tc>
        <w:tc>
          <w:tcPr>
            <w:tcW w:w="683" w:type="dxa"/>
            <w:shd w:val="clear" w:color="000000" w:fill="B6DDE8"/>
            <w:vAlign w:val="center"/>
            <w:hideMark/>
          </w:tcPr>
          <w:p w:rsidR="00705F07" w:rsidRDefault="00185A37">
            <w:pPr>
              <w:jc w:val="center"/>
              <w:rPr>
                <w:color w:val="000000"/>
                <w:sz w:val="10"/>
                <w:szCs w:val="10"/>
              </w:rPr>
            </w:pPr>
            <w:r>
              <w:rPr>
                <w:color w:val="000000"/>
                <w:sz w:val="10"/>
                <w:szCs w:val="10"/>
              </w:rPr>
              <w:t>-61,9</w:t>
            </w:r>
          </w:p>
        </w:tc>
        <w:tc>
          <w:tcPr>
            <w:tcW w:w="683" w:type="dxa"/>
            <w:shd w:val="clear" w:color="000000" w:fill="B6DDE8"/>
            <w:vAlign w:val="center"/>
            <w:hideMark/>
          </w:tcPr>
          <w:p w:rsidR="00705F07" w:rsidRDefault="00185A37">
            <w:pPr>
              <w:jc w:val="center"/>
              <w:rPr>
                <w:color w:val="000000"/>
                <w:sz w:val="10"/>
                <w:szCs w:val="10"/>
              </w:rPr>
            </w:pPr>
            <w:r>
              <w:rPr>
                <w:color w:val="000000"/>
                <w:sz w:val="10"/>
                <w:szCs w:val="10"/>
              </w:rPr>
              <w:t>-30,1</w:t>
            </w:r>
          </w:p>
        </w:tc>
        <w:tc>
          <w:tcPr>
            <w:tcW w:w="799" w:type="dxa"/>
            <w:shd w:val="clear" w:color="000000" w:fill="B6DDE8"/>
            <w:vAlign w:val="center"/>
            <w:hideMark/>
          </w:tcPr>
          <w:p w:rsidR="00705F07" w:rsidRDefault="00185A37">
            <w:pPr>
              <w:jc w:val="center"/>
              <w:rPr>
                <w:color w:val="000000"/>
                <w:sz w:val="10"/>
                <w:szCs w:val="10"/>
              </w:rPr>
            </w:pPr>
            <w:r>
              <w:rPr>
                <w:color w:val="000000"/>
                <w:sz w:val="10"/>
                <w:szCs w:val="10"/>
              </w:rPr>
              <w:t>-2,7</w:t>
            </w:r>
          </w:p>
        </w:tc>
        <w:tc>
          <w:tcPr>
            <w:tcW w:w="732" w:type="dxa"/>
            <w:shd w:val="clear" w:color="000000" w:fill="B6DDE8"/>
            <w:vAlign w:val="center"/>
            <w:hideMark/>
          </w:tcPr>
          <w:p w:rsidR="00705F07" w:rsidRDefault="00185A37">
            <w:pPr>
              <w:jc w:val="center"/>
              <w:rPr>
                <w:color w:val="000000"/>
                <w:sz w:val="10"/>
                <w:szCs w:val="10"/>
              </w:rPr>
            </w:pPr>
            <w:r>
              <w:rPr>
                <w:color w:val="000000"/>
                <w:sz w:val="10"/>
                <w:szCs w:val="10"/>
              </w:rPr>
              <w:t>1,5</w:t>
            </w:r>
          </w:p>
        </w:tc>
        <w:tc>
          <w:tcPr>
            <w:tcW w:w="598" w:type="dxa"/>
            <w:shd w:val="clear" w:color="000000" w:fill="B6DDE8"/>
            <w:vAlign w:val="center"/>
            <w:hideMark/>
          </w:tcPr>
          <w:p w:rsidR="00705F07" w:rsidRDefault="00185A37">
            <w:pPr>
              <w:jc w:val="center"/>
              <w:rPr>
                <w:color w:val="000000"/>
                <w:sz w:val="10"/>
                <w:szCs w:val="10"/>
              </w:rPr>
            </w:pPr>
            <w:r>
              <w:rPr>
                <w:color w:val="000000"/>
                <w:sz w:val="10"/>
                <w:szCs w:val="10"/>
              </w:rPr>
              <w:t>-11,6</w:t>
            </w:r>
          </w:p>
        </w:tc>
        <w:tc>
          <w:tcPr>
            <w:tcW w:w="599" w:type="dxa"/>
            <w:shd w:val="clear" w:color="000000" w:fill="B6DDE8"/>
            <w:vAlign w:val="center"/>
            <w:hideMark/>
          </w:tcPr>
          <w:p w:rsidR="00705F07" w:rsidRDefault="00185A37">
            <w:pPr>
              <w:jc w:val="center"/>
              <w:rPr>
                <w:color w:val="000000"/>
                <w:sz w:val="10"/>
                <w:szCs w:val="10"/>
              </w:rPr>
            </w:pPr>
            <w:r>
              <w:rPr>
                <w:color w:val="000000"/>
                <w:sz w:val="10"/>
                <w:szCs w:val="10"/>
              </w:rPr>
              <w:t>-17,4</w:t>
            </w:r>
          </w:p>
        </w:tc>
        <w:tc>
          <w:tcPr>
            <w:tcW w:w="711" w:type="dxa"/>
            <w:shd w:val="clear" w:color="000000" w:fill="B6DDE8"/>
            <w:vAlign w:val="center"/>
            <w:hideMark/>
          </w:tcPr>
          <w:p w:rsidR="00705F07" w:rsidRDefault="00185A37">
            <w:pPr>
              <w:jc w:val="center"/>
              <w:rPr>
                <w:color w:val="000000"/>
                <w:sz w:val="10"/>
                <w:szCs w:val="10"/>
              </w:rPr>
            </w:pPr>
            <w:r>
              <w:rPr>
                <w:color w:val="000000"/>
                <w:sz w:val="10"/>
                <w:szCs w:val="10"/>
              </w:rPr>
              <w:t>-24,3</w:t>
            </w:r>
          </w:p>
        </w:tc>
        <w:tc>
          <w:tcPr>
            <w:tcW w:w="601" w:type="dxa"/>
            <w:shd w:val="clear" w:color="000000" w:fill="B6DDE8"/>
            <w:vAlign w:val="center"/>
            <w:hideMark/>
          </w:tcPr>
          <w:p w:rsidR="00705F07" w:rsidRDefault="00185A37">
            <w:pPr>
              <w:jc w:val="center"/>
              <w:rPr>
                <w:color w:val="000000"/>
                <w:sz w:val="10"/>
                <w:szCs w:val="10"/>
              </w:rPr>
            </w:pPr>
            <w:r>
              <w:rPr>
                <w:color w:val="000000"/>
                <w:sz w:val="10"/>
                <w:szCs w:val="10"/>
              </w:rPr>
              <w:t>-10,2</w:t>
            </w:r>
          </w:p>
        </w:tc>
        <w:tc>
          <w:tcPr>
            <w:tcW w:w="805" w:type="dxa"/>
            <w:shd w:val="clear" w:color="000000" w:fill="B6DDE8"/>
            <w:vAlign w:val="center"/>
            <w:hideMark/>
          </w:tcPr>
          <w:p w:rsidR="00705F07" w:rsidRDefault="00185A37">
            <w:pPr>
              <w:jc w:val="center"/>
              <w:rPr>
                <w:color w:val="000000"/>
                <w:sz w:val="10"/>
                <w:szCs w:val="10"/>
              </w:rPr>
            </w:pPr>
            <w:r>
              <w:rPr>
                <w:color w:val="000000"/>
                <w:sz w:val="10"/>
                <w:szCs w:val="10"/>
              </w:rPr>
              <w:t>-26,0</w:t>
            </w:r>
          </w:p>
        </w:tc>
        <w:tc>
          <w:tcPr>
            <w:tcW w:w="801" w:type="dxa"/>
            <w:shd w:val="clear" w:color="000000" w:fill="B6DDE8"/>
            <w:vAlign w:val="center"/>
            <w:hideMark/>
          </w:tcPr>
          <w:p w:rsidR="00705F07" w:rsidRDefault="00185A37">
            <w:pPr>
              <w:jc w:val="center"/>
              <w:rPr>
                <w:color w:val="000000"/>
                <w:sz w:val="10"/>
                <w:szCs w:val="10"/>
              </w:rPr>
            </w:pPr>
            <w:r>
              <w:rPr>
                <w:color w:val="000000"/>
                <w:sz w:val="10"/>
                <w:szCs w:val="10"/>
              </w:rPr>
              <w:t>-13,1</w:t>
            </w:r>
          </w:p>
        </w:tc>
        <w:tc>
          <w:tcPr>
            <w:tcW w:w="840" w:type="dxa"/>
            <w:shd w:val="clear" w:color="000000" w:fill="B6DDE8"/>
            <w:vAlign w:val="center"/>
            <w:hideMark/>
          </w:tcPr>
          <w:p w:rsidR="00705F07" w:rsidRDefault="00185A37">
            <w:pPr>
              <w:jc w:val="center"/>
              <w:rPr>
                <w:color w:val="000000"/>
                <w:sz w:val="10"/>
                <w:szCs w:val="10"/>
              </w:rPr>
            </w:pPr>
            <w:r>
              <w:rPr>
                <w:color w:val="000000"/>
                <w:sz w:val="10"/>
                <w:szCs w:val="10"/>
              </w:rPr>
              <w:t>-8,5</w:t>
            </w:r>
          </w:p>
        </w:tc>
        <w:tc>
          <w:tcPr>
            <w:tcW w:w="755" w:type="dxa"/>
            <w:shd w:val="clear" w:color="000000" w:fill="B6DDE8"/>
            <w:vAlign w:val="center"/>
            <w:hideMark/>
          </w:tcPr>
          <w:p w:rsidR="00705F07" w:rsidRDefault="00185A37">
            <w:pPr>
              <w:jc w:val="center"/>
              <w:rPr>
                <w:color w:val="000000"/>
                <w:sz w:val="10"/>
                <w:szCs w:val="10"/>
              </w:rPr>
            </w:pPr>
            <w:r>
              <w:rPr>
                <w:color w:val="000000"/>
                <w:sz w:val="10"/>
                <w:szCs w:val="10"/>
              </w:rPr>
              <w:t>-7,5</w:t>
            </w:r>
          </w:p>
        </w:tc>
      </w:tr>
      <w:tr w:rsidR="00705F07">
        <w:trPr>
          <w:trHeight w:val="1470"/>
          <w:jc w:val="center"/>
        </w:trPr>
        <w:tc>
          <w:tcPr>
            <w:tcW w:w="1085" w:type="dxa"/>
            <w:shd w:val="clear" w:color="000000" w:fill="D7E4BC"/>
            <w:vAlign w:val="center"/>
            <w:hideMark/>
          </w:tcPr>
          <w:p w:rsidR="00705F07" w:rsidRDefault="00185A37">
            <w:pPr>
              <w:jc w:val="center"/>
              <w:rPr>
                <w:bCs/>
                <w:color w:val="000000"/>
                <w:sz w:val="10"/>
                <w:szCs w:val="10"/>
              </w:rPr>
            </w:pPr>
            <w:r>
              <w:rPr>
                <w:bCs/>
                <w:color w:val="000000"/>
                <w:sz w:val="10"/>
                <w:szCs w:val="10"/>
              </w:rPr>
              <w:t>у тому числі обсяг операцій з готівковою іноземною валютою небанківських фінансових установ (млн. дол США в еквіваленті):</w:t>
            </w:r>
          </w:p>
        </w:tc>
        <w:tc>
          <w:tcPr>
            <w:tcW w:w="683" w:type="dxa"/>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683" w:type="dxa"/>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799" w:type="dxa"/>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732" w:type="dxa"/>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598" w:type="dxa"/>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599" w:type="dxa"/>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711" w:type="dxa"/>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601" w:type="dxa"/>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805" w:type="dxa"/>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801" w:type="dxa"/>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840" w:type="dxa"/>
            <w:shd w:val="clear" w:color="000000" w:fill="D7E4BC"/>
            <w:vAlign w:val="center"/>
            <w:hideMark/>
          </w:tcPr>
          <w:p w:rsidR="00705F07" w:rsidRDefault="00185A37">
            <w:pPr>
              <w:jc w:val="center"/>
              <w:rPr>
                <w:color w:val="000000"/>
                <w:sz w:val="10"/>
                <w:szCs w:val="10"/>
              </w:rPr>
            </w:pPr>
            <w:r>
              <w:rPr>
                <w:color w:val="000000"/>
                <w:sz w:val="10"/>
                <w:szCs w:val="10"/>
              </w:rPr>
              <w:t> </w:t>
            </w:r>
          </w:p>
        </w:tc>
        <w:tc>
          <w:tcPr>
            <w:tcW w:w="755" w:type="dxa"/>
            <w:shd w:val="clear" w:color="000000" w:fill="D7E4BC"/>
            <w:vAlign w:val="center"/>
            <w:hideMark/>
          </w:tcPr>
          <w:p w:rsidR="00705F07" w:rsidRDefault="00185A37">
            <w:pPr>
              <w:jc w:val="center"/>
              <w:rPr>
                <w:color w:val="000000"/>
                <w:sz w:val="10"/>
                <w:szCs w:val="10"/>
              </w:rPr>
            </w:pPr>
            <w:r>
              <w:rPr>
                <w:color w:val="000000"/>
                <w:sz w:val="10"/>
                <w:szCs w:val="10"/>
              </w:rPr>
              <w:t> </w:t>
            </w:r>
          </w:p>
        </w:tc>
      </w:tr>
      <w:tr w:rsidR="00705F07">
        <w:trPr>
          <w:trHeight w:val="225"/>
          <w:jc w:val="center"/>
        </w:trPr>
        <w:tc>
          <w:tcPr>
            <w:tcW w:w="1085" w:type="dxa"/>
            <w:vAlign w:val="center"/>
            <w:hideMark/>
          </w:tcPr>
          <w:p w:rsidR="00705F07" w:rsidRDefault="00185A37">
            <w:pPr>
              <w:jc w:val="center"/>
              <w:rPr>
                <w:color w:val="000000"/>
                <w:sz w:val="10"/>
                <w:szCs w:val="10"/>
              </w:rPr>
            </w:pPr>
            <w:r>
              <w:rPr>
                <w:color w:val="000000"/>
                <w:sz w:val="10"/>
                <w:szCs w:val="10"/>
              </w:rPr>
              <w:t xml:space="preserve">         продажу</w:t>
            </w:r>
          </w:p>
        </w:tc>
        <w:tc>
          <w:tcPr>
            <w:tcW w:w="683" w:type="dxa"/>
            <w:vAlign w:val="center"/>
            <w:hideMark/>
          </w:tcPr>
          <w:p w:rsidR="00705F07" w:rsidRDefault="00185A37">
            <w:pPr>
              <w:jc w:val="center"/>
              <w:rPr>
                <w:color w:val="000000"/>
                <w:sz w:val="10"/>
                <w:szCs w:val="10"/>
              </w:rPr>
            </w:pPr>
            <w:r>
              <w:rPr>
                <w:color w:val="000000"/>
                <w:sz w:val="10"/>
                <w:szCs w:val="10"/>
              </w:rPr>
              <w:t>1 098,2</w:t>
            </w:r>
          </w:p>
        </w:tc>
        <w:tc>
          <w:tcPr>
            <w:tcW w:w="683" w:type="dxa"/>
            <w:vAlign w:val="center"/>
            <w:hideMark/>
          </w:tcPr>
          <w:p w:rsidR="00705F07" w:rsidRDefault="00185A37">
            <w:pPr>
              <w:jc w:val="center"/>
              <w:rPr>
                <w:color w:val="000000"/>
                <w:sz w:val="10"/>
                <w:szCs w:val="10"/>
              </w:rPr>
            </w:pPr>
            <w:r>
              <w:rPr>
                <w:color w:val="000000"/>
                <w:sz w:val="10"/>
                <w:szCs w:val="10"/>
              </w:rPr>
              <w:t>921,0</w:t>
            </w:r>
          </w:p>
        </w:tc>
        <w:tc>
          <w:tcPr>
            <w:tcW w:w="799" w:type="dxa"/>
            <w:vAlign w:val="center"/>
            <w:hideMark/>
          </w:tcPr>
          <w:p w:rsidR="00705F07" w:rsidRDefault="00185A37">
            <w:pPr>
              <w:jc w:val="center"/>
              <w:rPr>
                <w:color w:val="000000"/>
                <w:sz w:val="10"/>
                <w:szCs w:val="10"/>
              </w:rPr>
            </w:pPr>
            <w:r>
              <w:rPr>
                <w:color w:val="000000"/>
                <w:sz w:val="10"/>
                <w:szCs w:val="10"/>
              </w:rPr>
              <w:t>3,1</w:t>
            </w:r>
          </w:p>
        </w:tc>
        <w:tc>
          <w:tcPr>
            <w:tcW w:w="732" w:type="dxa"/>
            <w:vAlign w:val="center"/>
            <w:hideMark/>
          </w:tcPr>
          <w:p w:rsidR="00705F07" w:rsidRDefault="00185A37">
            <w:pPr>
              <w:jc w:val="center"/>
              <w:rPr>
                <w:color w:val="000000"/>
                <w:sz w:val="10"/>
                <w:szCs w:val="10"/>
              </w:rPr>
            </w:pPr>
            <w:r>
              <w:rPr>
                <w:color w:val="000000"/>
                <w:sz w:val="10"/>
                <w:szCs w:val="10"/>
              </w:rPr>
              <w:t>12,8</w:t>
            </w:r>
          </w:p>
        </w:tc>
        <w:tc>
          <w:tcPr>
            <w:tcW w:w="598" w:type="dxa"/>
            <w:vAlign w:val="center"/>
            <w:hideMark/>
          </w:tcPr>
          <w:p w:rsidR="00705F07" w:rsidRDefault="00185A37">
            <w:pPr>
              <w:jc w:val="center"/>
              <w:rPr>
                <w:color w:val="000000"/>
                <w:sz w:val="10"/>
                <w:szCs w:val="10"/>
              </w:rPr>
            </w:pPr>
            <w:r>
              <w:rPr>
                <w:color w:val="000000"/>
                <w:sz w:val="10"/>
                <w:szCs w:val="10"/>
              </w:rPr>
              <w:t>132,3</w:t>
            </w:r>
          </w:p>
        </w:tc>
        <w:tc>
          <w:tcPr>
            <w:tcW w:w="599" w:type="dxa"/>
            <w:vAlign w:val="center"/>
            <w:hideMark/>
          </w:tcPr>
          <w:p w:rsidR="00705F07" w:rsidRDefault="00185A37">
            <w:pPr>
              <w:jc w:val="center"/>
              <w:rPr>
                <w:color w:val="000000"/>
                <w:sz w:val="10"/>
                <w:szCs w:val="10"/>
              </w:rPr>
            </w:pPr>
            <w:r>
              <w:rPr>
                <w:color w:val="000000"/>
                <w:sz w:val="10"/>
                <w:szCs w:val="10"/>
              </w:rPr>
              <w:t>707,6</w:t>
            </w:r>
          </w:p>
        </w:tc>
        <w:tc>
          <w:tcPr>
            <w:tcW w:w="711" w:type="dxa"/>
            <w:vAlign w:val="center"/>
            <w:hideMark/>
          </w:tcPr>
          <w:p w:rsidR="00705F07" w:rsidRDefault="00185A37">
            <w:pPr>
              <w:jc w:val="center"/>
              <w:rPr>
                <w:color w:val="000000"/>
                <w:sz w:val="10"/>
                <w:szCs w:val="10"/>
              </w:rPr>
            </w:pPr>
            <w:r>
              <w:rPr>
                <w:color w:val="000000"/>
                <w:sz w:val="10"/>
                <w:szCs w:val="10"/>
              </w:rPr>
              <w:t>822,9</w:t>
            </w:r>
          </w:p>
        </w:tc>
        <w:tc>
          <w:tcPr>
            <w:tcW w:w="601" w:type="dxa"/>
            <w:vAlign w:val="center"/>
            <w:hideMark/>
          </w:tcPr>
          <w:p w:rsidR="00705F07" w:rsidRDefault="00185A37">
            <w:pPr>
              <w:jc w:val="center"/>
              <w:rPr>
                <w:color w:val="000000"/>
                <w:sz w:val="10"/>
                <w:szCs w:val="10"/>
              </w:rPr>
            </w:pPr>
            <w:r>
              <w:rPr>
                <w:color w:val="000000"/>
                <w:sz w:val="10"/>
                <w:szCs w:val="10"/>
              </w:rPr>
              <w:t>955,8</w:t>
            </w:r>
          </w:p>
        </w:tc>
        <w:tc>
          <w:tcPr>
            <w:tcW w:w="805" w:type="dxa"/>
            <w:vAlign w:val="center"/>
            <w:hideMark/>
          </w:tcPr>
          <w:p w:rsidR="00705F07" w:rsidRDefault="00185A37">
            <w:pPr>
              <w:jc w:val="center"/>
              <w:rPr>
                <w:color w:val="000000"/>
                <w:sz w:val="10"/>
                <w:szCs w:val="10"/>
              </w:rPr>
            </w:pPr>
            <w:r>
              <w:rPr>
                <w:color w:val="000000"/>
                <w:sz w:val="10"/>
                <w:szCs w:val="10"/>
              </w:rPr>
              <w:t>1 039,7</w:t>
            </w:r>
          </w:p>
        </w:tc>
        <w:tc>
          <w:tcPr>
            <w:tcW w:w="801" w:type="dxa"/>
            <w:vAlign w:val="center"/>
            <w:hideMark/>
          </w:tcPr>
          <w:p w:rsidR="00705F07" w:rsidRDefault="00185A37">
            <w:pPr>
              <w:jc w:val="center"/>
              <w:rPr>
                <w:color w:val="000000"/>
                <w:sz w:val="10"/>
                <w:szCs w:val="10"/>
              </w:rPr>
            </w:pPr>
            <w:r>
              <w:rPr>
                <w:color w:val="000000"/>
                <w:sz w:val="10"/>
                <w:szCs w:val="10"/>
              </w:rPr>
              <w:t>960,6</w:t>
            </w:r>
          </w:p>
        </w:tc>
        <w:tc>
          <w:tcPr>
            <w:tcW w:w="840" w:type="dxa"/>
            <w:vAlign w:val="center"/>
            <w:hideMark/>
          </w:tcPr>
          <w:p w:rsidR="00705F07" w:rsidRDefault="00185A37">
            <w:pPr>
              <w:jc w:val="center"/>
              <w:rPr>
                <w:color w:val="000000"/>
                <w:sz w:val="10"/>
                <w:szCs w:val="10"/>
              </w:rPr>
            </w:pPr>
            <w:r>
              <w:rPr>
                <w:color w:val="000000"/>
                <w:sz w:val="10"/>
                <w:szCs w:val="10"/>
              </w:rPr>
              <w:t>943,3</w:t>
            </w:r>
          </w:p>
        </w:tc>
        <w:tc>
          <w:tcPr>
            <w:tcW w:w="755" w:type="dxa"/>
            <w:vAlign w:val="center"/>
            <w:hideMark/>
          </w:tcPr>
          <w:p w:rsidR="00705F07" w:rsidRDefault="00185A37">
            <w:pPr>
              <w:jc w:val="center"/>
              <w:rPr>
                <w:color w:val="000000"/>
                <w:sz w:val="10"/>
                <w:szCs w:val="10"/>
              </w:rPr>
            </w:pPr>
            <w:r>
              <w:rPr>
                <w:color w:val="000000"/>
                <w:sz w:val="10"/>
                <w:szCs w:val="10"/>
              </w:rPr>
              <w:t>993,4</w:t>
            </w:r>
          </w:p>
        </w:tc>
      </w:tr>
      <w:tr w:rsidR="00705F07">
        <w:trPr>
          <w:trHeight w:val="225"/>
          <w:jc w:val="center"/>
        </w:trPr>
        <w:tc>
          <w:tcPr>
            <w:tcW w:w="1085" w:type="dxa"/>
            <w:vAlign w:val="center"/>
            <w:hideMark/>
          </w:tcPr>
          <w:p w:rsidR="00705F07" w:rsidRDefault="00185A37">
            <w:pPr>
              <w:jc w:val="center"/>
              <w:rPr>
                <w:color w:val="000000"/>
                <w:sz w:val="10"/>
                <w:szCs w:val="10"/>
              </w:rPr>
            </w:pPr>
            <w:r>
              <w:rPr>
                <w:color w:val="000000"/>
                <w:sz w:val="10"/>
                <w:szCs w:val="10"/>
              </w:rPr>
              <w:t xml:space="preserve">         купівлі</w:t>
            </w:r>
          </w:p>
        </w:tc>
        <w:tc>
          <w:tcPr>
            <w:tcW w:w="683" w:type="dxa"/>
            <w:vAlign w:val="center"/>
            <w:hideMark/>
          </w:tcPr>
          <w:p w:rsidR="00705F07" w:rsidRDefault="00185A37">
            <w:pPr>
              <w:jc w:val="center"/>
              <w:rPr>
                <w:color w:val="000000"/>
                <w:sz w:val="10"/>
                <w:szCs w:val="10"/>
              </w:rPr>
            </w:pPr>
            <w:r>
              <w:rPr>
                <w:color w:val="000000"/>
                <w:sz w:val="10"/>
                <w:szCs w:val="10"/>
              </w:rPr>
              <w:t>1 105,7</w:t>
            </w:r>
          </w:p>
        </w:tc>
        <w:tc>
          <w:tcPr>
            <w:tcW w:w="683" w:type="dxa"/>
            <w:vAlign w:val="center"/>
            <w:hideMark/>
          </w:tcPr>
          <w:p w:rsidR="00705F07" w:rsidRDefault="00185A37">
            <w:pPr>
              <w:jc w:val="center"/>
              <w:rPr>
                <w:color w:val="000000"/>
                <w:sz w:val="10"/>
                <w:szCs w:val="10"/>
              </w:rPr>
            </w:pPr>
            <w:r>
              <w:rPr>
                <w:color w:val="000000"/>
                <w:sz w:val="10"/>
                <w:szCs w:val="10"/>
              </w:rPr>
              <w:t>915,9</w:t>
            </w:r>
          </w:p>
        </w:tc>
        <w:tc>
          <w:tcPr>
            <w:tcW w:w="799" w:type="dxa"/>
            <w:vAlign w:val="center"/>
            <w:hideMark/>
          </w:tcPr>
          <w:p w:rsidR="00705F07" w:rsidRDefault="00185A37">
            <w:pPr>
              <w:jc w:val="center"/>
              <w:rPr>
                <w:color w:val="000000"/>
                <w:sz w:val="10"/>
                <w:szCs w:val="10"/>
              </w:rPr>
            </w:pPr>
            <w:r>
              <w:rPr>
                <w:color w:val="000000"/>
                <w:sz w:val="10"/>
                <w:szCs w:val="10"/>
              </w:rPr>
              <w:t>4,9</w:t>
            </w:r>
          </w:p>
        </w:tc>
        <w:tc>
          <w:tcPr>
            <w:tcW w:w="732" w:type="dxa"/>
            <w:vAlign w:val="center"/>
            <w:hideMark/>
          </w:tcPr>
          <w:p w:rsidR="00705F07" w:rsidRDefault="00185A37">
            <w:pPr>
              <w:jc w:val="center"/>
              <w:rPr>
                <w:color w:val="000000"/>
                <w:sz w:val="10"/>
                <w:szCs w:val="10"/>
              </w:rPr>
            </w:pPr>
            <w:r>
              <w:rPr>
                <w:color w:val="000000"/>
                <w:sz w:val="10"/>
                <w:szCs w:val="10"/>
              </w:rPr>
              <w:t>15,8</w:t>
            </w:r>
          </w:p>
        </w:tc>
        <w:tc>
          <w:tcPr>
            <w:tcW w:w="598" w:type="dxa"/>
            <w:vAlign w:val="center"/>
            <w:hideMark/>
          </w:tcPr>
          <w:p w:rsidR="00705F07" w:rsidRDefault="00185A37">
            <w:pPr>
              <w:jc w:val="center"/>
              <w:rPr>
                <w:color w:val="000000"/>
                <w:sz w:val="10"/>
                <w:szCs w:val="10"/>
              </w:rPr>
            </w:pPr>
            <w:r>
              <w:rPr>
                <w:color w:val="000000"/>
                <w:sz w:val="10"/>
                <w:szCs w:val="10"/>
              </w:rPr>
              <w:t>136,4</w:t>
            </w:r>
          </w:p>
        </w:tc>
        <w:tc>
          <w:tcPr>
            <w:tcW w:w="599" w:type="dxa"/>
            <w:vAlign w:val="center"/>
            <w:hideMark/>
          </w:tcPr>
          <w:p w:rsidR="00705F07" w:rsidRDefault="00185A37">
            <w:pPr>
              <w:jc w:val="center"/>
              <w:rPr>
                <w:color w:val="000000"/>
                <w:sz w:val="10"/>
                <w:szCs w:val="10"/>
              </w:rPr>
            </w:pPr>
            <w:r>
              <w:rPr>
                <w:color w:val="000000"/>
                <w:sz w:val="10"/>
                <w:szCs w:val="10"/>
              </w:rPr>
              <w:t>714,3</w:t>
            </w:r>
          </w:p>
        </w:tc>
        <w:tc>
          <w:tcPr>
            <w:tcW w:w="711" w:type="dxa"/>
            <w:vAlign w:val="center"/>
            <w:hideMark/>
          </w:tcPr>
          <w:p w:rsidR="00705F07" w:rsidRDefault="00185A37">
            <w:pPr>
              <w:jc w:val="center"/>
              <w:rPr>
                <w:color w:val="000000"/>
                <w:sz w:val="10"/>
                <w:szCs w:val="10"/>
              </w:rPr>
            </w:pPr>
            <w:r>
              <w:rPr>
                <w:color w:val="000000"/>
                <w:sz w:val="10"/>
                <w:szCs w:val="10"/>
              </w:rPr>
              <w:t>829,5</w:t>
            </w:r>
          </w:p>
        </w:tc>
        <w:tc>
          <w:tcPr>
            <w:tcW w:w="601" w:type="dxa"/>
            <w:vAlign w:val="center"/>
            <w:hideMark/>
          </w:tcPr>
          <w:p w:rsidR="00705F07" w:rsidRDefault="00185A37">
            <w:pPr>
              <w:jc w:val="center"/>
              <w:rPr>
                <w:color w:val="000000"/>
                <w:sz w:val="10"/>
                <w:szCs w:val="10"/>
              </w:rPr>
            </w:pPr>
            <w:r>
              <w:rPr>
                <w:color w:val="000000"/>
                <w:sz w:val="10"/>
                <w:szCs w:val="10"/>
              </w:rPr>
              <w:t>959,6</w:t>
            </w:r>
          </w:p>
        </w:tc>
        <w:tc>
          <w:tcPr>
            <w:tcW w:w="805" w:type="dxa"/>
            <w:vAlign w:val="center"/>
            <w:hideMark/>
          </w:tcPr>
          <w:p w:rsidR="00705F07" w:rsidRDefault="00185A37">
            <w:pPr>
              <w:jc w:val="center"/>
              <w:rPr>
                <w:color w:val="000000"/>
                <w:sz w:val="10"/>
                <w:szCs w:val="10"/>
              </w:rPr>
            </w:pPr>
            <w:r>
              <w:rPr>
                <w:color w:val="000000"/>
                <w:sz w:val="10"/>
                <w:szCs w:val="10"/>
              </w:rPr>
              <w:t>1 043,8</w:t>
            </w:r>
          </w:p>
        </w:tc>
        <w:tc>
          <w:tcPr>
            <w:tcW w:w="801" w:type="dxa"/>
            <w:vAlign w:val="center"/>
            <w:hideMark/>
          </w:tcPr>
          <w:p w:rsidR="00705F07" w:rsidRDefault="00185A37">
            <w:pPr>
              <w:jc w:val="center"/>
              <w:rPr>
                <w:color w:val="000000"/>
                <w:sz w:val="10"/>
                <w:szCs w:val="10"/>
              </w:rPr>
            </w:pPr>
            <w:r>
              <w:rPr>
                <w:color w:val="000000"/>
                <w:sz w:val="10"/>
                <w:szCs w:val="10"/>
              </w:rPr>
              <w:t>958,8</w:t>
            </w:r>
          </w:p>
        </w:tc>
        <w:tc>
          <w:tcPr>
            <w:tcW w:w="840" w:type="dxa"/>
            <w:vAlign w:val="center"/>
            <w:hideMark/>
          </w:tcPr>
          <w:p w:rsidR="00705F07" w:rsidRDefault="00185A37">
            <w:pPr>
              <w:jc w:val="center"/>
              <w:rPr>
                <w:color w:val="000000"/>
                <w:sz w:val="10"/>
                <w:szCs w:val="10"/>
              </w:rPr>
            </w:pPr>
            <w:r>
              <w:rPr>
                <w:color w:val="000000"/>
                <w:sz w:val="10"/>
                <w:szCs w:val="10"/>
              </w:rPr>
              <w:t>947,2</w:t>
            </w:r>
          </w:p>
        </w:tc>
        <w:tc>
          <w:tcPr>
            <w:tcW w:w="755" w:type="dxa"/>
            <w:vAlign w:val="center"/>
            <w:hideMark/>
          </w:tcPr>
          <w:p w:rsidR="00705F07" w:rsidRDefault="00185A37">
            <w:pPr>
              <w:jc w:val="center"/>
              <w:rPr>
                <w:color w:val="000000"/>
                <w:sz w:val="10"/>
                <w:szCs w:val="10"/>
              </w:rPr>
            </w:pPr>
            <w:r>
              <w:rPr>
                <w:color w:val="000000"/>
                <w:sz w:val="10"/>
                <w:szCs w:val="10"/>
              </w:rPr>
              <w:t>994,0</w:t>
            </w:r>
          </w:p>
        </w:tc>
      </w:tr>
      <w:tr w:rsidR="00705F07">
        <w:trPr>
          <w:trHeight w:val="675"/>
          <w:jc w:val="center"/>
        </w:trPr>
        <w:tc>
          <w:tcPr>
            <w:tcW w:w="1085" w:type="dxa"/>
            <w:shd w:val="clear" w:color="000000" w:fill="B6DDE8"/>
            <w:vAlign w:val="center"/>
            <w:hideMark/>
          </w:tcPr>
          <w:p w:rsidR="00705F07" w:rsidRDefault="00185A37">
            <w:pPr>
              <w:jc w:val="center"/>
              <w:rPr>
                <w:color w:val="000000"/>
                <w:sz w:val="10"/>
                <w:szCs w:val="10"/>
              </w:rPr>
            </w:pPr>
            <w:r>
              <w:rPr>
                <w:color w:val="000000"/>
                <w:sz w:val="10"/>
                <w:szCs w:val="10"/>
              </w:rPr>
              <w:t>Сальдо (продаж мінус купівля, млн. дол США в еквіваленті)</w:t>
            </w:r>
          </w:p>
        </w:tc>
        <w:tc>
          <w:tcPr>
            <w:tcW w:w="683" w:type="dxa"/>
            <w:shd w:val="clear" w:color="000000" w:fill="B6DDE8"/>
            <w:vAlign w:val="center"/>
            <w:hideMark/>
          </w:tcPr>
          <w:p w:rsidR="00705F07" w:rsidRDefault="00185A37">
            <w:pPr>
              <w:jc w:val="center"/>
              <w:rPr>
                <w:color w:val="000000"/>
                <w:sz w:val="10"/>
                <w:szCs w:val="10"/>
              </w:rPr>
            </w:pPr>
            <w:r>
              <w:rPr>
                <w:color w:val="000000"/>
                <w:sz w:val="10"/>
                <w:szCs w:val="10"/>
              </w:rPr>
              <w:t>-7,4</w:t>
            </w:r>
          </w:p>
        </w:tc>
        <w:tc>
          <w:tcPr>
            <w:tcW w:w="683" w:type="dxa"/>
            <w:shd w:val="clear" w:color="000000" w:fill="B6DDE8"/>
            <w:vAlign w:val="center"/>
            <w:hideMark/>
          </w:tcPr>
          <w:p w:rsidR="00705F07" w:rsidRDefault="00185A37">
            <w:pPr>
              <w:jc w:val="center"/>
              <w:rPr>
                <w:color w:val="000000"/>
                <w:sz w:val="10"/>
                <w:szCs w:val="10"/>
              </w:rPr>
            </w:pPr>
            <w:r>
              <w:rPr>
                <w:color w:val="000000"/>
                <w:sz w:val="10"/>
                <w:szCs w:val="10"/>
              </w:rPr>
              <w:t>5,2</w:t>
            </w:r>
          </w:p>
        </w:tc>
        <w:tc>
          <w:tcPr>
            <w:tcW w:w="799" w:type="dxa"/>
            <w:shd w:val="clear" w:color="000000" w:fill="B6DDE8"/>
            <w:vAlign w:val="center"/>
            <w:hideMark/>
          </w:tcPr>
          <w:p w:rsidR="00705F07" w:rsidRDefault="00185A37">
            <w:pPr>
              <w:jc w:val="center"/>
              <w:rPr>
                <w:color w:val="000000"/>
                <w:sz w:val="10"/>
                <w:szCs w:val="10"/>
              </w:rPr>
            </w:pPr>
            <w:r>
              <w:rPr>
                <w:color w:val="000000"/>
                <w:sz w:val="10"/>
                <w:szCs w:val="10"/>
              </w:rPr>
              <w:t>-1,8</w:t>
            </w:r>
          </w:p>
        </w:tc>
        <w:tc>
          <w:tcPr>
            <w:tcW w:w="732" w:type="dxa"/>
            <w:shd w:val="clear" w:color="000000" w:fill="B6DDE8"/>
            <w:vAlign w:val="center"/>
            <w:hideMark/>
          </w:tcPr>
          <w:p w:rsidR="00705F07" w:rsidRDefault="00185A37">
            <w:pPr>
              <w:jc w:val="center"/>
              <w:rPr>
                <w:color w:val="000000"/>
                <w:sz w:val="10"/>
                <w:szCs w:val="10"/>
              </w:rPr>
            </w:pPr>
            <w:r>
              <w:rPr>
                <w:color w:val="000000"/>
                <w:sz w:val="10"/>
                <w:szCs w:val="10"/>
              </w:rPr>
              <w:t>-3,0</w:t>
            </w:r>
          </w:p>
        </w:tc>
        <w:tc>
          <w:tcPr>
            <w:tcW w:w="598" w:type="dxa"/>
            <w:shd w:val="clear" w:color="000000" w:fill="B6DDE8"/>
            <w:vAlign w:val="center"/>
            <w:hideMark/>
          </w:tcPr>
          <w:p w:rsidR="00705F07" w:rsidRDefault="00185A37">
            <w:pPr>
              <w:jc w:val="center"/>
              <w:rPr>
                <w:color w:val="000000"/>
                <w:sz w:val="10"/>
                <w:szCs w:val="10"/>
              </w:rPr>
            </w:pPr>
            <w:r>
              <w:rPr>
                <w:color w:val="000000"/>
                <w:sz w:val="10"/>
                <w:szCs w:val="10"/>
              </w:rPr>
              <w:t>-4,2</w:t>
            </w:r>
          </w:p>
        </w:tc>
        <w:tc>
          <w:tcPr>
            <w:tcW w:w="599" w:type="dxa"/>
            <w:shd w:val="clear" w:color="000000" w:fill="B6DDE8"/>
            <w:vAlign w:val="center"/>
            <w:hideMark/>
          </w:tcPr>
          <w:p w:rsidR="00705F07" w:rsidRDefault="00185A37">
            <w:pPr>
              <w:jc w:val="center"/>
              <w:rPr>
                <w:color w:val="000000"/>
                <w:sz w:val="10"/>
                <w:szCs w:val="10"/>
              </w:rPr>
            </w:pPr>
            <w:r>
              <w:rPr>
                <w:color w:val="000000"/>
                <w:sz w:val="10"/>
                <w:szCs w:val="10"/>
              </w:rPr>
              <w:t>-6,7</w:t>
            </w:r>
          </w:p>
        </w:tc>
        <w:tc>
          <w:tcPr>
            <w:tcW w:w="711" w:type="dxa"/>
            <w:shd w:val="clear" w:color="000000" w:fill="B6DDE8"/>
            <w:vAlign w:val="center"/>
            <w:hideMark/>
          </w:tcPr>
          <w:p w:rsidR="00705F07" w:rsidRDefault="00185A37">
            <w:pPr>
              <w:jc w:val="center"/>
              <w:rPr>
                <w:color w:val="000000"/>
                <w:sz w:val="10"/>
                <w:szCs w:val="10"/>
              </w:rPr>
            </w:pPr>
            <w:r>
              <w:rPr>
                <w:color w:val="000000"/>
                <w:sz w:val="10"/>
                <w:szCs w:val="10"/>
              </w:rPr>
              <w:t>-6,6</w:t>
            </w:r>
          </w:p>
        </w:tc>
        <w:tc>
          <w:tcPr>
            <w:tcW w:w="601" w:type="dxa"/>
            <w:shd w:val="clear" w:color="000000" w:fill="B6DDE8"/>
            <w:vAlign w:val="center"/>
            <w:hideMark/>
          </w:tcPr>
          <w:p w:rsidR="00705F07" w:rsidRDefault="00185A37">
            <w:pPr>
              <w:jc w:val="center"/>
              <w:rPr>
                <w:color w:val="000000"/>
                <w:sz w:val="10"/>
                <w:szCs w:val="10"/>
              </w:rPr>
            </w:pPr>
            <w:r>
              <w:rPr>
                <w:color w:val="000000"/>
                <w:sz w:val="10"/>
                <w:szCs w:val="10"/>
              </w:rPr>
              <w:t>-3,8</w:t>
            </w:r>
          </w:p>
        </w:tc>
        <w:tc>
          <w:tcPr>
            <w:tcW w:w="805" w:type="dxa"/>
            <w:shd w:val="clear" w:color="000000" w:fill="B6DDE8"/>
            <w:vAlign w:val="center"/>
            <w:hideMark/>
          </w:tcPr>
          <w:p w:rsidR="00705F07" w:rsidRDefault="00185A37">
            <w:pPr>
              <w:jc w:val="center"/>
              <w:rPr>
                <w:color w:val="000000"/>
                <w:sz w:val="10"/>
                <w:szCs w:val="10"/>
              </w:rPr>
            </w:pPr>
            <w:r>
              <w:rPr>
                <w:color w:val="000000"/>
                <w:sz w:val="10"/>
                <w:szCs w:val="10"/>
              </w:rPr>
              <w:t>-4,1</w:t>
            </w:r>
          </w:p>
        </w:tc>
        <w:tc>
          <w:tcPr>
            <w:tcW w:w="801" w:type="dxa"/>
            <w:shd w:val="clear" w:color="000000" w:fill="B6DDE8"/>
            <w:vAlign w:val="center"/>
            <w:hideMark/>
          </w:tcPr>
          <w:p w:rsidR="00705F07" w:rsidRDefault="00185A37">
            <w:pPr>
              <w:jc w:val="center"/>
              <w:rPr>
                <w:color w:val="000000"/>
                <w:sz w:val="10"/>
                <w:szCs w:val="10"/>
              </w:rPr>
            </w:pPr>
            <w:r>
              <w:rPr>
                <w:color w:val="000000"/>
                <w:sz w:val="10"/>
                <w:szCs w:val="10"/>
              </w:rPr>
              <w:t>1,7</w:t>
            </w:r>
          </w:p>
        </w:tc>
        <w:tc>
          <w:tcPr>
            <w:tcW w:w="840" w:type="dxa"/>
            <w:shd w:val="clear" w:color="000000" w:fill="B6DDE8"/>
            <w:vAlign w:val="center"/>
            <w:hideMark/>
          </w:tcPr>
          <w:p w:rsidR="00705F07" w:rsidRDefault="00185A37">
            <w:pPr>
              <w:jc w:val="center"/>
              <w:rPr>
                <w:color w:val="000000"/>
                <w:sz w:val="10"/>
                <w:szCs w:val="10"/>
              </w:rPr>
            </w:pPr>
            <w:r>
              <w:rPr>
                <w:color w:val="000000"/>
                <w:sz w:val="10"/>
                <w:szCs w:val="10"/>
              </w:rPr>
              <w:t>-3,8</w:t>
            </w:r>
          </w:p>
        </w:tc>
        <w:tc>
          <w:tcPr>
            <w:tcW w:w="755" w:type="dxa"/>
            <w:shd w:val="clear" w:color="000000" w:fill="B6DDE8"/>
            <w:vAlign w:val="center"/>
            <w:hideMark/>
          </w:tcPr>
          <w:p w:rsidR="00705F07" w:rsidRDefault="00185A37">
            <w:pPr>
              <w:jc w:val="center"/>
              <w:rPr>
                <w:color w:val="000000"/>
                <w:sz w:val="10"/>
                <w:szCs w:val="10"/>
              </w:rPr>
            </w:pPr>
            <w:r>
              <w:rPr>
                <w:color w:val="000000"/>
                <w:sz w:val="10"/>
                <w:szCs w:val="10"/>
              </w:rPr>
              <w:t>-0,5</w:t>
            </w:r>
          </w:p>
        </w:tc>
      </w:tr>
      <w:tr w:rsidR="00705F07">
        <w:trPr>
          <w:trHeight w:val="450"/>
          <w:jc w:val="center"/>
        </w:trPr>
        <w:tc>
          <w:tcPr>
            <w:tcW w:w="1085" w:type="dxa"/>
            <w:vAlign w:val="center"/>
            <w:hideMark/>
          </w:tcPr>
          <w:p w:rsidR="00705F07" w:rsidRDefault="00185A37">
            <w:pPr>
              <w:jc w:val="center"/>
              <w:rPr>
                <w:color w:val="000000"/>
                <w:sz w:val="10"/>
                <w:szCs w:val="10"/>
              </w:rPr>
            </w:pPr>
            <w:r>
              <w:rPr>
                <w:color w:val="000000"/>
                <w:sz w:val="10"/>
                <w:szCs w:val="10"/>
              </w:rPr>
              <w:t xml:space="preserve">         продажу (млн. дол США)</w:t>
            </w:r>
          </w:p>
        </w:tc>
        <w:tc>
          <w:tcPr>
            <w:tcW w:w="683" w:type="dxa"/>
            <w:vAlign w:val="center"/>
            <w:hideMark/>
          </w:tcPr>
          <w:p w:rsidR="00705F07" w:rsidRDefault="00185A37">
            <w:pPr>
              <w:jc w:val="center"/>
              <w:rPr>
                <w:color w:val="000000"/>
                <w:sz w:val="10"/>
                <w:szCs w:val="10"/>
              </w:rPr>
            </w:pPr>
            <w:r>
              <w:rPr>
                <w:color w:val="000000"/>
                <w:sz w:val="10"/>
                <w:szCs w:val="10"/>
              </w:rPr>
              <w:t>813,2</w:t>
            </w:r>
          </w:p>
        </w:tc>
        <w:tc>
          <w:tcPr>
            <w:tcW w:w="683" w:type="dxa"/>
            <w:vAlign w:val="center"/>
            <w:hideMark/>
          </w:tcPr>
          <w:p w:rsidR="00705F07" w:rsidRDefault="00185A37">
            <w:pPr>
              <w:jc w:val="center"/>
              <w:rPr>
                <w:color w:val="000000"/>
                <w:sz w:val="10"/>
                <w:szCs w:val="10"/>
              </w:rPr>
            </w:pPr>
            <w:r>
              <w:rPr>
                <w:color w:val="000000"/>
                <w:sz w:val="10"/>
                <w:szCs w:val="10"/>
              </w:rPr>
              <w:t>698,2</w:t>
            </w:r>
          </w:p>
        </w:tc>
        <w:tc>
          <w:tcPr>
            <w:tcW w:w="799" w:type="dxa"/>
            <w:vAlign w:val="center"/>
            <w:hideMark/>
          </w:tcPr>
          <w:p w:rsidR="00705F07" w:rsidRDefault="00185A37">
            <w:pPr>
              <w:jc w:val="center"/>
              <w:rPr>
                <w:color w:val="000000"/>
                <w:sz w:val="10"/>
                <w:szCs w:val="10"/>
              </w:rPr>
            </w:pPr>
            <w:r>
              <w:rPr>
                <w:color w:val="000000"/>
                <w:sz w:val="10"/>
                <w:szCs w:val="10"/>
              </w:rPr>
              <w:t>2,2</w:t>
            </w:r>
          </w:p>
        </w:tc>
        <w:tc>
          <w:tcPr>
            <w:tcW w:w="732" w:type="dxa"/>
            <w:vAlign w:val="center"/>
            <w:hideMark/>
          </w:tcPr>
          <w:p w:rsidR="00705F07" w:rsidRDefault="00185A37">
            <w:pPr>
              <w:jc w:val="center"/>
              <w:rPr>
                <w:color w:val="000000"/>
                <w:sz w:val="10"/>
                <w:szCs w:val="10"/>
              </w:rPr>
            </w:pPr>
            <w:r>
              <w:rPr>
                <w:color w:val="000000"/>
                <w:sz w:val="10"/>
                <w:szCs w:val="10"/>
              </w:rPr>
              <w:t>8,8</w:t>
            </w:r>
          </w:p>
        </w:tc>
        <w:tc>
          <w:tcPr>
            <w:tcW w:w="598" w:type="dxa"/>
            <w:vAlign w:val="center"/>
            <w:hideMark/>
          </w:tcPr>
          <w:p w:rsidR="00705F07" w:rsidRDefault="00185A37">
            <w:pPr>
              <w:jc w:val="center"/>
              <w:rPr>
                <w:color w:val="000000"/>
                <w:sz w:val="10"/>
                <w:szCs w:val="10"/>
              </w:rPr>
            </w:pPr>
            <w:r>
              <w:rPr>
                <w:color w:val="000000"/>
                <w:sz w:val="10"/>
                <w:szCs w:val="10"/>
              </w:rPr>
              <w:t>95,6</w:t>
            </w:r>
          </w:p>
        </w:tc>
        <w:tc>
          <w:tcPr>
            <w:tcW w:w="599" w:type="dxa"/>
            <w:vAlign w:val="center"/>
            <w:hideMark/>
          </w:tcPr>
          <w:p w:rsidR="00705F07" w:rsidRDefault="00185A37">
            <w:pPr>
              <w:jc w:val="center"/>
              <w:rPr>
                <w:color w:val="000000"/>
                <w:sz w:val="10"/>
                <w:szCs w:val="10"/>
              </w:rPr>
            </w:pPr>
            <w:r>
              <w:rPr>
                <w:color w:val="000000"/>
                <w:sz w:val="10"/>
                <w:szCs w:val="10"/>
              </w:rPr>
              <w:t>494,1</w:t>
            </w:r>
          </w:p>
        </w:tc>
        <w:tc>
          <w:tcPr>
            <w:tcW w:w="711" w:type="dxa"/>
            <w:vAlign w:val="center"/>
            <w:hideMark/>
          </w:tcPr>
          <w:p w:rsidR="00705F07" w:rsidRDefault="00185A37">
            <w:pPr>
              <w:jc w:val="center"/>
              <w:rPr>
                <w:color w:val="000000"/>
                <w:sz w:val="10"/>
                <w:szCs w:val="10"/>
              </w:rPr>
            </w:pPr>
            <w:r>
              <w:rPr>
                <w:color w:val="000000"/>
                <w:sz w:val="10"/>
                <w:szCs w:val="10"/>
              </w:rPr>
              <w:t>602,0</w:t>
            </w:r>
          </w:p>
        </w:tc>
        <w:tc>
          <w:tcPr>
            <w:tcW w:w="601" w:type="dxa"/>
            <w:vAlign w:val="center"/>
            <w:hideMark/>
          </w:tcPr>
          <w:p w:rsidR="00705F07" w:rsidRDefault="00185A37">
            <w:pPr>
              <w:jc w:val="center"/>
              <w:rPr>
                <w:color w:val="000000"/>
                <w:sz w:val="10"/>
                <w:szCs w:val="10"/>
              </w:rPr>
            </w:pPr>
            <w:r>
              <w:rPr>
                <w:color w:val="000000"/>
                <w:sz w:val="10"/>
                <w:szCs w:val="10"/>
              </w:rPr>
              <w:t>700,6</w:t>
            </w:r>
          </w:p>
        </w:tc>
        <w:tc>
          <w:tcPr>
            <w:tcW w:w="805" w:type="dxa"/>
            <w:vAlign w:val="center"/>
            <w:hideMark/>
          </w:tcPr>
          <w:p w:rsidR="00705F07" w:rsidRDefault="00185A37">
            <w:pPr>
              <w:jc w:val="center"/>
              <w:rPr>
                <w:color w:val="000000"/>
                <w:sz w:val="10"/>
                <w:szCs w:val="10"/>
              </w:rPr>
            </w:pPr>
            <w:r>
              <w:rPr>
                <w:color w:val="000000"/>
                <w:sz w:val="10"/>
                <w:szCs w:val="10"/>
              </w:rPr>
              <w:t>763,4</w:t>
            </w:r>
          </w:p>
        </w:tc>
        <w:tc>
          <w:tcPr>
            <w:tcW w:w="801" w:type="dxa"/>
            <w:vAlign w:val="center"/>
            <w:hideMark/>
          </w:tcPr>
          <w:p w:rsidR="00705F07" w:rsidRDefault="00185A37">
            <w:pPr>
              <w:jc w:val="center"/>
              <w:rPr>
                <w:color w:val="000000"/>
                <w:sz w:val="10"/>
                <w:szCs w:val="10"/>
              </w:rPr>
            </w:pPr>
            <w:r>
              <w:rPr>
                <w:color w:val="000000"/>
                <w:sz w:val="10"/>
                <w:szCs w:val="10"/>
              </w:rPr>
              <w:t>707,6</w:t>
            </w:r>
          </w:p>
        </w:tc>
        <w:tc>
          <w:tcPr>
            <w:tcW w:w="840" w:type="dxa"/>
            <w:vAlign w:val="center"/>
            <w:hideMark/>
          </w:tcPr>
          <w:p w:rsidR="00705F07" w:rsidRDefault="00185A37">
            <w:pPr>
              <w:jc w:val="center"/>
              <w:rPr>
                <w:color w:val="000000"/>
                <w:sz w:val="10"/>
                <w:szCs w:val="10"/>
              </w:rPr>
            </w:pPr>
            <w:r>
              <w:rPr>
                <w:color w:val="000000"/>
                <w:sz w:val="10"/>
                <w:szCs w:val="10"/>
              </w:rPr>
              <w:t>704,3</w:t>
            </w:r>
          </w:p>
        </w:tc>
        <w:tc>
          <w:tcPr>
            <w:tcW w:w="755" w:type="dxa"/>
            <w:vAlign w:val="center"/>
            <w:hideMark/>
          </w:tcPr>
          <w:p w:rsidR="00705F07" w:rsidRDefault="00185A37">
            <w:pPr>
              <w:jc w:val="center"/>
              <w:rPr>
                <w:color w:val="000000"/>
                <w:sz w:val="10"/>
                <w:szCs w:val="10"/>
              </w:rPr>
            </w:pPr>
            <w:r>
              <w:rPr>
                <w:color w:val="000000"/>
                <w:sz w:val="10"/>
                <w:szCs w:val="10"/>
              </w:rPr>
              <w:t>746,1</w:t>
            </w:r>
          </w:p>
        </w:tc>
      </w:tr>
      <w:tr w:rsidR="00705F07">
        <w:trPr>
          <w:trHeight w:val="450"/>
          <w:jc w:val="center"/>
        </w:trPr>
        <w:tc>
          <w:tcPr>
            <w:tcW w:w="1085" w:type="dxa"/>
            <w:vAlign w:val="center"/>
            <w:hideMark/>
          </w:tcPr>
          <w:p w:rsidR="00705F07" w:rsidRDefault="00185A37">
            <w:pPr>
              <w:jc w:val="center"/>
              <w:rPr>
                <w:color w:val="000000"/>
                <w:sz w:val="10"/>
                <w:szCs w:val="10"/>
              </w:rPr>
            </w:pPr>
            <w:r>
              <w:rPr>
                <w:color w:val="000000"/>
                <w:sz w:val="10"/>
                <w:szCs w:val="10"/>
              </w:rPr>
              <w:t xml:space="preserve">         купівлі (млн. дол США)</w:t>
            </w:r>
          </w:p>
        </w:tc>
        <w:tc>
          <w:tcPr>
            <w:tcW w:w="683" w:type="dxa"/>
            <w:vAlign w:val="center"/>
            <w:hideMark/>
          </w:tcPr>
          <w:p w:rsidR="00705F07" w:rsidRDefault="00185A37">
            <w:pPr>
              <w:jc w:val="center"/>
              <w:rPr>
                <w:color w:val="000000"/>
                <w:sz w:val="10"/>
                <w:szCs w:val="10"/>
              </w:rPr>
            </w:pPr>
            <w:r>
              <w:rPr>
                <w:color w:val="000000"/>
                <w:sz w:val="10"/>
                <w:szCs w:val="10"/>
              </w:rPr>
              <w:t>820,3</w:t>
            </w:r>
          </w:p>
        </w:tc>
        <w:tc>
          <w:tcPr>
            <w:tcW w:w="683" w:type="dxa"/>
            <w:vAlign w:val="center"/>
            <w:hideMark/>
          </w:tcPr>
          <w:p w:rsidR="00705F07" w:rsidRDefault="00185A37">
            <w:pPr>
              <w:jc w:val="center"/>
              <w:rPr>
                <w:color w:val="000000"/>
                <w:sz w:val="10"/>
                <w:szCs w:val="10"/>
              </w:rPr>
            </w:pPr>
            <w:r>
              <w:rPr>
                <w:color w:val="000000"/>
                <w:sz w:val="10"/>
                <w:szCs w:val="10"/>
              </w:rPr>
              <w:t>695,1</w:t>
            </w:r>
          </w:p>
        </w:tc>
        <w:tc>
          <w:tcPr>
            <w:tcW w:w="799" w:type="dxa"/>
            <w:vAlign w:val="center"/>
            <w:hideMark/>
          </w:tcPr>
          <w:p w:rsidR="00705F07" w:rsidRDefault="00185A37">
            <w:pPr>
              <w:jc w:val="center"/>
              <w:rPr>
                <w:color w:val="000000"/>
                <w:sz w:val="10"/>
                <w:szCs w:val="10"/>
              </w:rPr>
            </w:pPr>
            <w:r>
              <w:rPr>
                <w:color w:val="000000"/>
                <w:sz w:val="10"/>
                <w:szCs w:val="10"/>
              </w:rPr>
              <w:t>3,7</w:t>
            </w:r>
          </w:p>
        </w:tc>
        <w:tc>
          <w:tcPr>
            <w:tcW w:w="732" w:type="dxa"/>
            <w:vAlign w:val="center"/>
            <w:hideMark/>
          </w:tcPr>
          <w:p w:rsidR="00705F07" w:rsidRDefault="00185A37">
            <w:pPr>
              <w:jc w:val="center"/>
              <w:rPr>
                <w:color w:val="000000"/>
                <w:sz w:val="10"/>
                <w:szCs w:val="10"/>
              </w:rPr>
            </w:pPr>
            <w:r>
              <w:rPr>
                <w:color w:val="000000"/>
                <w:sz w:val="10"/>
                <w:szCs w:val="10"/>
              </w:rPr>
              <w:t>10,9</w:t>
            </w:r>
          </w:p>
        </w:tc>
        <w:tc>
          <w:tcPr>
            <w:tcW w:w="598" w:type="dxa"/>
            <w:vAlign w:val="center"/>
            <w:hideMark/>
          </w:tcPr>
          <w:p w:rsidR="00705F07" w:rsidRDefault="00185A37">
            <w:pPr>
              <w:jc w:val="center"/>
              <w:rPr>
                <w:color w:val="000000"/>
                <w:sz w:val="10"/>
                <w:szCs w:val="10"/>
              </w:rPr>
            </w:pPr>
            <w:r>
              <w:rPr>
                <w:color w:val="000000"/>
                <w:sz w:val="10"/>
                <w:szCs w:val="10"/>
              </w:rPr>
              <w:t>97,9</w:t>
            </w:r>
          </w:p>
        </w:tc>
        <w:tc>
          <w:tcPr>
            <w:tcW w:w="599" w:type="dxa"/>
            <w:vAlign w:val="center"/>
            <w:hideMark/>
          </w:tcPr>
          <w:p w:rsidR="00705F07" w:rsidRDefault="00185A37">
            <w:pPr>
              <w:jc w:val="center"/>
              <w:rPr>
                <w:color w:val="000000"/>
                <w:sz w:val="10"/>
                <w:szCs w:val="10"/>
              </w:rPr>
            </w:pPr>
            <w:r>
              <w:rPr>
                <w:color w:val="000000"/>
                <w:sz w:val="10"/>
                <w:szCs w:val="10"/>
              </w:rPr>
              <w:t>498,0</w:t>
            </w:r>
          </w:p>
        </w:tc>
        <w:tc>
          <w:tcPr>
            <w:tcW w:w="711" w:type="dxa"/>
            <w:vAlign w:val="center"/>
            <w:hideMark/>
          </w:tcPr>
          <w:p w:rsidR="00705F07" w:rsidRDefault="00185A37">
            <w:pPr>
              <w:jc w:val="center"/>
              <w:rPr>
                <w:color w:val="000000"/>
                <w:sz w:val="10"/>
                <w:szCs w:val="10"/>
              </w:rPr>
            </w:pPr>
            <w:r>
              <w:rPr>
                <w:color w:val="000000"/>
                <w:sz w:val="10"/>
                <w:szCs w:val="10"/>
              </w:rPr>
              <w:t>605,9</w:t>
            </w:r>
          </w:p>
        </w:tc>
        <w:tc>
          <w:tcPr>
            <w:tcW w:w="601" w:type="dxa"/>
            <w:vAlign w:val="center"/>
            <w:hideMark/>
          </w:tcPr>
          <w:p w:rsidR="00705F07" w:rsidRDefault="00185A37">
            <w:pPr>
              <w:jc w:val="center"/>
              <w:rPr>
                <w:color w:val="000000"/>
                <w:sz w:val="10"/>
                <w:szCs w:val="10"/>
              </w:rPr>
            </w:pPr>
            <w:r>
              <w:rPr>
                <w:color w:val="000000"/>
                <w:sz w:val="10"/>
                <w:szCs w:val="10"/>
              </w:rPr>
              <w:t>703,1</w:t>
            </w:r>
          </w:p>
        </w:tc>
        <w:tc>
          <w:tcPr>
            <w:tcW w:w="805" w:type="dxa"/>
            <w:vAlign w:val="center"/>
            <w:hideMark/>
          </w:tcPr>
          <w:p w:rsidR="00705F07" w:rsidRDefault="00185A37">
            <w:pPr>
              <w:jc w:val="center"/>
              <w:rPr>
                <w:color w:val="000000"/>
                <w:sz w:val="10"/>
                <w:szCs w:val="10"/>
              </w:rPr>
            </w:pPr>
            <w:r>
              <w:rPr>
                <w:color w:val="000000"/>
                <w:sz w:val="10"/>
                <w:szCs w:val="10"/>
              </w:rPr>
              <w:t>765,8</w:t>
            </w:r>
          </w:p>
        </w:tc>
        <w:tc>
          <w:tcPr>
            <w:tcW w:w="801" w:type="dxa"/>
            <w:vAlign w:val="center"/>
            <w:hideMark/>
          </w:tcPr>
          <w:p w:rsidR="00705F07" w:rsidRDefault="00185A37">
            <w:pPr>
              <w:jc w:val="center"/>
              <w:rPr>
                <w:color w:val="000000"/>
                <w:sz w:val="10"/>
                <w:szCs w:val="10"/>
              </w:rPr>
            </w:pPr>
            <w:r>
              <w:rPr>
                <w:color w:val="000000"/>
                <w:sz w:val="10"/>
                <w:szCs w:val="10"/>
              </w:rPr>
              <w:t>704,5</w:t>
            </w:r>
          </w:p>
        </w:tc>
        <w:tc>
          <w:tcPr>
            <w:tcW w:w="840" w:type="dxa"/>
            <w:vAlign w:val="center"/>
            <w:hideMark/>
          </w:tcPr>
          <w:p w:rsidR="00705F07" w:rsidRDefault="00185A37">
            <w:pPr>
              <w:jc w:val="center"/>
              <w:rPr>
                <w:color w:val="000000"/>
                <w:sz w:val="10"/>
                <w:szCs w:val="10"/>
              </w:rPr>
            </w:pPr>
            <w:r>
              <w:rPr>
                <w:color w:val="000000"/>
                <w:sz w:val="10"/>
                <w:szCs w:val="10"/>
              </w:rPr>
              <w:t>709,3</w:t>
            </w:r>
          </w:p>
        </w:tc>
        <w:tc>
          <w:tcPr>
            <w:tcW w:w="755" w:type="dxa"/>
            <w:vAlign w:val="center"/>
            <w:hideMark/>
          </w:tcPr>
          <w:p w:rsidR="00705F07" w:rsidRDefault="00185A37">
            <w:pPr>
              <w:jc w:val="center"/>
              <w:rPr>
                <w:color w:val="000000"/>
                <w:sz w:val="10"/>
                <w:szCs w:val="10"/>
              </w:rPr>
            </w:pPr>
            <w:r>
              <w:rPr>
                <w:color w:val="000000"/>
                <w:sz w:val="10"/>
                <w:szCs w:val="10"/>
              </w:rPr>
              <w:t>744,8</w:t>
            </w:r>
          </w:p>
        </w:tc>
      </w:tr>
      <w:tr w:rsidR="00705F07">
        <w:trPr>
          <w:trHeight w:val="450"/>
          <w:jc w:val="center"/>
        </w:trPr>
        <w:tc>
          <w:tcPr>
            <w:tcW w:w="1085" w:type="dxa"/>
            <w:shd w:val="clear" w:color="000000" w:fill="B6DDE8"/>
            <w:vAlign w:val="center"/>
            <w:hideMark/>
          </w:tcPr>
          <w:p w:rsidR="00705F07" w:rsidRDefault="00185A37">
            <w:pPr>
              <w:jc w:val="center"/>
              <w:rPr>
                <w:color w:val="000000"/>
                <w:sz w:val="10"/>
                <w:szCs w:val="10"/>
              </w:rPr>
            </w:pPr>
            <w:r>
              <w:rPr>
                <w:color w:val="000000"/>
                <w:sz w:val="10"/>
                <w:szCs w:val="10"/>
              </w:rPr>
              <w:t>Сальдо (продаж мінус купівля, млн. дол США)</w:t>
            </w:r>
          </w:p>
        </w:tc>
        <w:tc>
          <w:tcPr>
            <w:tcW w:w="683" w:type="dxa"/>
            <w:shd w:val="clear" w:color="000000" w:fill="B6DDE8"/>
            <w:vAlign w:val="center"/>
            <w:hideMark/>
          </w:tcPr>
          <w:p w:rsidR="00705F07" w:rsidRDefault="00185A37">
            <w:pPr>
              <w:jc w:val="center"/>
              <w:rPr>
                <w:color w:val="000000"/>
                <w:sz w:val="10"/>
                <w:szCs w:val="10"/>
              </w:rPr>
            </w:pPr>
            <w:r>
              <w:rPr>
                <w:color w:val="000000"/>
                <w:sz w:val="10"/>
                <w:szCs w:val="10"/>
              </w:rPr>
              <w:t>-7,1</w:t>
            </w:r>
          </w:p>
        </w:tc>
        <w:tc>
          <w:tcPr>
            <w:tcW w:w="683" w:type="dxa"/>
            <w:shd w:val="clear" w:color="000000" w:fill="B6DDE8"/>
            <w:vAlign w:val="center"/>
            <w:hideMark/>
          </w:tcPr>
          <w:p w:rsidR="00705F07" w:rsidRDefault="00185A37">
            <w:pPr>
              <w:jc w:val="center"/>
              <w:rPr>
                <w:color w:val="000000"/>
                <w:sz w:val="10"/>
                <w:szCs w:val="10"/>
              </w:rPr>
            </w:pPr>
            <w:r>
              <w:rPr>
                <w:color w:val="000000"/>
                <w:sz w:val="10"/>
                <w:szCs w:val="10"/>
              </w:rPr>
              <w:t>3,1</w:t>
            </w:r>
          </w:p>
        </w:tc>
        <w:tc>
          <w:tcPr>
            <w:tcW w:w="799" w:type="dxa"/>
            <w:shd w:val="clear" w:color="000000" w:fill="B6DDE8"/>
            <w:vAlign w:val="center"/>
            <w:hideMark/>
          </w:tcPr>
          <w:p w:rsidR="00705F07" w:rsidRDefault="00185A37">
            <w:pPr>
              <w:jc w:val="center"/>
              <w:rPr>
                <w:color w:val="000000"/>
                <w:sz w:val="10"/>
                <w:szCs w:val="10"/>
              </w:rPr>
            </w:pPr>
            <w:r>
              <w:rPr>
                <w:color w:val="000000"/>
                <w:sz w:val="10"/>
                <w:szCs w:val="10"/>
              </w:rPr>
              <w:t>-1,5</w:t>
            </w:r>
          </w:p>
        </w:tc>
        <w:tc>
          <w:tcPr>
            <w:tcW w:w="732" w:type="dxa"/>
            <w:shd w:val="clear" w:color="000000" w:fill="B6DDE8"/>
            <w:vAlign w:val="center"/>
            <w:hideMark/>
          </w:tcPr>
          <w:p w:rsidR="00705F07" w:rsidRDefault="00185A37">
            <w:pPr>
              <w:jc w:val="center"/>
              <w:rPr>
                <w:color w:val="000000"/>
                <w:sz w:val="10"/>
                <w:szCs w:val="10"/>
              </w:rPr>
            </w:pPr>
            <w:r>
              <w:rPr>
                <w:color w:val="000000"/>
                <w:sz w:val="10"/>
                <w:szCs w:val="10"/>
              </w:rPr>
              <w:t>-2,1</w:t>
            </w:r>
          </w:p>
        </w:tc>
        <w:tc>
          <w:tcPr>
            <w:tcW w:w="598" w:type="dxa"/>
            <w:shd w:val="clear" w:color="000000" w:fill="B6DDE8"/>
            <w:vAlign w:val="center"/>
            <w:hideMark/>
          </w:tcPr>
          <w:p w:rsidR="00705F07" w:rsidRDefault="00185A37">
            <w:pPr>
              <w:jc w:val="center"/>
              <w:rPr>
                <w:color w:val="000000"/>
                <w:sz w:val="10"/>
                <w:szCs w:val="10"/>
              </w:rPr>
            </w:pPr>
            <w:r>
              <w:rPr>
                <w:color w:val="000000"/>
                <w:sz w:val="10"/>
                <w:szCs w:val="10"/>
              </w:rPr>
              <w:t>-2,4</w:t>
            </w:r>
          </w:p>
        </w:tc>
        <w:tc>
          <w:tcPr>
            <w:tcW w:w="599" w:type="dxa"/>
            <w:shd w:val="clear" w:color="000000" w:fill="B6DDE8"/>
            <w:vAlign w:val="center"/>
            <w:hideMark/>
          </w:tcPr>
          <w:p w:rsidR="00705F07" w:rsidRDefault="00185A37">
            <w:pPr>
              <w:jc w:val="center"/>
              <w:rPr>
                <w:color w:val="000000"/>
                <w:sz w:val="10"/>
                <w:szCs w:val="10"/>
              </w:rPr>
            </w:pPr>
            <w:r>
              <w:rPr>
                <w:color w:val="000000"/>
                <w:sz w:val="10"/>
                <w:szCs w:val="10"/>
              </w:rPr>
              <w:t>-3,9</w:t>
            </w:r>
          </w:p>
        </w:tc>
        <w:tc>
          <w:tcPr>
            <w:tcW w:w="711" w:type="dxa"/>
            <w:shd w:val="clear" w:color="000000" w:fill="B6DDE8"/>
            <w:vAlign w:val="center"/>
            <w:hideMark/>
          </w:tcPr>
          <w:p w:rsidR="00705F07" w:rsidRDefault="00185A37">
            <w:pPr>
              <w:jc w:val="center"/>
              <w:rPr>
                <w:color w:val="000000"/>
                <w:sz w:val="10"/>
                <w:szCs w:val="10"/>
              </w:rPr>
            </w:pPr>
            <w:r>
              <w:rPr>
                <w:color w:val="000000"/>
                <w:sz w:val="10"/>
                <w:szCs w:val="10"/>
              </w:rPr>
              <w:t>-4,0</w:t>
            </w:r>
          </w:p>
        </w:tc>
        <w:tc>
          <w:tcPr>
            <w:tcW w:w="601" w:type="dxa"/>
            <w:shd w:val="clear" w:color="000000" w:fill="B6DDE8"/>
            <w:vAlign w:val="center"/>
            <w:hideMark/>
          </w:tcPr>
          <w:p w:rsidR="00705F07" w:rsidRDefault="00185A37">
            <w:pPr>
              <w:jc w:val="center"/>
              <w:rPr>
                <w:color w:val="000000"/>
                <w:sz w:val="10"/>
                <w:szCs w:val="10"/>
              </w:rPr>
            </w:pPr>
            <w:r>
              <w:rPr>
                <w:color w:val="000000"/>
                <w:sz w:val="10"/>
                <w:szCs w:val="10"/>
              </w:rPr>
              <w:t>-2,5</w:t>
            </w:r>
          </w:p>
        </w:tc>
        <w:tc>
          <w:tcPr>
            <w:tcW w:w="805" w:type="dxa"/>
            <w:shd w:val="clear" w:color="000000" w:fill="B6DDE8"/>
            <w:vAlign w:val="center"/>
            <w:hideMark/>
          </w:tcPr>
          <w:p w:rsidR="00705F07" w:rsidRDefault="00185A37">
            <w:pPr>
              <w:jc w:val="center"/>
              <w:rPr>
                <w:color w:val="000000"/>
                <w:sz w:val="10"/>
                <w:szCs w:val="10"/>
              </w:rPr>
            </w:pPr>
            <w:r>
              <w:rPr>
                <w:color w:val="000000"/>
                <w:sz w:val="10"/>
                <w:szCs w:val="10"/>
              </w:rPr>
              <w:t>-2,4</w:t>
            </w:r>
          </w:p>
        </w:tc>
        <w:tc>
          <w:tcPr>
            <w:tcW w:w="801" w:type="dxa"/>
            <w:shd w:val="clear" w:color="000000" w:fill="B6DDE8"/>
            <w:vAlign w:val="center"/>
            <w:hideMark/>
          </w:tcPr>
          <w:p w:rsidR="00705F07" w:rsidRDefault="00185A37">
            <w:pPr>
              <w:jc w:val="center"/>
              <w:rPr>
                <w:color w:val="000000"/>
                <w:sz w:val="10"/>
                <w:szCs w:val="10"/>
              </w:rPr>
            </w:pPr>
            <w:r>
              <w:rPr>
                <w:color w:val="000000"/>
                <w:sz w:val="10"/>
                <w:szCs w:val="10"/>
              </w:rPr>
              <w:t>3,2</w:t>
            </w:r>
          </w:p>
        </w:tc>
        <w:tc>
          <w:tcPr>
            <w:tcW w:w="840" w:type="dxa"/>
            <w:shd w:val="clear" w:color="000000" w:fill="B6DDE8"/>
            <w:vAlign w:val="center"/>
            <w:hideMark/>
          </w:tcPr>
          <w:p w:rsidR="00705F07" w:rsidRDefault="00185A37">
            <w:pPr>
              <w:jc w:val="center"/>
              <w:rPr>
                <w:color w:val="000000"/>
                <w:sz w:val="10"/>
                <w:szCs w:val="10"/>
              </w:rPr>
            </w:pPr>
            <w:r>
              <w:rPr>
                <w:color w:val="000000"/>
                <w:sz w:val="10"/>
                <w:szCs w:val="10"/>
              </w:rPr>
              <w:t>-5,0</w:t>
            </w:r>
          </w:p>
        </w:tc>
        <w:tc>
          <w:tcPr>
            <w:tcW w:w="755" w:type="dxa"/>
            <w:shd w:val="clear" w:color="000000" w:fill="B6DDE8"/>
            <w:vAlign w:val="center"/>
            <w:hideMark/>
          </w:tcPr>
          <w:p w:rsidR="00705F07" w:rsidRDefault="00185A37">
            <w:pPr>
              <w:jc w:val="center"/>
              <w:rPr>
                <w:color w:val="000000"/>
                <w:sz w:val="10"/>
                <w:szCs w:val="10"/>
              </w:rPr>
            </w:pPr>
            <w:r>
              <w:rPr>
                <w:color w:val="000000"/>
                <w:sz w:val="10"/>
                <w:szCs w:val="10"/>
              </w:rPr>
              <w:t>1,3</w:t>
            </w:r>
          </w:p>
        </w:tc>
      </w:tr>
      <w:tr w:rsidR="00705F07">
        <w:trPr>
          <w:trHeight w:val="450"/>
          <w:jc w:val="center"/>
        </w:trPr>
        <w:tc>
          <w:tcPr>
            <w:tcW w:w="1085" w:type="dxa"/>
            <w:vAlign w:val="center"/>
            <w:hideMark/>
          </w:tcPr>
          <w:p w:rsidR="00705F07" w:rsidRDefault="00185A37">
            <w:pPr>
              <w:jc w:val="center"/>
              <w:rPr>
                <w:color w:val="000000"/>
                <w:sz w:val="10"/>
                <w:szCs w:val="10"/>
              </w:rPr>
            </w:pPr>
            <w:r>
              <w:rPr>
                <w:color w:val="000000"/>
                <w:sz w:val="10"/>
                <w:szCs w:val="10"/>
              </w:rPr>
              <w:t xml:space="preserve">         продажу (млн. євро в доларовому еквіваленті)</w:t>
            </w:r>
          </w:p>
        </w:tc>
        <w:tc>
          <w:tcPr>
            <w:tcW w:w="683" w:type="dxa"/>
            <w:vAlign w:val="center"/>
            <w:hideMark/>
          </w:tcPr>
          <w:p w:rsidR="00705F07" w:rsidRDefault="00185A37">
            <w:pPr>
              <w:jc w:val="center"/>
              <w:rPr>
                <w:color w:val="000000"/>
                <w:sz w:val="10"/>
                <w:szCs w:val="10"/>
              </w:rPr>
            </w:pPr>
            <w:r>
              <w:rPr>
                <w:color w:val="000000"/>
                <w:sz w:val="10"/>
                <w:szCs w:val="10"/>
              </w:rPr>
              <w:t>208,0</w:t>
            </w:r>
          </w:p>
        </w:tc>
        <w:tc>
          <w:tcPr>
            <w:tcW w:w="683" w:type="dxa"/>
            <w:vAlign w:val="center"/>
            <w:hideMark/>
          </w:tcPr>
          <w:p w:rsidR="00705F07" w:rsidRDefault="00185A37">
            <w:pPr>
              <w:jc w:val="center"/>
              <w:rPr>
                <w:color w:val="000000"/>
                <w:sz w:val="10"/>
                <w:szCs w:val="10"/>
              </w:rPr>
            </w:pPr>
            <w:r>
              <w:rPr>
                <w:color w:val="000000"/>
                <w:sz w:val="10"/>
                <w:szCs w:val="10"/>
              </w:rPr>
              <w:t>167,3</w:t>
            </w:r>
          </w:p>
        </w:tc>
        <w:tc>
          <w:tcPr>
            <w:tcW w:w="799" w:type="dxa"/>
            <w:vAlign w:val="center"/>
            <w:hideMark/>
          </w:tcPr>
          <w:p w:rsidR="00705F07" w:rsidRDefault="00185A37">
            <w:pPr>
              <w:jc w:val="center"/>
              <w:rPr>
                <w:color w:val="000000"/>
                <w:sz w:val="10"/>
                <w:szCs w:val="10"/>
              </w:rPr>
            </w:pPr>
            <w:r>
              <w:rPr>
                <w:color w:val="000000"/>
                <w:sz w:val="10"/>
                <w:szCs w:val="10"/>
              </w:rPr>
              <w:t>0,7</w:t>
            </w:r>
          </w:p>
        </w:tc>
        <w:tc>
          <w:tcPr>
            <w:tcW w:w="732" w:type="dxa"/>
            <w:vAlign w:val="center"/>
            <w:hideMark/>
          </w:tcPr>
          <w:p w:rsidR="00705F07" w:rsidRDefault="00185A37">
            <w:pPr>
              <w:jc w:val="center"/>
              <w:rPr>
                <w:color w:val="000000"/>
                <w:sz w:val="10"/>
                <w:szCs w:val="10"/>
              </w:rPr>
            </w:pPr>
            <w:r>
              <w:rPr>
                <w:color w:val="000000"/>
                <w:sz w:val="10"/>
                <w:szCs w:val="10"/>
              </w:rPr>
              <w:t>3,0</w:t>
            </w:r>
          </w:p>
        </w:tc>
        <w:tc>
          <w:tcPr>
            <w:tcW w:w="598" w:type="dxa"/>
            <w:vAlign w:val="center"/>
            <w:hideMark/>
          </w:tcPr>
          <w:p w:rsidR="00705F07" w:rsidRDefault="00185A37">
            <w:pPr>
              <w:jc w:val="center"/>
              <w:rPr>
                <w:color w:val="000000"/>
                <w:sz w:val="10"/>
                <w:szCs w:val="10"/>
              </w:rPr>
            </w:pPr>
            <w:r>
              <w:rPr>
                <w:color w:val="000000"/>
                <w:sz w:val="10"/>
                <w:szCs w:val="10"/>
              </w:rPr>
              <w:t>29,6</w:t>
            </w:r>
          </w:p>
        </w:tc>
        <w:tc>
          <w:tcPr>
            <w:tcW w:w="599" w:type="dxa"/>
            <w:vAlign w:val="center"/>
            <w:hideMark/>
          </w:tcPr>
          <w:p w:rsidR="00705F07" w:rsidRDefault="00185A37">
            <w:pPr>
              <w:jc w:val="center"/>
              <w:rPr>
                <w:color w:val="000000"/>
                <w:sz w:val="10"/>
                <w:szCs w:val="10"/>
              </w:rPr>
            </w:pPr>
            <w:r>
              <w:rPr>
                <w:color w:val="000000"/>
                <w:sz w:val="10"/>
                <w:szCs w:val="10"/>
              </w:rPr>
              <w:t>161,9</w:t>
            </w:r>
          </w:p>
        </w:tc>
        <w:tc>
          <w:tcPr>
            <w:tcW w:w="711" w:type="dxa"/>
            <w:vAlign w:val="center"/>
            <w:hideMark/>
          </w:tcPr>
          <w:p w:rsidR="00705F07" w:rsidRDefault="00185A37">
            <w:pPr>
              <w:jc w:val="center"/>
              <w:rPr>
                <w:color w:val="000000"/>
                <w:sz w:val="10"/>
                <w:szCs w:val="10"/>
              </w:rPr>
            </w:pPr>
            <w:r>
              <w:rPr>
                <w:color w:val="000000"/>
                <w:sz w:val="10"/>
                <w:szCs w:val="10"/>
              </w:rPr>
              <w:t>183,3</w:t>
            </w:r>
          </w:p>
        </w:tc>
        <w:tc>
          <w:tcPr>
            <w:tcW w:w="601" w:type="dxa"/>
            <w:vAlign w:val="center"/>
            <w:hideMark/>
          </w:tcPr>
          <w:p w:rsidR="00705F07" w:rsidRDefault="00185A37">
            <w:pPr>
              <w:jc w:val="center"/>
              <w:rPr>
                <w:color w:val="000000"/>
                <w:sz w:val="10"/>
                <w:szCs w:val="10"/>
              </w:rPr>
            </w:pPr>
            <w:r>
              <w:rPr>
                <w:color w:val="000000"/>
                <w:sz w:val="10"/>
                <w:szCs w:val="10"/>
              </w:rPr>
              <w:t>210,3</w:t>
            </w:r>
          </w:p>
        </w:tc>
        <w:tc>
          <w:tcPr>
            <w:tcW w:w="805" w:type="dxa"/>
            <w:vAlign w:val="center"/>
            <w:hideMark/>
          </w:tcPr>
          <w:p w:rsidR="00705F07" w:rsidRDefault="00185A37">
            <w:pPr>
              <w:jc w:val="center"/>
              <w:rPr>
                <w:color w:val="000000"/>
                <w:sz w:val="10"/>
                <w:szCs w:val="10"/>
              </w:rPr>
            </w:pPr>
            <w:r>
              <w:rPr>
                <w:color w:val="000000"/>
                <w:sz w:val="10"/>
                <w:szCs w:val="10"/>
              </w:rPr>
              <w:t>237,1</w:t>
            </w:r>
          </w:p>
        </w:tc>
        <w:tc>
          <w:tcPr>
            <w:tcW w:w="801" w:type="dxa"/>
            <w:vAlign w:val="center"/>
            <w:hideMark/>
          </w:tcPr>
          <w:p w:rsidR="00705F07" w:rsidRDefault="00185A37">
            <w:pPr>
              <w:jc w:val="center"/>
              <w:rPr>
                <w:color w:val="000000"/>
                <w:sz w:val="10"/>
                <w:szCs w:val="10"/>
              </w:rPr>
            </w:pPr>
            <w:r>
              <w:rPr>
                <w:color w:val="000000"/>
                <w:sz w:val="10"/>
                <w:szCs w:val="10"/>
              </w:rPr>
              <w:t>218,9</w:t>
            </w:r>
          </w:p>
        </w:tc>
        <w:tc>
          <w:tcPr>
            <w:tcW w:w="840" w:type="dxa"/>
            <w:vAlign w:val="center"/>
            <w:hideMark/>
          </w:tcPr>
          <w:p w:rsidR="00705F07" w:rsidRDefault="00185A37">
            <w:pPr>
              <w:jc w:val="center"/>
              <w:rPr>
                <w:color w:val="000000"/>
                <w:sz w:val="10"/>
                <w:szCs w:val="10"/>
              </w:rPr>
            </w:pPr>
            <w:r>
              <w:rPr>
                <w:color w:val="000000"/>
                <w:sz w:val="10"/>
                <w:szCs w:val="10"/>
              </w:rPr>
              <w:t>204,3</w:t>
            </w:r>
          </w:p>
        </w:tc>
        <w:tc>
          <w:tcPr>
            <w:tcW w:w="755" w:type="dxa"/>
            <w:vAlign w:val="center"/>
            <w:hideMark/>
          </w:tcPr>
          <w:p w:rsidR="00705F07" w:rsidRDefault="00185A37">
            <w:pPr>
              <w:jc w:val="center"/>
              <w:rPr>
                <w:color w:val="000000"/>
                <w:sz w:val="10"/>
                <w:szCs w:val="10"/>
              </w:rPr>
            </w:pPr>
            <w:r>
              <w:rPr>
                <w:color w:val="000000"/>
                <w:sz w:val="10"/>
                <w:szCs w:val="10"/>
              </w:rPr>
              <w:t>206,4</w:t>
            </w:r>
          </w:p>
        </w:tc>
      </w:tr>
      <w:tr w:rsidR="00705F07">
        <w:trPr>
          <w:trHeight w:val="450"/>
          <w:jc w:val="center"/>
        </w:trPr>
        <w:tc>
          <w:tcPr>
            <w:tcW w:w="1085" w:type="dxa"/>
            <w:vAlign w:val="center"/>
            <w:hideMark/>
          </w:tcPr>
          <w:p w:rsidR="00705F07" w:rsidRDefault="00185A37">
            <w:pPr>
              <w:jc w:val="center"/>
              <w:rPr>
                <w:color w:val="000000"/>
                <w:sz w:val="10"/>
                <w:szCs w:val="10"/>
              </w:rPr>
            </w:pPr>
            <w:r>
              <w:rPr>
                <w:color w:val="000000"/>
                <w:sz w:val="10"/>
                <w:szCs w:val="10"/>
              </w:rPr>
              <w:t xml:space="preserve">         купівлі (млн. євро в доларовому еквіваленті)</w:t>
            </w:r>
          </w:p>
        </w:tc>
        <w:tc>
          <w:tcPr>
            <w:tcW w:w="683" w:type="dxa"/>
            <w:vAlign w:val="center"/>
            <w:hideMark/>
          </w:tcPr>
          <w:p w:rsidR="00705F07" w:rsidRDefault="00185A37">
            <w:pPr>
              <w:jc w:val="center"/>
              <w:rPr>
                <w:color w:val="000000"/>
                <w:sz w:val="10"/>
                <w:szCs w:val="10"/>
              </w:rPr>
            </w:pPr>
            <w:r>
              <w:rPr>
                <w:color w:val="000000"/>
                <w:sz w:val="10"/>
                <w:szCs w:val="10"/>
              </w:rPr>
              <w:t>208,6</w:t>
            </w:r>
          </w:p>
        </w:tc>
        <w:tc>
          <w:tcPr>
            <w:tcW w:w="683" w:type="dxa"/>
            <w:vAlign w:val="center"/>
            <w:hideMark/>
          </w:tcPr>
          <w:p w:rsidR="00705F07" w:rsidRDefault="00185A37">
            <w:pPr>
              <w:jc w:val="center"/>
              <w:rPr>
                <w:color w:val="000000"/>
                <w:sz w:val="10"/>
                <w:szCs w:val="10"/>
              </w:rPr>
            </w:pPr>
            <w:r>
              <w:rPr>
                <w:color w:val="000000"/>
                <w:sz w:val="10"/>
                <w:szCs w:val="10"/>
              </w:rPr>
              <w:t>165,5</w:t>
            </w:r>
          </w:p>
        </w:tc>
        <w:tc>
          <w:tcPr>
            <w:tcW w:w="799" w:type="dxa"/>
            <w:vAlign w:val="center"/>
            <w:hideMark/>
          </w:tcPr>
          <w:p w:rsidR="00705F07" w:rsidRDefault="00185A37">
            <w:pPr>
              <w:jc w:val="center"/>
              <w:rPr>
                <w:color w:val="000000"/>
                <w:sz w:val="10"/>
                <w:szCs w:val="10"/>
              </w:rPr>
            </w:pPr>
            <w:r>
              <w:rPr>
                <w:color w:val="000000"/>
                <w:sz w:val="10"/>
                <w:szCs w:val="10"/>
              </w:rPr>
              <w:t>1,0</w:t>
            </w:r>
          </w:p>
        </w:tc>
        <w:tc>
          <w:tcPr>
            <w:tcW w:w="732" w:type="dxa"/>
            <w:vAlign w:val="center"/>
            <w:hideMark/>
          </w:tcPr>
          <w:p w:rsidR="00705F07" w:rsidRDefault="00185A37">
            <w:pPr>
              <w:jc w:val="center"/>
              <w:rPr>
                <w:color w:val="000000"/>
                <w:sz w:val="10"/>
                <w:szCs w:val="10"/>
              </w:rPr>
            </w:pPr>
            <w:r>
              <w:rPr>
                <w:color w:val="000000"/>
                <w:sz w:val="10"/>
                <w:szCs w:val="10"/>
              </w:rPr>
              <w:t>3,7</w:t>
            </w:r>
          </w:p>
        </w:tc>
        <w:tc>
          <w:tcPr>
            <w:tcW w:w="598" w:type="dxa"/>
            <w:vAlign w:val="center"/>
            <w:hideMark/>
          </w:tcPr>
          <w:p w:rsidR="00705F07" w:rsidRDefault="00185A37">
            <w:pPr>
              <w:jc w:val="center"/>
              <w:rPr>
                <w:color w:val="000000"/>
                <w:sz w:val="10"/>
                <w:szCs w:val="10"/>
              </w:rPr>
            </w:pPr>
            <w:r>
              <w:rPr>
                <w:color w:val="000000"/>
                <w:sz w:val="10"/>
                <w:szCs w:val="10"/>
              </w:rPr>
              <w:t>30,9</w:t>
            </w:r>
          </w:p>
        </w:tc>
        <w:tc>
          <w:tcPr>
            <w:tcW w:w="599" w:type="dxa"/>
            <w:vAlign w:val="center"/>
            <w:hideMark/>
          </w:tcPr>
          <w:p w:rsidR="00705F07" w:rsidRDefault="00185A37">
            <w:pPr>
              <w:jc w:val="center"/>
              <w:rPr>
                <w:color w:val="000000"/>
                <w:sz w:val="10"/>
                <w:szCs w:val="10"/>
              </w:rPr>
            </w:pPr>
            <w:r>
              <w:rPr>
                <w:color w:val="000000"/>
                <w:sz w:val="10"/>
                <w:szCs w:val="10"/>
              </w:rPr>
              <w:t>163,7</w:t>
            </w:r>
          </w:p>
        </w:tc>
        <w:tc>
          <w:tcPr>
            <w:tcW w:w="711" w:type="dxa"/>
            <w:vAlign w:val="center"/>
            <w:hideMark/>
          </w:tcPr>
          <w:p w:rsidR="00705F07" w:rsidRDefault="00185A37">
            <w:pPr>
              <w:jc w:val="center"/>
              <w:rPr>
                <w:color w:val="000000"/>
                <w:sz w:val="10"/>
                <w:szCs w:val="10"/>
              </w:rPr>
            </w:pPr>
            <w:r>
              <w:rPr>
                <w:color w:val="000000"/>
                <w:sz w:val="10"/>
                <w:szCs w:val="10"/>
              </w:rPr>
              <w:t>185,4</w:t>
            </w:r>
          </w:p>
        </w:tc>
        <w:tc>
          <w:tcPr>
            <w:tcW w:w="601" w:type="dxa"/>
            <w:vAlign w:val="center"/>
            <w:hideMark/>
          </w:tcPr>
          <w:p w:rsidR="00705F07" w:rsidRDefault="00185A37">
            <w:pPr>
              <w:jc w:val="center"/>
              <w:rPr>
                <w:color w:val="000000"/>
                <w:sz w:val="10"/>
                <w:szCs w:val="10"/>
              </w:rPr>
            </w:pPr>
            <w:r>
              <w:rPr>
                <w:color w:val="000000"/>
                <w:sz w:val="10"/>
                <w:szCs w:val="10"/>
              </w:rPr>
              <w:t>211,6</w:t>
            </w:r>
          </w:p>
        </w:tc>
        <w:tc>
          <w:tcPr>
            <w:tcW w:w="805" w:type="dxa"/>
            <w:vAlign w:val="center"/>
            <w:hideMark/>
          </w:tcPr>
          <w:p w:rsidR="00705F07" w:rsidRDefault="00185A37">
            <w:pPr>
              <w:jc w:val="center"/>
              <w:rPr>
                <w:color w:val="000000"/>
                <w:sz w:val="10"/>
                <w:szCs w:val="10"/>
              </w:rPr>
            </w:pPr>
            <w:r>
              <w:rPr>
                <w:color w:val="000000"/>
                <w:sz w:val="10"/>
                <w:szCs w:val="10"/>
              </w:rPr>
              <w:t>238,2</w:t>
            </w:r>
          </w:p>
        </w:tc>
        <w:tc>
          <w:tcPr>
            <w:tcW w:w="801" w:type="dxa"/>
            <w:vAlign w:val="center"/>
            <w:hideMark/>
          </w:tcPr>
          <w:p w:rsidR="00705F07" w:rsidRDefault="00185A37">
            <w:pPr>
              <w:jc w:val="center"/>
              <w:rPr>
                <w:color w:val="000000"/>
                <w:sz w:val="10"/>
                <w:szCs w:val="10"/>
              </w:rPr>
            </w:pPr>
            <w:r>
              <w:rPr>
                <w:color w:val="000000"/>
                <w:sz w:val="10"/>
                <w:szCs w:val="10"/>
              </w:rPr>
              <w:t>220,1</w:t>
            </w:r>
          </w:p>
        </w:tc>
        <w:tc>
          <w:tcPr>
            <w:tcW w:w="840" w:type="dxa"/>
            <w:vAlign w:val="center"/>
            <w:hideMark/>
          </w:tcPr>
          <w:p w:rsidR="00705F07" w:rsidRDefault="00185A37">
            <w:pPr>
              <w:jc w:val="center"/>
              <w:rPr>
                <w:color w:val="000000"/>
                <w:sz w:val="10"/>
                <w:szCs w:val="10"/>
              </w:rPr>
            </w:pPr>
            <w:r>
              <w:rPr>
                <w:color w:val="000000"/>
                <w:sz w:val="10"/>
                <w:szCs w:val="10"/>
              </w:rPr>
              <w:t>203,4</w:t>
            </w:r>
          </w:p>
        </w:tc>
        <w:tc>
          <w:tcPr>
            <w:tcW w:w="755" w:type="dxa"/>
            <w:vAlign w:val="center"/>
            <w:hideMark/>
          </w:tcPr>
          <w:p w:rsidR="00705F07" w:rsidRDefault="00185A37">
            <w:pPr>
              <w:jc w:val="center"/>
              <w:rPr>
                <w:color w:val="000000"/>
                <w:sz w:val="10"/>
                <w:szCs w:val="10"/>
              </w:rPr>
            </w:pPr>
            <w:r>
              <w:rPr>
                <w:color w:val="000000"/>
                <w:sz w:val="10"/>
                <w:szCs w:val="10"/>
              </w:rPr>
              <w:t>207,6</w:t>
            </w:r>
          </w:p>
        </w:tc>
      </w:tr>
      <w:tr w:rsidR="00705F07">
        <w:trPr>
          <w:trHeight w:val="675"/>
          <w:jc w:val="center"/>
        </w:trPr>
        <w:tc>
          <w:tcPr>
            <w:tcW w:w="1085" w:type="dxa"/>
            <w:shd w:val="clear" w:color="000000" w:fill="B6DDE8"/>
            <w:vAlign w:val="center"/>
            <w:hideMark/>
          </w:tcPr>
          <w:p w:rsidR="00705F07" w:rsidRDefault="00185A37">
            <w:pPr>
              <w:jc w:val="center"/>
              <w:rPr>
                <w:color w:val="000000"/>
                <w:sz w:val="10"/>
                <w:szCs w:val="10"/>
              </w:rPr>
            </w:pPr>
            <w:r>
              <w:rPr>
                <w:color w:val="000000"/>
                <w:sz w:val="10"/>
                <w:szCs w:val="10"/>
              </w:rPr>
              <w:t>Сальдо (продаж мінус купівля, млн. євро в доларовому еквів.)</w:t>
            </w:r>
          </w:p>
        </w:tc>
        <w:tc>
          <w:tcPr>
            <w:tcW w:w="683" w:type="dxa"/>
            <w:shd w:val="clear" w:color="000000" w:fill="B6DDE8"/>
            <w:vAlign w:val="center"/>
            <w:hideMark/>
          </w:tcPr>
          <w:p w:rsidR="00705F07" w:rsidRDefault="00185A37">
            <w:pPr>
              <w:jc w:val="center"/>
              <w:rPr>
                <w:color w:val="000000"/>
                <w:sz w:val="10"/>
                <w:szCs w:val="10"/>
              </w:rPr>
            </w:pPr>
            <w:r>
              <w:rPr>
                <w:color w:val="000000"/>
                <w:sz w:val="10"/>
                <w:szCs w:val="10"/>
              </w:rPr>
              <w:t>-0,7</w:t>
            </w:r>
          </w:p>
        </w:tc>
        <w:tc>
          <w:tcPr>
            <w:tcW w:w="683" w:type="dxa"/>
            <w:shd w:val="clear" w:color="000000" w:fill="B6DDE8"/>
            <w:vAlign w:val="center"/>
            <w:hideMark/>
          </w:tcPr>
          <w:p w:rsidR="00705F07" w:rsidRDefault="00185A37">
            <w:pPr>
              <w:jc w:val="center"/>
              <w:rPr>
                <w:color w:val="000000"/>
                <w:sz w:val="10"/>
                <w:szCs w:val="10"/>
              </w:rPr>
            </w:pPr>
            <w:r>
              <w:rPr>
                <w:color w:val="000000"/>
                <w:sz w:val="10"/>
                <w:szCs w:val="10"/>
              </w:rPr>
              <w:t>1,7</w:t>
            </w:r>
          </w:p>
        </w:tc>
        <w:tc>
          <w:tcPr>
            <w:tcW w:w="799" w:type="dxa"/>
            <w:shd w:val="clear" w:color="000000" w:fill="B6DDE8"/>
            <w:vAlign w:val="center"/>
            <w:hideMark/>
          </w:tcPr>
          <w:p w:rsidR="00705F07" w:rsidRDefault="00185A37">
            <w:pPr>
              <w:jc w:val="center"/>
              <w:rPr>
                <w:color w:val="000000"/>
                <w:sz w:val="10"/>
                <w:szCs w:val="10"/>
              </w:rPr>
            </w:pPr>
            <w:r>
              <w:rPr>
                <w:color w:val="000000"/>
                <w:sz w:val="10"/>
                <w:szCs w:val="10"/>
              </w:rPr>
              <w:t>-0,2</w:t>
            </w:r>
          </w:p>
        </w:tc>
        <w:tc>
          <w:tcPr>
            <w:tcW w:w="732" w:type="dxa"/>
            <w:shd w:val="clear" w:color="000000" w:fill="B6DDE8"/>
            <w:vAlign w:val="center"/>
            <w:hideMark/>
          </w:tcPr>
          <w:p w:rsidR="00705F07" w:rsidRDefault="00185A37">
            <w:pPr>
              <w:jc w:val="center"/>
              <w:rPr>
                <w:color w:val="000000"/>
                <w:sz w:val="10"/>
                <w:szCs w:val="10"/>
              </w:rPr>
            </w:pPr>
            <w:r>
              <w:rPr>
                <w:color w:val="000000"/>
                <w:sz w:val="10"/>
                <w:szCs w:val="10"/>
              </w:rPr>
              <w:t>-0,7</w:t>
            </w:r>
          </w:p>
        </w:tc>
        <w:tc>
          <w:tcPr>
            <w:tcW w:w="598" w:type="dxa"/>
            <w:shd w:val="clear" w:color="000000" w:fill="B6DDE8"/>
            <w:vAlign w:val="center"/>
            <w:hideMark/>
          </w:tcPr>
          <w:p w:rsidR="00705F07" w:rsidRDefault="00185A37">
            <w:pPr>
              <w:jc w:val="center"/>
              <w:rPr>
                <w:color w:val="000000"/>
                <w:sz w:val="10"/>
                <w:szCs w:val="10"/>
              </w:rPr>
            </w:pPr>
            <w:r>
              <w:rPr>
                <w:color w:val="000000"/>
                <w:sz w:val="10"/>
                <w:szCs w:val="10"/>
              </w:rPr>
              <w:t>-1,3</w:t>
            </w:r>
          </w:p>
        </w:tc>
        <w:tc>
          <w:tcPr>
            <w:tcW w:w="599" w:type="dxa"/>
            <w:shd w:val="clear" w:color="000000" w:fill="B6DDE8"/>
            <w:vAlign w:val="center"/>
            <w:hideMark/>
          </w:tcPr>
          <w:p w:rsidR="00705F07" w:rsidRDefault="00185A37">
            <w:pPr>
              <w:jc w:val="center"/>
              <w:rPr>
                <w:color w:val="000000"/>
                <w:sz w:val="10"/>
                <w:szCs w:val="10"/>
              </w:rPr>
            </w:pPr>
            <w:r>
              <w:rPr>
                <w:color w:val="000000"/>
                <w:sz w:val="10"/>
                <w:szCs w:val="10"/>
              </w:rPr>
              <w:t>-1,9</w:t>
            </w:r>
          </w:p>
        </w:tc>
        <w:tc>
          <w:tcPr>
            <w:tcW w:w="711" w:type="dxa"/>
            <w:shd w:val="clear" w:color="000000" w:fill="B6DDE8"/>
            <w:vAlign w:val="center"/>
            <w:hideMark/>
          </w:tcPr>
          <w:p w:rsidR="00705F07" w:rsidRDefault="00185A37">
            <w:pPr>
              <w:jc w:val="center"/>
              <w:rPr>
                <w:color w:val="000000"/>
                <w:sz w:val="10"/>
                <w:szCs w:val="10"/>
              </w:rPr>
            </w:pPr>
            <w:r>
              <w:rPr>
                <w:color w:val="000000"/>
                <w:sz w:val="10"/>
                <w:szCs w:val="10"/>
              </w:rPr>
              <w:t>-2,2</w:t>
            </w:r>
          </w:p>
        </w:tc>
        <w:tc>
          <w:tcPr>
            <w:tcW w:w="601" w:type="dxa"/>
            <w:shd w:val="clear" w:color="000000" w:fill="B6DDE8"/>
            <w:vAlign w:val="center"/>
            <w:hideMark/>
          </w:tcPr>
          <w:p w:rsidR="00705F07" w:rsidRDefault="00185A37">
            <w:pPr>
              <w:jc w:val="center"/>
              <w:rPr>
                <w:color w:val="000000"/>
                <w:sz w:val="10"/>
                <w:szCs w:val="10"/>
              </w:rPr>
            </w:pPr>
            <w:r>
              <w:rPr>
                <w:color w:val="000000"/>
                <w:sz w:val="10"/>
                <w:szCs w:val="10"/>
              </w:rPr>
              <w:t>-1,3</w:t>
            </w:r>
          </w:p>
        </w:tc>
        <w:tc>
          <w:tcPr>
            <w:tcW w:w="805" w:type="dxa"/>
            <w:shd w:val="clear" w:color="000000" w:fill="B6DDE8"/>
            <w:vAlign w:val="center"/>
            <w:hideMark/>
          </w:tcPr>
          <w:p w:rsidR="00705F07" w:rsidRDefault="00185A37">
            <w:pPr>
              <w:jc w:val="center"/>
              <w:rPr>
                <w:color w:val="000000"/>
                <w:sz w:val="10"/>
                <w:szCs w:val="10"/>
              </w:rPr>
            </w:pPr>
            <w:r>
              <w:rPr>
                <w:color w:val="000000"/>
                <w:sz w:val="10"/>
                <w:szCs w:val="10"/>
              </w:rPr>
              <w:t>-1,1</w:t>
            </w:r>
          </w:p>
        </w:tc>
        <w:tc>
          <w:tcPr>
            <w:tcW w:w="801" w:type="dxa"/>
            <w:shd w:val="clear" w:color="000000" w:fill="B6DDE8"/>
            <w:vAlign w:val="center"/>
            <w:hideMark/>
          </w:tcPr>
          <w:p w:rsidR="00705F07" w:rsidRDefault="00185A37">
            <w:pPr>
              <w:jc w:val="center"/>
              <w:rPr>
                <w:color w:val="000000"/>
                <w:sz w:val="10"/>
                <w:szCs w:val="10"/>
              </w:rPr>
            </w:pPr>
            <w:r>
              <w:rPr>
                <w:color w:val="000000"/>
                <w:sz w:val="10"/>
                <w:szCs w:val="10"/>
              </w:rPr>
              <w:t>-1,2</w:t>
            </w:r>
          </w:p>
        </w:tc>
        <w:tc>
          <w:tcPr>
            <w:tcW w:w="840" w:type="dxa"/>
            <w:shd w:val="clear" w:color="000000" w:fill="B6DDE8"/>
            <w:vAlign w:val="center"/>
            <w:hideMark/>
          </w:tcPr>
          <w:p w:rsidR="00705F07" w:rsidRDefault="00185A37">
            <w:pPr>
              <w:jc w:val="center"/>
              <w:rPr>
                <w:color w:val="000000"/>
                <w:sz w:val="10"/>
                <w:szCs w:val="10"/>
              </w:rPr>
            </w:pPr>
            <w:r>
              <w:rPr>
                <w:color w:val="000000"/>
                <w:sz w:val="10"/>
                <w:szCs w:val="10"/>
              </w:rPr>
              <w:t>0,8</w:t>
            </w:r>
          </w:p>
        </w:tc>
        <w:tc>
          <w:tcPr>
            <w:tcW w:w="755" w:type="dxa"/>
            <w:shd w:val="clear" w:color="000000" w:fill="B6DDE8"/>
            <w:vAlign w:val="center"/>
            <w:hideMark/>
          </w:tcPr>
          <w:p w:rsidR="00705F07" w:rsidRDefault="00185A37">
            <w:pPr>
              <w:jc w:val="center"/>
              <w:rPr>
                <w:color w:val="000000"/>
                <w:sz w:val="10"/>
                <w:szCs w:val="10"/>
              </w:rPr>
            </w:pPr>
            <w:r>
              <w:rPr>
                <w:color w:val="000000"/>
                <w:sz w:val="10"/>
                <w:szCs w:val="10"/>
              </w:rPr>
              <w:t>-1,2</w:t>
            </w:r>
          </w:p>
        </w:tc>
      </w:tr>
    </w:tbl>
    <w:p w:rsidR="00705F07" w:rsidRDefault="00705F07">
      <w:pPr>
        <w:spacing w:line="360" w:lineRule="auto"/>
        <w:ind w:firstLine="709"/>
        <w:jc w:val="right"/>
        <w:rPr>
          <w:color w:val="000000"/>
          <w:sz w:val="28"/>
          <w:szCs w:val="28"/>
          <w:lang w:val="uk-UA"/>
        </w:rPr>
      </w:pPr>
    </w:p>
    <w:p w:rsidR="00705F07" w:rsidRDefault="00185A37">
      <w:pPr>
        <w:spacing w:line="360" w:lineRule="auto"/>
        <w:ind w:firstLine="709"/>
        <w:jc w:val="right"/>
        <w:rPr>
          <w:color w:val="000000"/>
          <w:sz w:val="28"/>
          <w:szCs w:val="28"/>
          <w:lang w:val="uk-UA"/>
        </w:rPr>
      </w:pPr>
      <w:r>
        <w:rPr>
          <w:color w:val="000000"/>
          <w:sz w:val="28"/>
          <w:szCs w:val="28"/>
          <w:lang w:val="uk-UA"/>
        </w:rPr>
        <w:t xml:space="preserve">Продовження </w:t>
      </w:r>
      <w:r>
        <w:rPr>
          <w:color w:val="000000"/>
          <w:sz w:val="28"/>
          <w:szCs w:val="28"/>
          <w:lang w:val="uk-UA"/>
        </w:rPr>
        <w:t>додатку А</w:t>
      </w:r>
    </w:p>
    <w:p w:rsidR="00705F07" w:rsidRDefault="00185A37">
      <w:pPr>
        <w:spacing w:line="360" w:lineRule="auto"/>
        <w:ind w:firstLine="709"/>
        <w:jc w:val="right"/>
        <w:rPr>
          <w:color w:val="000000"/>
          <w:sz w:val="28"/>
          <w:szCs w:val="28"/>
          <w:lang w:val="uk-UA"/>
        </w:rPr>
      </w:pPr>
      <w:r>
        <w:rPr>
          <w:color w:val="000000"/>
          <w:sz w:val="28"/>
          <w:szCs w:val="28"/>
          <w:lang w:val="uk-UA"/>
        </w:rPr>
        <w:t>Продовження табл. А.1</w:t>
      </w:r>
    </w:p>
    <w:tbl>
      <w:tblPr>
        <w:tblW w:w="96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5"/>
        <w:gridCol w:w="683"/>
        <w:gridCol w:w="683"/>
        <w:gridCol w:w="799"/>
        <w:gridCol w:w="732"/>
        <w:gridCol w:w="598"/>
        <w:gridCol w:w="599"/>
        <w:gridCol w:w="711"/>
        <w:gridCol w:w="601"/>
        <w:gridCol w:w="805"/>
        <w:gridCol w:w="801"/>
        <w:gridCol w:w="840"/>
        <w:gridCol w:w="755"/>
      </w:tblGrid>
      <w:tr w:rsidR="00705F07">
        <w:trPr>
          <w:trHeight w:val="1260"/>
          <w:jc w:val="center"/>
        </w:trPr>
        <w:tc>
          <w:tcPr>
            <w:tcW w:w="1085" w:type="dxa"/>
            <w:shd w:val="clear" w:color="000000" w:fill="D7E4BC"/>
            <w:vAlign w:val="center"/>
            <w:hideMark/>
          </w:tcPr>
          <w:p w:rsidR="00705F07" w:rsidRDefault="00185A37">
            <w:pPr>
              <w:jc w:val="center"/>
              <w:rPr>
                <w:bCs/>
                <w:color w:val="000000"/>
                <w:sz w:val="10"/>
                <w:szCs w:val="10"/>
                <w:lang w:val="uk-UA"/>
              </w:rPr>
            </w:pPr>
            <w:r>
              <w:rPr>
                <w:bCs/>
                <w:color w:val="000000"/>
                <w:sz w:val="10"/>
                <w:szCs w:val="10"/>
                <w:lang w:val="uk-UA"/>
              </w:rPr>
              <w:t>Обсяг операцій клієнтів банків з безготівковою іноземною валютою (млн. дол США в еквіваленті):</w:t>
            </w:r>
          </w:p>
        </w:tc>
        <w:tc>
          <w:tcPr>
            <w:tcW w:w="683" w:type="dxa"/>
            <w:shd w:val="clear" w:color="000000" w:fill="D7E4BC"/>
            <w:vAlign w:val="center"/>
            <w:hideMark/>
          </w:tcPr>
          <w:p w:rsidR="00705F07" w:rsidRDefault="00185A37">
            <w:pPr>
              <w:jc w:val="center"/>
              <w:rPr>
                <w:color w:val="000000"/>
                <w:sz w:val="10"/>
                <w:szCs w:val="10"/>
                <w:lang w:val="uk-UA"/>
              </w:rPr>
            </w:pPr>
            <w:r>
              <w:rPr>
                <w:color w:val="000000"/>
                <w:sz w:val="10"/>
                <w:szCs w:val="10"/>
              </w:rPr>
              <w:t> </w:t>
            </w:r>
          </w:p>
        </w:tc>
        <w:tc>
          <w:tcPr>
            <w:tcW w:w="683" w:type="dxa"/>
            <w:shd w:val="clear" w:color="000000" w:fill="D7E4BC"/>
            <w:vAlign w:val="center"/>
            <w:hideMark/>
          </w:tcPr>
          <w:p w:rsidR="00705F07" w:rsidRDefault="00185A37">
            <w:pPr>
              <w:jc w:val="center"/>
              <w:rPr>
                <w:color w:val="000000"/>
                <w:sz w:val="10"/>
                <w:szCs w:val="10"/>
                <w:lang w:val="uk-UA"/>
              </w:rPr>
            </w:pPr>
            <w:r>
              <w:rPr>
                <w:color w:val="000000"/>
                <w:sz w:val="10"/>
                <w:szCs w:val="10"/>
              </w:rPr>
              <w:t> </w:t>
            </w:r>
          </w:p>
        </w:tc>
        <w:tc>
          <w:tcPr>
            <w:tcW w:w="799" w:type="dxa"/>
            <w:shd w:val="clear" w:color="000000" w:fill="D7E4BC"/>
            <w:vAlign w:val="center"/>
            <w:hideMark/>
          </w:tcPr>
          <w:p w:rsidR="00705F07" w:rsidRDefault="00185A37">
            <w:pPr>
              <w:jc w:val="center"/>
              <w:rPr>
                <w:color w:val="000000"/>
                <w:sz w:val="10"/>
                <w:szCs w:val="10"/>
                <w:lang w:val="uk-UA"/>
              </w:rPr>
            </w:pPr>
            <w:r>
              <w:rPr>
                <w:color w:val="000000"/>
                <w:sz w:val="10"/>
                <w:szCs w:val="10"/>
              </w:rPr>
              <w:t> </w:t>
            </w:r>
          </w:p>
        </w:tc>
        <w:tc>
          <w:tcPr>
            <w:tcW w:w="732" w:type="dxa"/>
            <w:shd w:val="clear" w:color="000000" w:fill="D7E4BC"/>
            <w:vAlign w:val="center"/>
            <w:hideMark/>
          </w:tcPr>
          <w:p w:rsidR="00705F07" w:rsidRDefault="00185A37">
            <w:pPr>
              <w:jc w:val="center"/>
              <w:rPr>
                <w:color w:val="000000"/>
                <w:sz w:val="10"/>
                <w:szCs w:val="10"/>
                <w:lang w:val="uk-UA"/>
              </w:rPr>
            </w:pPr>
            <w:r>
              <w:rPr>
                <w:color w:val="000000"/>
                <w:sz w:val="10"/>
                <w:szCs w:val="10"/>
              </w:rPr>
              <w:t> </w:t>
            </w:r>
          </w:p>
        </w:tc>
        <w:tc>
          <w:tcPr>
            <w:tcW w:w="598" w:type="dxa"/>
            <w:shd w:val="clear" w:color="000000" w:fill="D7E4BC"/>
            <w:vAlign w:val="center"/>
            <w:hideMark/>
          </w:tcPr>
          <w:p w:rsidR="00705F07" w:rsidRDefault="00185A37">
            <w:pPr>
              <w:jc w:val="center"/>
              <w:rPr>
                <w:color w:val="000000"/>
                <w:sz w:val="10"/>
                <w:szCs w:val="10"/>
                <w:lang w:val="uk-UA"/>
              </w:rPr>
            </w:pPr>
            <w:r>
              <w:rPr>
                <w:color w:val="000000"/>
                <w:sz w:val="10"/>
                <w:szCs w:val="10"/>
              </w:rPr>
              <w:t> </w:t>
            </w:r>
          </w:p>
        </w:tc>
        <w:tc>
          <w:tcPr>
            <w:tcW w:w="599" w:type="dxa"/>
            <w:shd w:val="clear" w:color="000000" w:fill="D7E4BC"/>
            <w:vAlign w:val="center"/>
            <w:hideMark/>
          </w:tcPr>
          <w:p w:rsidR="00705F07" w:rsidRDefault="00185A37">
            <w:pPr>
              <w:jc w:val="center"/>
              <w:rPr>
                <w:color w:val="000000"/>
                <w:sz w:val="10"/>
                <w:szCs w:val="10"/>
                <w:lang w:val="uk-UA"/>
              </w:rPr>
            </w:pPr>
            <w:r>
              <w:rPr>
                <w:color w:val="000000"/>
                <w:sz w:val="10"/>
                <w:szCs w:val="10"/>
              </w:rPr>
              <w:t> </w:t>
            </w:r>
          </w:p>
        </w:tc>
        <w:tc>
          <w:tcPr>
            <w:tcW w:w="711" w:type="dxa"/>
            <w:shd w:val="clear" w:color="000000" w:fill="D7E4BC"/>
            <w:vAlign w:val="center"/>
            <w:hideMark/>
          </w:tcPr>
          <w:p w:rsidR="00705F07" w:rsidRDefault="00185A37">
            <w:pPr>
              <w:jc w:val="center"/>
              <w:rPr>
                <w:color w:val="000000"/>
                <w:sz w:val="10"/>
                <w:szCs w:val="10"/>
                <w:lang w:val="uk-UA"/>
              </w:rPr>
            </w:pPr>
            <w:r>
              <w:rPr>
                <w:color w:val="000000"/>
                <w:sz w:val="10"/>
                <w:szCs w:val="10"/>
              </w:rPr>
              <w:t> </w:t>
            </w:r>
          </w:p>
        </w:tc>
        <w:tc>
          <w:tcPr>
            <w:tcW w:w="601" w:type="dxa"/>
            <w:shd w:val="clear" w:color="000000" w:fill="D7E4BC"/>
            <w:vAlign w:val="center"/>
            <w:hideMark/>
          </w:tcPr>
          <w:p w:rsidR="00705F07" w:rsidRDefault="00185A37">
            <w:pPr>
              <w:jc w:val="center"/>
              <w:rPr>
                <w:color w:val="000000"/>
                <w:sz w:val="10"/>
                <w:szCs w:val="10"/>
                <w:lang w:val="uk-UA"/>
              </w:rPr>
            </w:pPr>
            <w:r>
              <w:rPr>
                <w:color w:val="000000"/>
                <w:sz w:val="10"/>
                <w:szCs w:val="10"/>
              </w:rPr>
              <w:t> </w:t>
            </w:r>
          </w:p>
        </w:tc>
        <w:tc>
          <w:tcPr>
            <w:tcW w:w="805" w:type="dxa"/>
            <w:shd w:val="clear" w:color="000000" w:fill="D7E4BC"/>
            <w:vAlign w:val="center"/>
            <w:hideMark/>
          </w:tcPr>
          <w:p w:rsidR="00705F07" w:rsidRDefault="00185A37">
            <w:pPr>
              <w:jc w:val="center"/>
              <w:rPr>
                <w:color w:val="000000"/>
                <w:sz w:val="10"/>
                <w:szCs w:val="10"/>
                <w:lang w:val="uk-UA"/>
              </w:rPr>
            </w:pPr>
            <w:r>
              <w:rPr>
                <w:color w:val="000000"/>
                <w:sz w:val="10"/>
                <w:szCs w:val="10"/>
              </w:rPr>
              <w:t> </w:t>
            </w:r>
          </w:p>
        </w:tc>
        <w:tc>
          <w:tcPr>
            <w:tcW w:w="801" w:type="dxa"/>
            <w:shd w:val="clear" w:color="000000" w:fill="D7E4BC"/>
            <w:vAlign w:val="center"/>
            <w:hideMark/>
          </w:tcPr>
          <w:p w:rsidR="00705F07" w:rsidRDefault="00185A37">
            <w:pPr>
              <w:jc w:val="center"/>
              <w:rPr>
                <w:color w:val="000000"/>
                <w:sz w:val="10"/>
                <w:szCs w:val="10"/>
                <w:lang w:val="uk-UA"/>
              </w:rPr>
            </w:pPr>
            <w:r>
              <w:rPr>
                <w:color w:val="000000"/>
                <w:sz w:val="10"/>
                <w:szCs w:val="10"/>
              </w:rPr>
              <w:t> </w:t>
            </w:r>
          </w:p>
        </w:tc>
        <w:tc>
          <w:tcPr>
            <w:tcW w:w="840" w:type="dxa"/>
            <w:shd w:val="clear" w:color="000000" w:fill="D7E4BC"/>
            <w:vAlign w:val="center"/>
            <w:hideMark/>
          </w:tcPr>
          <w:p w:rsidR="00705F07" w:rsidRDefault="00185A37">
            <w:pPr>
              <w:jc w:val="center"/>
              <w:rPr>
                <w:color w:val="000000"/>
                <w:sz w:val="10"/>
                <w:szCs w:val="10"/>
                <w:lang w:val="uk-UA"/>
              </w:rPr>
            </w:pPr>
            <w:r>
              <w:rPr>
                <w:color w:val="000000"/>
                <w:sz w:val="10"/>
                <w:szCs w:val="10"/>
              </w:rPr>
              <w:t> </w:t>
            </w:r>
          </w:p>
        </w:tc>
        <w:tc>
          <w:tcPr>
            <w:tcW w:w="755" w:type="dxa"/>
            <w:shd w:val="clear" w:color="000000" w:fill="D7E4BC"/>
            <w:vAlign w:val="center"/>
            <w:hideMark/>
          </w:tcPr>
          <w:p w:rsidR="00705F07" w:rsidRDefault="00185A37">
            <w:pPr>
              <w:jc w:val="center"/>
              <w:rPr>
                <w:color w:val="000000"/>
                <w:sz w:val="10"/>
                <w:szCs w:val="10"/>
                <w:lang w:val="uk-UA"/>
              </w:rPr>
            </w:pPr>
            <w:r>
              <w:rPr>
                <w:color w:val="000000"/>
                <w:sz w:val="10"/>
                <w:szCs w:val="10"/>
              </w:rPr>
              <w:t> </w:t>
            </w:r>
          </w:p>
        </w:tc>
      </w:tr>
      <w:tr w:rsidR="00705F07">
        <w:trPr>
          <w:trHeight w:val="225"/>
          <w:jc w:val="center"/>
        </w:trPr>
        <w:tc>
          <w:tcPr>
            <w:tcW w:w="1085" w:type="dxa"/>
            <w:vAlign w:val="center"/>
            <w:hideMark/>
          </w:tcPr>
          <w:p w:rsidR="00705F07" w:rsidRDefault="00185A37">
            <w:pPr>
              <w:jc w:val="center"/>
              <w:rPr>
                <w:color w:val="000000"/>
                <w:sz w:val="10"/>
                <w:szCs w:val="10"/>
              </w:rPr>
            </w:pPr>
            <w:r>
              <w:rPr>
                <w:color w:val="000000"/>
                <w:sz w:val="10"/>
                <w:szCs w:val="10"/>
                <w:lang w:val="uk-UA"/>
              </w:rPr>
              <w:t xml:space="preserve">         </w:t>
            </w:r>
            <w:r>
              <w:rPr>
                <w:color w:val="000000"/>
                <w:sz w:val="10"/>
                <w:szCs w:val="10"/>
              </w:rPr>
              <w:t>продажу</w:t>
            </w:r>
          </w:p>
        </w:tc>
        <w:tc>
          <w:tcPr>
            <w:tcW w:w="683" w:type="dxa"/>
            <w:vAlign w:val="center"/>
            <w:hideMark/>
          </w:tcPr>
          <w:p w:rsidR="00705F07" w:rsidRDefault="00185A37">
            <w:pPr>
              <w:jc w:val="center"/>
              <w:rPr>
                <w:color w:val="000000"/>
                <w:sz w:val="10"/>
                <w:szCs w:val="10"/>
              </w:rPr>
            </w:pPr>
            <w:r>
              <w:rPr>
                <w:color w:val="000000"/>
                <w:sz w:val="10"/>
                <w:szCs w:val="10"/>
              </w:rPr>
              <w:t>7 449,7</w:t>
            </w:r>
          </w:p>
        </w:tc>
        <w:tc>
          <w:tcPr>
            <w:tcW w:w="683" w:type="dxa"/>
            <w:vAlign w:val="center"/>
            <w:hideMark/>
          </w:tcPr>
          <w:p w:rsidR="00705F07" w:rsidRDefault="00185A37">
            <w:pPr>
              <w:jc w:val="center"/>
              <w:rPr>
                <w:color w:val="000000"/>
                <w:sz w:val="10"/>
                <w:szCs w:val="10"/>
              </w:rPr>
            </w:pPr>
            <w:r>
              <w:rPr>
                <w:color w:val="000000"/>
                <w:sz w:val="10"/>
                <w:szCs w:val="10"/>
              </w:rPr>
              <w:t>8 882,1</w:t>
            </w:r>
          </w:p>
        </w:tc>
        <w:tc>
          <w:tcPr>
            <w:tcW w:w="799" w:type="dxa"/>
            <w:vAlign w:val="center"/>
            <w:hideMark/>
          </w:tcPr>
          <w:p w:rsidR="00705F07" w:rsidRDefault="00185A37">
            <w:pPr>
              <w:jc w:val="center"/>
              <w:rPr>
                <w:color w:val="000000"/>
                <w:sz w:val="10"/>
                <w:szCs w:val="10"/>
              </w:rPr>
            </w:pPr>
            <w:r>
              <w:rPr>
                <w:color w:val="000000"/>
                <w:sz w:val="10"/>
                <w:szCs w:val="10"/>
              </w:rPr>
              <w:t>3 060,4</w:t>
            </w:r>
          </w:p>
        </w:tc>
        <w:tc>
          <w:tcPr>
            <w:tcW w:w="732" w:type="dxa"/>
            <w:vAlign w:val="center"/>
            <w:hideMark/>
          </w:tcPr>
          <w:p w:rsidR="00705F07" w:rsidRDefault="00185A37">
            <w:pPr>
              <w:jc w:val="center"/>
              <w:rPr>
                <w:color w:val="000000"/>
                <w:sz w:val="10"/>
                <w:szCs w:val="10"/>
              </w:rPr>
            </w:pPr>
            <w:r>
              <w:rPr>
                <w:color w:val="000000"/>
                <w:sz w:val="10"/>
                <w:szCs w:val="10"/>
              </w:rPr>
              <w:t>2 986,7</w:t>
            </w:r>
          </w:p>
        </w:tc>
        <w:tc>
          <w:tcPr>
            <w:tcW w:w="598" w:type="dxa"/>
            <w:vAlign w:val="center"/>
            <w:hideMark/>
          </w:tcPr>
          <w:p w:rsidR="00705F07" w:rsidRDefault="00185A37">
            <w:pPr>
              <w:jc w:val="center"/>
              <w:rPr>
                <w:color w:val="000000"/>
                <w:sz w:val="10"/>
                <w:szCs w:val="10"/>
              </w:rPr>
            </w:pPr>
            <w:r>
              <w:rPr>
                <w:color w:val="000000"/>
                <w:sz w:val="10"/>
                <w:szCs w:val="10"/>
              </w:rPr>
              <w:t>3 698,4</w:t>
            </w:r>
          </w:p>
        </w:tc>
        <w:tc>
          <w:tcPr>
            <w:tcW w:w="599" w:type="dxa"/>
            <w:vAlign w:val="center"/>
            <w:hideMark/>
          </w:tcPr>
          <w:p w:rsidR="00705F07" w:rsidRDefault="00185A37">
            <w:pPr>
              <w:jc w:val="center"/>
              <w:rPr>
                <w:color w:val="000000"/>
                <w:sz w:val="10"/>
                <w:szCs w:val="10"/>
              </w:rPr>
            </w:pPr>
            <w:r>
              <w:rPr>
                <w:color w:val="000000"/>
                <w:sz w:val="10"/>
                <w:szCs w:val="10"/>
              </w:rPr>
              <w:t>3 970,4</w:t>
            </w:r>
          </w:p>
        </w:tc>
        <w:tc>
          <w:tcPr>
            <w:tcW w:w="711" w:type="dxa"/>
            <w:vAlign w:val="center"/>
            <w:hideMark/>
          </w:tcPr>
          <w:p w:rsidR="00705F07" w:rsidRDefault="00185A37">
            <w:pPr>
              <w:jc w:val="center"/>
              <w:rPr>
                <w:color w:val="000000"/>
                <w:sz w:val="10"/>
                <w:szCs w:val="10"/>
              </w:rPr>
            </w:pPr>
            <w:r>
              <w:rPr>
                <w:color w:val="000000"/>
                <w:sz w:val="10"/>
                <w:szCs w:val="10"/>
              </w:rPr>
              <w:t>8 908,7</w:t>
            </w:r>
          </w:p>
        </w:tc>
        <w:tc>
          <w:tcPr>
            <w:tcW w:w="601" w:type="dxa"/>
            <w:vAlign w:val="center"/>
            <w:hideMark/>
          </w:tcPr>
          <w:p w:rsidR="00705F07" w:rsidRDefault="00185A37">
            <w:pPr>
              <w:jc w:val="center"/>
              <w:rPr>
                <w:color w:val="000000"/>
                <w:sz w:val="10"/>
                <w:szCs w:val="10"/>
              </w:rPr>
            </w:pPr>
            <w:r>
              <w:rPr>
                <w:color w:val="000000"/>
                <w:sz w:val="10"/>
                <w:szCs w:val="10"/>
              </w:rPr>
              <w:t>10 117,6</w:t>
            </w:r>
          </w:p>
        </w:tc>
        <w:tc>
          <w:tcPr>
            <w:tcW w:w="805" w:type="dxa"/>
            <w:vAlign w:val="center"/>
            <w:hideMark/>
          </w:tcPr>
          <w:p w:rsidR="00705F07" w:rsidRDefault="00185A37">
            <w:pPr>
              <w:jc w:val="center"/>
              <w:rPr>
                <w:color w:val="000000"/>
                <w:sz w:val="10"/>
                <w:szCs w:val="10"/>
              </w:rPr>
            </w:pPr>
            <w:r>
              <w:rPr>
                <w:color w:val="000000"/>
                <w:sz w:val="10"/>
                <w:szCs w:val="10"/>
              </w:rPr>
              <w:t>10 791,2</w:t>
            </w:r>
          </w:p>
        </w:tc>
        <w:tc>
          <w:tcPr>
            <w:tcW w:w="801" w:type="dxa"/>
            <w:vAlign w:val="center"/>
            <w:hideMark/>
          </w:tcPr>
          <w:p w:rsidR="00705F07" w:rsidRDefault="00185A37">
            <w:pPr>
              <w:jc w:val="center"/>
              <w:rPr>
                <w:color w:val="000000"/>
                <w:sz w:val="10"/>
                <w:szCs w:val="10"/>
              </w:rPr>
            </w:pPr>
            <w:r>
              <w:rPr>
                <w:color w:val="000000"/>
                <w:sz w:val="10"/>
                <w:szCs w:val="10"/>
              </w:rPr>
              <w:t>8 565,6</w:t>
            </w:r>
          </w:p>
        </w:tc>
        <w:tc>
          <w:tcPr>
            <w:tcW w:w="840" w:type="dxa"/>
            <w:vAlign w:val="center"/>
            <w:hideMark/>
          </w:tcPr>
          <w:p w:rsidR="00705F07" w:rsidRDefault="00185A37">
            <w:pPr>
              <w:jc w:val="center"/>
              <w:rPr>
                <w:color w:val="000000"/>
                <w:sz w:val="10"/>
                <w:szCs w:val="10"/>
              </w:rPr>
            </w:pPr>
            <w:r>
              <w:rPr>
                <w:color w:val="000000"/>
                <w:sz w:val="10"/>
                <w:szCs w:val="10"/>
              </w:rPr>
              <w:t xml:space="preserve">8 </w:t>
            </w:r>
            <w:r>
              <w:rPr>
                <w:color w:val="000000"/>
                <w:sz w:val="10"/>
                <w:szCs w:val="10"/>
              </w:rPr>
              <w:t>479,2</w:t>
            </w:r>
          </w:p>
        </w:tc>
        <w:tc>
          <w:tcPr>
            <w:tcW w:w="755" w:type="dxa"/>
            <w:vAlign w:val="center"/>
            <w:hideMark/>
          </w:tcPr>
          <w:p w:rsidR="00705F07" w:rsidRDefault="00185A37">
            <w:pPr>
              <w:jc w:val="center"/>
              <w:rPr>
                <w:color w:val="000000"/>
                <w:sz w:val="10"/>
                <w:szCs w:val="10"/>
              </w:rPr>
            </w:pPr>
            <w:r>
              <w:rPr>
                <w:color w:val="000000"/>
                <w:sz w:val="10"/>
                <w:szCs w:val="10"/>
              </w:rPr>
              <w:t>8 663,8</w:t>
            </w:r>
          </w:p>
        </w:tc>
      </w:tr>
      <w:tr w:rsidR="00705F07">
        <w:trPr>
          <w:trHeight w:val="675"/>
          <w:jc w:val="center"/>
        </w:trPr>
        <w:tc>
          <w:tcPr>
            <w:tcW w:w="1085" w:type="dxa"/>
            <w:vAlign w:val="center"/>
            <w:hideMark/>
          </w:tcPr>
          <w:p w:rsidR="00705F07" w:rsidRDefault="00185A37">
            <w:pPr>
              <w:jc w:val="center"/>
              <w:rPr>
                <w:color w:val="000000"/>
                <w:sz w:val="10"/>
                <w:szCs w:val="10"/>
              </w:rPr>
            </w:pPr>
            <w:r>
              <w:rPr>
                <w:color w:val="000000"/>
                <w:sz w:val="10"/>
                <w:szCs w:val="10"/>
              </w:rPr>
              <w:t xml:space="preserve">                          у тому числі на умовах "форвард"</w:t>
            </w:r>
          </w:p>
        </w:tc>
        <w:tc>
          <w:tcPr>
            <w:tcW w:w="683" w:type="dxa"/>
            <w:vAlign w:val="center"/>
            <w:hideMark/>
          </w:tcPr>
          <w:p w:rsidR="00705F07" w:rsidRDefault="00185A37">
            <w:pPr>
              <w:jc w:val="center"/>
              <w:rPr>
                <w:color w:val="000000"/>
                <w:sz w:val="10"/>
                <w:szCs w:val="10"/>
              </w:rPr>
            </w:pPr>
            <w:r>
              <w:rPr>
                <w:color w:val="000000"/>
                <w:sz w:val="10"/>
                <w:szCs w:val="10"/>
              </w:rPr>
              <w:t>189,9</w:t>
            </w:r>
          </w:p>
        </w:tc>
        <w:tc>
          <w:tcPr>
            <w:tcW w:w="683" w:type="dxa"/>
            <w:vAlign w:val="center"/>
            <w:hideMark/>
          </w:tcPr>
          <w:p w:rsidR="00705F07" w:rsidRDefault="00185A37">
            <w:pPr>
              <w:jc w:val="center"/>
              <w:rPr>
                <w:color w:val="000000"/>
                <w:sz w:val="10"/>
                <w:szCs w:val="10"/>
              </w:rPr>
            </w:pPr>
            <w:r>
              <w:rPr>
                <w:color w:val="000000"/>
                <w:sz w:val="10"/>
                <w:szCs w:val="10"/>
              </w:rPr>
              <w:t>45,9</w:t>
            </w:r>
          </w:p>
        </w:tc>
        <w:tc>
          <w:tcPr>
            <w:tcW w:w="799" w:type="dxa"/>
            <w:vAlign w:val="center"/>
            <w:hideMark/>
          </w:tcPr>
          <w:p w:rsidR="00705F07" w:rsidRDefault="00185A37">
            <w:pPr>
              <w:jc w:val="center"/>
              <w:rPr>
                <w:color w:val="000000"/>
                <w:sz w:val="10"/>
                <w:szCs w:val="10"/>
              </w:rPr>
            </w:pPr>
            <w:r>
              <w:rPr>
                <w:color w:val="000000"/>
                <w:sz w:val="10"/>
                <w:szCs w:val="10"/>
              </w:rPr>
              <w:t>4,3</w:t>
            </w:r>
          </w:p>
        </w:tc>
        <w:tc>
          <w:tcPr>
            <w:tcW w:w="732" w:type="dxa"/>
            <w:vAlign w:val="center"/>
            <w:hideMark/>
          </w:tcPr>
          <w:p w:rsidR="00705F07" w:rsidRDefault="00185A37">
            <w:pPr>
              <w:jc w:val="center"/>
              <w:rPr>
                <w:color w:val="000000"/>
                <w:sz w:val="10"/>
                <w:szCs w:val="10"/>
              </w:rPr>
            </w:pPr>
            <w:r>
              <w:rPr>
                <w:color w:val="000000"/>
                <w:sz w:val="10"/>
                <w:szCs w:val="10"/>
              </w:rPr>
              <w:t>10,4</w:t>
            </w:r>
          </w:p>
        </w:tc>
        <w:tc>
          <w:tcPr>
            <w:tcW w:w="598" w:type="dxa"/>
            <w:vAlign w:val="center"/>
            <w:hideMark/>
          </w:tcPr>
          <w:p w:rsidR="00705F07" w:rsidRDefault="00185A37">
            <w:pPr>
              <w:jc w:val="center"/>
              <w:rPr>
                <w:color w:val="000000"/>
                <w:sz w:val="10"/>
                <w:szCs w:val="10"/>
              </w:rPr>
            </w:pPr>
            <w:r>
              <w:rPr>
                <w:color w:val="000000"/>
                <w:sz w:val="10"/>
                <w:szCs w:val="10"/>
              </w:rPr>
              <w:t>0,2</w:t>
            </w:r>
          </w:p>
        </w:tc>
        <w:tc>
          <w:tcPr>
            <w:tcW w:w="599" w:type="dxa"/>
            <w:vAlign w:val="center"/>
            <w:hideMark/>
          </w:tcPr>
          <w:p w:rsidR="00705F07" w:rsidRDefault="00185A37">
            <w:pPr>
              <w:jc w:val="center"/>
              <w:rPr>
                <w:color w:val="000000"/>
                <w:sz w:val="10"/>
                <w:szCs w:val="10"/>
              </w:rPr>
            </w:pPr>
            <w:r>
              <w:rPr>
                <w:color w:val="000000"/>
                <w:sz w:val="10"/>
                <w:szCs w:val="10"/>
              </w:rPr>
              <w:t>0,0</w:t>
            </w:r>
          </w:p>
        </w:tc>
        <w:tc>
          <w:tcPr>
            <w:tcW w:w="711" w:type="dxa"/>
            <w:vAlign w:val="center"/>
            <w:hideMark/>
          </w:tcPr>
          <w:p w:rsidR="00705F07" w:rsidRDefault="00185A37">
            <w:pPr>
              <w:jc w:val="center"/>
              <w:rPr>
                <w:color w:val="000000"/>
                <w:sz w:val="10"/>
                <w:szCs w:val="10"/>
              </w:rPr>
            </w:pPr>
            <w:r>
              <w:rPr>
                <w:color w:val="000000"/>
                <w:sz w:val="10"/>
                <w:szCs w:val="10"/>
              </w:rPr>
              <w:t>0,0</w:t>
            </w:r>
          </w:p>
        </w:tc>
        <w:tc>
          <w:tcPr>
            <w:tcW w:w="601" w:type="dxa"/>
            <w:vAlign w:val="center"/>
            <w:hideMark/>
          </w:tcPr>
          <w:p w:rsidR="00705F07" w:rsidRDefault="00185A37">
            <w:pPr>
              <w:jc w:val="center"/>
              <w:rPr>
                <w:color w:val="000000"/>
                <w:sz w:val="10"/>
                <w:szCs w:val="10"/>
              </w:rPr>
            </w:pPr>
            <w:r>
              <w:rPr>
                <w:color w:val="000000"/>
                <w:sz w:val="10"/>
                <w:szCs w:val="10"/>
              </w:rPr>
              <w:t>0,0</w:t>
            </w:r>
          </w:p>
        </w:tc>
        <w:tc>
          <w:tcPr>
            <w:tcW w:w="805" w:type="dxa"/>
            <w:vAlign w:val="center"/>
            <w:hideMark/>
          </w:tcPr>
          <w:p w:rsidR="00705F07" w:rsidRDefault="00185A37">
            <w:pPr>
              <w:jc w:val="center"/>
              <w:rPr>
                <w:color w:val="000000"/>
                <w:sz w:val="10"/>
                <w:szCs w:val="10"/>
              </w:rPr>
            </w:pPr>
            <w:r>
              <w:rPr>
                <w:color w:val="000000"/>
                <w:sz w:val="10"/>
                <w:szCs w:val="10"/>
              </w:rPr>
              <w:t>0,0</w:t>
            </w:r>
          </w:p>
        </w:tc>
        <w:tc>
          <w:tcPr>
            <w:tcW w:w="801" w:type="dxa"/>
            <w:vAlign w:val="center"/>
            <w:hideMark/>
          </w:tcPr>
          <w:p w:rsidR="00705F07" w:rsidRDefault="00185A37">
            <w:pPr>
              <w:jc w:val="center"/>
              <w:rPr>
                <w:color w:val="000000"/>
                <w:sz w:val="10"/>
                <w:szCs w:val="10"/>
              </w:rPr>
            </w:pPr>
            <w:r>
              <w:rPr>
                <w:color w:val="000000"/>
                <w:sz w:val="10"/>
                <w:szCs w:val="10"/>
              </w:rPr>
              <w:t>0,0</w:t>
            </w:r>
          </w:p>
        </w:tc>
        <w:tc>
          <w:tcPr>
            <w:tcW w:w="840" w:type="dxa"/>
            <w:vAlign w:val="center"/>
            <w:hideMark/>
          </w:tcPr>
          <w:p w:rsidR="00705F07" w:rsidRDefault="00185A37">
            <w:pPr>
              <w:jc w:val="center"/>
              <w:rPr>
                <w:color w:val="000000"/>
                <w:sz w:val="10"/>
                <w:szCs w:val="10"/>
              </w:rPr>
            </w:pPr>
            <w:r>
              <w:rPr>
                <w:color w:val="000000"/>
                <w:sz w:val="10"/>
                <w:szCs w:val="10"/>
              </w:rPr>
              <w:t>0,0</w:t>
            </w:r>
          </w:p>
        </w:tc>
        <w:tc>
          <w:tcPr>
            <w:tcW w:w="755" w:type="dxa"/>
            <w:vAlign w:val="center"/>
            <w:hideMark/>
          </w:tcPr>
          <w:p w:rsidR="00705F07" w:rsidRDefault="00185A37">
            <w:pPr>
              <w:jc w:val="center"/>
              <w:rPr>
                <w:color w:val="000000"/>
                <w:sz w:val="10"/>
                <w:szCs w:val="10"/>
              </w:rPr>
            </w:pPr>
            <w:r>
              <w:rPr>
                <w:color w:val="000000"/>
                <w:sz w:val="10"/>
                <w:szCs w:val="10"/>
              </w:rPr>
              <w:t>0,0</w:t>
            </w:r>
          </w:p>
        </w:tc>
      </w:tr>
      <w:tr w:rsidR="00705F07">
        <w:trPr>
          <w:trHeight w:val="450"/>
          <w:jc w:val="center"/>
        </w:trPr>
        <w:tc>
          <w:tcPr>
            <w:tcW w:w="1085" w:type="dxa"/>
            <w:vAlign w:val="center"/>
            <w:hideMark/>
          </w:tcPr>
          <w:p w:rsidR="00705F07" w:rsidRDefault="00185A37">
            <w:pPr>
              <w:jc w:val="center"/>
              <w:rPr>
                <w:color w:val="000000"/>
                <w:sz w:val="10"/>
                <w:szCs w:val="10"/>
              </w:rPr>
            </w:pPr>
            <w:r>
              <w:rPr>
                <w:color w:val="000000"/>
                <w:sz w:val="10"/>
                <w:szCs w:val="10"/>
              </w:rPr>
              <w:t xml:space="preserve">                          у тому числі на умовах "своп"</w:t>
            </w:r>
          </w:p>
        </w:tc>
        <w:tc>
          <w:tcPr>
            <w:tcW w:w="683" w:type="dxa"/>
            <w:vAlign w:val="center"/>
            <w:hideMark/>
          </w:tcPr>
          <w:p w:rsidR="00705F07" w:rsidRDefault="00185A37">
            <w:pPr>
              <w:jc w:val="center"/>
              <w:rPr>
                <w:color w:val="000000"/>
                <w:sz w:val="10"/>
                <w:szCs w:val="10"/>
              </w:rPr>
            </w:pPr>
            <w:r>
              <w:rPr>
                <w:color w:val="000000"/>
                <w:sz w:val="10"/>
                <w:szCs w:val="10"/>
              </w:rPr>
              <w:t>416,8</w:t>
            </w:r>
          </w:p>
        </w:tc>
        <w:tc>
          <w:tcPr>
            <w:tcW w:w="683" w:type="dxa"/>
            <w:vAlign w:val="center"/>
            <w:hideMark/>
          </w:tcPr>
          <w:p w:rsidR="00705F07" w:rsidRDefault="00185A37">
            <w:pPr>
              <w:jc w:val="center"/>
              <w:rPr>
                <w:color w:val="000000"/>
                <w:sz w:val="10"/>
                <w:szCs w:val="10"/>
              </w:rPr>
            </w:pPr>
            <w:r>
              <w:rPr>
                <w:color w:val="000000"/>
                <w:sz w:val="10"/>
                <w:szCs w:val="10"/>
              </w:rPr>
              <w:t>158,3</w:t>
            </w:r>
          </w:p>
        </w:tc>
        <w:tc>
          <w:tcPr>
            <w:tcW w:w="799" w:type="dxa"/>
            <w:vAlign w:val="center"/>
            <w:hideMark/>
          </w:tcPr>
          <w:p w:rsidR="00705F07" w:rsidRDefault="00185A37">
            <w:pPr>
              <w:jc w:val="center"/>
              <w:rPr>
                <w:color w:val="000000"/>
                <w:sz w:val="10"/>
                <w:szCs w:val="10"/>
              </w:rPr>
            </w:pPr>
            <w:r>
              <w:rPr>
                <w:color w:val="000000"/>
                <w:sz w:val="10"/>
                <w:szCs w:val="10"/>
              </w:rPr>
              <w:t>28,3</w:t>
            </w:r>
          </w:p>
        </w:tc>
        <w:tc>
          <w:tcPr>
            <w:tcW w:w="732" w:type="dxa"/>
            <w:vAlign w:val="center"/>
            <w:hideMark/>
          </w:tcPr>
          <w:p w:rsidR="00705F07" w:rsidRDefault="00185A37">
            <w:pPr>
              <w:jc w:val="center"/>
              <w:rPr>
                <w:color w:val="000000"/>
                <w:sz w:val="10"/>
                <w:szCs w:val="10"/>
              </w:rPr>
            </w:pPr>
            <w:r>
              <w:rPr>
                <w:color w:val="000000"/>
                <w:sz w:val="10"/>
                <w:szCs w:val="10"/>
              </w:rPr>
              <w:t>51,4</w:t>
            </w:r>
          </w:p>
        </w:tc>
        <w:tc>
          <w:tcPr>
            <w:tcW w:w="598" w:type="dxa"/>
            <w:vAlign w:val="center"/>
            <w:hideMark/>
          </w:tcPr>
          <w:p w:rsidR="00705F07" w:rsidRDefault="00185A37">
            <w:pPr>
              <w:jc w:val="center"/>
              <w:rPr>
                <w:color w:val="000000"/>
                <w:sz w:val="10"/>
                <w:szCs w:val="10"/>
              </w:rPr>
            </w:pPr>
            <w:r>
              <w:rPr>
                <w:color w:val="000000"/>
                <w:sz w:val="10"/>
                <w:szCs w:val="10"/>
              </w:rPr>
              <w:t>196,1</w:t>
            </w:r>
          </w:p>
        </w:tc>
        <w:tc>
          <w:tcPr>
            <w:tcW w:w="599" w:type="dxa"/>
            <w:vAlign w:val="center"/>
            <w:hideMark/>
          </w:tcPr>
          <w:p w:rsidR="00705F07" w:rsidRDefault="00185A37">
            <w:pPr>
              <w:jc w:val="center"/>
              <w:rPr>
                <w:color w:val="000000"/>
                <w:sz w:val="10"/>
                <w:szCs w:val="10"/>
              </w:rPr>
            </w:pPr>
            <w:r>
              <w:rPr>
                <w:color w:val="000000"/>
                <w:sz w:val="10"/>
                <w:szCs w:val="10"/>
              </w:rPr>
              <w:t>215,8</w:t>
            </w:r>
          </w:p>
        </w:tc>
        <w:tc>
          <w:tcPr>
            <w:tcW w:w="711" w:type="dxa"/>
            <w:vAlign w:val="center"/>
            <w:hideMark/>
          </w:tcPr>
          <w:p w:rsidR="00705F07" w:rsidRDefault="00185A37">
            <w:pPr>
              <w:jc w:val="center"/>
              <w:rPr>
                <w:color w:val="000000"/>
                <w:sz w:val="10"/>
                <w:szCs w:val="10"/>
              </w:rPr>
            </w:pPr>
            <w:r>
              <w:rPr>
                <w:color w:val="000000"/>
                <w:sz w:val="10"/>
                <w:szCs w:val="10"/>
              </w:rPr>
              <w:t>999,1</w:t>
            </w:r>
          </w:p>
        </w:tc>
        <w:tc>
          <w:tcPr>
            <w:tcW w:w="601" w:type="dxa"/>
            <w:vAlign w:val="center"/>
            <w:hideMark/>
          </w:tcPr>
          <w:p w:rsidR="00705F07" w:rsidRDefault="00185A37">
            <w:pPr>
              <w:jc w:val="center"/>
              <w:rPr>
                <w:color w:val="000000"/>
                <w:sz w:val="10"/>
                <w:szCs w:val="10"/>
              </w:rPr>
            </w:pPr>
            <w:r>
              <w:rPr>
                <w:color w:val="000000"/>
                <w:sz w:val="10"/>
                <w:szCs w:val="10"/>
              </w:rPr>
              <w:t>5 438,7</w:t>
            </w:r>
          </w:p>
        </w:tc>
        <w:tc>
          <w:tcPr>
            <w:tcW w:w="805" w:type="dxa"/>
            <w:vAlign w:val="center"/>
            <w:hideMark/>
          </w:tcPr>
          <w:p w:rsidR="00705F07" w:rsidRDefault="00185A37">
            <w:pPr>
              <w:jc w:val="center"/>
              <w:rPr>
                <w:color w:val="000000"/>
                <w:sz w:val="10"/>
                <w:szCs w:val="10"/>
              </w:rPr>
            </w:pPr>
            <w:r>
              <w:rPr>
                <w:color w:val="000000"/>
                <w:sz w:val="10"/>
                <w:szCs w:val="10"/>
              </w:rPr>
              <w:t>6 767,2</w:t>
            </w:r>
          </w:p>
        </w:tc>
        <w:tc>
          <w:tcPr>
            <w:tcW w:w="801" w:type="dxa"/>
            <w:vAlign w:val="center"/>
            <w:hideMark/>
          </w:tcPr>
          <w:p w:rsidR="00705F07" w:rsidRDefault="00185A37">
            <w:pPr>
              <w:jc w:val="center"/>
              <w:rPr>
                <w:color w:val="000000"/>
                <w:sz w:val="10"/>
                <w:szCs w:val="10"/>
              </w:rPr>
            </w:pPr>
            <w:r>
              <w:rPr>
                <w:color w:val="000000"/>
                <w:sz w:val="10"/>
                <w:szCs w:val="10"/>
              </w:rPr>
              <w:t>4 449,7</w:t>
            </w:r>
          </w:p>
        </w:tc>
        <w:tc>
          <w:tcPr>
            <w:tcW w:w="840" w:type="dxa"/>
            <w:vAlign w:val="center"/>
            <w:hideMark/>
          </w:tcPr>
          <w:p w:rsidR="00705F07" w:rsidRDefault="00185A37">
            <w:pPr>
              <w:jc w:val="center"/>
              <w:rPr>
                <w:color w:val="000000"/>
                <w:sz w:val="10"/>
                <w:szCs w:val="10"/>
              </w:rPr>
            </w:pPr>
            <w:r>
              <w:rPr>
                <w:color w:val="000000"/>
                <w:sz w:val="10"/>
                <w:szCs w:val="10"/>
              </w:rPr>
              <w:t>3 477,5</w:t>
            </w:r>
          </w:p>
        </w:tc>
        <w:tc>
          <w:tcPr>
            <w:tcW w:w="755" w:type="dxa"/>
            <w:vAlign w:val="center"/>
            <w:hideMark/>
          </w:tcPr>
          <w:p w:rsidR="00705F07" w:rsidRDefault="00185A37">
            <w:pPr>
              <w:jc w:val="center"/>
              <w:rPr>
                <w:color w:val="000000"/>
                <w:sz w:val="10"/>
                <w:szCs w:val="10"/>
              </w:rPr>
            </w:pPr>
            <w:r>
              <w:rPr>
                <w:color w:val="000000"/>
                <w:sz w:val="10"/>
                <w:szCs w:val="10"/>
              </w:rPr>
              <w:t>3</w:t>
            </w:r>
            <w:r>
              <w:rPr>
                <w:color w:val="000000"/>
                <w:sz w:val="10"/>
                <w:szCs w:val="10"/>
              </w:rPr>
              <w:t xml:space="preserve"> 627,6</w:t>
            </w:r>
          </w:p>
        </w:tc>
      </w:tr>
      <w:tr w:rsidR="00705F07">
        <w:trPr>
          <w:trHeight w:val="225"/>
          <w:jc w:val="center"/>
        </w:trPr>
        <w:tc>
          <w:tcPr>
            <w:tcW w:w="1085" w:type="dxa"/>
            <w:vAlign w:val="center"/>
            <w:hideMark/>
          </w:tcPr>
          <w:p w:rsidR="00705F07" w:rsidRDefault="00185A37">
            <w:pPr>
              <w:jc w:val="center"/>
              <w:rPr>
                <w:color w:val="000000"/>
                <w:sz w:val="10"/>
                <w:szCs w:val="10"/>
              </w:rPr>
            </w:pPr>
            <w:r>
              <w:rPr>
                <w:color w:val="000000"/>
                <w:sz w:val="10"/>
                <w:szCs w:val="10"/>
              </w:rPr>
              <w:t xml:space="preserve">         купівлі</w:t>
            </w:r>
          </w:p>
        </w:tc>
        <w:tc>
          <w:tcPr>
            <w:tcW w:w="683" w:type="dxa"/>
            <w:vAlign w:val="center"/>
            <w:hideMark/>
          </w:tcPr>
          <w:p w:rsidR="00705F07" w:rsidRDefault="00185A37">
            <w:pPr>
              <w:jc w:val="center"/>
              <w:rPr>
                <w:color w:val="000000"/>
                <w:sz w:val="10"/>
                <w:szCs w:val="10"/>
              </w:rPr>
            </w:pPr>
            <w:r>
              <w:rPr>
                <w:color w:val="000000"/>
                <w:sz w:val="10"/>
                <w:szCs w:val="10"/>
              </w:rPr>
              <w:t>9 344,7</w:t>
            </w:r>
          </w:p>
        </w:tc>
        <w:tc>
          <w:tcPr>
            <w:tcW w:w="683" w:type="dxa"/>
            <w:vAlign w:val="center"/>
            <w:hideMark/>
          </w:tcPr>
          <w:p w:rsidR="00705F07" w:rsidRDefault="00185A37">
            <w:pPr>
              <w:jc w:val="center"/>
              <w:rPr>
                <w:color w:val="000000"/>
                <w:sz w:val="10"/>
                <w:szCs w:val="10"/>
              </w:rPr>
            </w:pPr>
            <w:r>
              <w:rPr>
                <w:color w:val="000000"/>
                <w:sz w:val="10"/>
                <w:szCs w:val="10"/>
              </w:rPr>
              <w:t>9 149,0</w:t>
            </w:r>
          </w:p>
        </w:tc>
        <w:tc>
          <w:tcPr>
            <w:tcW w:w="799" w:type="dxa"/>
            <w:vAlign w:val="center"/>
            <w:hideMark/>
          </w:tcPr>
          <w:p w:rsidR="00705F07" w:rsidRDefault="00185A37">
            <w:pPr>
              <w:jc w:val="center"/>
              <w:rPr>
                <w:color w:val="000000"/>
                <w:sz w:val="10"/>
                <w:szCs w:val="10"/>
              </w:rPr>
            </w:pPr>
            <w:r>
              <w:rPr>
                <w:color w:val="000000"/>
                <w:sz w:val="10"/>
                <w:szCs w:val="10"/>
              </w:rPr>
              <w:t>3 104,7</w:t>
            </w:r>
          </w:p>
        </w:tc>
        <w:tc>
          <w:tcPr>
            <w:tcW w:w="732" w:type="dxa"/>
            <w:vAlign w:val="center"/>
            <w:hideMark/>
          </w:tcPr>
          <w:p w:rsidR="00705F07" w:rsidRDefault="00185A37">
            <w:pPr>
              <w:jc w:val="center"/>
              <w:rPr>
                <w:color w:val="000000"/>
                <w:sz w:val="10"/>
                <w:szCs w:val="10"/>
              </w:rPr>
            </w:pPr>
            <w:r>
              <w:rPr>
                <w:color w:val="000000"/>
                <w:sz w:val="10"/>
                <w:szCs w:val="10"/>
              </w:rPr>
              <w:t>3 236,9</w:t>
            </w:r>
          </w:p>
        </w:tc>
        <w:tc>
          <w:tcPr>
            <w:tcW w:w="598" w:type="dxa"/>
            <w:vAlign w:val="center"/>
            <w:hideMark/>
          </w:tcPr>
          <w:p w:rsidR="00705F07" w:rsidRDefault="00185A37">
            <w:pPr>
              <w:jc w:val="center"/>
              <w:rPr>
                <w:color w:val="000000"/>
                <w:sz w:val="10"/>
                <w:szCs w:val="10"/>
              </w:rPr>
            </w:pPr>
            <w:r>
              <w:rPr>
                <w:color w:val="000000"/>
                <w:sz w:val="10"/>
                <w:szCs w:val="10"/>
              </w:rPr>
              <w:t>4 835,3</w:t>
            </w:r>
          </w:p>
        </w:tc>
        <w:tc>
          <w:tcPr>
            <w:tcW w:w="599" w:type="dxa"/>
            <w:vAlign w:val="center"/>
            <w:hideMark/>
          </w:tcPr>
          <w:p w:rsidR="00705F07" w:rsidRDefault="00185A37">
            <w:pPr>
              <w:jc w:val="center"/>
              <w:rPr>
                <w:color w:val="000000"/>
                <w:sz w:val="10"/>
                <w:szCs w:val="10"/>
              </w:rPr>
            </w:pPr>
            <w:r>
              <w:rPr>
                <w:color w:val="000000"/>
                <w:sz w:val="10"/>
                <w:szCs w:val="10"/>
              </w:rPr>
              <w:t>5 669,8</w:t>
            </w:r>
          </w:p>
        </w:tc>
        <w:tc>
          <w:tcPr>
            <w:tcW w:w="711" w:type="dxa"/>
            <w:vAlign w:val="center"/>
            <w:hideMark/>
          </w:tcPr>
          <w:p w:rsidR="00705F07" w:rsidRDefault="00185A37">
            <w:pPr>
              <w:jc w:val="center"/>
              <w:rPr>
                <w:color w:val="000000"/>
                <w:sz w:val="10"/>
                <w:szCs w:val="10"/>
              </w:rPr>
            </w:pPr>
            <w:r>
              <w:rPr>
                <w:color w:val="000000"/>
                <w:sz w:val="10"/>
                <w:szCs w:val="10"/>
              </w:rPr>
              <w:t>8 415,2</w:t>
            </w:r>
          </w:p>
        </w:tc>
        <w:tc>
          <w:tcPr>
            <w:tcW w:w="601" w:type="dxa"/>
            <w:vAlign w:val="center"/>
            <w:hideMark/>
          </w:tcPr>
          <w:p w:rsidR="00705F07" w:rsidRDefault="00185A37">
            <w:pPr>
              <w:jc w:val="center"/>
              <w:rPr>
                <w:color w:val="000000"/>
                <w:sz w:val="10"/>
                <w:szCs w:val="10"/>
              </w:rPr>
            </w:pPr>
            <w:r>
              <w:rPr>
                <w:color w:val="000000"/>
                <w:sz w:val="10"/>
                <w:szCs w:val="10"/>
              </w:rPr>
              <w:t>9 614,1</w:t>
            </w:r>
          </w:p>
        </w:tc>
        <w:tc>
          <w:tcPr>
            <w:tcW w:w="805" w:type="dxa"/>
            <w:vAlign w:val="center"/>
            <w:hideMark/>
          </w:tcPr>
          <w:p w:rsidR="00705F07" w:rsidRDefault="00185A37">
            <w:pPr>
              <w:jc w:val="center"/>
              <w:rPr>
                <w:color w:val="000000"/>
                <w:sz w:val="10"/>
                <w:szCs w:val="10"/>
              </w:rPr>
            </w:pPr>
            <w:r>
              <w:rPr>
                <w:color w:val="000000"/>
                <w:sz w:val="10"/>
                <w:szCs w:val="10"/>
              </w:rPr>
              <w:t>11 559,4</w:t>
            </w:r>
          </w:p>
        </w:tc>
        <w:tc>
          <w:tcPr>
            <w:tcW w:w="801" w:type="dxa"/>
            <w:vAlign w:val="center"/>
            <w:hideMark/>
          </w:tcPr>
          <w:p w:rsidR="00705F07" w:rsidRDefault="00185A37">
            <w:pPr>
              <w:jc w:val="center"/>
              <w:rPr>
                <w:color w:val="000000"/>
                <w:sz w:val="10"/>
                <w:szCs w:val="10"/>
              </w:rPr>
            </w:pPr>
            <w:r>
              <w:rPr>
                <w:color w:val="000000"/>
                <w:sz w:val="10"/>
                <w:szCs w:val="10"/>
              </w:rPr>
              <w:t>8 993,7</w:t>
            </w:r>
          </w:p>
        </w:tc>
        <w:tc>
          <w:tcPr>
            <w:tcW w:w="840" w:type="dxa"/>
            <w:vAlign w:val="center"/>
            <w:hideMark/>
          </w:tcPr>
          <w:p w:rsidR="00705F07" w:rsidRDefault="00185A37">
            <w:pPr>
              <w:jc w:val="center"/>
              <w:rPr>
                <w:color w:val="000000"/>
                <w:sz w:val="10"/>
                <w:szCs w:val="10"/>
              </w:rPr>
            </w:pPr>
            <w:r>
              <w:rPr>
                <w:color w:val="000000"/>
                <w:sz w:val="10"/>
                <w:szCs w:val="10"/>
              </w:rPr>
              <w:t>8 355,4</w:t>
            </w:r>
          </w:p>
        </w:tc>
        <w:tc>
          <w:tcPr>
            <w:tcW w:w="755" w:type="dxa"/>
            <w:vAlign w:val="center"/>
            <w:hideMark/>
          </w:tcPr>
          <w:p w:rsidR="00705F07" w:rsidRDefault="00185A37">
            <w:pPr>
              <w:jc w:val="center"/>
              <w:rPr>
                <w:color w:val="000000"/>
                <w:sz w:val="10"/>
                <w:szCs w:val="10"/>
              </w:rPr>
            </w:pPr>
            <w:r>
              <w:rPr>
                <w:color w:val="000000"/>
                <w:sz w:val="10"/>
                <w:szCs w:val="10"/>
              </w:rPr>
              <w:t>10 181,3</w:t>
            </w:r>
          </w:p>
        </w:tc>
      </w:tr>
      <w:tr w:rsidR="00705F07">
        <w:trPr>
          <w:trHeight w:val="675"/>
          <w:jc w:val="center"/>
        </w:trPr>
        <w:tc>
          <w:tcPr>
            <w:tcW w:w="1085" w:type="dxa"/>
            <w:vAlign w:val="center"/>
            <w:hideMark/>
          </w:tcPr>
          <w:p w:rsidR="00705F07" w:rsidRDefault="00185A37">
            <w:pPr>
              <w:jc w:val="center"/>
              <w:rPr>
                <w:color w:val="000000"/>
                <w:sz w:val="10"/>
                <w:szCs w:val="10"/>
              </w:rPr>
            </w:pPr>
            <w:r>
              <w:rPr>
                <w:color w:val="000000"/>
                <w:sz w:val="10"/>
                <w:szCs w:val="10"/>
              </w:rPr>
              <w:t xml:space="preserve">                          у тому числі на умовах "форвард"</w:t>
            </w:r>
          </w:p>
        </w:tc>
        <w:tc>
          <w:tcPr>
            <w:tcW w:w="683" w:type="dxa"/>
            <w:vAlign w:val="center"/>
            <w:hideMark/>
          </w:tcPr>
          <w:p w:rsidR="00705F07" w:rsidRDefault="00185A37">
            <w:pPr>
              <w:jc w:val="center"/>
              <w:rPr>
                <w:color w:val="000000"/>
                <w:sz w:val="10"/>
                <w:szCs w:val="10"/>
              </w:rPr>
            </w:pPr>
            <w:r>
              <w:rPr>
                <w:color w:val="000000"/>
                <w:sz w:val="10"/>
                <w:szCs w:val="10"/>
              </w:rPr>
              <w:t>775,2</w:t>
            </w:r>
          </w:p>
        </w:tc>
        <w:tc>
          <w:tcPr>
            <w:tcW w:w="683" w:type="dxa"/>
            <w:vAlign w:val="center"/>
            <w:hideMark/>
          </w:tcPr>
          <w:p w:rsidR="00705F07" w:rsidRDefault="00185A37">
            <w:pPr>
              <w:jc w:val="center"/>
              <w:rPr>
                <w:color w:val="000000"/>
                <w:sz w:val="10"/>
                <w:szCs w:val="10"/>
              </w:rPr>
            </w:pPr>
            <w:r>
              <w:rPr>
                <w:color w:val="000000"/>
                <w:sz w:val="10"/>
                <w:szCs w:val="10"/>
              </w:rPr>
              <w:t>562,9</w:t>
            </w:r>
          </w:p>
        </w:tc>
        <w:tc>
          <w:tcPr>
            <w:tcW w:w="799" w:type="dxa"/>
            <w:vAlign w:val="center"/>
            <w:hideMark/>
          </w:tcPr>
          <w:p w:rsidR="00705F07" w:rsidRDefault="00185A37">
            <w:pPr>
              <w:jc w:val="center"/>
              <w:rPr>
                <w:color w:val="000000"/>
                <w:sz w:val="10"/>
                <w:szCs w:val="10"/>
              </w:rPr>
            </w:pPr>
            <w:r>
              <w:rPr>
                <w:color w:val="000000"/>
                <w:sz w:val="10"/>
                <w:szCs w:val="10"/>
              </w:rPr>
              <w:t>13,4</w:t>
            </w:r>
          </w:p>
        </w:tc>
        <w:tc>
          <w:tcPr>
            <w:tcW w:w="732" w:type="dxa"/>
            <w:vAlign w:val="center"/>
            <w:hideMark/>
          </w:tcPr>
          <w:p w:rsidR="00705F07" w:rsidRDefault="00185A37">
            <w:pPr>
              <w:jc w:val="center"/>
              <w:rPr>
                <w:color w:val="000000"/>
                <w:sz w:val="10"/>
                <w:szCs w:val="10"/>
              </w:rPr>
            </w:pPr>
            <w:r>
              <w:rPr>
                <w:color w:val="000000"/>
                <w:sz w:val="10"/>
                <w:szCs w:val="10"/>
              </w:rPr>
              <w:t>20,0</w:t>
            </w:r>
          </w:p>
        </w:tc>
        <w:tc>
          <w:tcPr>
            <w:tcW w:w="598" w:type="dxa"/>
            <w:vAlign w:val="center"/>
            <w:hideMark/>
          </w:tcPr>
          <w:p w:rsidR="00705F07" w:rsidRDefault="00185A37">
            <w:pPr>
              <w:jc w:val="center"/>
              <w:rPr>
                <w:color w:val="000000"/>
                <w:sz w:val="10"/>
                <w:szCs w:val="10"/>
              </w:rPr>
            </w:pPr>
            <w:r>
              <w:rPr>
                <w:color w:val="000000"/>
                <w:sz w:val="10"/>
                <w:szCs w:val="10"/>
              </w:rPr>
              <w:t>0,0</w:t>
            </w:r>
          </w:p>
        </w:tc>
        <w:tc>
          <w:tcPr>
            <w:tcW w:w="599" w:type="dxa"/>
            <w:vAlign w:val="center"/>
            <w:hideMark/>
          </w:tcPr>
          <w:p w:rsidR="00705F07" w:rsidRDefault="00185A37">
            <w:pPr>
              <w:jc w:val="center"/>
              <w:rPr>
                <w:color w:val="000000"/>
                <w:sz w:val="10"/>
                <w:szCs w:val="10"/>
              </w:rPr>
            </w:pPr>
            <w:r>
              <w:rPr>
                <w:color w:val="000000"/>
                <w:sz w:val="10"/>
                <w:szCs w:val="10"/>
              </w:rPr>
              <w:t>0,0</w:t>
            </w:r>
          </w:p>
        </w:tc>
        <w:tc>
          <w:tcPr>
            <w:tcW w:w="711" w:type="dxa"/>
            <w:vAlign w:val="center"/>
            <w:hideMark/>
          </w:tcPr>
          <w:p w:rsidR="00705F07" w:rsidRDefault="00185A37">
            <w:pPr>
              <w:jc w:val="center"/>
              <w:rPr>
                <w:color w:val="000000"/>
                <w:sz w:val="10"/>
                <w:szCs w:val="10"/>
              </w:rPr>
            </w:pPr>
            <w:r>
              <w:rPr>
                <w:color w:val="000000"/>
                <w:sz w:val="10"/>
                <w:szCs w:val="10"/>
              </w:rPr>
              <w:t>0,0</w:t>
            </w:r>
          </w:p>
        </w:tc>
        <w:tc>
          <w:tcPr>
            <w:tcW w:w="601" w:type="dxa"/>
            <w:vAlign w:val="center"/>
            <w:hideMark/>
          </w:tcPr>
          <w:p w:rsidR="00705F07" w:rsidRDefault="00185A37">
            <w:pPr>
              <w:jc w:val="center"/>
              <w:rPr>
                <w:color w:val="000000"/>
                <w:sz w:val="10"/>
                <w:szCs w:val="10"/>
              </w:rPr>
            </w:pPr>
            <w:r>
              <w:rPr>
                <w:color w:val="000000"/>
                <w:sz w:val="10"/>
                <w:szCs w:val="10"/>
              </w:rPr>
              <w:t>0,0</w:t>
            </w:r>
          </w:p>
        </w:tc>
        <w:tc>
          <w:tcPr>
            <w:tcW w:w="805" w:type="dxa"/>
            <w:vAlign w:val="center"/>
            <w:hideMark/>
          </w:tcPr>
          <w:p w:rsidR="00705F07" w:rsidRDefault="00185A37">
            <w:pPr>
              <w:jc w:val="center"/>
              <w:rPr>
                <w:color w:val="000000"/>
                <w:sz w:val="10"/>
                <w:szCs w:val="10"/>
              </w:rPr>
            </w:pPr>
            <w:r>
              <w:rPr>
                <w:color w:val="000000"/>
                <w:sz w:val="10"/>
                <w:szCs w:val="10"/>
              </w:rPr>
              <w:t>0,0</w:t>
            </w:r>
          </w:p>
        </w:tc>
        <w:tc>
          <w:tcPr>
            <w:tcW w:w="801" w:type="dxa"/>
            <w:vAlign w:val="center"/>
            <w:hideMark/>
          </w:tcPr>
          <w:p w:rsidR="00705F07" w:rsidRDefault="00185A37">
            <w:pPr>
              <w:jc w:val="center"/>
              <w:rPr>
                <w:color w:val="000000"/>
                <w:sz w:val="10"/>
                <w:szCs w:val="10"/>
              </w:rPr>
            </w:pPr>
            <w:r>
              <w:rPr>
                <w:color w:val="000000"/>
                <w:sz w:val="10"/>
                <w:szCs w:val="10"/>
              </w:rPr>
              <w:t>0,0</w:t>
            </w:r>
          </w:p>
        </w:tc>
        <w:tc>
          <w:tcPr>
            <w:tcW w:w="840" w:type="dxa"/>
            <w:vAlign w:val="center"/>
            <w:hideMark/>
          </w:tcPr>
          <w:p w:rsidR="00705F07" w:rsidRDefault="00185A37">
            <w:pPr>
              <w:jc w:val="center"/>
              <w:rPr>
                <w:color w:val="000000"/>
                <w:sz w:val="10"/>
                <w:szCs w:val="10"/>
              </w:rPr>
            </w:pPr>
            <w:r>
              <w:rPr>
                <w:color w:val="000000"/>
                <w:sz w:val="10"/>
                <w:szCs w:val="10"/>
              </w:rPr>
              <w:t>0,0</w:t>
            </w:r>
          </w:p>
        </w:tc>
        <w:tc>
          <w:tcPr>
            <w:tcW w:w="755" w:type="dxa"/>
            <w:vAlign w:val="center"/>
            <w:hideMark/>
          </w:tcPr>
          <w:p w:rsidR="00705F07" w:rsidRDefault="00185A37">
            <w:pPr>
              <w:jc w:val="center"/>
              <w:rPr>
                <w:color w:val="000000"/>
                <w:sz w:val="10"/>
                <w:szCs w:val="10"/>
              </w:rPr>
            </w:pPr>
            <w:r>
              <w:rPr>
                <w:color w:val="000000"/>
                <w:sz w:val="10"/>
                <w:szCs w:val="10"/>
              </w:rPr>
              <w:t>0,0</w:t>
            </w:r>
          </w:p>
        </w:tc>
      </w:tr>
      <w:tr w:rsidR="00705F07">
        <w:trPr>
          <w:trHeight w:val="450"/>
          <w:jc w:val="center"/>
        </w:trPr>
        <w:tc>
          <w:tcPr>
            <w:tcW w:w="1085" w:type="dxa"/>
            <w:vAlign w:val="center"/>
            <w:hideMark/>
          </w:tcPr>
          <w:p w:rsidR="00705F07" w:rsidRDefault="00185A37">
            <w:pPr>
              <w:jc w:val="center"/>
              <w:rPr>
                <w:color w:val="000000"/>
                <w:sz w:val="10"/>
                <w:szCs w:val="10"/>
              </w:rPr>
            </w:pPr>
            <w:r>
              <w:rPr>
                <w:color w:val="000000"/>
                <w:sz w:val="10"/>
                <w:szCs w:val="10"/>
              </w:rPr>
              <w:t xml:space="preserve">                          у тому числі на умовах "своп"</w:t>
            </w:r>
          </w:p>
        </w:tc>
        <w:tc>
          <w:tcPr>
            <w:tcW w:w="683" w:type="dxa"/>
            <w:vAlign w:val="center"/>
            <w:hideMark/>
          </w:tcPr>
          <w:p w:rsidR="00705F07" w:rsidRDefault="00185A37">
            <w:pPr>
              <w:jc w:val="center"/>
              <w:rPr>
                <w:color w:val="000000"/>
                <w:sz w:val="10"/>
                <w:szCs w:val="10"/>
              </w:rPr>
            </w:pPr>
            <w:r>
              <w:rPr>
                <w:color w:val="000000"/>
                <w:sz w:val="10"/>
                <w:szCs w:val="10"/>
              </w:rPr>
              <w:t>416,8</w:t>
            </w:r>
          </w:p>
        </w:tc>
        <w:tc>
          <w:tcPr>
            <w:tcW w:w="683" w:type="dxa"/>
            <w:vAlign w:val="center"/>
            <w:hideMark/>
          </w:tcPr>
          <w:p w:rsidR="00705F07" w:rsidRDefault="00185A37">
            <w:pPr>
              <w:jc w:val="center"/>
              <w:rPr>
                <w:color w:val="000000"/>
                <w:sz w:val="10"/>
                <w:szCs w:val="10"/>
              </w:rPr>
            </w:pPr>
            <w:r>
              <w:rPr>
                <w:color w:val="000000"/>
                <w:sz w:val="10"/>
                <w:szCs w:val="10"/>
              </w:rPr>
              <w:t>158,3</w:t>
            </w:r>
          </w:p>
        </w:tc>
        <w:tc>
          <w:tcPr>
            <w:tcW w:w="799" w:type="dxa"/>
            <w:vAlign w:val="center"/>
            <w:hideMark/>
          </w:tcPr>
          <w:p w:rsidR="00705F07" w:rsidRDefault="00185A37">
            <w:pPr>
              <w:jc w:val="center"/>
              <w:rPr>
                <w:color w:val="000000"/>
                <w:sz w:val="10"/>
                <w:szCs w:val="10"/>
              </w:rPr>
            </w:pPr>
            <w:r>
              <w:rPr>
                <w:color w:val="000000"/>
                <w:sz w:val="10"/>
                <w:szCs w:val="10"/>
              </w:rPr>
              <w:t>28,3</w:t>
            </w:r>
          </w:p>
        </w:tc>
        <w:tc>
          <w:tcPr>
            <w:tcW w:w="732" w:type="dxa"/>
            <w:vAlign w:val="center"/>
            <w:hideMark/>
          </w:tcPr>
          <w:p w:rsidR="00705F07" w:rsidRDefault="00185A37">
            <w:pPr>
              <w:jc w:val="center"/>
              <w:rPr>
                <w:color w:val="000000"/>
                <w:sz w:val="10"/>
                <w:szCs w:val="10"/>
              </w:rPr>
            </w:pPr>
            <w:r>
              <w:rPr>
                <w:color w:val="000000"/>
                <w:sz w:val="10"/>
                <w:szCs w:val="10"/>
              </w:rPr>
              <w:t>51,4</w:t>
            </w:r>
          </w:p>
        </w:tc>
        <w:tc>
          <w:tcPr>
            <w:tcW w:w="598" w:type="dxa"/>
            <w:vAlign w:val="center"/>
            <w:hideMark/>
          </w:tcPr>
          <w:p w:rsidR="00705F07" w:rsidRDefault="00185A37">
            <w:pPr>
              <w:jc w:val="center"/>
              <w:rPr>
                <w:color w:val="000000"/>
                <w:sz w:val="10"/>
                <w:szCs w:val="10"/>
              </w:rPr>
            </w:pPr>
            <w:r>
              <w:rPr>
                <w:color w:val="000000"/>
                <w:sz w:val="10"/>
                <w:szCs w:val="10"/>
              </w:rPr>
              <w:t>196,1</w:t>
            </w:r>
          </w:p>
        </w:tc>
        <w:tc>
          <w:tcPr>
            <w:tcW w:w="599" w:type="dxa"/>
            <w:vAlign w:val="center"/>
            <w:hideMark/>
          </w:tcPr>
          <w:p w:rsidR="00705F07" w:rsidRDefault="00185A37">
            <w:pPr>
              <w:jc w:val="center"/>
              <w:rPr>
                <w:color w:val="000000"/>
                <w:sz w:val="10"/>
                <w:szCs w:val="10"/>
              </w:rPr>
            </w:pPr>
            <w:r>
              <w:rPr>
                <w:color w:val="000000"/>
                <w:sz w:val="10"/>
                <w:szCs w:val="10"/>
              </w:rPr>
              <w:t>280,4</w:t>
            </w:r>
          </w:p>
        </w:tc>
        <w:tc>
          <w:tcPr>
            <w:tcW w:w="711" w:type="dxa"/>
            <w:vAlign w:val="center"/>
            <w:hideMark/>
          </w:tcPr>
          <w:p w:rsidR="00705F07" w:rsidRDefault="00185A37">
            <w:pPr>
              <w:jc w:val="center"/>
              <w:rPr>
                <w:color w:val="000000"/>
                <w:sz w:val="10"/>
                <w:szCs w:val="10"/>
              </w:rPr>
            </w:pPr>
            <w:r>
              <w:rPr>
                <w:color w:val="000000"/>
                <w:sz w:val="10"/>
                <w:szCs w:val="10"/>
              </w:rPr>
              <w:t>1 021,3</w:t>
            </w:r>
          </w:p>
        </w:tc>
        <w:tc>
          <w:tcPr>
            <w:tcW w:w="601" w:type="dxa"/>
            <w:vAlign w:val="center"/>
            <w:hideMark/>
          </w:tcPr>
          <w:p w:rsidR="00705F07" w:rsidRDefault="00185A37">
            <w:pPr>
              <w:jc w:val="center"/>
              <w:rPr>
                <w:color w:val="000000"/>
                <w:sz w:val="10"/>
                <w:szCs w:val="10"/>
              </w:rPr>
            </w:pPr>
            <w:r>
              <w:rPr>
                <w:color w:val="000000"/>
                <w:sz w:val="10"/>
                <w:szCs w:val="10"/>
              </w:rPr>
              <w:t>5 439,7</w:t>
            </w:r>
          </w:p>
        </w:tc>
        <w:tc>
          <w:tcPr>
            <w:tcW w:w="805" w:type="dxa"/>
            <w:vAlign w:val="center"/>
            <w:hideMark/>
          </w:tcPr>
          <w:p w:rsidR="00705F07" w:rsidRDefault="00185A37">
            <w:pPr>
              <w:jc w:val="center"/>
              <w:rPr>
                <w:color w:val="000000"/>
                <w:sz w:val="10"/>
                <w:szCs w:val="10"/>
              </w:rPr>
            </w:pPr>
            <w:r>
              <w:rPr>
                <w:color w:val="000000"/>
                <w:sz w:val="10"/>
                <w:szCs w:val="10"/>
              </w:rPr>
              <w:t>6 768,6</w:t>
            </w:r>
          </w:p>
        </w:tc>
        <w:tc>
          <w:tcPr>
            <w:tcW w:w="801" w:type="dxa"/>
            <w:vAlign w:val="center"/>
            <w:hideMark/>
          </w:tcPr>
          <w:p w:rsidR="00705F07" w:rsidRDefault="00185A37">
            <w:pPr>
              <w:jc w:val="center"/>
              <w:rPr>
                <w:color w:val="000000"/>
                <w:sz w:val="10"/>
                <w:szCs w:val="10"/>
              </w:rPr>
            </w:pPr>
            <w:r>
              <w:rPr>
                <w:color w:val="000000"/>
                <w:sz w:val="10"/>
                <w:szCs w:val="10"/>
              </w:rPr>
              <w:t>4 450,3</w:t>
            </w:r>
          </w:p>
        </w:tc>
        <w:tc>
          <w:tcPr>
            <w:tcW w:w="840" w:type="dxa"/>
            <w:vAlign w:val="center"/>
            <w:hideMark/>
          </w:tcPr>
          <w:p w:rsidR="00705F07" w:rsidRDefault="00185A37">
            <w:pPr>
              <w:jc w:val="center"/>
              <w:rPr>
                <w:color w:val="000000"/>
                <w:sz w:val="10"/>
                <w:szCs w:val="10"/>
              </w:rPr>
            </w:pPr>
            <w:r>
              <w:rPr>
                <w:color w:val="000000"/>
                <w:sz w:val="10"/>
                <w:szCs w:val="10"/>
              </w:rPr>
              <w:t>3 490,7</w:t>
            </w:r>
          </w:p>
        </w:tc>
        <w:tc>
          <w:tcPr>
            <w:tcW w:w="755" w:type="dxa"/>
            <w:vAlign w:val="center"/>
            <w:hideMark/>
          </w:tcPr>
          <w:p w:rsidR="00705F07" w:rsidRDefault="00185A37">
            <w:pPr>
              <w:jc w:val="center"/>
              <w:rPr>
                <w:color w:val="000000"/>
                <w:sz w:val="10"/>
                <w:szCs w:val="10"/>
              </w:rPr>
            </w:pPr>
            <w:r>
              <w:rPr>
                <w:color w:val="000000"/>
                <w:sz w:val="10"/>
                <w:szCs w:val="10"/>
              </w:rPr>
              <w:t>3 627,6</w:t>
            </w:r>
          </w:p>
        </w:tc>
      </w:tr>
      <w:tr w:rsidR="00705F07">
        <w:trPr>
          <w:trHeight w:val="225"/>
          <w:jc w:val="center"/>
        </w:trPr>
        <w:tc>
          <w:tcPr>
            <w:tcW w:w="1085" w:type="dxa"/>
            <w:vAlign w:val="center"/>
            <w:hideMark/>
          </w:tcPr>
          <w:p w:rsidR="00705F07" w:rsidRDefault="00705F07">
            <w:pPr>
              <w:jc w:val="center"/>
              <w:rPr>
                <w:color w:val="000000"/>
                <w:sz w:val="10"/>
                <w:szCs w:val="10"/>
              </w:rPr>
            </w:pPr>
          </w:p>
        </w:tc>
        <w:tc>
          <w:tcPr>
            <w:tcW w:w="683" w:type="dxa"/>
            <w:vAlign w:val="center"/>
            <w:hideMark/>
          </w:tcPr>
          <w:p w:rsidR="00705F07" w:rsidRDefault="00705F07">
            <w:pPr>
              <w:jc w:val="center"/>
              <w:rPr>
                <w:color w:val="000000"/>
                <w:sz w:val="10"/>
                <w:szCs w:val="10"/>
              </w:rPr>
            </w:pPr>
          </w:p>
        </w:tc>
        <w:tc>
          <w:tcPr>
            <w:tcW w:w="683" w:type="dxa"/>
            <w:vAlign w:val="center"/>
            <w:hideMark/>
          </w:tcPr>
          <w:p w:rsidR="00705F07" w:rsidRDefault="00705F07">
            <w:pPr>
              <w:jc w:val="center"/>
              <w:rPr>
                <w:color w:val="000000"/>
                <w:sz w:val="10"/>
                <w:szCs w:val="10"/>
              </w:rPr>
            </w:pPr>
          </w:p>
        </w:tc>
        <w:tc>
          <w:tcPr>
            <w:tcW w:w="799" w:type="dxa"/>
            <w:vAlign w:val="center"/>
            <w:hideMark/>
          </w:tcPr>
          <w:p w:rsidR="00705F07" w:rsidRDefault="00705F07">
            <w:pPr>
              <w:jc w:val="center"/>
              <w:rPr>
                <w:color w:val="000000"/>
                <w:sz w:val="10"/>
                <w:szCs w:val="10"/>
              </w:rPr>
            </w:pPr>
          </w:p>
        </w:tc>
        <w:tc>
          <w:tcPr>
            <w:tcW w:w="732" w:type="dxa"/>
            <w:vAlign w:val="center"/>
            <w:hideMark/>
          </w:tcPr>
          <w:p w:rsidR="00705F07" w:rsidRDefault="00705F07">
            <w:pPr>
              <w:jc w:val="center"/>
              <w:rPr>
                <w:color w:val="000000"/>
                <w:sz w:val="10"/>
                <w:szCs w:val="10"/>
              </w:rPr>
            </w:pPr>
          </w:p>
        </w:tc>
        <w:tc>
          <w:tcPr>
            <w:tcW w:w="598" w:type="dxa"/>
            <w:vAlign w:val="center"/>
            <w:hideMark/>
          </w:tcPr>
          <w:p w:rsidR="00705F07" w:rsidRDefault="00705F07">
            <w:pPr>
              <w:jc w:val="center"/>
              <w:rPr>
                <w:color w:val="000000"/>
                <w:sz w:val="10"/>
                <w:szCs w:val="10"/>
              </w:rPr>
            </w:pPr>
          </w:p>
        </w:tc>
        <w:tc>
          <w:tcPr>
            <w:tcW w:w="599" w:type="dxa"/>
            <w:vAlign w:val="center"/>
            <w:hideMark/>
          </w:tcPr>
          <w:p w:rsidR="00705F07" w:rsidRDefault="00705F07">
            <w:pPr>
              <w:jc w:val="center"/>
              <w:rPr>
                <w:color w:val="000000"/>
                <w:sz w:val="10"/>
                <w:szCs w:val="10"/>
              </w:rPr>
            </w:pPr>
          </w:p>
        </w:tc>
        <w:tc>
          <w:tcPr>
            <w:tcW w:w="711" w:type="dxa"/>
            <w:vAlign w:val="center"/>
            <w:hideMark/>
          </w:tcPr>
          <w:p w:rsidR="00705F07" w:rsidRDefault="00705F07">
            <w:pPr>
              <w:jc w:val="center"/>
              <w:rPr>
                <w:color w:val="000000"/>
                <w:sz w:val="10"/>
                <w:szCs w:val="10"/>
              </w:rPr>
            </w:pPr>
          </w:p>
        </w:tc>
        <w:tc>
          <w:tcPr>
            <w:tcW w:w="601" w:type="dxa"/>
            <w:vAlign w:val="center"/>
            <w:hideMark/>
          </w:tcPr>
          <w:p w:rsidR="00705F07" w:rsidRDefault="00705F07">
            <w:pPr>
              <w:jc w:val="center"/>
              <w:rPr>
                <w:color w:val="000000"/>
                <w:sz w:val="10"/>
                <w:szCs w:val="10"/>
              </w:rPr>
            </w:pPr>
          </w:p>
        </w:tc>
        <w:tc>
          <w:tcPr>
            <w:tcW w:w="805" w:type="dxa"/>
            <w:vAlign w:val="center"/>
            <w:hideMark/>
          </w:tcPr>
          <w:p w:rsidR="00705F07" w:rsidRDefault="00705F07">
            <w:pPr>
              <w:jc w:val="center"/>
              <w:rPr>
                <w:color w:val="000000"/>
                <w:sz w:val="10"/>
                <w:szCs w:val="10"/>
              </w:rPr>
            </w:pPr>
          </w:p>
        </w:tc>
        <w:tc>
          <w:tcPr>
            <w:tcW w:w="801" w:type="dxa"/>
            <w:vAlign w:val="center"/>
            <w:hideMark/>
          </w:tcPr>
          <w:p w:rsidR="00705F07" w:rsidRDefault="00705F07">
            <w:pPr>
              <w:jc w:val="center"/>
              <w:rPr>
                <w:color w:val="000000"/>
                <w:sz w:val="10"/>
                <w:szCs w:val="10"/>
              </w:rPr>
            </w:pPr>
          </w:p>
        </w:tc>
        <w:tc>
          <w:tcPr>
            <w:tcW w:w="840" w:type="dxa"/>
            <w:vAlign w:val="center"/>
            <w:hideMark/>
          </w:tcPr>
          <w:p w:rsidR="00705F07" w:rsidRDefault="00705F07">
            <w:pPr>
              <w:jc w:val="center"/>
              <w:rPr>
                <w:color w:val="000000"/>
                <w:sz w:val="10"/>
                <w:szCs w:val="10"/>
              </w:rPr>
            </w:pPr>
          </w:p>
        </w:tc>
        <w:tc>
          <w:tcPr>
            <w:tcW w:w="755" w:type="dxa"/>
            <w:vAlign w:val="center"/>
            <w:hideMark/>
          </w:tcPr>
          <w:p w:rsidR="00705F07" w:rsidRDefault="00705F07">
            <w:pPr>
              <w:jc w:val="center"/>
              <w:rPr>
                <w:color w:val="000000"/>
                <w:sz w:val="10"/>
                <w:szCs w:val="10"/>
              </w:rPr>
            </w:pPr>
          </w:p>
        </w:tc>
      </w:tr>
      <w:tr w:rsidR="00705F07">
        <w:trPr>
          <w:trHeight w:val="450"/>
          <w:jc w:val="center"/>
        </w:trPr>
        <w:tc>
          <w:tcPr>
            <w:tcW w:w="1085" w:type="dxa"/>
            <w:vAlign w:val="center"/>
            <w:hideMark/>
          </w:tcPr>
          <w:p w:rsidR="00705F07" w:rsidRDefault="00185A37">
            <w:pPr>
              <w:jc w:val="center"/>
              <w:rPr>
                <w:color w:val="000000"/>
                <w:sz w:val="10"/>
                <w:szCs w:val="10"/>
              </w:rPr>
            </w:pPr>
            <w:r>
              <w:rPr>
                <w:color w:val="000000"/>
                <w:sz w:val="10"/>
                <w:szCs w:val="10"/>
              </w:rPr>
              <w:t>* в оригінальній валюті, млн євро</w:t>
            </w:r>
          </w:p>
        </w:tc>
        <w:tc>
          <w:tcPr>
            <w:tcW w:w="683" w:type="dxa"/>
            <w:vAlign w:val="center"/>
            <w:hideMark/>
          </w:tcPr>
          <w:p w:rsidR="00705F07" w:rsidRDefault="00185A37">
            <w:pPr>
              <w:jc w:val="center"/>
              <w:rPr>
                <w:color w:val="000000"/>
                <w:sz w:val="10"/>
                <w:szCs w:val="10"/>
              </w:rPr>
            </w:pPr>
            <w:r>
              <w:rPr>
                <w:color w:val="000000"/>
                <w:sz w:val="10"/>
                <w:szCs w:val="10"/>
              </w:rPr>
              <w:t>0,0</w:t>
            </w:r>
          </w:p>
        </w:tc>
        <w:tc>
          <w:tcPr>
            <w:tcW w:w="683" w:type="dxa"/>
            <w:vAlign w:val="center"/>
            <w:hideMark/>
          </w:tcPr>
          <w:p w:rsidR="00705F07" w:rsidRDefault="00185A37">
            <w:pPr>
              <w:jc w:val="center"/>
              <w:rPr>
                <w:color w:val="000000"/>
                <w:sz w:val="10"/>
                <w:szCs w:val="10"/>
              </w:rPr>
            </w:pPr>
            <w:r>
              <w:rPr>
                <w:color w:val="000000"/>
                <w:sz w:val="10"/>
                <w:szCs w:val="10"/>
              </w:rPr>
              <w:t>0,0</w:t>
            </w:r>
          </w:p>
        </w:tc>
        <w:tc>
          <w:tcPr>
            <w:tcW w:w="799" w:type="dxa"/>
            <w:vAlign w:val="center"/>
            <w:hideMark/>
          </w:tcPr>
          <w:p w:rsidR="00705F07" w:rsidRDefault="00185A37">
            <w:pPr>
              <w:jc w:val="center"/>
              <w:rPr>
                <w:color w:val="000000"/>
                <w:sz w:val="10"/>
                <w:szCs w:val="10"/>
              </w:rPr>
            </w:pPr>
            <w:r>
              <w:rPr>
                <w:color w:val="000000"/>
                <w:sz w:val="10"/>
                <w:szCs w:val="10"/>
              </w:rPr>
              <w:t>970,2</w:t>
            </w:r>
          </w:p>
        </w:tc>
        <w:tc>
          <w:tcPr>
            <w:tcW w:w="732" w:type="dxa"/>
            <w:vAlign w:val="center"/>
            <w:hideMark/>
          </w:tcPr>
          <w:p w:rsidR="00705F07" w:rsidRDefault="00185A37">
            <w:pPr>
              <w:jc w:val="center"/>
              <w:rPr>
                <w:color w:val="000000"/>
                <w:sz w:val="10"/>
                <w:szCs w:val="10"/>
              </w:rPr>
            </w:pPr>
            <w:r>
              <w:rPr>
                <w:color w:val="000000"/>
                <w:sz w:val="10"/>
                <w:szCs w:val="10"/>
              </w:rPr>
              <w:t>515,6</w:t>
            </w:r>
          </w:p>
        </w:tc>
        <w:tc>
          <w:tcPr>
            <w:tcW w:w="598" w:type="dxa"/>
            <w:vAlign w:val="center"/>
            <w:hideMark/>
          </w:tcPr>
          <w:p w:rsidR="00705F07" w:rsidRDefault="00185A37">
            <w:pPr>
              <w:jc w:val="center"/>
              <w:rPr>
                <w:color w:val="000000"/>
                <w:sz w:val="10"/>
                <w:szCs w:val="10"/>
              </w:rPr>
            </w:pPr>
            <w:r>
              <w:rPr>
                <w:color w:val="000000"/>
                <w:sz w:val="10"/>
                <w:szCs w:val="10"/>
              </w:rPr>
              <w:t>303,3</w:t>
            </w:r>
          </w:p>
        </w:tc>
        <w:tc>
          <w:tcPr>
            <w:tcW w:w="599" w:type="dxa"/>
            <w:vAlign w:val="center"/>
            <w:hideMark/>
          </w:tcPr>
          <w:p w:rsidR="00705F07" w:rsidRDefault="00185A37">
            <w:pPr>
              <w:jc w:val="center"/>
              <w:rPr>
                <w:color w:val="000000"/>
                <w:sz w:val="10"/>
                <w:szCs w:val="10"/>
              </w:rPr>
            </w:pPr>
            <w:r>
              <w:rPr>
                <w:color w:val="000000"/>
                <w:sz w:val="10"/>
                <w:szCs w:val="10"/>
              </w:rPr>
              <w:t>0,0</w:t>
            </w:r>
          </w:p>
        </w:tc>
        <w:tc>
          <w:tcPr>
            <w:tcW w:w="711" w:type="dxa"/>
            <w:vAlign w:val="center"/>
            <w:hideMark/>
          </w:tcPr>
          <w:p w:rsidR="00705F07" w:rsidRDefault="00185A37">
            <w:pPr>
              <w:jc w:val="center"/>
              <w:rPr>
                <w:color w:val="000000"/>
                <w:sz w:val="10"/>
                <w:szCs w:val="10"/>
              </w:rPr>
            </w:pPr>
            <w:r>
              <w:rPr>
                <w:color w:val="000000"/>
                <w:sz w:val="10"/>
                <w:szCs w:val="10"/>
              </w:rPr>
              <w:t>0,0</w:t>
            </w:r>
          </w:p>
        </w:tc>
        <w:tc>
          <w:tcPr>
            <w:tcW w:w="601" w:type="dxa"/>
            <w:vAlign w:val="center"/>
            <w:hideMark/>
          </w:tcPr>
          <w:p w:rsidR="00705F07" w:rsidRDefault="00185A37">
            <w:pPr>
              <w:jc w:val="center"/>
              <w:rPr>
                <w:color w:val="000000"/>
                <w:sz w:val="10"/>
                <w:szCs w:val="10"/>
              </w:rPr>
            </w:pPr>
            <w:r>
              <w:rPr>
                <w:color w:val="000000"/>
                <w:sz w:val="10"/>
                <w:szCs w:val="10"/>
              </w:rPr>
              <w:t>0,0</w:t>
            </w:r>
          </w:p>
        </w:tc>
        <w:tc>
          <w:tcPr>
            <w:tcW w:w="805" w:type="dxa"/>
            <w:vAlign w:val="center"/>
            <w:hideMark/>
          </w:tcPr>
          <w:p w:rsidR="00705F07" w:rsidRDefault="00185A37">
            <w:pPr>
              <w:jc w:val="center"/>
              <w:rPr>
                <w:color w:val="000000"/>
                <w:sz w:val="10"/>
                <w:szCs w:val="10"/>
              </w:rPr>
            </w:pPr>
            <w:r>
              <w:rPr>
                <w:color w:val="000000"/>
                <w:sz w:val="10"/>
                <w:szCs w:val="10"/>
              </w:rPr>
              <w:t>0,0</w:t>
            </w:r>
          </w:p>
        </w:tc>
        <w:tc>
          <w:tcPr>
            <w:tcW w:w="801" w:type="dxa"/>
            <w:vAlign w:val="center"/>
            <w:hideMark/>
          </w:tcPr>
          <w:p w:rsidR="00705F07" w:rsidRDefault="00185A37">
            <w:pPr>
              <w:jc w:val="center"/>
              <w:rPr>
                <w:color w:val="000000"/>
                <w:sz w:val="10"/>
                <w:szCs w:val="10"/>
              </w:rPr>
            </w:pPr>
            <w:r>
              <w:rPr>
                <w:color w:val="000000"/>
                <w:sz w:val="10"/>
                <w:szCs w:val="10"/>
              </w:rPr>
              <w:t>0,0</w:t>
            </w:r>
          </w:p>
        </w:tc>
        <w:tc>
          <w:tcPr>
            <w:tcW w:w="840" w:type="dxa"/>
            <w:vAlign w:val="center"/>
            <w:hideMark/>
          </w:tcPr>
          <w:p w:rsidR="00705F07" w:rsidRDefault="00185A37">
            <w:pPr>
              <w:jc w:val="center"/>
              <w:rPr>
                <w:color w:val="000000"/>
                <w:sz w:val="10"/>
                <w:szCs w:val="10"/>
              </w:rPr>
            </w:pPr>
            <w:r>
              <w:rPr>
                <w:color w:val="000000"/>
                <w:sz w:val="10"/>
                <w:szCs w:val="10"/>
              </w:rPr>
              <w:t>0,0</w:t>
            </w:r>
          </w:p>
        </w:tc>
        <w:tc>
          <w:tcPr>
            <w:tcW w:w="755" w:type="dxa"/>
            <w:vAlign w:val="center"/>
            <w:hideMark/>
          </w:tcPr>
          <w:p w:rsidR="00705F07" w:rsidRDefault="00185A37">
            <w:pPr>
              <w:jc w:val="center"/>
              <w:rPr>
                <w:color w:val="000000"/>
                <w:sz w:val="10"/>
                <w:szCs w:val="10"/>
              </w:rPr>
            </w:pPr>
            <w:r>
              <w:rPr>
                <w:color w:val="000000"/>
                <w:sz w:val="10"/>
                <w:szCs w:val="10"/>
              </w:rPr>
              <w:t>0,0</w:t>
            </w:r>
          </w:p>
        </w:tc>
      </w:tr>
      <w:tr w:rsidR="00705F07">
        <w:trPr>
          <w:trHeight w:val="450"/>
          <w:jc w:val="center"/>
        </w:trPr>
        <w:tc>
          <w:tcPr>
            <w:tcW w:w="1085" w:type="dxa"/>
            <w:vAlign w:val="center"/>
            <w:hideMark/>
          </w:tcPr>
          <w:p w:rsidR="00705F07" w:rsidRDefault="00185A37">
            <w:pPr>
              <w:jc w:val="center"/>
              <w:rPr>
                <w:color w:val="000000"/>
                <w:sz w:val="10"/>
                <w:szCs w:val="10"/>
              </w:rPr>
            </w:pPr>
            <w:r>
              <w:rPr>
                <w:color w:val="000000"/>
                <w:sz w:val="10"/>
                <w:szCs w:val="10"/>
              </w:rPr>
              <w:t xml:space="preserve">** в </w:t>
            </w:r>
            <w:r>
              <w:rPr>
                <w:color w:val="000000"/>
                <w:sz w:val="10"/>
                <w:szCs w:val="10"/>
              </w:rPr>
              <w:t>оригінальній валюті, млн євро</w:t>
            </w:r>
          </w:p>
        </w:tc>
        <w:tc>
          <w:tcPr>
            <w:tcW w:w="683" w:type="dxa"/>
            <w:vAlign w:val="center"/>
            <w:hideMark/>
          </w:tcPr>
          <w:p w:rsidR="00705F07" w:rsidRDefault="00185A37">
            <w:pPr>
              <w:jc w:val="center"/>
              <w:rPr>
                <w:color w:val="000000"/>
                <w:sz w:val="10"/>
                <w:szCs w:val="10"/>
              </w:rPr>
            </w:pPr>
            <w:r>
              <w:rPr>
                <w:color w:val="000000"/>
                <w:sz w:val="10"/>
                <w:szCs w:val="10"/>
              </w:rPr>
              <w:t>0,0</w:t>
            </w:r>
          </w:p>
        </w:tc>
        <w:tc>
          <w:tcPr>
            <w:tcW w:w="683" w:type="dxa"/>
            <w:vAlign w:val="center"/>
            <w:hideMark/>
          </w:tcPr>
          <w:p w:rsidR="00705F07" w:rsidRDefault="00185A37">
            <w:pPr>
              <w:jc w:val="center"/>
              <w:rPr>
                <w:color w:val="000000"/>
                <w:sz w:val="10"/>
                <w:szCs w:val="10"/>
              </w:rPr>
            </w:pPr>
            <w:r>
              <w:rPr>
                <w:color w:val="000000"/>
                <w:sz w:val="10"/>
                <w:szCs w:val="10"/>
              </w:rPr>
              <w:t>0,0</w:t>
            </w:r>
          </w:p>
        </w:tc>
        <w:tc>
          <w:tcPr>
            <w:tcW w:w="799" w:type="dxa"/>
            <w:vAlign w:val="center"/>
            <w:hideMark/>
          </w:tcPr>
          <w:p w:rsidR="00705F07" w:rsidRDefault="00185A37">
            <w:pPr>
              <w:jc w:val="center"/>
              <w:rPr>
                <w:color w:val="000000"/>
                <w:sz w:val="10"/>
                <w:szCs w:val="10"/>
              </w:rPr>
            </w:pPr>
            <w:r>
              <w:rPr>
                <w:color w:val="000000"/>
                <w:sz w:val="10"/>
                <w:szCs w:val="10"/>
              </w:rPr>
              <w:t>73,2</w:t>
            </w:r>
          </w:p>
        </w:tc>
        <w:tc>
          <w:tcPr>
            <w:tcW w:w="732" w:type="dxa"/>
            <w:vAlign w:val="center"/>
            <w:hideMark/>
          </w:tcPr>
          <w:p w:rsidR="00705F07" w:rsidRDefault="00185A37">
            <w:pPr>
              <w:jc w:val="center"/>
              <w:rPr>
                <w:color w:val="000000"/>
                <w:sz w:val="10"/>
                <w:szCs w:val="10"/>
              </w:rPr>
            </w:pPr>
            <w:r>
              <w:rPr>
                <w:color w:val="000000"/>
                <w:sz w:val="10"/>
                <w:szCs w:val="10"/>
              </w:rPr>
              <w:t>23,5</w:t>
            </w:r>
          </w:p>
        </w:tc>
        <w:tc>
          <w:tcPr>
            <w:tcW w:w="598" w:type="dxa"/>
            <w:vAlign w:val="center"/>
            <w:hideMark/>
          </w:tcPr>
          <w:p w:rsidR="00705F07" w:rsidRDefault="00185A37">
            <w:pPr>
              <w:jc w:val="center"/>
              <w:rPr>
                <w:color w:val="000000"/>
                <w:sz w:val="10"/>
                <w:szCs w:val="10"/>
              </w:rPr>
            </w:pPr>
            <w:r>
              <w:rPr>
                <w:color w:val="000000"/>
                <w:sz w:val="10"/>
                <w:szCs w:val="10"/>
              </w:rPr>
              <w:t>14,3</w:t>
            </w:r>
          </w:p>
        </w:tc>
        <w:tc>
          <w:tcPr>
            <w:tcW w:w="599" w:type="dxa"/>
            <w:vAlign w:val="center"/>
            <w:hideMark/>
          </w:tcPr>
          <w:p w:rsidR="00705F07" w:rsidRDefault="00185A37">
            <w:pPr>
              <w:jc w:val="center"/>
              <w:rPr>
                <w:color w:val="000000"/>
                <w:sz w:val="10"/>
                <w:szCs w:val="10"/>
              </w:rPr>
            </w:pPr>
            <w:r>
              <w:rPr>
                <w:color w:val="000000"/>
                <w:sz w:val="10"/>
                <w:szCs w:val="10"/>
              </w:rPr>
              <w:t>0,0</w:t>
            </w:r>
          </w:p>
        </w:tc>
        <w:tc>
          <w:tcPr>
            <w:tcW w:w="711" w:type="dxa"/>
            <w:vAlign w:val="center"/>
            <w:hideMark/>
          </w:tcPr>
          <w:p w:rsidR="00705F07" w:rsidRDefault="00185A37">
            <w:pPr>
              <w:jc w:val="center"/>
              <w:rPr>
                <w:color w:val="000000"/>
                <w:sz w:val="10"/>
                <w:szCs w:val="10"/>
              </w:rPr>
            </w:pPr>
            <w:r>
              <w:rPr>
                <w:color w:val="000000"/>
                <w:sz w:val="10"/>
                <w:szCs w:val="10"/>
              </w:rPr>
              <w:t>0,0</w:t>
            </w:r>
          </w:p>
        </w:tc>
        <w:tc>
          <w:tcPr>
            <w:tcW w:w="601" w:type="dxa"/>
            <w:vAlign w:val="center"/>
            <w:hideMark/>
          </w:tcPr>
          <w:p w:rsidR="00705F07" w:rsidRDefault="00185A37">
            <w:pPr>
              <w:jc w:val="center"/>
              <w:rPr>
                <w:color w:val="000000"/>
                <w:sz w:val="10"/>
                <w:szCs w:val="10"/>
              </w:rPr>
            </w:pPr>
            <w:r>
              <w:rPr>
                <w:color w:val="000000"/>
                <w:sz w:val="10"/>
                <w:szCs w:val="10"/>
              </w:rPr>
              <w:t>0,0</w:t>
            </w:r>
          </w:p>
        </w:tc>
        <w:tc>
          <w:tcPr>
            <w:tcW w:w="805" w:type="dxa"/>
            <w:vAlign w:val="center"/>
            <w:hideMark/>
          </w:tcPr>
          <w:p w:rsidR="00705F07" w:rsidRDefault="00185A37">
            <w:pPr>
              <w:jc w:val="center"/>
              <w:rPr>
                <w:color w:val="000000"/>
                <w:sz w:val="10"/>
                <w:szCs w:val="10"/>
              </w:rPr>
            </w:pPr>
            <w:r>
              <w:rPr>
                <w:color w:val="000000"/>
                <w:sz w:val="10"/>
                <w:szCs w:val="10"/>
              </w:rPr>
              <w:t>0,0</w:t>
            </w:r>
          </w:p>
        </w:tc>
        <w:tc>
          <w:tcPr>
            <w:tcW w:w="801" w:type="dxa"/>
            <w:vAlign w:val="center"/>
            <w:hideMark/>
          </w:tcPr>
          <w:p w:rsidR="00705F07" w:rsidRDefault="00185A37">
            <w:pPr>
              <w:jc w:val="center"/>
              <w:rPr>
                <w:color w:val="000000"/>
                <w:sz w:val="10"/>
                <w:szCs w:val="10"/>
              </w:rPr>
            </w:pPr>
            <w:r>
              <w:rPr>
                <w:color w:val="000000"/>
                <w:sz w:val="10"/>
                <w:szCs w:val="10"/>
              </w:rPr>
              <w:t>0,0</w:t>
            </w:r>
          </w:p>
        </w:tc>
        <w:tc>
          <w:tcPr>
            <w:tcW w:w="840" w:type="dxa"/>
            <w:vAlign w:val="center"/>
            <w:hideMark/>
          </w:tcPr>
          <w:p w:rsidR="00705F07" w:rsidRDefault="00185A37">
            <w:pPr>
              <w:jc w:val="center"/>
              <w:rPr>
                <w:color w:val="000000"/>
                <w:sz w:val="10"/>
                <w:szCs w:val="10"/>
              </w:rPr>
            </w:pPr>
            <w:r>
              <w:rPr>
                <w:color w:val="000000"/>
                <w:sz w:val="10"/>
                <w:szCs w:val="10"/>
              </w:rPr>
              <w:t>0,0</w:t>
            </w:r>
          </w:p>
        </w:tc>
        <w:tc>
          <w:tcPr>
            <w:tcW w:w="755" w:type="dxa"/>
            <w:vAlign w:val="center"/>
            <w:hideMark/>
          </w:tcPr>
          <w:p w:rsidR="00705F07" w:rsidRDefault="00185A37">
            <w:pPr>
              <w:jc w:val="center"/>
              <w:rPr>
                <w:color w:val="000000"/>
                <w:sz w:val="10"/>
                <w:szCs w:val="10"/>
              </w:rPr>
            </w:pPr>
            <w:r>
              <w:rPr>
                <w:color w:val="000000"/>
                <w:sz w:val="10"/>
                <w:szCs w:val="10"/>
              </w:rPr>
              <w:t>0,0</w:t>
            </w:r>
          </w:p>
        </w:tc>
      </w:tr>
    </w:tbl>
    <w:p w:rsidR="00705F07" w:rsidRDefault="00185A37">
      <w:pPr>
        <w:ind w:firstLine="709"/>
        <w:jc w:val="both"/>
        <w:rPr>
          <w:color w:val="000000"/>
        </w:rPr>
      </w:pPr>
      <w:r>
        <w:rPr>
          <w:color w:val="000000"/>
        </w:rPr>
        <w:t>Джерело: складено автором на основі даних [</w:t>
      </w:r>
      <w:r>
        <w:rPr>
          <w:color w:val="000000"/>
          <w:lang w:val="uk-UA"/>
        </w:rPr>
        <w:t>36</w:t>
      </w:r>
      <w:r>
        <w:rPr>
          <w:color w:val="000000"/>
        </w:rPr>
        <w:t>].</w:t>
      </w:r>
    </w:p>
    <w:p w:rsidR="00705F07" w:rsidRDefault="00705F07">
      <w:pPr>
        <w:jc w:val="center"/>
        <w:rPr>
          <w:color w:val="000000"/>
          <w:sz w:val="28"/>
          <w:szCs w:val="28"/>
        </w:rPr>
      </w:pPr>
    </w:p>
    <w:p w:rsidR="00705F07" w:rsidRDefault="00185A37">
      <w:pPr>
        <w:rPr>
          <w:color w:val="000000"/>
          <w:sz w:val="28"/>
          <w:szCs w:val="28"/>
        </w:rPr>
      </w:pPr>
      <w:r>
        <w:rPr>
          <w:color w:val="000000"/>
          <w:sz w:val="28"/>
          <w:szCs w:val="28"/>
        </w:rPr>
        <w:br w:type="page"/>
      </w:r>
    </w:p>
    <w:p w:rsidR="00705F07" w:rsidRDefault="00185A37">
      <w:pPr>
        <w:spacing w:line="360" w:lineRule="auto"/>
        <w:jc w:val="right"/>
        <w:rPr>
          <w:color w:val="000000"/>
          <w:sz w:val="28"/>
          <w:szCs w:val="28"/>
          <w:lang w:val="uk-UA"/>
        </w:rPr>
      </w:pPr>
      <w:r>
        <w:rPr>
          <w:color w:val="000000"/>
          <w:sz w:val="28"/>
          <w:szCs w:val="28"/>
        </w:rPr>
        <w:t>Додаток Б</w:t>
      </w:r>
    </w:p>
    <w:p w:rsidR="00705F07" w:rsidRDefault="00185A37">
      <w:pPr>
        <w:spacing w:line="360" w:lineRule="auto"/>
        <w:jc w:val="right"/>
        <w:rPr>
          <w:color w:val="000000"/>
          <w:sz w:val="28"/>
          <w:szCs w:val="28"/>
          <w:lang w:val="uk-UA"/>
        </w:rPr>
      </w:pPr>
      <w:r>
        <w:rPr>
          <w:color w:val="000000"/>
          <w:sz w:val="28"/>
          <w:szCs w:val="28"/>
          <w:lang w:val="uk-UA"/>
        </w:rPr>
        <w:t>Таблиця Б.1</w:t>
      </w:r>
    </w:p>
    <w:p w:rsidR="00705F07" w:rsidRDefault="00185A37">
      <w:pPr>
        <w:spacing w:line="360" w:lineRule="auto"/>
        <w:jc w:val="center"/>
        <w:rPr>
          <w:color w:val="000000"/>
          <w:sz w:val="28"/>
          <w:szCs w:val="28"/>
          <w:lang w:val="uk-UA"/>
        </w:rPr>
      </w:pPr>
      <w:r>
        <w:rPr>
          <w:color w:val="000000"/>
          <w:sz w:val="28"/>
          <w:szCs w:val="28"/>
          <w:lang w:val="uk-UA"/>
        </w:rPr>
        <w:t>Показники валютного ринку України за 2023 рік</w:t>
      </w:r>
    </w:p>
    <w:tbl>
      <w:tblPr>
        <w:tblW w:w="9292" w:type="dxa"/>
        <w:jc w:val="center"/>
        <w:tblLook w:val="04A0" w:firstRow="1" w:lastRow="0" w:firstColumn="1" w:lastColumn="0" w:noHBand="0" w:noVBand="1"/>
      </w:tblPr>
      <w:tblGrid>
        <w:gridCol w:w="1299"/>
        <w:gridCol w:w="624"/>
        <w:gridCol w:w="624"/>
        <w:gridCol w:w="722"/>
        <w:gridCol w:w="627"/>
        <w:gridCol w:w="665"/>
        <w:gridCol w:w="674"/>
        <w:gridCol w:w="624"/>
        <w:gridCol w:w="671"/>
        <w:gridCol w:w="722"/>
        <w:gridCol w:w="696"/>
        <w:gridCol w:w="742"/>
        <w:gridCol w:w="657"/>
      </w:tblGrid>
      <w:tr w:rsidR="00705F07">
        <w:trPr>
          <w:trHeight w:val="810"/>
          <w:jc w:val="center"/>
        </w:trPr>
        <w:tc>
          <w:tcPr>
            <w:tcW w:w="1257" w:type="dxa"/>
            <w:vMerge w:val="restart"/>
            <w:tcBorders>
              <w:top w:val="single" w:sz="4" w:space="0" w:color="auto"/>
              <w:left w:val="single" w:sz="4" w:space="0" w:color="auto"/>
              <w:bottom w:val="single" w:sz="4" w:space="0" w:color="000000"/>
              <w:right w:val="nil"/>
            </w:tcBorders>
            <w:vAlign w:val="center"/>
            <w:hideMark/>
          </w:tcPr>
          <w:p w:rsidR="00705F07" w:rsidRDefault="00185A37">
            <w:pPr>
              <w:jc w:val="center"/>
              <w:rPr>
                <w:bCs/>
                <w:color w:val="000000"/>
                <w:sz w:val="12"/>
                <w:szCs w:val="12"/>
              </w:rPr>
            </w:pPr>
            <w:r>
              <w:rPr>
                <w:bCs/>
                <w:color w:val="000000"/>
                <w:sz w:val="12"/>
                <w:szCs w:val="12"/>
              </w:rPr>
              <w:t>Показники валютного ринку України за 2023 рік</w:t>
            </w:r>
          </w:p>
        </w:tc>
        <w:tc>
          <w:tcPr>
            <w:tcW w:w="606" w:type="dxa"/>
            <w:vMerge w:val="restart"/>
            <w:tcBorders>
              <w:top w:val="single" w:sz="4" w:space="0" w:color="auto"/>
              <w:left w:val="single" w:sz="4" w:space="0" w:color="auto"/>
              <w:bottom w:val="single" w:sz="4" w:space="0" w:color="000000"/>
              <w:right w:val="single" w:sz="4" w:space="0" w:color="auto"/>
            </w:tcBorders>
            <w:vAlign w:val="center"/>
            <w:hideMark/>
          </w:tcPr>
          <w:p w:rsidR="00705F07" w:rsidRDefault="00185A37">
            <w:pPr>
              <w:jc w:val="center"/>
              <w:rPr>
                <w:bCs/>
                <w:color w:val="000000"/>
                <w:sz w:val="12"/>
                <w:szCs w:val="12"/>
              </w:rPr>
            </w:pPr>
            <w:r>
              <w:rPr>
                <w:bCs/>
                <w:color w:val="000000"/>
                <w:sz w:val="12"/>
                <w:szCs w:val="12"/>
              </w:rPr>
              <w:t>Січень</w:t>
            </w:r>
          </w:p>
        </w:tc>
        <w:tc>
          <w:tcPr>
            <w:tcW w:w="606" w:type="dxa"/>
            <w:vMerge w:val="restart"/>
            <w:tcBorders>
              <w:top w:val="single" w:sz="4" w:space="0" w:color="auto"/>
              <w:left w:val="single" w:sz="4" w:space="0" w:color="auto"/>
              <w:bottom w:val="single" w:sz="4" w:space="0" w:color="000000"/>
              <w:right w:val="single" w:sz="4" w:space="0" w:color="auto"/>
            </w:tcBorders>
            <w:vAlign w:val="center"/>
            <w:hideMark/>
          </w:tcPr>
          <w:p w:rsidR="00705F07" w:rsidRDefault="00185A37">
            <w:pPr>
              <w:jc w:val="center"/>
              <w:rPr>
                <w:bCs/>
                <w:color w:val="000000"/>
                <w:sz w:val="12"/>
                <w:szCs w:val="12"/>
              </w:rPr>
            </w:pPr>
            <w:r>
              <w:rPr>
                <w:bCs/>
                <w:color w:val="000000"/>
                <w:sz w:val="12"/>
                <w:szCs w:val="12"/>
              </w:rPr>
              <w:t>Лютий</w:t>
            </w:r>
          </w:p>
        </w:tc>
        <w:tc>
          <w:tcPr>
            <w:tcW w:w="703" w:type="dxa"/>
            <w:vMerge w:val="restart"/>
            <w:tcBorders>
              <w:top w:val="single" w:sz="4" w:space="0" w:color="auto"/>
              <w:left w:val="single" w:sz="4" w:space="0" w:color="auto"/>
              <w:bottom w:val="single" w:sz="4" w:space="0" w:color="000000"/>
              <w:right w:val="single" w:sz="4" w:space="0" w:color="auto"/>
            </w:tcBorders>
            <w:vAlign w:val="center"/>
            <w:hideMark/>
          </w:tcPr>
          <w:p w:rsidR="00705F07" w:rsidRDefault="00185A37">
            <w:pPr>
              <w:jc w:val="center"/>
              <w:rPr>
                <w:bCs/>
                <w:color w:val="000000"/>
                <w:sz w:val="12"/>
                <w:szCs w:val="12"/>
              </w:rPr>
            </w:pPr>
            <w:r>
              <w:rPr>
                <w:bCs/>
                <w:color w:val="000000"/>
                <w:sz w:val="12"/>
                <w:szCs w:val="12"/>
              </w:rPr>
              <w:t>Березень</w:t>
            </w:r>
          </w:p>
        </w:tc>
        <w:tc>
          <w:tcPr>
            <w:tcW w:w="646" w:type="dxa"/>
            <w:vMerge w:val="restart"/>
            <w:tcBorders>
              <w:top w:val="single" w:sz="4" w:space="0" w:color="auto"/>
              <w:left w:val="single" w:sz="4" w:space="0" w:color="auto"/>
              <w:bottom w:val="single" w:sz="4" w:space="0" w:color="000000"/>
              <w:right w:val="single" w:sz="4" w:space="0" w:color="auto"/>
            </w:tcBorders>
            <w:vAlign w:val="center"/>
            <w:hideMark/>
          </w:tcPr>
          <w:p w:rsidR="00705F07" w:rsidRDefault="00185A37">
            <w:pPr>
              <w:jc w:val="center"/>
              <w:rPr>
                <w:bCs/>
                <w:color w:val="000000"/>
                <w:sz w:val="12"/>
                <w:szCs w:val="12"/>
              </w:rPr>
            </w:pPr>
            <w:r>
              <w:rPr>
                <w:bCs/>
                <w:color w:val="000000"/>
                <w:sz w:val="12"/>
                <w:szCs w:val="12"/>
              </w:rPr>
              <w:t>Квітень</w:t>
            </w:r>
          </w:p>
        </w:tc>
        <w:tc>
          <w:tcPr>
            <w:tcW w:w="674" w:type="dxa"/>
            <w:vMerge w:val="restart"/>
            <w:tcBorders>
              <w:top w:val="single" w:sz="4" w:space="0" w:color="auto"/>
              <w:left w:val="single" w:sz="4" w:space="0" w:color="auto"/>
              <w:bottom w:val="single" w:sz="4" w:space="0" w:color="000000"/>
              <w:right w:val="single" w:sz="4" w:space="0" w:color="auto"/>
            </w:tcBorders>
            <w:vAlign w:val="center"/>
            <w:hideMark/>
          </w:tcPr>
          <w:p w:rsidR="00705F07" w:rsidRDefault="00185A37">
            <w:pPr>
              <w:jc w:val="center"/>
              <w:rPr>
                <w:bCs/>
                <w:color w:val="000000"/>
                <w:sz w:val="12"/>
                <w:szCs w:val="12"/>
              </w:rPr>
            </w:pPr>
            <w:r>
              <w:rPr>
                <w:bCs/>
                <w:color w:val="000000"/>
                <w:sz w:val="12"/>
                <w:szCs w:val="12"/>
              </w:rPr>
              <w:t>Травень</w:t>
            </w:r>
          </w:p>
        </w:tc>
        <w:tc>
          <w:tcPr>
            <w:tcW w:w="675" w:type="dxa"/>
            <w:vMerge w:val="restart"/>
            <w:tcBorders>
              <w:top w:val="single" w:sz="4" w:space="0" w:color="auto"/>
              <w:left w:val="single" w:sz="4" w:space="0" w:color="auto"/>
              <w:bottom w:val="single" w:sz="4" w:space="0" w:color="000000"/>
              <w:right w:val="single" w:sz="4" w:space="0" w:color="auto"/>
            </w:tcBorders>
            <w:vAlign w:val="center"/>
            <w:hideMark/>
          </w:tcPr>
          <w:p w:rsidR="00705F07" w:rsidRDefault="00185A37">
            <w:pPr>
              <w:jc w:val="center"/>
              <w:rPr>
                <w:bCs/>
                <w:color w:val="000000"/>
                <w:sz w:val="12"/>
                <w:szCs w:val="12"/>
              </w:rPr>
            </w:pPr>
            <w:r>
              <w:rPr>
                <w:bCs/>
                <w:color w:val="000000"/>
                <w:sz w:val="12"/>
                <w:szCs w:val="12"/>
              </w:rPr>
              <w:t>Червень</w:t>
            </w:r>
          </w:p>
        </w:tc>
        <w:tc>
          <w:tcPr>
            <w:tcW w:w="630" w:type="dxa"/>
            <w:vMerge w:val="restart"/>
            <w:tcBorders>
              <w:top w:val="single" w:sz="4" w:space="0" w:color="auto"/>
              <w:left w:val="single" w:sz="4" w:space="0" w:color="auto"/>
              <w:bottom w:val="single" w:sz="4" w:space="0" w:color="000000"/>
              <w:right w:val="single" w:sz="4" w:space="0" w:color="auto"/>
            </w:tcBorders>
            <w:vAlign w:val="center"/>
            <w:hideMark/>
          </w:tcPr>
          <w:p w:rsidR="00705F07" w:rsidRDefault="00185A37">
            <w:pPr>
              <w:jc w:val="center"/>
              <w:rPr>
                <w:bCs/>
                <w:color w:val="000000"/>
                <w:sz w:val="12"/>
                <w:szCs w:val="12"/>
              </w:rPr>
            </w:pPr>
            <w:r>
              <w:rPr>
                <w:bCs/>
                <w:color w:val="000000"/>
                <w:sz w:val="12"/>
                <w:szCs w:val="12"/>
              </w:rPr>
              <w:t>Липень</w:t>
            </w:r>
          </w:p>
        </w:tc>
        <w:tc>
          <w:tcPr>
            <w:tcW w:w="678" w:type="dxa"/>
            <w:vMerge w:val="restart"/>
            <w:tcBorders>
              <w:top w:val="single" w:sz="4" w:space="0" w:color="auto"/>
              <w:left w:val="single" w:sz="4" w:space="0" w:color="auto"/>
              <w:bottom w:val="single" w:sz="4" w:space="0" w:color="000000"/>
              <w:right w:val="single" w:sz="4" w:space="0" w:color="auto"/>
            </w:tcBorders>
            <w:vAlign w:val="center"/>
            <w:hideMark/>
          </w:tcPr>
          <w:p w:rsidR="00705F07" w:rsidRDefault="00185A37">
            <w:pPr>
              <w:jc w:val="center"/>
              <w:rPr>
                <w:bCs/>
                <w:color w:val="000000"/>
                <w:sz w:val="12"/>
                <w:szCs w:val="12"/>
              </w:rPr>
            </w:pPr>
            <w:r>
              <w:rPr>
                <w:bCs/>
                <w:color w:val="000000"/>
                <w:sz w:val="12"/>
                <w:szCs w:val="12"/>
              </w:rPr>
              <w:t>Серпень</w:t>
            </w:r>
          </w:p>
        </w:tc>
        <w:tc>
          <w:tcPr>
            <w:tcW w:w="709" w:type="dxa"/>
            <w:vMerge w:val="restart"/>
            <w:tcBorders>
              <w:top w:val="single" w:sz="4" w:space="0" w:color="auto"/>
              <w:left w:val="single" w:sz="4" w:space="0" w:color="auto"/>
              <w:bottom w:val="single" w:sz="4" w:space="0" w:color="000000"/>
              <w:right w:val="single" w:sz="4" w:space="0" w:color="auto"/>
            </w:tcBorders>
            <w:vAlign w:val="center"/>
            <w:hideMark/>
          </w:tcPr>
          <w:p w:rsidR="00705F07" w:rsidRDefault="00185A37">
            <w:pPr>
              <w:jc w:val="center"/>
              <w:rPr>
                <w:bCs/>
                <w:color w:val="000000"/>
                <w:sz w:val="12"/>
                <w:szCs w:val="12"/>
              </w:rPr>
            </w:pPr>
            <w:r>
              <w:rPr>
                <w:bCs/>
                <w:color w:val="000000"/>
                <w:sz w:val="12"/>
                <w:szCs w:val="12"/>
              </w:rPr>
              <w:t>Вересень</w:t>
            </w:r>
          </w:p>
        </w:tc>
        <w:tc>
          <w:tcPr>
            <w:tcW w:w="705" w:type="dxa"/>
            <w:vMerge w:val="restart"/>
            <w:tcBorders>
              <w:top w:val="single" w:sz="4" w:space="0" w:color="auto"/>
              <w:left w:val="single" w:sz="4" w:space="0" w:color="auto"/>
              <w:bottom w:val="single" w:sz="4" w:space="0" w:color="000000"/>
              <w:right w:val="single" w:sz="4" w:space="0" w:color="auto"/>
            </w:tcBorders>
            <w:vAlign w:val="center"/>
            <w:hideMark/>
          </w:tcPr>
          <w:p w:rsidR="00705F07" w:rsidRDefault="00185A37">
            <w:pPr>
              <w:jc w:val="center"/>
              <w:rPr>
                <w:bCs/>
                <w:color w:val="000000"/>
                <w:sz w:val="12"/>
                <w:szCs w:val="12"/>
              </w:rPr>
            </w:pPr>
            <w:r>
              <w:rPr>
                <w:bCs/>
                <w:color w:val="000000"/>
                <w:sz w:val="12"/>
                <w:szCs w:val="12"/>
              </w:rPr>
              <w:t>Жовтень</w:t>
            </w:r>
          </w:p>
        </w:tc>
        <w:tc>
          <w:tcPr>
            <w:tcW w:w="737" w:type="dxa"/>
            <w:vMerge w:val="restart"/>
            <w:tcBorders>
              <w:top w:val="single" w:sz="4" w:space="0" w:color="auto"/>
              <w:left w:val="single" w:sz="4" w:space="0" w:color="auto"/>
              <w:bottom w:val="single" w:sz="4" w:space="0" w:color="000000"/>
              <w:right w:val="single" w:sz="4" w:space="0" w:color="auto"/>
            </w:tcBorders>
            <w:vAlign w:val="center"/>
            <w:hideMark/>
          </w:tcPr>
          <w:p w:rsidR="00705F07" w:rsidRDefault="00185A37">
            <w:pPr>
              <w:jc w:val="center"/>
              <w:rPr>
                <w:bCs/>
                <w:color w:val="000000"/>
                <w:sz w:val="12"/>
                <w:szCs w:val="12"/>
              </w:rPr>
            </w:pPr>
            <w:r>
              <w:rPr>
                <w:bCs/>
                <w:color w:val="000000"/>
                <w:sz w:val="12"/>
                <w:szCs w:val="12"/>
              </w:rPr>
              <w:t>Листопад</w:t>
            </w:r>
          </w:p>
        </w:tc>
        <w:tc>
          <w:tcPr>
            <w:tcW w:w="666" w:type="dxa"/>
            <w:vMerge w:val="restart"/>
            <w:tcBorders>
              <w:top w:val="single" w:sz="4" w:space="0" w:color="auto"/>
              <w:left w:val="single" w:sz="4" w:space="0" w:color="auto"/>
              <w:bottom w:val="single" w:sz="4" w:space="0" w:color="000000"/>
              <w:right w:val="single" w:sz="4" w:space="0" w:color="auto"/>
            </w:tcBorders>
            <w:vAlign w:val="center"/>
            <w:hideMark/>
          </w:tcPr>
          <w:p w:rsidR="00705F07" w:rsidRDefault="00185A37">
            <w:pPr>
              <w:jc w:val="center"/>
              <w:rPr>
                <w:bCs/>
                <w:color w:val="000000"/>
                <w:sz w:val="12"/>
                <w:szCs w:val="12"/>
              </w:rPr>
            </w:pPr>
            <w:r>
              <w:rPr>
                <w:bCs/>
                <w:color w:val="000000"/>
                <w:sz w:val="12"/>
                <w:szCs w:val="12"/>
              </w:rPr>
              <w:t>Грудень</w:t>
            </w:r>
          </w:p>
        </w:tc>
      </w:tr>
      <w:tr w:rsidR="00705F07">
        <w:trPr>
          <w:trHeight w:val="517"/>
          <w:jc w:val="center"/>
        </w:trPr>
        <w:tc>
          <w:tcPr>
            <w:tcW w:w="1257" w:type="dxa"/>
            <w:vMerge/>
            <w:tcBorders>
              <w:top w:val="single" w:sz="4" w:space="0" w:color="auto"/>
              <w:left w:val="single" w:sz="4" w:space="0" w:color="auto"/>
              <w:bottom w:val="single" w:sz="4" w:space="0" w:color="000000"/>
              <w:right w:val="nil"/>
            </w:tcBorders>
            <w:vAlign w:val="center"/>
            <w:hideMark/>
          </w:tcPr>
          <w:p w:rsidR="00705F07" w:rsidRDefault="00705F07">
            <w:pPr>
              <w:rPr>
                <w:bCs/>
                <w:color w:val="000000"/>
                <w:sz w:val="12"/>
                <w:szCs w:val="12"/>
              </w:rPr>
            </w:pPr>
          </w:p>
        </w:tc>
        <w:tc>
          <w:tcPr>
            <w:tcW w:w="606" w:type="dxa"/>
            <w:vMerge/>
            <w:tcBorders>
              <w:top w:val="single" w:sz="4" w:space="0" w:color="auto"/>
              <w:left w:val="single" w:sz="4" w:space="0" w:color="auto"/>
              <w:bottom w:val="single" w:sz="4" w:space="0" w:color="000000"/>
              <w:right w:val="single" w:sz="4" w:space="0" w:color="auto"/>
            </w:tcBorders>
            <w:vAlign w:val="center"/>
            <w:hideMark/>
          </w:tcPr>
          <w:p w:rsidR="00705F07" w:rsidRDefault="00705F07">
            <w:pPr>
              <w:rPr>
                <w:bCs/>
                <w:color w:val="000000"/>
                <w:sz w:val="12"/>
                <w:szCs w:val="12"/>
              </w:rPr>
            </w:pPr>
          </w:p>
        </w:tc>
        <w:tc>
          <w:tcPr>
            <w:tcW w:w="606" w:type="dxa"/>
            <w:vMerge/>
            <w:tcBorders>
              <w:top w:val="single" w:sz="4" w:space="0" w:color="auto"/>
              <w:left w:val="single" w:sz="4" w:space="0" w:color="auto"/>
              <w:bottom w:val="single" w:sz="4" w:space="0" w:color="000000"/>
              <w:right w:val="single" w:sz="4" w:space="0" w:color="auto"/>
            </w:tcBorders>
            <w:vAlign w:val="center"/>
            <w:hideMark/>
          </w:tcPr>
          <w:p w:rsidR="00705F07" w:rsidRDefault="00705F07">
            <w:pPr>
              <w:rPr>
                <w:bCs/>
                <w:color w:val="000000"/>
                <w:sz w:val="12"/>
                <w:szCs w:val="12"/>
              </w:rPr>
            </w:pPr>
          </w:p>
        </w:tc>
        <w:tc>
          <w:tcPr>
            <w:tcW w:w="703" w:type="dxa"/>
            <w:vMerge/>
            <w:tcBorders>
              <w:top w:val="single" w:sz="4" w:space="0" w:color="auto"/>
              <w:left w:val="single" w:sz="4" w:space="0" w:color="auto"/>
              <w:bottom w:val="single" w:sz="4" w:space="0" w:color="000000"/>
              <w:right w:val="single" w:sz="4" w:space="0" w:color="auto"/>
            </w:tcBorders>
            <w:vAlign w:val="center"/>
            <w:hideMark/>
          </w:tcPr>
          <w:p w:rsidR="00705F07" w:rsidRDefault="00705F07">
            <w:pPr>
              <w:rPr>
                <w:bCs/>
                <w:color w:val="000000"/>
                <w:sz w:val="12"/>
                <w:szCs w:val="12"/>
              </w:rPr>
            </w:pPr>
          </w:p>
        </w:tc>
        <w:tc>
          <w:tcPr>
            <w:tcW w:w="646" w:type="dxa"/>
            <w:vMerge/>
            <w:tcBorders>
              <w:top w:val="single" w:sz="4" w:space="0" w:color="auto"/>
              <w:left w:val="single" w:sz="4" w:space="0" w:color="auto"/>
              <w:bottom w:val="single" w:sz="4" w:space="0" w:color="000000"/>
              <w:right w:val="single" w:sz="4" w:space="0" w:color="auto"/>
            </w:tcBorders>
            <w:vAlign w:val="center"/>
            <w:hideMark/>
          </w:tcPr>
          <w:p w:rsidR="00705F07" w:rsidRDefault="00705F07">
            <w:pPr>
              <w:rPr>
                <w:bCs/>
                <w:color w:val="000000"/>
                <w:sz w:val="12"/>
                <w:szCs w:val="12"/>
              </w:rPr>
            </w:pPr>
          </w:p>
        </w:tc>
        <w:tc>
          <w:tcPr>
            <w:tcW w:w="674" w:type="dxa"/>
            <w:vMerge/>
            <w:tcBorders>
              <w:top w:val="single" w:sz="4" w:space="0" w:color="auto"/>
              <w:left w:val="single" w:sz="4" w:space="0" w:color="auto"/>
              <w:bottom w:val="single" w:sz="4" w:space="0" w:color="000000"/>
              <w:right w:val="single" w:sz="4" w:space="0" w:color="auto"/>
            </w:tcBorders>
            <w:vAlign w:val="center"/>
            <w:hideMark/>
          </w:tcPr>
          <w:p w:rsidR="00705F07" w:rsidRDefault="00705F07">
            <w:pPr>
              <w:rPr>
                <w:bCs/>
                <w:color w:val="000000"/>
                <w:sz w:val="12"/>
                <w:szCs w:val="12"/>
              </w:rPr>
            </w:pPr>
          </w:p>
        </w:tc>
        <w:tc>
          <w:tcPr>
            <w:tcW w:w="675" w:type="dxa"/>
            <w:vMerge/>
            <w:tcBorders>
              <w:top w:val="single" w:sz="4" w:space="0" w:color="auto"/>
              <w:left w:val="single" w:sz="4" w:space="0" w:color="auto"/>
              <w:bottom w:val="single" w:sz="4" w:space="0" w:color="000000"/>
              <w:right w:val="single" w:sz="4" w:space="0" w:color="auto"/>
            </w:tcBorders>
            <w:vAlign w:val="center"/>
            <w:hideMark/>
          </w:tcPr>
          <w:p w:rsidR="00705F07" w:rsidRDefault="00705F07">
            <w:pPr>
              <w:rPr>
                <w:bCs/>
                <w:color w:val="000000"/>
                <w:sz w:val="12"/>
                <w:szCs w:val="12"/>
              </w:rPr>
            </w:pPr>
          </w:p>
        </w:tc>
        <w:tc>
          <w:tcPr>
            <w:tcW w:w="630" w:type="dxa"/>
            <w:vMerge/>
            <w:tcBorders>
              <w:top w:val="single" w:sz="4" w:space="0" w:color="auto"/>
              <w:left w:val="single" w:sz="4" w:space="0" w:color="auto"/>
              <w:bottom w:val="single" w:sz="4" w:space="0" w:color="000000"/>
              <w:right w:val="single" w:sz="4" w:space="0" w:color="auto"/>
            </w:tcBorders>
            <w:vAlign w:val="center"/>
            <w:hideMark/>
          </w:tcPr>
          <w:p w:rsidR="00705F07" w:rsidRDefault="00705F07">
            <w:pPr>
              <w:rPr>
                <w:bCs/>
                <w:color w:val="000000"/>
                <w:sz w:val="12"/>
                <w:szCs w:val="12"/>
              </w:rPr>
            </w:pPr>
          </w:p>
        </w:tc>
        <w:tc>
          <w:tcPr>
            <w:tcW w:w="678" w:type="dxa"/>
            <w:vMerge/>
            <w:tcBorders>
              <w:top w:val="single" w:sz="4" w:space="0" w:color="auto"/>
              <w:left w:val="single" w:sz="4" w:space="0" w:color="auto"/>
              <w:bottom w:val="single" w:sz="4" w:space="0" w:color="000000"/>
              <w:right w:val="single" w:sz="4" w:space="0" w:color="auto"/>
            </w:tcBorders>
            <w:vAlign w:val="center"/>
            <w:hideMark/>
          </w:tcPr>
          <w:p w:rsidR="00705F07" w:rsidRDefault="00705F07">
            <w:pPr>
              <w:rPr>
                <w:bCs/>
                <w:color w:val="000000"/>
                <w:sz w:val="12"/>
                <w:szCs w:val="12"/>
              </w:rPr>
            </w:pPr>
          </w:p>
        </w:tc>
        <w:tc>
          <w:tcPr>
            <w:tcW w:w="709" w:type="dxa"/>
            <w:vMerge/>
            <w:tcBorders>
              <w:top w:val="single" w:sz="4" w:space="0" w:color="auto"/>
              <w:left w:val="single" w:sz="4" w:space="0" w:color="auto"/>
              <w:bottom w:val="single" w:sz="4" w:space="0" w:color="000000"/>
              <w:right w:val="single" w:sz="4" w:space="0" w:color="auto"/>
            </w:tcBorders>
            <w:vAlign w:val="center"/>
            <w:hideMark/>
          </w:tcPr>
          <w:p w:rsidR="00705F07" w:rsidRDefault="00705F07">
            <w:pPr>
              <w:rPr>
                <w:bCs/>
                <w:color w:val="000000"/>
                <w:sz w:val="12"/>
                <w:szCs w:val="12"/>
              </w:rPr>
            </w:pPr>
          </w:p>
        </w:tc>
        <w:tc>
          <w:tcPr>
            <w:tcW w:w="705" w:type="dxa"/>
            <w:vMerge/>
            <w:tcBorders>
              <w:top w:val="single" w:sz="4" w:space="0" w:color="auto"/>
              <w:left w:val="single" w:sz="4" w:space="0" w:color="auto"/>
              <w:bottom w:val="single" w:sz="4" w:space="0" w:color="000000"/>
              <w:right w:val="single" w:sz="4" w:space="0" w:color="auto"/>
            </w:tcBorders>
            <w:vAlign w:val="center"/>
            <w:hideMark/>
          </w:tcPr>
          <w:p w:rsidR="00705F07" w:rsidRDefault="00705F07">
            <w:pPr>
              <w:rPr>
                <w:bCs/>
                <w:color w:val="000000"/>
                <w:sz w:val="12"/>
                <w:szCs w:val="12"/>
              </w:rPr>
            </w:pPr>
          </w:p>
        </w:tc>
        <w:tc>
          <w:tcPr>
            <w:tcW w:w="737" w:type="dxa"/>
            <w:vMerge/>
            <w:tcBorders>
              <w:top w:val="single" w:sz="4" w:space="0" w:color="auto"/>
              <w:left w:val="single" w:sz="4" w:space="0" w:color="auto"/>
              <w:bottom w:val="single" w:sz="4" w:space="0" w:color="000000"/>
              <w:right w:val="single" w:sz="4" w:space="0" w:color="auto"/>
            </w:tcBorders>
            <w:vAlign w:val="center"/>
            <w:hideMark/>
          </w:tcPr>
          <w:p w:rsidR="00705F07" w:rsidRDefault="00705F07">
            <w:pPr>
              <w:rPr>
                <w:bCs/>
                <w:color w:val="000000"/>
                <w:sz w:val="12"/>
                <w:szCs w:val="12"/>
              </w:rPr>
            </w:pPr>
          </w:p>
        </w:tc>
        <w:tc>
          <w:tcPr>
            <w:tcW w:w="666" w:type="dxa"/>
            <w:vMerge/>
            <w:tcBorders>
              <w:top w:val="single" w:sz="4" w:space="0" w:color="auto"/>
              <w:left w:val="single" w:sz="4" w:space="0" w:color="auto"/>
              <w:bottom w:val="single" w:sz="4" w:space="0" w:color="000000"/>
              <w:right w:val="single" w:sz="4" w:space="0" w:color="auto"/>
            </w:tcBorders>
            <w:vAlign w:val="center"/>
            <w:hideMark/>
          </w:tcPr>
          <w:p w:rsidR="00705F07" w:rsidRDefault="00705F07">
            <w:pPr>
              <w:rPr>
                <w:bCs/>
                <w:color w:val="000000"/>
                <w:sz w:val="12"/>
                <w:szCs w:val="12"/>
              </w:rPr>
            </w:pPr>
          </w:p>
        </w:tc>
      </w:tr>
      <w:tr w:rsidR="00705F07">
        <w:trPr>
          <w:trHeight w:val="195"/>
          <w:jc w:val="center"/>
        </w:trPr>
        <w:tc>
          <w:tcPr>
            <w:tcW w:w="1257" w:type="dxa"/>
            <w:tcBorders>
              <w:top w:val="nil"/>
              <w:left w:val="single" w:sz="4" w:space="0" w:color="auto"/>
              <w:bottom w:val="nil"/>
              <w:right w:val="single" w:sz="4" w:space="0" w:color="auto"/>
            </w:tcBorders>
            <w:shd w:val="clear" w:color="000000" w:fill="D7E4BC"/>
            <w:vAlign w:val="center"/>
            <w:hideMark/>
          </w:tcPr>
          <w:p w:rsidR="00705F07" w:rsidRDefault="00185A37">
            <w:pPr>
              <w:jc w:val="center"/>
              <w:rPr>
                <w:bCs/>
                <w:color w:val="000000"/>
                <w:sz w:val="12"/>
                <w:szCs w:val="12"/>
              </w:rPr>
            </w:pPr>
            <w:r>
              <w:rPr>
                <w:bCs/>
                <w:color w:val="000000"/>
                <w:sz w:val="12"/>
                <w:szCs w:val="12"/>
              </w:rPr>
              <w:t>Офіційний курс гривні до іноземних валют на останній день місяця:</w:t>
            </w:r>
          </w:p>
        </w:tc>
        <w:tc>
          <w:tcPr>
            <w:tcW w:w="606"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06"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03"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46"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74"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75"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30"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78"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09"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05"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37"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66"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r>
      <w:tr w:rsidR="00705F07">
        <w:trPr>
          <w:trHeight w:val="165"/>
          <w:jc w:val="center"/>
        </w:trPr>
        <w:tc>
          <w:tcPr>
            <w:tcW w:w="1257" w:type="dxa"/>
            <w:tcBorders>
              <w:top w:val="single" w:sz="4" w:space="0" w:color="auto"/>
              <w:left w:val="single" w:sz="4" w:space="0" w:color="auto"/>
              <w:bottom w:val="single" w:sz="4" w:space="0" w:color="auto"/>
              <w:right w:val="nil"/>
            </w:tcBorders>
            <w:vAlign w:val="center"/>
            <w:hideMark/>
          </w:tcPr>
          <w:p w:rsidR="00705F07" w:rsidRDefault="00185A37">
            <w:pPr>
              <w:jc w:val="center"/>
              <w:rPr>
                <w:color w:val="000000"/>
                <w:sz w:val="12"/>
                <w:szCs w:val="12"/>
              </w:rPr>
            </w:pPr>
            <w:r>
              <w:rPr>
                <w:color w:val="000000"/>
                <w:sz w:val="12"/>
                <w:szCs w:val="12"/>
              </w:rPr>
              <w:t xml:space="preserve">                        - до долара США (за 1 од.)</w:t>
            </w:r>
          </w:p>
        </w:tc>
        <w:tc>
          <w:tcPr>
            <w:tcW w:w="606" w:type="dxa"/>
            <w:tcBorders>
              <w:top w:val="single" w:sz="4" w:space="0" w:color="auto"/>
              <w:left w:val="single" w:sz="4" w:space="0" w:color="auto"/>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36,5686</w:t>
            </w:r>
          </w:p>
        </w:tc>
        <w:tc>
          <w:tcPr>
            <w:tcW w:w="606"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36,5686</w:t>
            </w:r>
          </w:p>
        </w:tc>
        <w:tc>
          <w:tcPr>
            <w:tcW w:w="703"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36,5686</w:t>
            </w:r>
          </w:p>
        </w:tc>
        <w:tc>
          <w:tcPr>
            <w:tcW w:w="646"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36,5686</w:t>
            </w:r>
          </w:p>
        </w:tc>
        <w:tc>
          <w:tcPr>
            <w:tcW w:w="674"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36,5686</w:t>
            </w:r>
          </w:p>
        </w:tc>
        <w:tc>
          <w:tcPr>
            <w:tcW w:w="675"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36,5686</w:t>
            </w:r>
          </w:p>
        </w:tc>
        <w:tc>
          <w:tcPr>
            <w:tcW w:w="630"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36,5686</w:t>
            </w:r>
          </w:p>
        </w:tc>
        <w:tc>
          <w:tcPr>
            <w:tcW w:w="678"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36,5686</w:t>
            </w:r>
          </w:p>
        </w:tc>
        <w:tc>
          <w:tcPr>
            <w:tcW w:w="709"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36,5686</w:t>
            </w:r>
          </w:p>
        </w:tc>
        <w:tc>
          <w:tcPr>
            <w:tcW w:w="705"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36,3659</w:t>
            </w:r>
          </w:p>
        </w:tc>
        <w:tc>
          <w:tcPr>
            <w:tcW w:w="737"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36,3752</w:t>
            </w:r>
          </w:p>
        </w:tc>
        <w:tc>
          <w:tcPr>
            <w:tcW w:w="666"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37,9824</w:t>
            </w:r>
          </w:p>
        </w:tc>
      </w:tr>
      <w:tr w:rsidR="00705F07">
        <w:trPr>
          <w:trHeight w:val="165"/>
          <w:jc w:val="center"/>
        </w:trPr>
        <w:tc>
          <w:tcPr>
            <w:tcW w:w="1257" w:type="dxa"/>
            <w:tcBorders>
              <w:top w:val="nil"/>
              <w:left w:val="single" w:sz="4" w:space="0" w:color="auto"/>
              <w:bottom w:val="single" w:sz="4" w:space="0" w:color="auto"/>
              <w:right w:val="nil"/>
            </w:tcBorders>
            <w:vAlign w:val="center"/>
            <w:hideMark/>
          </w:tcPr>
          <w:p w:rsidR="00705F07" w:rsidRDefault="00185A37">
            <w:pPr>
              <w:jc w:val="center"/>
              <w:rPr>
                <w:color w:val="000000"/>
                <w:sz w:val="12"/>
                <w:szCs w:val="12"/>
              </w:rPr>
            </w:pPr>
            <w:r>
              <w:rPr>
                <w:color w:val="000000"/>
                <w:sz w:val="12"/>
                <w:szCs w:val="12"/>
              </w:rPr>
              <w:t xml:space="preserve">                        - до євро (за 1 од.)</w:t>
            </w:r>
          </w:p>
        </w:tc>
        <w:tc>
          <w:tcPr>
            <w:tcW w:w="606"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39,8762</w:t>
            </w:r>
          </w:p>
        </w:tc>
        <w:tc>
          <w:tcPr>
            <w:tcW w:w="60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38,6110</w:t>
            </w:r>
          </w:p>
        </w:tc>
        <w:tc>
          <w:tcPr>
            <w:tcW w:w="703"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39,7812</w:t>
            </w:r>
          </w:p>
        </w:tc>
        <w:tc>
          <w:tcPr>
            <w:tcW w:w="64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40,3461</w:t>
            </w:r>
          </w:p>
        </w:tc>
        <w:tc>
          <w:tcPr>
            <w:tcW w:w="674"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39,2802</w:t>
            </w:r>
          </w:p>
        </w:tc>
        <w:tc>
          <w:tcPr>
            <w:tcW w:w="67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40,0006</w:t>
            </w:r>
          </w:p>
        </w:tc>
        <w:tc>
          <w:tcPr>
            <w:tcW w:w="630"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40,2584</w:t>
            </w:r>
          </w:p>
        </w:tc>
        <w:tc>
          <w:tcPr>
            <w:tcW w:w="678"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39,7903</w:t>
            </w:r>
          </w:p>
        </w:tc>
        <w:tc>
          <w:tcPr>
            <w:tcW w:w="709"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38,5543</w:t>
            </w:r>
          </w:p>
        </w:tc>
        <w:tc>
          <w:tcPr>
            <w:tcW w:w="70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38,5624</w:t>
            </w:r>
          </w:p>
        </w:tc>
        <w:tc>
          <w:tcPr>
            <w:tcW w:w="737"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39,9582</w:t>
            </w:r>
          </w:p>
        </w:tc>
        <w:tc>
          <w:tcPr>
            <w:tcW w:w="66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42,2079</w:t>
            </w:r>
          </w:p>
        </w:tc>
      </w:tr>
      <w:tr w:rsidR="00705F07">
        <w:trPr>
          <w:trHeight w:val="165"/>
          <w:jc w:val="center"/>
        </w:trPr>
        <w:tc>
          <w:tcPr>
            <w:tcW w:w="1257" w:type="dxa"/>
            <w:tcBorders>
              <w:top w:val="nil"/>
              <w:left w:val="single" w:sz="4" w:space="0" w:color="auto"/>
              <w:bottom w:val="single" w:sz="4" w:space="0" w:color="auto"/>
              <w:right w:val="nil"/>
            </w:tcBorders>
            <w:vAlign w:val="center"/>
            <w:hideMark/>
          </w:tcPr>
          <w:p w:rsidR="00705F07" w:rsidRDefault="00185A37">
            <w:pPr>
              <w:jc w:val="center"/>
              <w:rPr>
                <w:color w:val="000000"/>
                <w:sz w:val="12"/>
                <w:szCs w:val="12"/>
              </w:rPr>
            </w:pPr>
            <w:r>
              <w:rPr>
                <w:color w:val="000000"/>
                <w:sz w:val="12"/>
                <w:szCs w:val="12"/>
              </w:rPr>
              <w:t xml:space="preserve">                        - до російського рубля (за 10 од)</w:t>
            </w:r>
          </w:p>
        </w:tc>
        <w:tc>
          <w:tcPr>
            <w:tcW w:w="606"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5,2053</w:t>
            </w:r>
          </w:p>
        </w:tc>
        <w:tc>
          <w:tcPr>
            <w:tcW w:w="60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4,8571</w:t>
            </w:r>
          </w:p>
        </w:tc>
        <w:tc>
          <w:tcPr>
            <w:tcW w:w="703"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4,7363</w:t>
            </w:r>
          </w:p>
        </w:tc>
        <w:tc>
          <w:tcPr>
            <w:tcW w:w="64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4,4848</w:t>
            </w:r>
          </w:p>
        </w:tc>
        <w:tc>
          <w:tcPr>
            <w:tcW w:w="674"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4,5236</w:t>
            </w:r>
          </w:p>
        </w:tc>
        <w:tc>
          <w:tcPr>
            <w:tcW w:w="67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4,2034</w:t>
            </w:r>
          </w:p>
        </w:tc>
        <w:tc>
          <w:tcPr>
            <w:tcW w:w="630"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4,0128</w:t>
            </w:r>
          </w:p>
        </w:tc>
        <w:tc>
          <w:tcPr>
            <w:tcW w:w="678"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3,8050</w:t>
            </w:r>
          </w:p>
        </w:tc>
        <w:tc>
          <w:tcPr>
            <w:tcW w:w="709"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3,7693</w:t>
            </w:r>
          </w:p>
        </w:tc>
        <w:tc>
          <w:tcPr>
            <w:tcW w:w="70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3,9059</w:t>
            </w:r>
          </w:p>
        </w:tc>
        <w:tc>
          <w:tcPr>
            <w:tcW w:w="737"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4,0988</w:t>
            </w:r>
          </w:p>
        </w:tc>
        <w:tc>
          <w:tcPr>
            <w:tcW w:w="66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4,2119</w:t>
            </w:r>
          </w:p>
        </w:tc>
      </w:tr>
      <w:tr w:rsidR="00705F07">
        <w:trPr>
          <w:trHeight w:val="195"/>
          <w:jc w:val="center"/>
        </w:trPr>
        <w:tc>
          <w:tcPr>
            <w:tcW w:w="1257" w:type="dxa"/>
            <w:tcBorders>
              <w:top w:val="nil"/>
              <w:left w:val="single" w:sz="4" w:space="0" w:color="auto"/>
              <w:bottom w:val="nil"/>
              <w:right w:val="single" w:sz="4" w:space="0" w:color="auto"/>
            </w:tcBorders>
            <w:shd w:val="clear" w:color="000000" w:fill="D7E4BC"/>
            <w:vAlign w:val="center"/>
            <w:hideMark/>
          </w:tcPr>
          <w:p w:rsidR="00705F07" w:rsidRDefault="00185A37">
            <w:pPr>
              <w:jc w:val="center"/>
              <w:rPr>
                <w:bCs/>
                <w:color w:val="000000"/>
                <w:sz w:val="12"/>
                <w:szCs w:val="12"/>
              </w:rPr>
            </w:pPr>
            <w:r>
              <w:rPr>
                <w:bCs/>
                <w:color w:val="000000"/>
                <w:sz w:val="12"/>
                <w:szCs w:val="12"/>
              </w:rPr>
              <w:t>Середньозважений курс гривні за операціями з готівковою іноземною валютою:</w:t>
            </w:r>
          </w:p>
        </w:tc>
        <w:tc>
          <w:tcPr>
            <w:tcW w:w="606"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06"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03"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46"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74"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75"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30"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78"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09"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05"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37"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66"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r>
      <w:tr w:rsidR="00705F07">
        <w:trPr>
          <w:trHeight w:val="165"/>
          <w:jc w:val="center"/>
        </w:trPr>
        <w:tc>
          <w:tcPr>
            <w:tcW w:w="1257" w:type="dxa"/>
            <w:tcBorders>
              <w:top w:val="single" w:sz="4" w:space="0" w:color="auto"/>
              <w:left w:val="single" w:sz="4" w:space="0" w:color="auto"/>
              <w:bottom w:val="single" w:sz="4" w:space="0" w:color="auto"/>
              <w:right w:val="nil"/>
            </w:tcBorders>
            <w:vAlign w:val="center"/>
            <w:hideMark/>
          </w:tcPr>
          <w:p w:rsidR="00705F07" w:rsidRDefault="00185A37">
            <w:pPr>
              <w:jc w:val="center"/>
              <w:rPr>
                <w:color w:val="000000"/>
                <w:sz w:val="12"/>
                <w:szCs w:val="12"/>
              </w:rPr>
            </w:pPr>
            <w:r>
              <w:rPr>
                <w:color w:val="000000"/>
                <w:sz w:val="12"/>
                <w:szCs w:val="12"/>
              </w:rPr>
              <w:t xml:space="preserve">          продажу:</w:t>
            </w:r>
          </w:p>
        </w:tc>
        <w:tc>
          <w:tcPr>
            <w:tcW w:w="606" w:type="dxa"/>
            <w:tcBorders>
              <w:top w:val="single" w:sz="4" w:space="0" w:color="auto"/>
              <w:left w:val="single" w:sz="4" w:space="0" w:color="auto"/>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 </w:t>
            </w:r>
          </w:p>
        </w:tc>
        <w:tc>
          <w:tcPr>
            <w:tcW w:w="606"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 </w:t>
            </w:r>
          </w:p>
        </w:tc>
        <w:tc>
          <w:tcPr>
            <w:tcW w:w="703"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 </w:t>
            </w:r>
          </w:p>
        </w:tc>
        <w:tc>
          <w:tcPr>
            <w:tcW w:w="646"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 </w:t>
            </w:r>
          </w:p>
        </w:tc>
        <w:tc>
          <w:tcPr>
            <w:tcW w:w="674"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 </w:t>
            </w:r>
          </w:p>
        </w:tc>
        <w:tc>
          <w:tcPr>
            <w:tcW w:w="675"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 </w:t>
            </w:r>
          </w:p>
        </w:tc>
        <w:tc>
          <w:tcPr>
            <w:tcW w:w="630"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 </w:t>
            </w:r>
          </w:p>
        </w:tc>
        <w:tc>
          <w:tcPr>
            <w:tcW w:w="678"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 </w:t>
            </w:r>
          </w:p>
        </w:tc>
        <w:tc>
          <w:tcPr>
            <w:tcW w:w="709"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 </w:t>
            </w:r>
          </w:p>
        </w:tc>
        <w:tc>
          <w:tcPr>
            <w:tcW w:w="705"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 </w:t>
            </w:r>
          </w:p>
        </w:tc>
        <w:tc>
          <w:tcPr>
            <w:tcW w:w="737"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 </w:t>
            </w:r>
          </w:p>
        </w:tc>
        <w:tc>
          <w:tcPr>
            <w:tcW w:w="666"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 </w:t>
            </w:r>
          </w:p>
        </w:tc>
      </w:tr>
      <w:tr w:rsidR="00705F07">
        <w:trPr>
          <w:trHeight w:val="165"/>
          <w:jc w:val="center"/>
        </w:trPr>
        <w:tc>
          <w:tcPr>
            <w:tcW w:w="1257" w:type="dxa"/>
            <w:tcBorders>
              <w:top w:val="nil"/>
              <w:left w:val="single" w:sz="4" w:space="0" w:color="auto"/>
              <w:bottom w:val="single" w:sz="4" w:space="0" w:color="auto"/>
              <w:right w:val="nil"/>
            </w:tcBorders>
            <w:vAlign w:val="center"/>
            <w:hideMark/>
          </w:tcPr>
          <w:p w:rsidR="00705F07" w:rsidRDefault="00185A37">
            <w:pPr>
              <w:jc w:val="center"/>
              <w:rPr>
                <w:color w:val="000000"/>
                <w:sz w:val="12"/>
                <w:szCs w:val="12"/>
              </w:rPr>
            </w:pPr>
            <w:r>
              <w:rPr>
                <w:color w:val="000000"/>
                <w:sz w:val="12"/>
                <w:szCs w:val="12"/>
              </w:rPr>
              <w:t xml:space="preserve">                        - долар США</w:t>
            </w:r>
          </w:p>
        </w:tc>
        <w:tc>
          <w:tcPr>
            <w:tcW w:w="606"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40,5171</w:t>
            </w:r>
          </w:p>
        </w:tc>
        <w:tc>
          <w:tcPr>
            <w:tcW w:w="60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39,8897</w:t>
            </w:r>
          </w:p>
        </w:tc>
        <w:tc>
          <w:tcPr>
            <w:tcW w:w="703"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38,5517</w:t>
            </w:r>
          </w:p>
        </w:tc>
        <w:tc>
          <w:tcPr>
            <w:tcW w:w="64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37,7810</w:t>
            </w:r>
          </w:p>
        </w:tc>
        <w:tc>
          <w:tcPr>
            <w:tcW w:w="674"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37,5925</w:t>
            </w:r>
          </w:p>
        </w:tc>
        <w:tc>
          <w:tcPr>
            <w:tcW w:w="67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37,2391</w:t>
            </w:r>
          </w:p>
        </w:tc>
        <w:tc>
          <w:tcPr>
            <w:tcW w:w="630"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37,2854</w:t>
            </w:r>
          </w:p>
        </w:tc>
        <w:tc>
          <w:tcPr>
            <w:tcW w:w="678"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37,7985</w:t>
            </w:r>
          </w:p>
        </w:tc>
        <w:tc>
          <w:tcPr>
            <w:tcW w:w="709"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38,0749</w:t>
            </w:r>
          </w:p>
        </w:tc>
        <w:tc>
          <w:tcPr>
            <w:tcW w:w="70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38,0468</w:t>
            </w:r>
          </w:p>
        </w:tc>
        <w:tc>
          <w:tcPr>
            <w:tcW w:w="737"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37,6928</w:t>
            </w:r>
          </w:p>
        </w:tc>
        <w:tc>
          <w:tcPr>
            <w:tcW w:w="66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37,8299</w:t>
            </w:r>
          </w:p>
        </w:tc>
      </w:tr>
      <w:tr w:rsidR="00705F07">
        <w:trPr>
          <w:trHeight w:val="165"/>
          <w:jc w:val="center"/>
        </w:trPr>
        <w:tc>
          <w:tcPr>
            <w:tcW w:w="1257" w:type="dxa"/>
            <w:tcBorders>
              <w:top w:val="nil"/>
              <w:left w:val="single" w:sz="4" w:space="0" w:color="auto"/>
              <w:bottom w:val="single" w:sz="4" w:space="0" w:color="auto"/>
              <w:right w:val="nil"/>
            </w:tcBorders>
            <w:vAlign w:val="center"/>
            <w:hideMark/>
          </w:tcPr>
          <w:p w:rsidR="00705F07" w:rsidRDefault="00185A37">
            <w:pPr>
              <w:jc w:val="center"/>
              <w:rPr>
                <w:color w:val="000000"/>
                <w:sz w:val="12"/>
                <w:szCs w:val="12"/>
              </w:rPr>
            </w:pPr>
            <w:r>
              <w:rPr>
                <w:color w:val="000000"/>
                <w:sz w:val="12"/>
                <w:szCs w:val="12"/>
              </w:rPr>
              <w:t xml:space="preserve">                        - євро</w:t>
            </w:r>
          </w:p>
        </w:tc>
        <w:tc>
          <w:tcPr>
            <w:tcW w:w="606"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42,9027</w:t>
            </w:r>
          </w:p>
        </w:tc>
        <w:tc>
          <w:tcPr>
            <w:tcW w:w="60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42,3652</w:t>
            </w:r>
          </w:p>
        </w:tc>
        <w:tc>
          <w:tcPr>
            <w:tcW w:w="703"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40,8702</w:t>
            </w:r>
          </w:p>
        </w:tc>
        <w:tc>
          <w:tcPr>
            <w:tcW w:w="64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41,0658</w:t>
            </w:r>
          </w:p>
        </w:tc>
        <w:tc>
          <w:tcPr>
            <w:tcW w:w="674"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40,9721</w:t>
            </w:r>
          </w:p>
        </w:tc>
        <w:tc>
          <w:tcPr>
            <w:tcW w:w="67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40,5469</w:t>
            </w:r>
          </w:p>
        </w:tc>
        <w:tc>
          <w:tcPr>
            <w:tcW w:w="630"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41,2338</w:t>
            </w:r>
          </w:p>
        </w:tc>
        <w:tc>
          <w:tcPr>
            <w:tcW w:w="678"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41,4371</w:t>
            </w:r>
          </w:p>
        </w:tc>
        <w:tc>
          <w:tcPr>
            <w:tcW w:w="709"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40,9234</w:t>
            </w:r>
          </w:p>
        </w:tc>
        <w:tc>
          <w:tcPr>
            <w:tcW w:w="70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40,4355</w:t>
            </w:r>
          </w:p>
        </w:tc>
        <w:tc>
          <w:tcPr>
            <w:tcW w:w="737"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40,4807</w:t>
            </w:r>
          </w:p>
        </w:tc>
        <w:tc>
          <w:tcPr>
            <w:tcW w:w="66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41,1663</w:t>
            </w:r>
          </w:p>
        </w:tc>
      </w:tr>
      <w:tr w:rsidR="00705F07">
        <w:trPr>
          <w:trHeight w:val="165"/>
          <w:jc w:val="center"/>
        </w:trPr>
        <w:tc>
          <w:tcPr>
            <w:tcW w:w="1257" w:type="dxa"/>
            <w:tcBorders>
              <w:top w:val="nil"/>
              <w:left w:val="single" w:sz="4" w:space="0" w:color="auto"/>
              <w:bottom w:val="single" w:sz="4" w:space="0" w:color="auto"/>
              <w:right w:val="nil"/>
            </w:tcBorders>
            <w:vAlign w:val="center"/>
            <w:hideMark/>
          </w:tcPr>
          <w:p w:rsidR="00705F07" w:rsidRDefault="00185A37">
            <w:pPr>
              <w:jc w:val="center"/>
              <w:rPr>
                <w:color w:val="000000"/>
                <w:sz w:val="12"/>
                <w:szCs w:val="12"/>
              </w:rPr>
            </w:pPr>
            <w:r>
              <w:rPr>
                <w:color w:val="000000"/>
                <w:sz w:val="12"/>
                <w:szCs w:val="12"/>
              </w:rPr>
              <w:t xml:space="preserve">         купівлі:</w:t>
            </w:r>
          </w:p>
        </w:tc>
        <w:tc>
          <w:tcPr>
            <w:tcW w:w="606"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 </w:t>
            </w:r>
          </w:p>
        </w:tc>
        <w:tc>
          <w:tcPr>
            <w:tcW w:w="60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 </w:t>
            </w:r>
          </w:p>
        </w:tc>
        <w:tc>
          <w:tcPr>
            <w:tcW w:w="703"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 </w:t>
            </w:r>
          </w:p>
        </w:tc>
        <w:tc>
          <w:tcPr>
            <w:tcW w:w="64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 </w:t>
            </w:r>
          </w:p>
        </w:tc>
        <w:tc>
          <w:tcPr>
            <w:tcW w:w="674"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 </w:t>
            </w:r>
          </w:p>
        </w:tc>
        <w:tc>
          <w:tcPr>
            <w:tcW w:w="67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 </w:t>
            </w:r>
          </w:p>
        </w:tc>
        <w:tc>
          <w:tcPr>
            <w:tcW w:w="630"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 </w:t>
            </w:r>
          </w:p>
        </w:tc>
        <w:tc>
          <w:tcPr>
            <w:tcW w:w="678"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 </w:t>
            </w:r>
          </w:p>
        </w:tc>
        <w:tc>
          <w:tcPr>
            <w:tcW w:w="709"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 </w:t>
            </w:r>
          </w:p>
        </w:tc>
        <w:tc>
          <w:tcPr>
            <w:tcW w:w="70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 </w:t>
            </w:r>
          </w:p>
        </w:tc>
        <w:tc>
          <w:tcPr>
            <w:tcW w:w="737"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 </w:t>
            </w:r>
          </w:p>
        </w:tc>
        <w:tc>
          <w:tcPr>
            <w:tcW w:w="66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 </w:t>
            </w:r>
          </w:p>
        </w:tc>
      </w:tr>
      <w:tr w:rsidR="00705F07">
        <w:trPr>
          <w:trHeight w:val="165"/>
          <w:jc w:val="center"/>
        </w:trPr>
        <w:tc>
          <w:tcPr>
            <w:tcW w:w="1257" w:type="dxa"/>
            <w:tcBorders>
              <w:top w:val="nil"/>
              <w:left w:val="single" w:sz="4" w:space="0" w:color="auto"/>
              <w:bottom w:val="single" w:sz="4" w:space="0" w:color="auto"/>
              <w:right w:val="nil"/>
            </w:tcBorders>
            <w:vAlign w:val="center"/>
            <w:hideMark/>
          </w:tcPr>
          <w:p w:rsidR="00705F07" w:rsidRDefault="00185A37">
            <w:pPr>
              <w:jc w:val="center"/>
              <w:rPr>
                <w:color w:val="000000"/>
                <w:sz w:val="12"/>
                <w:szCs w:val="12"/>
              </w:rPr>
            </w:pPr>
            <w:r>
              <w:rPr>
                <w:color w:val="000000"/>
                <w:sz w:val="12"/>
                <w:szCs w:val="12"/>
              </w:rPr>
              <w:t xml:space="preserve">                        - долар США</w:t>
            </w:r>
          </w:p>
        </w:tc>
        <w:tc>
          <w:tcPr>
            <w:tcW w:w="606"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40,2825</w:t>
            </w:r>
          </w:p>
        </w:tc>
        <w:tc>
          <w:tcPr>
            <w:tcW w:w="60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39,6590</w:t>
            </w:r>
          </w:p>
        </w:tc>
        <w:tc>
          <w:tcPr>
            <w:tcW w:w="703"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38,2984</w:t>
            </w:r>
          </w:p>
        </w:tc>
        <w:tc>
          <w:tcPr>
            <w:tcW w:w="64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37,5026</w:t>
            </w:r>
          </w:p>
        </w:tc>
        <w:tc>
          <w:tcPr>
            <w:tcW w:w="674"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37,3461</w:t>
            </w:r>
          </w:p>
        </w:tc>
        <w:tc>
          <w:tcPr>
            <w:tcW w:w="67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36,9126</w:t>
            </w:r>
          </w:p>
        </w:tc>
        <w:tc>
          <w:tcPr>
            <w:tcW w:w="630"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36,9227</w:t>
            </w:r>
          </w:p>
        </w:tc>
        <w:tc>
          <w:tcPr>
            <w:tcW w:w="678"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37,4245</w:t>
            </w:r>
          </w:p>
        </w:tc>
        <w:tc>
          <w:tcPr>
            <w:tcW w:w="709"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37,7360</w:t>
            </w:r>
          </w:p>
        </w:tc>
        <w:tc>
          <w:tcPr>
            <w:tcW w:w="70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37,7408</w:t>
            </w:r>
          </w:p>
        </w:tc>
        <w:tc>
          <w:tcPr>
            <w:tcW w:w="737"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37,4036</w:t>
            </w:r>
          </w:p>
        </w:tc>
        <w:tc>
          <w:tcPr>
            <w:tcW w:w="66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37,5914</w:t>
            </w:r>
          </w:p>
        </w:tc>
      </w:tr>
      <w:tr w:rsidR="00705F07">
        <w:trPr>
          <w:trHeight w:val="165"/>
          <w:jc w:val="center"/>
        </w:trPr>
        <w:tc>
          <w:tcPr>
            <w:tcW w:w="1257" w:type="dxa"/>
            <w:tcBorders>
              <w:top w:val="nil"/>
              <w:left w:val="single" w:sz="4" w:space="0" w:color="auto"/>
              <w:bottom w:val="single" w:sz="4" w:space="0" w:color="auto"/>
              <w:right w:val="nil"/>
            </w:tcBorders>
            <w:vAlign w:val="center"/>
            <w:hideMark/>
          </w:tcPr>
          <w:p w:rsidR="00705F07" w:rsidRDefault="00185A37">
            <w:pPr>
              <w:jc w:val="center"/>
              <w:rPr>
                <w:color w:val="000000"/>
                <w:sz w:val="12"/>
                <w:szCs w:val="12"/>
              </w:rPr>
            </w:pPr>
            <w:r>
              <w:rPr>
                <w:color w:val="000000"/>
                <w:sz w:val="12"/>
                <w:szCs w:val="12"/>
              </w:rPr>
              <w:t xml:space="preserve">                        - євро</w:t>
            </w:r>
          </w:p>
        </w:tc>
        <w:tc>
          <w:tcPr>
            <w:tcW w:w="606"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42,6751</w:t>
            </w:r>
          </w:p>
        </w:tc>
        <w:tc>
          <w:tcPr>
            <w:tcW w:w="60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42,1547</w:t>
            </w:r>
          </w:p>
        </w:tc>
        <w:tc>
          <w:tcPr>
            <w:tcW w:w="703"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40,6268</w:t>
            </w:r>
          </w:p>
        </w:tc>
        <w:tc>
          <w:tcPr>
            <w:tcW w:w="64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40,7720</w:t>
            </w:r>
          </w:p>
        </w:tc>
        <w:tc>
          <w:tcPr>
            <w:tcW w:w="674"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40,7019</w:t>
            </w:r>
          </w:p>
        </w:tc>
        <w:tc>
          <w:tcPr>
            <w:tcW w:w="67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40,2058</w:t>
            </w:r>
          </w:p>
        </w:tc>
        <w:tc>
          <w:tcPr>
            <w:tcW w:w="630"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40,8464</w:t>
            </w:r>
          </w:p>
        </w:tc>
        <w:tc>
          <w:tcPr>
            <w:tcW w:w="678"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40,9890</w:t>
            </w:r>
          </w:p>
        </w:tc>
        <w:tc>
          <w:tcPr>
            <w:tcW w:w="709"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40,5473</w:t>
            </w:r>
          </w:p>
        </w:tc>
        <w:tc>
          <w:tcPr>
            <w:tcW w:w="70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40,0932</w:t>
            </w:r>
          </w:p>
        </w:tc>
        <w:tc>
          <w:tcPr>
            <w:tcW w:w="737"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40,2075</w:t>
            </w:r>
          </w:p>
        </w:tc>
        <w:tc>
          <w:tcPr>
            <w:tcW w:w="66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40,8688</w:t>
            </w:r>
          </w:p>
        </w:tc>
      </w:tr>
      <w:tr w:rsidR="00705F07">
        <w:trPr>
          <w:trHeight w:val="195"/>
          <w:jc w:val="center"/>
        </w:trPr>
        <w:tc>
          <w:tcPr>
            <w:tcW w:w="1257" w:type="dxa"/>
            <w:tcBorders>
              <w:top w:val="nil"/>
              <w:left w:val="single" w:sz="4" w:space="0" w:color="auto"/>
              <w:bottom w:val="nil"/>
              <w:right w:val="single" w:sz="4" w:space="0" w:color="auto"/>
            </w:tcBorders>
            <w:shd w:val="clear" w:color="000000" w:fill="D7E4BC"/>
            <w:vAlign w:val="center"/>
            <w:hideMark/>
          </w:tcPr>
          <w:p w:rsidR="00705F07" w:rsidRDefault="00185A37">
            <w:pPr>
              <w:jc w:val="center"/>
              <w:rPr>
                <w:bCs/>
                <w:color w:val="000000"/>
                <w:sz w:val="12"/>
                <w:szCs w:val="12"/>
              </w:rPr>
            </w:pPr>
            <w:r>
              <w:rPr>
                <w:bCs/>
                <w:color w:val="000000"/>
                <w:sz w:val="12"/>
                <w:szCs w:val="12"/>
              </w:rPr>
              <w:t>Курс інтервенцій Національного банку України:</w:t>
            </w:r>
          </w:p>
        </w:tc>
        <w:tc>
          <w:tcPr>
            <w:tcW w:w="606" w:type="dxa"/>
            <w:tcBorders>
              <w:top w:val="nil"/>
              <w:left w:val="nil"/>
              <w:bottom w:val="single" w:sz="4" w:space="0" w:color="auto"/>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06" w:type="dxa"/>
            <w:tcBorders>
              <w:top w:val="nil"/>
              <w:left w:val="nil"/>
              <w:bottom w:val="single" w:sz="4" w:space="0" w:color="auto"/>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03" w:type="dxa"/>
            <w:tcBorders>
              <w:top w:val="nil"/>
              <w:left w:val="nil"/>
              <w:bottom w:val="single" w:sz="4" w:space="0" w:color="auto"/>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46" w:type="dxa"/>
            <w:tcBorders>
              <w:top w:val="nil"/>
              <w:left w:val="nil"/>
              <w:bottom w:val="single" w:sz="4" w:space="0" w:color="auto"/>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74" w:type="dxa"/>
            <w:tcBorders>
              <w:top w:val="nil"/>
              <w:left w:val="nil"/>
              <w:bottom w:val="single" w:sz="4" w:space="0" w:color="auto"/>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75" w:type="dxa"/>
            <w:tcBorders>
              <w:top w:val="nil"/>
              <w:left w:val="nil"/>
              <w:bottom w:val="single" w:sz="4" w:space="0" w:color="auto"/>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30" w:type="dxa"/>
            <w:tcBorders>
              <w:top w:val="nil"/>
              <w:left w:val="nil"/>
              <w:bottom w:val="single" w:sz="4" w:space="0" w:color="auto"/>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78" w:type="dxa"/>
            <w:tcBorders>
              <w:top w:val="nil"/>
              <w:left w:val="nil"/>
              <w:bottom w:val="single" w:sz="4" w:space="0" w:color="auto"/>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09" w:type="dxa"/>
            <w:tcBorders>
              <w:top w:val="nil"/>
              <w:left w:val="nil"/>
              <w:bottom w:val="single" w:sz="4" w:space="0" w:color="auto"/>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05" w:type="dxa"/>
            <w:tcBorders>
              <w:top w:val="nil"/>
              <w:left w:val="nil"/>
              <w:bottom w:val="single" w:sz="4" w:space="0" w:color="auto"/>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37" w:type="dxa"/>
            <w:tcBorders>
              <w:top w:val="nil"/>
              <w:left w:val="nil"/>
              <w:bottom w:val="single" w:sz="4" w:space="0" w:color="auto"/>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66" w:type="dxa"/>
            <w:tcBorders>
              <w:top w:val="nil"/>
              <w:left w:val="nil"/>
              <w:bottom w:val="single" w:sz="4" w:space="0" w:color="auto"/>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r>
      <w:tr w:rsidR="00705F07">
        <w:trPr>
          <w:trHeight w:val="195"/>
          <w:jc w:val="center"/>
        </w:trPr>
        <w:tc>
          <w:tcPr>
            <w:tcW w:w="1257" w:type="dxa"/>
            <w:tcBorders>
              <w:top w:val="single" w:sz="4" w:space="0" w:color="auto"/>
              <w:left w:val="single" w:sz="4" w:space="0" w:color="auto"/>
              <w:bottom w:val="single" w:sz="4" w:space="0" w:color="auto"/>
              <w:right w:val="single" w:sz="4" w:space="0" w:color="auto"/>
            </w:tcBorders>
            <w:shd w:val="clear" w:color="000000" w:fill="B6DDE8"/>
            <w:vAlign w:val="center"/>
            <w:hideMark/>
          </w:tcPr>
          <w:p w:rsidR="00705F07" w:rsidRDefault="00185A37">
            <w:pPr>
              <w:jc w:val="center"/>
              <w:rPr>
                <w:bCs/>
                <w:color w:val="000000"/>
                <w:sz w:val="12"/>
                <w:szCs w:val="12"/>
              </w:rPr>
            </w:pPr>
            <w:r>
              <w:rPr>
                <w:bCs/>
                <w:color w:val="000000"/>
                <w:sz w:val="12"/>
                <w:szCs w:val="12"/>
              </w:rPr>
              <w:t xml:space="preserve">       долари США  (середньозважений за 1 долар США):</w:t>
            </w:r>
          </w:p>
        </w:tc>
        <w:tc>
          <w:tcPr>
            <w:tcW w:w="606" w:type="dxa"/>
            <w:tcBorders>
              <w:top w:val="nil"/>
              <w:left w:val="nil"/>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 </w:t>
            </w:r>
          </w:p>
        </w:tc>
        <w:tc>
          <w:tcPr>
            <w:tcW w:w="606" w:type="dxa"/>
            <w:tcBorders>
              <w:top w:val="nil"/>
              <w:left w:val="nil"/>
              <w:bottom w:val="nil"/>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 </w:t>
            </w:r>
          </w:p>
        </w:tc>
        <w:tc>
          <w:tcPr>
            <w:tcW w:w="703" w:type="dxa"/>
            <w:tcBorders>
              <w:top w:val="nil"/>
              <w:left w:val="nil"/>
              <w:bottom w:val="nil"/>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 </w:t>
            </w:r>
          </w:p>
        </w:tc>
        <w:tc>
          <w:tcPr>
            <w:tcW w:w="646" w:type="dxa"/>
            <w:tcBorders>
              <w:top w:val="nil"/>
              <w:left w:val="nil"/>
              <w:bottom w:val="nil"/>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 </w:t>
            </w:r>
          </w:p>
        </w:tc>
        <w:tc>
          <w:tcPr>
            <w:tcW w:w="674" w:type="dxa"/>
            <w:tcBorders>
              <w:top w:val="nil"/>
              <w:left w:val="nil"/>
              <w:bottom w:val="nil"/>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 </w:t>
            </w:r>
          </w:p>
        </w:tc>
        <w:tc>
          <w:tcPr>
            <w:tcW w:w="675" w:type="dxa"/>
            <w:tcBorders>
              <w:top w:val="nil"/>
              <w:left w:val="nil"/>
              <w:bottom w:val="nil"/>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 </w:t>
            </w:r>
          </w:p>
        </w:tc>
        <w:tc>
          <w:tcPr>
            <w:tcW w:w="630" w:type="dxa"/>
            <w:tcBorders>
              <w:top w:val="nil"/>
              <w:left w:val="nil"/>
              <w:bottom w:val="nil"/>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 </w:t>
            </w:r>
          </w:p>
        </w:tc>
        <w:tc>
          <w:tcPr>
            <w:tcW w:w="678" w:type="dxa"/>
            <w:tcBorders>
              <w:top w:val="nil"/>
              <w:left w:val="nil"/>
              <w:bottom w:val="nil"/>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 </w:t>
            </w:r>
          </w:p>
        </w:tc>
        <w:tc>
          <w:tcPr>
            <w:tcW w:w="709" w:type="dxa"/>
            <w:tcBorders>
              <w:top w:val="nil"/>
              <w:left w:val="nil"/>
              <w:bottom w:val="nil"/>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 </w:t>
            </w:r>
          </w:p>
        </w:tc>
        <w:tc>
          <w:tcPr>
            <w:tcW w:w="705" w:type="dxa"/>
            <w:tcBorders>
              <w:top w:val="nil"/>
              <w:left w:val="nil"/>
              <w:bottom w:val="nil"/>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 </w:t>
            </w:r>
          </w:p>
        </w:tc>
        <w:tc>
          <w:tcPr>
            <w:tcW w:w="737" w:type="dxa"/>
            <w:tcBorders>
              <w:top w:val="nil"/>
              <w:left w:val="nil"/>
              <w:bottom w:val="nil"/>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 </w:t>
            </w:r>
          </w:p>
        </w:tc>
        <w:tc>
          <w:tcPr>
            <w:tcW w:w="666" w:type="dxa"/>
            <w:tcBorders>
              <w:top w:val="nil"/>
              <w:left w:val="nil"/>
              <w:bottom w:val="nil"/>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 </w:t>
            </w:r>
          </w:p>
        </w:tc>
      </w:tr>
      <w:tr w:rsidR="00705F07">
        <w:trPr>
          <w:trHeight w:val="165"/>
          <w:jc w:val="center"/>
        </w:trPr>
        <w:tc>
          <w:tcPr>
            <w:tcW w:w="1257" w:type="dxa"/>
            <w:tcBorders>
              <w:top w:val="nil"/>
              <w:left w:val="single" w:sz="4" w:space="0" w:color="auto"/>
              <w:bottom w:val="single" w:sz="4" w:space="0" w:color="auto"/>
              <w:right w:val="nil"/>
            </w:tcBorders>
            <w:vAlign w:val="center"/>
            <w:hideMark/>
          </w:tcPr>
          <w:p w:rsidR="00705F07" w:rsidRDefault="00185A37">
            <w:pPr>
              <w:jc w:val="center"/>
              <w:rPr>
                <w:color w:val="000000"/>
                <w:sz w:val="12"/>
                <w:szCs w:val="12"/>
              </w:rPr>
            </w:pPr>
            <w:r>
              <w:rPr>
                <w:color w:val="000000"/>
                <w:sz w:val="12"/>
                <w:szCs w:val="12"/>
              </w:rPr>
              <w:t xml:space="preserve">         продажу</w:t>
            </w:r>
          </w:p>
        </w:tc>
        <w:tc>
          <w:tcPr>
            <w:tcW w:w="606"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36,9321</w:t>
            </w:r>
          </w:p>
        </w:tc>
        <w:tc>
          <w:tcPr>
            <w:tcW w:w="606"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36,9329</w:t>
            </w:r>
          </w:p>
        </w:tc>
        <w:tc>
          <w:tcPr>
            <w:tcW w:w="703"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36,9338</w:t>
            </w:r>
          </w:p>
        </w:tc>
        <w:tc>
          <w:tcPr>
            <w:tcW w:w="646"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36,9339</w:t>
            </w:r>
          </w:p>
        </w:tc>
        <w:tc>
          <w:tcPr>
            <w:tcW w:w="674"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36,9333</w:t>
            </w:r>
          </w:p>
        </w:tc>
        <w:tc>
          <w:tcPr>
            <w:tcW w:w="675"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36,9332</w:t>
            </w:r>
          </w:p>
        </w:tc>
        <w:tc>
          <w:tcPr>
            <w:tcW w:w="630"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36,9343</w:t>
            </w:r>
          </w:p>
        </w:tc>
        <w:tc>
          <w:tcPr>
            <w:tcW w:w="678"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36,9343</w:t>
            </w:r>
          </w:p>
        </w:tc>
        <w:tc>
          <w:tcPr>
            <w:tcW w:w="709"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36,9336</w:t>
            </w:r>
          </w:p>
        </w:tc>
        <w:tc>
          <w:tcPr>
            <w:tcW w:w="705"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36,5334</w:t>
            </w:r>
          </w:p>
        </w:tc>
        <w:tc>
          <w:tcPr>
            <w:tcW w:w="737"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36,1846</w:t>
            </w:r>
          </w:p>
        </w:tc>
        <w:tc>
          <w:tcPr>
            <w:tcW w:w="666"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37,2149</w:t>
            </w:r>
          </w:p>
        </w:tc>
      </w:tr>
      <w:tr w:rsidR="00705F07">
        <w:trPr>
          <w:trHeight w:val="165"/>
          <w:jc w:val="center"/>
        </w:trPr>
        <w:tc>
          <w:tcPr>
            <w:tcW w:w="1257" w:type="dxa"/>
            <w:tcBorders>
              <w:top w:val="nil"/>
              <w:left w:val="single" w:sz="4" w:space="0" w:color="auto"/>
              <w:bottom w:val="single" w:sz="4" w:space="0" w:color="auto"/>
              <w:right w:val="nil"/>
            </w:tcBorders>
            <w:vAlign w:val="center"/>
            <w:hideMark/>
          </w:tcPr>
          <w:p w:rsidR="00705F07" w:rsidRDefault="00185A37">
            <w:pPr>
              <w:jc w:val="center"/>
              <w:rPr>
                <w:color w:val="000000"/>
                <w:sz w:val="12"/>
                <w:szCs w:val="12"/>
              </w:rPr>
            </w:pPr>
            <w:r>
              <w:rPr>
                <w:color w:val="000000"/>
                <w:sz w:val="12"/>
                <w:szCs w:val="12"/>
              </w:rPr>
              <w:t xml:space="preserve">         купівлі</w:t>
            </w:r>
          </w:p>
        </w:tc>
        <w:tc>
          <w:tcPr>
            <w:tcW w:w="606"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36,5686</w:t>
            </w:r>
          </w:p>
        </w:tc>
        <w:tc>
          <w:tcPr>
            <w:tcW w:w="60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36,5686</w:t>
            </w:r>
          </w:p>
        </w:tc>
        <w:tc>
          <w:tcPr>
            <w:tcW w:w="703"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36,5686</w:t>
            </w:r>
          </w:p>
        </w:tc>
        <w:tc>
          <w:tcPr>
            <w:tcW w:w="64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36,5686</w:t>
            </w:r>
          </w:p>
        </w:tc>
        <w:tc>
          <w:tcPr>
            <w:tcW w:w="674"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36,5686</w:t>
            </w:r>
          </w:p>
        </w:tc>
        <w:tc>
          <w:tcPr>
            <w:tcW w:w="67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36,5686</w:t>
            </w:r>
          </w:p>
        </w:tc>
        <w:tc>
          <w:tcPr>
            <w:tcW w:w="630"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36,5686</w:t>
            </w:r>
          </w:p>
        </w:tc>
        <w:tc>
          <w:tcPr>
            <w:tcW w:w="678"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36,5686</w:t>
            </w:r>
          </w:p>
        </w:tc>
        <w:tc>
          <w:tcPr>
            <w:tcW w:w="709"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36,5686</w:t>
            </w:r>
          </w:p>
        </w:tc>
        <w:tc>
          <w:tcPr>
            <w:tcW w:w="70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36,5973</w:t>
            </w:r>
          </w:p>
        </w:tc>
        <w:tc>
          <w:tcPr>
            <w:tcW w:w="737"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36,1637</w:t>
            </w:r>
          </w:p>
        </w:tc>
        <w:tc>
          <w:tcPr>
            <w:tcW w:w="66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36,8908</w:t>
            </w:r>
          </w:p>
        </w:tc>
      </w:tr>
      <w:tr w:rsidR="00705F07">
        <w:trPr>
          <w:trHeight w:val="300"/>
          <w:jc w:val="center"/>
        </w:trPr>
        <w:tc>
          <w:tcPr>
            <w:tcW w:w="1257" w:type="dxa"/>
            <w:tcBorders>
              <w:top w:val="single" w:sz="4" w:space="0" w:color="auto"/>
              <w:left w:val="single" w:sz="4" w:space="0" w:color="auto"/>
              <w:bottom w:val="single" w:sz="4" w:space="0" w:color="auto"/>
              <w:right w:val="single" w:sz="4" w:space="0" w:color="auto"/>
            </w:tcBorders>
            <w:shd w:val="clear" w:color="000000" w:fill="C2D69A"/>
            <w:vAlign w:val="center"/>
            <w:hideMark/>
          </w:tcPr>
          <w:p w:rsidR="00705F07" w:rsidRDefault="00185A37">
            <w:pPr>
              <w:jc w:val="center"/>
              <w:rPr>
                <w:bCs/>
                <w:color w:val="000000"/>
                <w:sz w:val="12"/>
                <w:szCs w:val="12"/>
              </w:rPr>
            </w:pPr>
            <w:r>
              <w:rPr>
                <w:bCs/>
                <w:color w:val="000000"/>
                <w:sz w:val="12"/>
                <w:szCs w:val="12"/>
              </w:rPr>
              <w:t xml:space="preserve">Обсяг операцій банків на </w:t>
            </w:r>
            <w:r>
              <w:rPr>
                <w:bCs/>
                <w:color w:val="000000"/>
                <w:sz w:val="12"/>
                <w:szCs w:val="12"/>
              </w:rPr>
              <w:t>валютному ринку України на умовах «тод», «том», «спот» (без операцій НБУ):</w:t>
            </w:r>
          </w:p>
        </w:tc>
        <w:tc>
          <w:tcPr>
            <w:tcW w:w="606" w:type="dxa"/>
            <w:tcBorders>
              <w:top w:val="single" w:sz="4" w:space="0" w:color="auto"/>
              <w:left w:val="nil"/>
              <w:bottom w:val="single" w:sz="4" w:space="0" w:color="auto"/>
              <w:right w:val="single" w:sz="4" w:space="0" w:color="auto"/>
            </w:tcBorders>
            <w:shd w:val="clear" w:color="000000" w:fill="C2D69A"/>
            <w:vAlign w:val="center"/>
            <w:hideMark/>
          </w:tcPr>
          <w:p w:rsidR="00705F07" w:rsidRDefault="00185A37">
            <w:pPr>
              <w:jc w:val="center"/>
              <w:rPr>
                <w:color w:val="000000"/>
                <w:sz w:val="12"/>
                <w:szCs w:val="12"/>
              </w:rPr>
            </w:pPr>
            <w:r>
              <w:rPr>
                <w:color w:val="000000"/>
                <w:sz w:val="12"/>
                <w:szCs w:val="12"/>
              </w:rPr>
              <w:t> </w:t>
            </w:r>
          </w:p>
        </w:tc>
        <w:tc>
          <w:tcPr>
            <w:tcW w:w="606" w:type="dxa"/>
            <w:tcBorders>
              <w:top w:val="single" w:sz="4" w:space="0" w:color="auto"/>
              <w:left w:val="nil"/>
              <w:bottom w:val="single" w:sz="4" w:space="0" w:color="auto"/>
              <w:right w:val="single" w:sz="4" w:space="0" w:color="auto"/>
            </w:tcBorders>
            <w:shd w:val="clear" w:color="000000" w:fill="C2D69A"/>
            <w:vAlign w:val="center"/>
            <w:hideMark/>
          </w:tcPr>
          <w:p w:rsidR="00705F07" w:rsidRDefault="00185A37">
            <w:pPr>
              <w:jc w:val="center"/>
              <w:rPr>
                <w:color w:val="000000"/>
                <w:sz w:val="12"/>
                <w:szCs w:val="12"/>
              </w:rPr>
            </w:pPr>
            <w:r>
              <w:rPr>
                <w:color w:val="000000"/>
                <w:sz w:val="12"/>
                <w:szCs w:val="12"/>
              </w:rPr>
              <w:t> </w:t>
            </w:r>
          </w:p>
        </w:tc>
        <w:tc>
          <w:tcPr>
            <w:tcW w:w="703" w:type="dxa"/>
            <w:tcBorders>
              <w:top w:val="single" w:sz="4" w:space="0" w:color="auto"/>
              <w:left w:val="nil"/>
              <w:bottom w:val="single" w:sz="4" w:space="0" w:color="auto"/>
              <w:right w:val="single" w:sz="4" w:space="0" w:color="auto"/>
            </w:tcBorders>
            <w:shd w:val="clear" w:color="000000" w:fill="C2D69A"/>
            <w:vAlign w:val="center"/>
            <w:hideMark/>
          </w:tcPr>
          <w:p w:rsidR="00705F07" w:rsidRDefault="00185A37">
            <w:pPr>
              <w:jc w:val="center"/>
              <w:rPr>
                <w:color w:val="000000"/>
                <w:sz w:val="12"/>
                <w:szCs w:val="12"/>
              </w:rPr>
            </w:pPr>
            <w:r>
              <w:rPr>
                <w:color w:val="000000"/>
                <w:sz w:val="12"/>
                <w:szCs w:val="12"/>
              </w:rPr>
              <w:t> </w:t>
            </w:r>
          </w:p>
        </w:tc>
        <w:tc>
          <w:tcPr>
            <w:tcW w:w="646" w:type="dxa"/>
            <w:tcBorders>
              <w:top w:val="single" w:sz="4" w:space="0" w:color="auto"/>
              <w:left w:val="nil"/>
              <w:bottom w:val="single" w:sz="4" w:space="0" w:color="auto"/>
              <w:right w:val="single" w:sz="4" w:space="0" w:color="auto"/>
            </w:tcBorders>
            <w:shd w:val="clear" w:color="000000" w:fill="C2D69A"/>
            <w:vAlign w:val="center"/>
            <w:hideMark/>
          </w:tcPr>
          <w:p w:rsidR="00705F07" w:rsidRDefault="00185A37">
            <w:pPr>
              <w:jc w:val="center"/>
              <w:rPr>
                <w:color w:val="000000"/>
                <w:sz w:val="12"/>
                <w:szCs w:val="12"/>
              </w:rPr>
            </w:pPr>
            <w:r>
              <w:rPr>
                <w:color w:val="000000"/>
                <w:sz w:val="12"/>
                <w:szCs w:val="12"/>
              </w:rPr>
              <w:t> </w:t>
            </w:r>
          </w:p>
        </w:tc>
        <w:tc>
          <w:tcPr>
            <w:tcW w:w="674" w:type="dxa"/>
            <w:tcBorders>
              <w:top w:val="single" w:sz="4" w:space="0" w:color="auto"/>
              <w:left w:val="nil"/>
              <w:bottom w:val="single" w:sz="4" w:space="0" w:color="auto"/>
              <w:right w:val="single" w:sz="4" w:space="0" w:color="auto"/>
            </w:tcBorders>
            <w:shd w:val="clear" w:color="000000" w:fill="C2D69A"/>
            <w:vAlign w:val="center"/>
            <w:hideMark/>
          </w:tcPr>
          <w:p w:rsidR="00705F07" w:rsidRDefault="00185A37">
            <w:pPr>
              <w:jc w:val="center"/>
              <w:rPr>
                <w:color w:val="000000"/>
                <w:sz w:val="12"/>
                <w:szCs w:val="12"/>
              </w:rPr>
            </w:pPr>
            <w:r>
              <w:rPr>
                <w:color w:val="000000"/>
                <w:sz w:val="12"/>
                <w:szCs w:val="12"/>
              </w:rPr>
              <w:t> </w:t>
            </w:r>
          </w:p>
        </w:tc>
        <w:tc>
          <w:tcPr>
            <w:tcW w:w="675" w:type="dxa"/>
            <w:tcBorders>
              <w:top w:val="single" w:sz="4" w:space="0" w:color="auto"/>
              <w:left w:val="nil"/>
              <w:bottom w:val="single" w:sz="4" w:space="0" w:color="auto"/>
              <w:right w:val="single" w:sz="4" w:space="0" w:color="auto"/>
            </w:tcBorders>
            <w:shd w:val="clear" w:color="000000" w:fill="C2D69A"/>
            <w:vAlign w:val="center"/>
            <w:hideMark/>
          </w:tcPr>
          <w:p w:rsidR="00705F07" w:rsidRDefault="00185A37">
            <w:pPr>
              <w:jc w:val="center"/>
              <w:rPr>
                <w:color w:val="000000"/>
                <w:sz w:val="12"/>
                <w:szCs w:val="12"/>
              </w:rPr>
            </w:pPr>
            <w:r>
              <w:rPr>
                <w:color w:val="000000"/>
                <w:sz w:val="12"/>
                <w:szCs w:val="12"/>
              </w:rPr>
              <w:t> </w:t>
            </w:r>
          </w:p>
        </w:tc>
        <w:tc>
          <w:tcPr>
            <w:tcW w:w="630" w:type="dxa"/>
            <w:tcBorders>
              <w:top w:val="single" w:sz="4" w:space="0" w:color="auto"/>
              <w:left w:val="nil"/>
              <w:bottom w:val="single" w:sz="4" w:space="0" w:color="auto"/>
              <w:right w:val="single" w:sz="4" w:space="0" w:color="auto"/>
            </w:tcBorders>
            <w:shd w:val="clear" w:color="000000" w:fill="C2D69A"/>
            <w:vAlign w:val="center"/>
            <w:hideMark/>
          </w:tcPr>
          <w:p w:rsidR="00705F07" w:rsidRDefault="00185A37">
            <w:pPr>
              <w:jc w:val="center"/>
              <w:rPr>
                <w:color w:val="000000"/>
                <w:sz w:val="12"/>
                <w:szCs w:val="12"/>
              </w:rPr>
            </w:pPr>
            <w:r>
              <w:rPr>
                <w:color w:val="000000"/>
                <w:sz w:val="12"/>
                <w:szCs w:val="12"/>
              </w:rPr>
              <w:t> </w:t>
            </w:r>
          </w:p>
        </w:tc>
        <w:tc>
          <w:tcPr>
            <w:tcW w:w="678" w:type="dxa"/>
            <w:tcBorders>
              <w:top w:val="single" w:sz="4" w:space="0" w:color="auto"/>
              <w:left w:val="nil"/>
              <w:bottom w:val="single" w:sz="4" w:space="0" w:color="auto"/>
              <w:right w:val="single" w:sz="4" w:space="0" w:color="auto"/>
            </w:tcBorders>
            <w:shd w:val="clear" w:color="000000" w:fill="C2D69A"/>
            <w:vAlign w:val="center"/>
            <w:hideMark/>
          </w:tcPr>
          <w:p w:rsidR="00705F07" w:rsidRDefault="00185A37">
            <w:pPr>
              <w:jc w:val="center"/>
              <w:rPr>
                <w:color w:val="000000"/>
                <w:sz w:val="12"/>
                <w:szCs w:val="12"/>
              </w:rPr>
            </w:pPr>
            <w:r>
              <w:rPr>
                <w:color w:val="000000"/>
                <w:sz w:val="12"/>
                <w:szCs w:val="12"/>
              </w:rPr>
              <w:t> </w:t>
            </w:r>
          </w:p>
        </w:tc>
        <w:tc>
          <w:tcPr>
            <w:tcW w:w="709" w:type="dxa"/>
            <w:tcBorders>
              <w:top w:val="single" w:sz="4" w:space="0" w:color="auto"/>
              <w:left w:val="nil"/>
              <w:bottom w:val="single" w:sz="4" w:space="0" w:color="auto"/>
              <w:right w:val="single" w:sz="4" w:space="0" w:color="auto"/>
            </w:tcBorders>
            <w:shd w:val="clear" w:color="000000" w:fill="C2D69A"/>
            <w:vAlign w:val="center"/>
            <w:hideMark/>
          </w:tcPr>
          <w:p w:rsidR="00705F07" w:rsidRDefault="00185A37">
            <w:pPr>
              <w:jc w:val="center"/>
              <w:rPr>
                <w:color w:val="000000"/>
                <w:sz w:val="12"/>
                <w:szCs w:val="12"/>
              </w:rPr>
            </w:pPr>
            <w:r>
              <w:rPr>
                <w:color w:val="000000"/>
                <w:sz w:val="12"/>
                <w:szCs w:val="12"/>
              </w:rPr>
              <w:t> </w:t>
            </w:r>
          </w:p>
        </w:tc>
        <w:tc>
          <w:tcPr>
            <w:tcW w:w="705" w:type="dxa"/>
            <w:tcBorders>
              <w:top w:val="single" w:sz="4" w:space="0" w:color="auto"/>
              <w:left w:val="nil"/>
              <w:bottom w:val="single" w:sz="4" w:space="0" w:color="auto"/>
              <w:right w:val="single" w:sz="4" w:space="0" w:color="auto"/>
            </w:tcBorders>
            <w:shd w:val="clear" w:color="000000" w:fill="C2D69A"/>
            <w:vAlign w:val="center"/>
            <w:hideMark/>
          </w:tcPr>
          <w:p w:rsidR="00705F07" w:rsidRDefault="00185A37">
            <w:pPr>
              <w:jc w:val="center"/>
              <w:rPr>
                <w:color w:val="000000"/>
                <w:sz w:val="12"/>
                <w:szCs w:val="12"/>
              </w:rPr>
            </w:pPr>
            <w:r>
              <w:rPr>
                <w:color w:val="000000"/>
                <w:sz w:val="12"/>
                <w:szCs w:val="12"/>
              </w:rPr>
              <w:t> </w:t>
            </w:r>
          </w:p>
        </w:tc>
        <w:tc>
          <w:tcPr>
            <w:tcW w:w="737" w:type="dxa"/>
            <w:tcBorders>
              <w:top w:val="single" w:sz="4" w:space="0" w:color="auto"/>
              <w:left w:val="nil"/>
              <w:bottom w:val="single" w:sz="4" w:space="0" w:color="auto"/>
              <w:right w:val="single" w:sz="4" w:space="0" w:color="auto"/>
            </w:tcBorders>
            <w:shd w:val="clear" w:color="000000" w:fill="C2D69A"/>
            <w:vAlign w:val="center"/>
            <w:hideMark/>
          </w:tcPr>
          <w:p w:rsidR="00705F07" w:rsidRDefault="00185A37">
            <w:pPr>
              <w:jc w:val="center"/>
              <w:rPr>
                <w:color w:val="000000"/>
                <w:sz w:val="12"/>
                <w:szCs w:val="12"/>
              </w:rPr>
            </w:pPr>
            <w:r>
              <w:rPr>
                <w:color w:val="000000"/>
                <w:sz w:val="12"/>
                <w:szCs w:val="12"/>
              </w:rPr>
              <w:t> </w:t>
            </w:r>
          </w:p>
        </w:tc>
        <w:tc>
          <w:tcPr>
            <w:tcW w:w="666" w:type="dxa"/>
            <w:tcBorders>
              <w:top w:val="single" w:sz="4" w:space="0" w:color="auto"/>
              <w:left w:val="nil"/>
              <w:bottom w:val="single" w:sz="4" w:space="0" w:color="auto"/>
              <w:right w:val="single" w:sz="4" w:space="0" w:color="auto"/>
            </w:tcBorders>
            <w:shd w:val="clear" w:color="000000" w:fill="C2D69A"/>
            <w:vAlign w:val="center"/>
            <w:hideMark/>
          </w:tcPr>
          <w:p w:rsidR="00705F07" w:rsidRDefault="00185A37">
            <w:pPr>
              <w:jc w:val="center"/>
              <w:rPr>
                <w:color w:val="000000"/>
                <w:sz w:val="12"/>
                <w:szCs w:val="12"/>
              </w:rPr>
            </w:pPr>
            <w:r>
              <w:rPr>
                <w:color w:val="000000"/>
                <w:sz w:val="12"/>
                <w:szCs w:val="12"/>
              </w:rPr>
              <w:t> </w:t>
            </w:r>
          </w:p>
        </w:tc>
      </w:tr>
      <w:tr w:rsidR="00705F07">
        <w:trPr>
          <w:trHeight w:val="195"/>
          <w:jc w:val="center"/>
        </w:trPr>
        <w:tc>
          <w:tcPr>
            <w:tcW w:w="1257" w:type="dxa"/>
            <w:tcBorders>
              <w:top w:val="nil"/>
              <w:left w:val="single" w:sz="4" w:space="0" w:color="auto"/>
              <w:bottom w:val="single" w:sz="4" w:space="0" w:color="auto"/>
              <w:right w:val="nil"/>
            </w:tcBorders>
            <w:shd w:val="clear" w:color="000000" w:fill="D7E4BC"/>
            <w:vAlign w:val="center"/>
            <w:hideMark/>
          </w:tcPr>
          <w:p w:rsidR="00705F07" w:rsidRDefault="00185A37">
            <w:pPr>
              <w:jc w:val="center"/>
              <w:rPr>
                <w:bCs/>
                <w:color w:val="000000"/>
                <w:sz w:val="12"/>
                <w:szCs w:val="12"/>
              </w:rPr>
            </w:pPr>
            <w:r>
              <w:rPr>
                <w:bCs/>
                <w:color w:val="000000"/>
                <w:sz w:val="12"/>
                <w:szCs w:val="12"/>
              </w:rPr>
              <w:t>із безготівковою іноземною валютою (млн. дол США в еквіваленті):</w:t>
            </w:r>
          </w:p>
        </w:tc>
        <w:tc>
          <w:tcPr>
            <w:tcW w:w="606" w:type="dxa"/>
            <w:tcBorders>
              <w:top w:val="nil"/>
              <w:left w:val="nil"/>
              <w:bottom w:val="single" w:sz="4" w:space="0" w:color="auto"/>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06"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03"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46"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74"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75"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30"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78"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09"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05"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37"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66"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r>
      <w:tr w:rsidR="00705F07">
        <w:trPr>
          <w:trHeight w:val="165"/>
          <w:jc w:val="center"/>
        </w:trPr>
        <w:tc>
          <w:tcPr>
            <w:tcW w:w="1257" w:type="dxa"/>
            <w:tcBorders>
              <w:top w:val="nil"/>
              <w:left w:val="single" w:sz="4" w:space="0" w:color="auto"/>
              <w:bottom w:val="single" w:sz="4" w:space="0" w:color="auto"/>
              <w:right w:val="nil"/>
            </w:tcBorders>
            <w:vAlign w:val="center"/>
            <w:hideMark/>
          </w:tcPr>
          <w:p w:rsidR="00705F07" w:rsidRDefault="00185A37">
            <w:pPr>
              <w:jc w:val="center"/>
              <w:rPr>
                <w:color w:val="000000"/>
                <w:sz w:val="12"/>
                <w:szCs w:val="12"/>
              </w:rPr>
            </w:pPr>
            <w:r>
              <w:rPr>
                <w:color w:val="000000"/>
                <w:sz w:val="12"/>
                <w:szCs w:val="12"/>
              </w:rPr>
              <w:t xml:space="preserve">         продажу</w:t>
            </w:r>
          </w:p>
        </w:tc>
        <w:tc>
          <w:tcPr>
            <w:tcW w:w="606"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554,6</w:t>
            </w:r>
          </w:p>
        </w:tc>
        <w:tc>
          <w:tcPr>
            <w:tcW w:w="606"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962,0</w:t>
            </w:r>
          </w:p>
        </w:tc>
        <w:tc>
          <w:tcPr>
            <w:tcW w:w="703"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1 301,1</w:t>
            </w:r>
          </w:p>
        </w:tc>
        <w:tc>
          <w:tcPr>
            <w:tcW w:w="646"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907,1</w:t>
            </w:r>
          </w:p>
        </w:tc>
        <w:tc>
          <w:tcPr>
            <w:tcW w:w="674"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759,7</w:t>
            </w:r>
          </w:p>
        </w:tc>
        <w:tc>
          <w:tcPr>
            <w:tcW w:w="675"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734,3</w:t>
            </w:r>
          </w:p>
        </w:tc>
        <w:tc>
          <w:tcPr>
            <w:tcW w:w="630"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869,9</w:t>
            </w:r>
          </w:p>
        </w:tc>
        <w:tc>
          <w:tcPr>
            <w:tcW w:w="678"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850,5</w:t>
            </w:r>
          </w:p>
        </w:tc>
        <w:tc>
          <w:tcPr>
            <w:tcW w:w="709"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784,0</w:t>
            </w:r>
          </w:p>
        </w:tc>
        <w:tc>
          <w:tcPr>
            <w:tcW w:w="705"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1 391,2</w:t>
            </w:r>
          </w:p>
        </w:tc>
        <w:tc>
          <w:tcPr>
            <w:tcW w:w="737"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2 090,2</w:t>
            </w:r>
          </w:p>
        </w:tc>
        <w:tc>
          <w:tcPr>
            <w:tcW w:w="666"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2 420,6</w:t>
            </w:r>
          </w:p>
        </w:tc>
      </w:tr>
      <w:tr w:rsidR="00705F07">
        <w:trPr>
          <w:trHeight w:val="165"/>
          <w:jc w:val="center"/>
        </w:trPr>
        <w:tc>
          <w:tcPr>
            <w:tcW w:w="1257" w:type="dxa"/>
            <w:tcBorders>
              <w:top w:val="nil"/>
              <w:left w:val="single" w:sz="4" w:space="0" w:color="auto"/>
              <w:bottom w:val="single" w:sz="4" w:space="0" w:color="auto"/>
              <w:right w:val="nil"/>
            </w:tcBorders>
            <w:vAlign w:val="center"/>
            <w:hideMark/>
          </w:tcPr>
          <w:p w:rsidR="00705F07" w:rsidRDefault="00185A37">
            <w:pPr>
              <w:jc w:val="center"/>
              <w:rPr>
                <w:color w:val="000000"/>
                <w:sz w:val="12"/>
                <w:szCs w:val="12"/>
              </w:rPr>
            </w:pPr>
            <w:r>
              <w:rPr>
                <w:color w:val="000000"/>
                <w:sz w:val="12"/>
                <w:szCs w:val="12"/>
              </w:rPr>
              <w:t xml:space="preserve">         купівлі</w:t>
            </w:r>
          </w:p>
        </w:tc>
        <w:tc>
          <w:tcPr>
            <w:tcW w:w="606"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554,6</w:t>
            </w:r>
          </w:p>
        </w:tc>
        <w:tc>
          <w:tcPr>
            <w:tcW w:w="60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962,0</w:t>
            </w:r>
          </w:p>
        </w:tc>
        <w:tc>
          <w:tcPr>
            <w:tcW w:w="703"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1 301,1</w:t>
            </w:r>
          </w:p>
        </w:tc>
        <w:tc>
          <w:tcPr>
            <w:tcW w:w="64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907,1</w:t>
            </w:r>
          </w:p>
        </w:tc>
        <w:tc>
          <w:tcPr>
            <w:tcW w:w="674"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759,7</w:t>
            </w:r>
          </w:p>
        </w:tc>
        <w:tc>
          <w:tcPr>
            <w:tcW w:w="67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734,3</w:t>
            </w:r>
          </w:p>
        </w:tc>
        <w:tc>
          <w:tcPr>
            <w:tcW w:w="630"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869,9</w:t>
            </w:r>
          </w:p>
        </w:tc>
        <w:tc>
          <w:tcPr>
            <w:tcW w:w="678"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850,5</w:t>
            </w:r>
          </w:p>
        </w:tc>
        <w:tc>
          <w:tcPr>
            <w:tcW w:w="709"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784,0</w:t>
            </w:r>
          </w:p>
        </w:tc>
        <w:tc>
          <w:tcPr>
            <w:tcW w:w="70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1 391,2</w:t>
            </w:r>
          </w:p>
        </w:tc>
        <w:tc>
          <w:tcPr>
            <w:tcW w:w="737"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2 090,2</w:t>
            </w:r>
          </w:p>
        </w:tc>
        <w:tc>
          <w:tcPr>
            <w:tcW w:w="66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2 420,6</w:t>
            </w:r>
          </w:p>
        </w:tc>
      </w:tr>
      <w:tr w:rsidR="00705F07">
        <w:trPr>
          <w:trHeight w:val="300"/>
          <w:jc w:val="center"/>
        </w:trPr>
        <w:tc>
          <w:tcPr>
            <w:tcW w:w="1257" w:type="dxa"/>
            <w:tcBorders>
              <w:top w:val="nil"/>
              <w:left w:val="single" w:sz="4" w:space="0" w:color="auto"/>
              <w:bottom w:val="nil"/>
              <w:right w:val="single" w:sz="4" w:space="0" w:color="auto"/>
            </w:tcBorders>
            <w:shd w:val="clear" w:color="000000" w:fill="D7E4BC"/>
            <w:vAlign w:val="center"/>
            <w:hideMark/>
          </w:tcPr>
          <w:p w:rsidR="00705F07" w:rsidRDefault="00185A37">
            <w:pPr>
              <w:jc w:val="center"/>
              <w:rPr>
                <w:bCs/>
                <w:color w:val="000000"/>
                <w:sz w:val="12"/>
                <w:szCs w:val="12"/>
              </w:rPr>
            </w:pPr>
            <w:r>
              <w:rPr>
                <w:bCs/>
                <w:color w:val="000000"/>
                <w:sz w:val="12"/>
                <w:szCs w:val="12"/>
              </w:rPr>
              <w:t>інтервенції Національного банку України:</w:t>
            </w:r>
          </w:p>
        </w:tc>
        <w:tc>
          <w:tcPr>
            <w:tcW w:w="606"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06"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03"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46"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74"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75"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30"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78"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09"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05"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37"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66"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r>
      <w:tr w:rsidR="00705F07">
        <w:trPr>
          <w:trHeight w:val="165"/>
          <w:jc w:val="center"/>
        </w:trPr>
        <w:tc>
          <w:tcPr>
            <w:tcW w:w="1257" w:type="dxa"/>
            <w:tcBorders>
              <w:top w:val="single" w:sz="4" w:space="0" w:color="auto"/>
              <w:left w:val="single" w:sz="4" w:space="0" w:color="auto"/>
              <w:bottom w:val="single" w:sz="4" w:space="0" w:color="auto"/>
              <w:right w:val="nil"/>
            </w:tcBorders>
            <w:shd w:val="clear" w:color="000000" w:fill="B6DDE8"/>
            <w:vAlign w:val="center"/>
            <w:hideMark/>
          </w:tcPr>
          <w:p w:rsidR="00705F07" w:rsidRDefault="00185A37">
            <w:pPr>
              <w:jc w:val="center"/>
              <w:rPr>
                <w:color w:val="000000"/>
                <w:sz w:val="12"/>
                <w:szCs w:val="12"/>
              </w:rPr>
            </w:pPr>
            <w:r>
              <w:rPr>
                <w:color w:val="000000"/>
                <w:sz w:val="12"/>
                <w:szCs w:val="12"/>
              </w:rPr>
              <w:t xml:space="preserve">         продажу (млн. дол США в еквіваленті)</w:t>
            </w:r>
          </w:p>
        </w:tc>
        <w:tc>
          <w:tcPr>
            <w:tcW w:w="606" w:type="dxa"/>
            <w:tcBorders>
              <w:top w:val="single" w:sz="4" w:space="0" w:color="auto"/>
              <w:left w:val="single" w:sz="4" w:space="0" w:color="auto"/>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3 110,6</w:t>
            </w:r>
          </w:p>
        </w:tc>
        <w:tc>
          <w:tcPr>
            <w:tcW w:w="606" w:type="dxa"/>
            <w:tcBorders>
              <w:top w:val="single" w:sz="4" w:space="0" w:color="auto"/>
              <w:left w:val="nil"/>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 xml:space="preserve">2 </w:t>
            </w:r>
            <w:r>
              <w:rPr>
                <w:color w:val="000000"/>
                <w:sz w:val="12"/>
                <w:szCs w:val="12"/>
              </w:rPr>
              <w:t>458,7</w:t>
            </w:r>
          </w:p>
        </w:tc>
        <w:tc>
          <w:tcPr>
            <w:tcW w:w="703" w:type="dxa"/>
            <w:tcBorders>
              <w:top w:val="single" w:sz="4" w:space="0" w:color="auto"/>
              <w:left w:val="nil"/>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1 674,1</w:t>
            </w:r>
          </w:p>
        </w:tc>
        <w:tc>
          <w:tcPr>
            <w:tcW w:w="646" w:type="dxa"/>
            <w:tcBorders>
              <w:top w:val="single" w:sz="4" w:space="0" w:color="auto"/>
              <w:left w:val="nil"/>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1 374,1</w:t>
            </w:r>
          </w:p>
        </w:tc>
        <w:tc>
          <w:tcPr>
            <w:tcW w:w="674" w:type="dxa"/>
            <w:tcBorders>
              <w:top w:val="single" w:sz="4" w:space="0" w:color="auto"/>
              <w:left w:val="nil"/>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1 990,9</w:t>
            </w:r>
          </w:p>
        </w:tc>
        <w:tc>
          <w:tcPr>
            <w:tcW w:w="675" w:type="dxa"/>
            <w:tcBorders>
              <w:top w:val="single" w:sz="4" w:space="0" w:color="auto"/>
              <w:left w:val="nil"/>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1 847,5</w:t>
            </w:r>
          </w:p>
        </w:tc>
        <w:tc>
          <w:tcPr>
            <w:tcW w:w="630" w:type="dxa"/>
            <w:tcBorders>
              <w:top w:val="single" w:sz="4" w:space="0" w:color="auto"/>
              <w:left w:val="nil"/>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1 945,8</w:t>
            </w:r>
          </w:p>
        </w:tc>
        <w:tc>
          <w:tcPr>
            <w:tcW w:w="678" w:type="dxa"/>
            <w:tcBorders>
              <w:top w:val="single" w:sz="4" w:space="0" w:color="auto"/>
              <w:left w:val="nil"/>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2 368,8</w:t>
            </w:r>
          </w:p>
        </w:tc>
        <w:tc>
          <w:tcPr>
            <w:tcW w:w="709" w:type="dxa"/>
            <w:tcBorders>
              <w:top w:val="single" w:sz="4" w:space="0" w:color="auto"/>
              <w:left w:val="nil"/>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2 692,1</w:t>
            </w:r>
          </w:p>
        </w:tc>
        <w:tc>
          <w:tcPr>
            <w:tcW w:w="705" w:type="dxa"/>
            <w:tcBorders>
              <w:top w:val="single" w:sz="4" w:space="0" w:color="auto"/>
              <w:left w:val="nil"/>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3 351,5</w:t>
            </w:r>
          </w:p>
        </w:tc>
        <w:tc>
          <w:tcPr>
            <w:tcW w:w="737" w:type="dxa"/>
            <w:tcBorders>
              <w:top w:val="single" w:sz="4" w:space="0" w:color="auto"/>
              <w:left w:val="nil"/>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2 456,6</w:t>
            </w:r>
          </w:p>
        </w:tc>
        <w:tc>
          <w:tcPr>
            <w:tcW w:w="666" w:type="dxa"/>
            <w:tcBorders>
              <w:top w:val="single" w:sz="4" w:space="0" w:color="auto"/>
              <w:left w:val="nil"/>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3 559,2</w:t>
            </w:r>
          </w:p>
        </w:tc>
      </w:tr>
      <w:tr w:rsidR="00705F07">
        <w:trPr>
          <w:trHeight w:val="165"/>
          <w:jc w:val="center"/>
        </w:trPr>
        <w:tc>
          <w:tcPr>
            <w:tcW w:w="1257" w:type="dxa"/>
            <w:tcBorders>
              <w:top w:val="nil"/>
              <w:left w:val="single" w:sz="4" w:space="0" w:color="auto"/>
              <w:bottom w:val="single" w:sz="4" w:space="0" w:color="auto"/>
              <w:right w:val="nil"/>
            </w:tcBorders>
            <w:vAlign w:val="center"/>
            <w:hideMark/>
          </w:tcPr>
          <w:p w:rsidR="00705F07" w:rsidRDefault="00185A37">
            <w:pPr>
              <w:jc w:val="center"/>
              <w:rPr>
                <w:color w:val="000000"/>
                <w:sz w:val="12"/>
                <w:szCs w:val="12"/>
              </w:rPr>
            </w:pPr>
            <w:r>
              <w:rPr>
                <w:color w:val="000000"/>
                <w:sz w:val="12"/>
                <w:szCs w:val="12"/>
              </w:rPr>
              <w:t xml:space="preserve">                        - млн долар США</w:t>
            </w:r>
          </w:p>
        </w:tc>
        <w:tc>
          <w:tcPr>
            <w:tcW w:w="606"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3 110,6</w:t>
            </w:r>
          </w:p>
        </w:tc>
        <w:tc>
          <w:tcPr>
            <w:tcW w:w="60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2 458,7</w:t>
            </w:r>
          </w:p>
        </w:tc>
        <w:tc>
          <w:tcPr>
            <w:tcW w:w="703"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1 674,1</w:t>
            </w:r>
          </w:p>
        </w:tc>
        <w:tc>
          <w:tcPr>
            <w:tcW w:w="64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1 374,1</w:t>
            </w:r>
          </w:p>
        </w:tc>
        <w:tc>
          <w:tcPr>
            <w:tcW w:w="674"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1 990,9</w:t>
            </w:r>
          </w:p>
        </w:tc>
        <w:tc>
          <w:tcPr>
            <w:tcW w:w="67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1 847,5</w:t>
            </w:r>
          </w:p>
        </w:tc>
        <w:tc>
          <w:tcPr>
            <w:tcW w:w="630"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1 945,8</w:t>
            </w:r>
          </w:p>
        </w:tc>
        <w:tc>
          <w:tcPr>
            <w:tcW w:w="678"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2 368,8</w:t>
            </w:r>
          </w:p>
        </w:tc>
        <w:tc>
          <w:tcPr>
            <w:tcW w:w="709"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2 692,1</w:t>
            </w:r>
          </w:p>
        </w:tc>
        <w:tc>
          <w:tcPr>
            <w:tcW w:w="70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3 351,5</w:t>
            </w:r>
          </w:p>
        </w:tc>
        <w:tc>
          <w:tcPr>
            <w:tcW w:w="737"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2 456,6</w:t>
            </w:r>
          </w:p>
        </w:tc>
        <w:tc>
          <w:tcPr>
            <w:tcW w:w="66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3 559,2</w:t>
            </w:r>
          </w:p>
        </w:tc>
      </w:tr>
      <w:tr w:rsidR="00705F07">
        <w:trPr>
          <w:trHeight w:val="165"/>
          <w:jc w:val="center"/>
        </w:trPr>
        <w:tc>
          <w:tcPr>
            <w:tcW w:w="1257" w:type="dxa"/>
            <w:tcBorders>
              <w:top w:val="nil"/>
              <w:left w:val="single" w:sz="4" w:space="0" w:color="auto"/>
              <w:bottom w:val="single" w:sz="4" w:space="0" w:color="auto"/>
              <w:right w:val="nil"/>
            </w:tcBorders>
            <w:vAlign w:val="center"/>
            <w:hideMark/>
          </w:tcPr>
          <w:p w:rsidR="00705F07" w:rsidRDefault="00185A37">
            <w:pPr>
              <w:jc w:val="center"/>
              <w:rPr>
                <w:color w:val="000000"/>
                <w:sz w:val="12"/>
                <w:szCs w:val="12"/>
              </w:rPr>
            </w:pPr>
            <w:r>
              <w:rPr>
                <w:color w:val="000000"/>
                <w:sz w:val="12"/>
                <w:szCs w:val="12"/>
              </w:rPr>
              <w:t xml:space="preserve">                        - млн євро</w:t>
            </w:r>
          </w:p>
        </w:tc>
        <w:tc>
          <w:tcPr>
            <w:tcW w:w="606"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60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703"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64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674"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67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630"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678"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709"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70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737"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66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r>
      <w:tr w:rsidR="00705F07">
        <w:trPr>
          <w:trHeight w:val="165"/>
          <w:jc w:val="center"/>
        </w:trPr>
        <w:tc>
          <w:tcPr>
            <w:tcW w:w="1257" w:type="dxa"/>
            <w:tcBorders>
              <w:top w:val="nil"/>
              <w:left w:val="single" w:sz="4" w:space="0" w:color="auto"/>
              <w:bottom w:val="single" w:sz="4" w:space="0" w:color="auto"/>
              <w:right w:val="nil"/>
            </w:tcBorders>
            <w:vAlign w:val="center"/>
            <w:hideMark/>
          </w:tcPr>
          <w:p w:rsidR="00705F07" w:rsidRDefault="00185A37">
            <w:pPr>
              <w:jc w:val="center"/>
              <w:rPr>
                <w:color w:val="000000"/>
                <w:sz w:val="12"/>
                <w:szCs w:val="12"/>
              </w:rPr>
            </w:pPr>
            <w:r>
              <w:rPr>
                <w:color w:val="000000"/>
                <w:sz w:val="12"/>
                <w:szCs w:val="12"/>
              </w:rPr>
              <w:t xml:space="preserve">                        - млн інших валют в доларовому еквіваленті</w:t>
            </w:r>
          </w:p>
        </w:tc>
        <w:tc>
          <w:tcPr>
            <w:tcW w:w="606"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60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703"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64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674"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67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630"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678"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709"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70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737"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66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r>
      <w:tr w:rsidR="00705F07">
        <w:trPr>
          <w:trHeight w:val="165"/>
          <w:jc w:val="center"/>
        </w:trPr>
        <w:tc>
          <w:tcPr>
            <w:tcW w:w="1257" w:type="dxa"/>
            <w:tcBorders>
              <w:top w:val="nil"/>
              <w:left w:val="single" w:sz="4" w:space="0" w:color="auto"/>
              <w:bottom w:val="single" w:sz="4" w:space="0" w:color="auto"/>
              <w:right w:val="nil"/>
            </w:tcBorders>
            <w:shd w:val="clear" w:color="000000" w:fill="B6DDE8"/>
            <w:vAlign w:val="center"/>
            <w:hideMark/>
          </w:tcPr>
          <w:p w:rsidR="00705F07" w:rsidRDefault="00185A37">
            <w:pPr>
              <w:jc w:val="center"/>
              <w:rPr>
                <w:color w:val="000000"/>
                <w:sz w:val="12"/>
                <w:szCs w:val="12"/>
              </w:rPr>
            </w:pPr>
            <w:r>
              <w:rPr>
                <w:color w:val="000000"/>
                <w:sz w:val="12"/>
                <w:szCs w:val="12"/>
              </w:rPr>
              <w:t xml:space="preserve">         купівлі (млн. дол США в еквіваленті)</w:t>
            </w:r>
          </w:p>
        </w:tc>
        <w:tc>
          <w:tcPr>
            <w:tcW w:w="606" w:type="dxa"/>
            <w:tcBorders>
              <w:top w:val="nil"/>
              <w:left w:val="single" w:sz="4" w:space="0" w:color="auto"/>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28,5</w:t>
            </w:r>
          </w:p>
        </w:tc>
        <w:tc>
          <w:tcPr>
            <w:tcW w:w="606" w:type="dxa"/>
            <w:tcBorders>
              <w:top w:val="nil"/>
              <w:left w:val="nil"/>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27,7</w:t>
            </w:r>
          </w:p>
        </w:tc>
        <w:tc>
          <w:tcPr>
            <w:tcW w:w="703" w:type="dxa"/>
            <w:tcBorders>
              <w:top w:val="nil"/>
              <w:left w:val="nil"/>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5,2</w:t>
            </w:r>
          </w:p>
        </w:tc>
        <w:tc>
          <w:tcPr>
            <w:tcW w:w="646" w:type="dxa"/>
            <w:tcBorders>
              <w:top w:val="nil"/>
              <w:left w:val="nil"/>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3,7</w:t>
            </w:r>
          </w:p>
        </w:tc>
        <w:tc>
          <w:tcPr>
            <w:tcW w:w="674" w:type="dxa"/>
            <w:tcBorders>
              <w:top w:val="nil"/>
              <w:left w:val="nil"/>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63,3</w:t>
            </w:r>
          </w:p>
        </w:tc>
        <w:tc>
          <w:tcPr>
            <w:tcW w:w="675" w:type="dxa"/>
            <w:tcBorders>
              <w:top w:val="nil"/>
              <w:left w:val="nil"/>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49,6</w:t>
            </w:r>
          </w:p>
        </w:tc>
        <w:tc>
          <w:tcPr>
            <w:tcW w:w="630" w:type="dxa"/>
            <w:tcBorders>
              <w:top w:val="nil"/>
              <w:left w:val="nil"/>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12,9</w:t>
            </w:r>
          </w:p>
        </w:tc>
        <w:tc>
          <w:tcPr>
            <w:tcW w:w="678" w:type="dxa"/>
            <w:tcBorders>
              <w:top w:val="nil"/>
              <w:left w:val="nil"/>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4,5</w:t>
            </w:r>
          </w:p>
        </w:tc>
        <w:tc>
          <w:tcPr>
            <w:tcW w:w="709" w:type="dxa"/>
            <w:tcBorders>
              <w:top w:val="nil"/>
              <w:left w:val="nil"/>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0,7</w:t>
            </w:r>
          </w:p>
        </w:tc>
        <w:tc>
          <w:tcPr>
            <w:tcW w:w="705" w:type="dxa"/>
            <w:tcBorders>
              <w:top w:val="nil"/>
              <w:left w:val="nil"/>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14,0</w:t>
            </w:r>
          </w:p>
        </w:tc>
        <w:tc>
          <w:tcPr>
            <w:tcW w:w="737" w:type="dxa"/>
            <w:tcBorders>
              <w:top w:val="nil"/>
              <w:left w:val="nil"/>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3,7</w:t>
            </w:r>
          </w:p>
        </w:tc>
        <w:tc>
          <w:tcPr>
            <w:tcW w:w="666" w:type="dxa"/>
            <w:tcBorders>
              <w:top w:val="nil"/>
              <w:left w:val="nil"/>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6,1</w:t>
            </w:r>
          </w:p>
        </w:tc>
      </w:tr>
      <w:tr w:rsidR="00705F07">
        <w:trPr>
          <w:trHeight w:val="165"/>
          <w:jc w:val="center"/>
        </w:trPr>
        <w:tc>
          <w:tcPr>
            <w:tcW w:w="1257" w:type="dxa"/>
            <w:tcBorders>
              <w:top w:val="nil"/>
              <w:left w:val="single" w:sz="4" w:space="0" w:color="auto"/>
              <w:bottom w:val="single" w:sz="4" w:space="0" w:color="auto"/>
              <w:right w:val="nil"/>
            </w:tcBorders>
            <w:vAlign w:val="center"/>
            <w:hideMark/>
          </w:tcPr>
          <w:p w:rsidR="00705F07" w:rsidRDefault="00185A37">
            <w:pPr>
              <w:jc w:val="center"/>
              <w:rPr>
                <w:color w:val="000000"/>
                <w:sz w:val="12"/>
                <w:szCs w:val="12"/>
              </w:rPr>
            </w:pPr>
            <w:r>
              <w:rPr>
                <w:color w:val="000000"/>
                <w:sz w:val="12"/>
                <w:szCs w:val="12"/>
              </w:rPr>
              <w:t xml:space="preserve">                        - млн долар США</w:t>
            </w:r>
          </w:p>
        </w:tc>
        <w:tc>
          <w:tcPr>
            <w:tcW w:w="606"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28,5</w:t>
            </w:r>
          </w:p>
        </w:tc>
        <w:tc>
          <w:tcPr>
            <w:tcW w:w="60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27,7</w:t>
            </w:r>
          </w:p>
        </w:tc>
        <w:tc>
          <w:tcPr>
            <w:tcW w:w="703"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5,2</w:t>
            </w:r>
          </w:p>
        </w:tc>
        <w:tc>
          <w:tcPr>
            <w:tcW w:w="64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3,7</w:t>
            </w:r>
          </w:p>
        </w:tc>
        <w:tc>
          <w:tcPr>
            <w:tcW w:w="674"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63,3</w:t>
            </w:r>
          </w:p>
        </w:tc>
        <w:tc>
          <w:tcPr>
            <w:tcW w:w="67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49,6</w:t>
            </w:r>
          </w:p>
        </w:tc>
        <w:tc>
          <w:tcPr>
            <w:tcW w:w="630"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12,9</w:t>
            </w:r>
          </w:p>
        </w:tc>
        <w:tc>
          <w:tcPr>
            <w:tcW w:w="678"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4,5</w:t>
            </w:r>
          </w:p>
        </w:tc>
        <w:tc>
          <w:tcPr>
            <w:tcW w:w="709"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0,7</w:t>
            </w:r>
          </w:p>
        </w:tc>
        <w:tc>
          <w:tcPr>
            <w:tcW w:w="70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14,0</w:t>
            </w:r>
          </w:p>
        </w:tc>
        <w:tc>
          <w:tcPr>
            <w:tcW w:w="737"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3,7</w:t>
            </w:r>
          </w:p>
        </w:tc>
        <w:tc>
          <w:tcPr>
            <w:tcW w:w="66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6,1</w:t>
            </w:r>
          </w:p>
        </w:tc>
      </w:tr>
      <w:tr w:rsidR="00705F07">
        <w:trPr>
          <w:trHeight w:val="165"/>
          <w:jc w:val="center"/>
        </w:trPr>
        <w:tc>
          <w:tcPr>
            <w:tcW w:w="1257" w:type="dxa"/>
            <w:tcBorders>
              <w:top w:val="nil"/>
              <w:left w:val="single" w:sz="4" w:space="0" w:color="auto"/>
              <w:bottom w:val="single" w:sz="4" w:space="0" w:color="auto"/>
              <w:right w:val="nil"/>
            </w:tcBorders>
            <w:vAlign w:val="center"/>
            <w:hideMark/>
          </w:tcPr>
          <w:p w:rsidR="00705F07" w:rsidRDefault="00185A37">
            <w:pPr>
              <w:jc w:val="center"/>
              <w:rPr>
                <w:color w:val="000000"/>
                <w:sz w:val="12"/>
                <w:szCs w:val="12"/>
              </w:rPr>
            </w:pPr>
            <w:r>
              <w:rPr>
                <w:color w:val="000000"/>
                <w:sz w:val="12"/>
                <w:szCs w:val="12"/>
              </w:rPr>
              <w:t xml:space="preserve">                        - млн євро</w:t>
            </w:r>
          </w:p>
        </w:tc>
        <w:tc>
          <w:tcPr>
            <w:tcW w:w="606"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60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703"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64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674"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67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630"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678"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709"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70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737"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66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r>
      <w:tr w:rsidR="00705F07">
        <w:trPr>
          <w:trHeight w:val="165"/>
          <w:jc w:val="center"/>
        </w:trPr>
        <w:tc>
          <w:tcPr>
            <w:tcW w:w="1257" w:type="dxa"/>
            <w:tcBorders>
              <w:top w:val="nil"/>
              <w:left w:val="single" w:sz="4" w:space="0" w:color="auto"/>
              <w:bottom w:val="single" w:sz="4" w:space="0" w:color="auto"/>
              <w:right w:val="nil"/>
            </w:tcBorders>
            <w:vAlign w:val="center"/>
            <w:hideMark/>
          </w:tcPr>
          <w:p w:rsidR="00705F07" w:rsidRDefault="00185A37">
            <w:pPr>
              <w:jc w:val="center"/>
              <w:rPr>
                <w:color w:val="000000"/>
                <w:sz w:val="12"/>
                <w:szCs w:val="12"/>
              </w:rPr>
            </w:pPr>
            <w:r>
              <w:rPr>
                <w:color w:val="000000"/>
                <w:sz w:val="12"/>
                <w:szCs w:val="12"/>
              </w:rPr>
              <w:t xml:space="preserve">                        - млн інших валют в доларовому еквіваленті</w:t>
            </w:r>
          </w:p>
        </w:tc>
        <w:tc>
          <w:tcPr>
            <w:tcW w:w="606"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60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703"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64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674"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67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630"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678"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709"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70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737"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66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r>
      <w:tr w:rsidR="00705F07">
        <w:trPr>
          <w:trHeight w:val="195"/>
          <w:jc w:val="center"/>
        </w:trPr>
        <w:tc>
          <w:tcPr>
            <w:tcW w:w="1257" w:type="dxa"/>
            <w:tcBorders>
              <w:top w:val="single" w:sz="4" w:space="0" w:color="auto"/>
              <w:left w:val="single" w:sz="4" w:space="0" w:color="auto"/>
              <w:bottom w:val="single" w:sz="4" w:space="0" w:color="auto"/>
              <w:right w:val="nil"/>
            </w:tcBorders>
            <w:shd w:val="clear" w:color="000000" w:fill="D7E4BC"/>
            <w:vAlign w:val="center"/>
            <w:hideMark/>
          </w:tcPr>
          <w:p w:rsidR="00705F07" w:rsidRDefault="00185A37">
            <w:pPr>
              <w:jc w:val="center"/>
              <w:rPr>
                <w:bCs/>
                <w:color w:val="000000"/>
                <w:sz w:val="12"/>
                <w:szCs w:val="12"/>
              </w:rPr>
            </w:pPr>
            <w:r>
              <w:rPr>
                <w:bCs/>
                <w:color w:val="000000"/>
                <w:sz w:val="12"/>
                <w:szCs w:val="12"/>
              </w:rPr>
              <w:t>Обсяг операцій з готівковою іноземною валютою, Усього (млн. дол США в еквіваленті):</w:t>
            </w:r>
          </w:p>
        </w:tc>
        <w:tc>
          <w:tcPr>
            <w:tcW w:w="606" w:type="dxa"/>
            <w:tcBorders>
              <w:top w:val="nil"/>
              <w:left w:val="nil"/>
              <w:bottom w:val="single" w:sz="4" w:space="0" w:color="auto"/>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06"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03"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46"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74"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75"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30"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78"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09"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05"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37"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66"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r>
      <w:tr w:rsidR="00705F07">
        <w:trPr>
          <w:trHeight w:val="165"/>
          <w:jc w:val="center"/>
        </w:trPr>
        <w:tc>
          <w:tcPr>
            <w:tcW w:w="1257" w:type="dxa"/>
            <w:tcBorders>
              <w:top w:val="nil"/>
              <w:left w:val="single" w:sz="4" w:space="0" w:color="auto"/>
              <w:bottom w:val="single" w:sz="4" w:space="0" w:color="auto"/>
              <w:right w:val="nil"/>
            </w:tcBorders>
            <w:vAlign w:val="center"/>
            <w:hideMark/>
          </w:tcPr>
          <w:p w:rsidR="00705F07" w:rsidRDefault="00185A37">
            <w:pPr>
              <w:jc w:val="center"/>
              <w:rPr>
                <w:color w:val="000000"/>
                <w:sz w:val="12"/>
                <w:szCs w:val="12"/>
              </w:rPr>
            </w:pPr>
            <w:r>
              <w:rPr>
                <w:color w:val="000000"/>
                <w:sz w:val="12"/>
                <w:szCs w:val="12"/>
              </w:rPr>
              <w:t xml:space="preserve">         продажу</w:t>
            </w:r>
          </w:p>
        </w:tc>
        <w:tc>
          <w:tcPr>
            <w:tcW w:w="606"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1 268,0</w:t>
            </w:r>
          </w:p>
        </w:tc>
        <w:tc>
          <w:tcPr>
            <w:tcW w:w="606"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 xml:space="preserve">1 </w:t>
            </w:r>
            <w:r>
              <w:rPr>
                <w:color w:val="000000"/>
                <w:sz w:val="12"/>
                <w:szCs w:val="12"/>
              </w:rPr>
              <w:t>286,9</w:t>
            </w:r>
          </w:p>
        </w:tc>
        <w:tc>
          <w:tcPr>
            <w:tcW w:w="703"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1 517,7</w:t>
            </w:r>
          </w:p>
        </w:tc>
        <w:tc>
          <w:tcPr>
            <w:tcW w:w="646"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1 399,8</w:t>
            </w:r>
          </w:p>
        </w:tc>
        <w:tc>
          <w:tcPr>
            <w:tcW w:w="674"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1 627,4</w:t>
            </w:r>
          </w:p>
        </w:tc>
        <w:tc>
          <w:tcPr>
            <w:tcW w:w="675"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1 574,1</w:t>
            </w:r>
          </w:p>
        </w:tc>
        <w:tc>
          <w:tcPr>
            <w:tcW w:w="630"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1 507,5</w:t>
            </w:r>
          </w:p>
        </w:tc>
        <w:tc>
          <w:tcPr>
            <w:tcW w:w="678"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1 669,3</w:t>
            </w:r>
          </w:p>
        </w:tc>
        <w:tc>
          <w:tcPr>
            <w:tcW w:w="709"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1 547,7</w:t>
            </w:r>
          </w:p>
        </w:tc>
        <w:tc>
          <w:tcPr>
            <w:tcW w:w="705"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1 748,8</w:t>
            </w:r>
          </w:p>
        </w:tc>
        <w:tc>
          <w:tcPr>
            <w:tcW w:w="737"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1 713,3</w:t>
            </w:r>
          </w:p>
        </w:tc>
        <w:tc>
          <w:tcPr>
            <w:tcW w:w="666"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2 065,9</w:t>
            </w:r>
          </w:p>
        </w:tc>
      </w:tr>
      <w:tr w:rsidR="00705F07">
        <w:trPr>
          <w:trHeight w:val="165"/>
          <w:jc w:val="center"/>
        </w:trPr>
        <w:tc>
          <w:tcPr>
            <w:tcW w:w="1257" w:type="dxa"/>
            <w:tcBorders>
              <w:top w:val="nil"/>
              <w:left w:val="single" w:sz="4" w:space="0" w:color="auto"/>
              <w:bottom w:val="single" w:sz="4" w:space="0" w:color="auto"/>
              <w:right w:val="nil"/>
            </w:tcBorders>
            <w:vAlign w:val="center"/>
            <w:hideMark/>
          </w:tcPr>
          <w:p w:rsidR="00705F07" w:rsidRDefault="00185A37">
            <w:pPr>
              <w:jc w:val="center"/>
              <w:rPr>
                <w:color w:val="000000"/>
                <w:sz w:val="12"/>
                <w:szCs w:val="12"/>
              </w:rPr>
            </w:pPr>
            <w:r>
              <w:rPr>
                <w:color w:val="000000"/>
                <w:sz w:val="12"/>
                <w:szCs w:val="12"/>
              </w:rPr>
              <w:t xml:space="preserve">         купівлі</w:t>
            </w:r>
          </w:p>
        </w:tc>
        <w:tc>
          <w:tcPr>
            <w:tcW w:w="606"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1 074,5</w:t>
            </w:r>
          </w:p>
        </w:tc>
        <w:tc>
          <w:tcPr>
            <w:tcW w:w="60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1 081,8</w:t>
            </w:r>
          </w:p>
        </w:tc>
        <w:tc>
          <w:tcPr>
            <w:tcW w:w="703"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1 236,8</w:t>
            </w:r>
          </w:p>
        </w:tc>
        <w:tc>
          <w:tcPr>
            <w:tcW w:w="64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1 194,9</w:t>
            </w:r>
          </w:p>
        </w:tc>
        <w:tc>
          <w:tcPr>
            <w:tcW w:w="674"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1 377,2</w:t>
            </w:r>
          </w:p>
        </w:tc>
        <w:tc>
          <w:tcPr>
            <w:tcW w:w="67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1 397,7</w:t>
            </w:r>
          </w:p>
        </w:tc>
        <w:tc>
          <w:tcPr>
            <w:tcW w:w="630"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1 382,4</w:t>
            </w:r>
          </w:p>
        </w:tc>
        <w:tc>
          <w:tcPr>
            <w:tcW w:w="678"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1 488,6</w:t>
            </w:r>
          </w:p>
        </w:tc>
        <w:tc>
          <w:tcPr>
            <w:tcW w:w="709"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1 365,0</w:t>
            </w:r>
          </w:p>
        </w:tc>
        <w:tc>
          <w:tcPr>
            <w:tcW w:w="70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1 368,7</w:t>
            </w:r>
          </w:p>
        </w:tc>
        <w:tc>
          <w:tcPr>
            <w:tcW w:w="737"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1 338,6</w:t>
            </w:r>
          </w:p>
        </w:tc>
        <w:tc>
          <w:tcPr>
            <w:tcW w:w="66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1 258,4</w:t>
            </w:r>
          </w:p>
        </w:tc>
      </w:tr>
    </w:tbl>
    <w:p w:rsidR="00705F07" w:rsidRDefault="00185A37">
      <w:pPr>
        <w:spacing w:line="360" w:lineRule="auto"/>
        <w:ind w:firstLine="709"/>
        <w:jc w:val="right"/>
        <w:rPr>
          <w:color w:val="000000"/>
          <w:sz w:val="28"/>
          <w:szCs w:val="28"/>
          <w:lang w:val="uk-UA"/>
        </w:rPr>
      </w:pPr>
      <w:r>
        <w:rPr>
          <w:color w:val="000000"/>
          <w:sz w:val="28"/>
          <w:szCs w:val="28"/>
          <w:lang w:val="uk-UA"/>
        </w:rPr>
        <w:t>Продовження додатку Б</w:t>
      </w:r>
    </w:p>
    <w:p w:rsidR="00705F07" w:rsidRDefault="00185A37">
      <w:pPr>
        <w:spacing w:line="360" w:lineRule="auto"/>
        <w:ind w:firstLine="709"/>
        <w:jc w:val="right"/>
        <w:rPr>
          <w:color w:val="000000"/>
          <w:sz w:val="28"/>
          <w:szCs w:val="28"/>
          <w:lang w:val="uk-UA"/>
        </w:rPr>
      </w:pPr>
      <w:r>
        <w:rPr>
          <w:color w:val="000000"/>
          <w:sz w:val="28"/>
          <w:szCs w:val="28"/>
          <w:lang w:val="uk-UA"/>
        </w:rPr>
        <w:t>Продовження табл. Б.1</w:t>
      </w:r>
    </w:p>
    <w:tbl>
      <w:tblPr>
        <w:tblW w:w="92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6"/>
        <w:gridCol w:w="591"/>
        <w:gridCol w:w="599"/>
        <w:gridCol w:w="745"/>
        <w:gridCol w:w="646"/>
        <w:gridCol w:w="686"/>
        <w:gridCol w:w="695"/>
        <w:gridCol w:w="638"/>
        <w:gridCol w:w="692"/>
        <w:gridCol w:w="745"/>
        <w:gridCol w:w="718"/>
        <w:gridCol w:w="766"/>
        <w:gridCol w:w="677"/>
      </w:tblGrid>
      <w:tr w:rsidR="00705F07">
        <w:trPr>
          <w:trHeight w:val="165"/>
          <w:jc w:val="center"/>
        </w:trPr>
        <w:tc>
          <w:tcPr>
            <w:tcW w:w="1257" w:type="dxa"/>
            <w:vAlign w:val="center"/>
            <w:hideMark/>
          </w:tcPr>
          <w:p w:rsidR="00705F07" w:rsidRDefault="00185A37">
            <w:pPr>
              <w:jc w:val="center"/>
              <w:rPr>
                <w:bCs/>
                <w:color w:val="000000"/>
                <w:sz w:val="12"/>
                <w:szCs w:val="12"/>
              </w:rPr>
            </w:pPr>
            <w:r>
              <w:rPr>
                <w:bCs/>
                <w:color w:val="000000"/>
                <w:sz w:val="12"/>
                <w:szCs w:val="12"/>
              </w:rPr>
              <w:t xml:space="preserve">Показники </w:t>
            </w:r>
            <w:r>
              <w:rPr>
                <w:bCs/>
                <w:color w:val="000000"/>
                <w:sz w:val="12"/>
                <w:szCs w:val="12"/>
              </w:rPr>
              <w:t>валютного ринку України за 2023 рік</w:t>
            </w:r>
          </w:p>
        </w:tc>
        <w:tc>
          <w:tcPr>
            <w:tcW w:w="606" w:type="dxa"/>
            <w:vAlign w:val="center"/>
            <w:hideMark/>
          </w:tcPr>
          <w:p w:rsidR="00705F07" w:rsidRDefault="00185A37">
            <w:pPr>
              <w:jc w:val="center"/>
              <w:rPr>
                <w:bCs/>
                <w:color w:val="000000"/>
                <w:sz w:val="12"/>
                <w:szCs w:val="12"/>
              </w:rPr>
            </w:pPr>
            <w:r>
              <w:rPr>
                <w:bCs/>
                <w:color w:val="000000"/>
                <w:sz w:val="12"/>
                <w:szCs w:val="12"/>
              </w:rPr>
              <w:t>Січень</w:t>
            </w:r>
          </w:p>
        </w:tc>
        <w:tc>
          <w:tcPr>
            <w:tcW w:w="606" w:type="dxa"/>
            <w:vAlign w:val="center"/>
            <w:hideMark/>
          </w:tcPr>
          <w:p w:rsidR="00705F07" w:rsidRDefault="00185A37">
            <w:pPr>
              <w:jc w:val="center"/>
              <w:rPr>
                <w:bCs/>
                <w:color w:val="000000"/>
                <w:sz w:val="12"/>
                <w:szCs w:val="12"/>
              </w:rPr>
            </w:pPr>
            <w:r>
              <w:rPr>
                <w:bCs/>
                <w:color w:val="000000"/>
                <w:sz w:val="12"/>
                <w:szCs w:val="12"/>
              </w:rPr>
              <w:t>Лютий</w:t>
            </w:r>
          </w:p>
        </w:tc>
        <w:tc>
          <w:tcPr>
            <w:tcW w:w="703" w:type="dxa"/>
            <w:vAlign w:val="center"/>
            <w:hideMark/>
          </w:tcPr>
          <w:p w:rsidR="00705F07" w:rsidRDefault="00185A37">
            <w:pPr>
              <w:jc w:val="center"/>
              <w:rPr>
                <w:bCs/>
                <w:color w:val="000000"/>
                <w:sz w:val="12"/>
                <w:szCs w:val="12"/>
              </w:rPr>
            </w:pPr>
            <w:r>
              <w:rPr>
                <w:bCs/>
                <w:color w:val="000000"/>
                <w:sz w:val="12"/>
                <w:szCs w:val="12"/>
              </w:rPr>
              <w:t>Березень</w:t>
            </w:r>
          </w:p>
        </w:tc>
        <w:tc>
          <w:tcPr>
            <w:tcW w:w="646" w:type="dxa"/>
            <w:vAlign w:val="center"/>
            <w:hideMark/>
          </w:tcPr>
          <w:p w:rsidR="00705F07" w:rsidRDefault="00185A37">
            <w:pPr>
              <w:jc w:val="center"/>
              <w:rPr>
                <w:bCs/>
                <w:color w:val="000000"/>
                <w:sz w:val="12"/>
                <w:szCs w:val="12"/>
              </w:rPr>
            </w:pPr>
            <w:r>
              <w:rPr>
                <w:bCs/>
                <w:color w:val="000000"/>
                <w:sz w:val="12"/>
                <w:szCs w:val="12"/>
              </w:rPr>
              <w:t>Квітень</w:t>
            </w:r>
          </w:p>
        </w:tc>
        <w:tc>
          <w:tcPr>
            <w:tcW w:w="674" w:type="dxa"/>
            <w:vAlign w:val="center"/>
            <w:hideMark/>
          </w:tcPr>
          <w:p w:rsidR="00705F07" w:rsidRDefault="00185A37">
            <w:pPr>
              <w:jc w:val="center"/>
              <w:rPr>
                <w:bCs/>
                <w:color w:val="000000"/>
                <w:sz w:val="12"/>
                <w:szCs w:val="12"/>
              </w:rPr>
            </w:pPr>
            <w:r>
              <w:rPr>
                <w:bCs/>
                <w:color w:val="000000"/>
                <w:sz w:val="12"/>
                <w:szCs w:val="12"/>
              </w:rPr>
              <w:t>Травень</w:t>
            </w:r>
          </w:p>
        </w:tc>
        <w:tc>
          <w:tcPr>
            <w:tcW w:w="675" w:type="dxa"/>
            <w:vAlign w:val="center"/>
            <w:hideMark/>
          </w:tcPr>
          <w:p w:rsidR="00705F07" w:rsidRDefault="00185A37">
            <w:pPr>
              <w:jc w:val="center"/>
              <w:rPr>
                <w:bCs/>
                <w:color w:val="000000"/>
                <w:sz w:val="12"/>
                <w:szCs w:val="12"/>
              </w:rPr>
            </w:pPr>
            <w:r>
              <w:rPr>
                <w:bCs/>
                <w:color w:val="000000"/>
                <w:sz w:val="12"/>
                <w:szCs w:val="12"/>
              </w:rPr>
              <w:t>Червень</w:t>
            </w:r>
          </w:p>
        </w:tc>
        <w:tc>
          <w:tcPr>
            <w:tcW w:w="630" w:type="dxa"/>
            <w:vAlign w:val="center"/>
            <w:hideMark/>
          </w:tcPr>
          <w:p w:rsidR="00705F07" w:rsidRDefault="00185A37">
            <w:pPr>
              <w:jc w:val="center"/>
              <w:rPr>
                <w:bCs/>
                <w:color w:val="000000"/>
                <w:sz w:val="12"/>
                <w:szCs w:val="12"/>
              </w:rPr>
            </w:pPr>
            <w:r>
              <w:rPr>
                <w:bCs/>
                <w:color w:val="000000"/>
                <w:sz w:val="12"/>
                <w:szCs w:val="12"/>
              </w:rPr>
              <w:t>Липень</w:t>
            </w:r>
          </w:p>
        </w:tc>
        <w:tc>
          <w:tcPr>
            <w:tcW w:w="678" w:type="dxa"/>
            <w:vAlign w:val="center"/>
            <w:hideMark/>
          </w:tcPr>
          <w:p w:rsidR="00705F07" w:rsidRDefault="00185A37">
            <w:pPr>
              <w:jc w:val="center"/>
              <w:rPr>
                <w:bCs/>
                <w:color w:val="000000"/>
                <w:sz w:val="12"/>
                <w:szCs w:val="12"/>
              </w:rPr>
            </w:pPr>
            <w:r>
              <w:rPr>
                <w:bCs/>
                <w:color w:val="000000"/>
                <w:sz w:val="12"/>
                <w:szCs w:val="12"/>
              </w:rPr>
              <w:t>Серпень</w:t>
            </w:r>
          </w:p>
        </w:tc>
        <w:tc>
          <w:tcPr>
            <w:tcW w:w="709" w:type="dxa"/>
            <w:vAlign w:val="center"/>
            <w:hideMark/>
          </w:tcPr>
          <w:p w:rsidR="00705F07" w:rsidRDefault="00185A37">
            <w:pPr>
              <w:jc w:val="center"/>
              <w:rPr>
                <w:bCs/>
                <w:color w:val="000000"/>
                <w:sz w:val="12"/>
                <w:szCs w:val="12"/>
              </w:rPr>
            </w:pPr>
            <w:r>
              <w:rPr>
                <w:bCs/>
                <w:color w:val="000000"/>
                <w:sz w:val="12"/>
                <w:szCs w:val="12"/>
              </w:rPr>
              <w:t>Вересень</w:t>
            </w:r>
          </w:p>
        </w:tc>
        <w:tc>
          <w:tcPr>
            <w:tcW w:w="705" w:type="dxa"/>
            <w:vAlign w:val="center"/>
            <w:hideMark/>
          </w:tcPr>
          <w:p w:rsidR="00705F07" w:rsidRDefault="00185A37">
            <w:pPr>
              <w:jc w:val="center"/>
              <w:rPr>
                <w:bCs/>
                <w:color w:val="000000"/>
                <w:sz w:val="12"/>
                <w:szCs w:val="12"/>
              </w:rPr>
            </w:pPr>
            <w:r>
              <w:rPr>
                <w:bCs/>
                <w:color w:val="000000"/>
                <w:sz w:val="12"/>
                <w:szCs w:val="12"/>
              </w:rPr>
              <w:t>Жовтень</w:t>
            </w:r>
          </w:p>
        </w:tc>
        <w:tc>
          <w:tcPr>
            <w:tcW w:w="737" w:type="dxa"/>
            <w:vAlign w:val="center"/>
            <w:hideMark/>
          </w:tcPr>
          <w:p w:rsidR="00705F07" w:rsidRDefault="00185A37">
            <w:pPr>
              <w:jc w:val="center"/>
              <w:rPr>
                <w:bCs/>
                <w:color w:val="000000"/>
                <w:sz w:val="12"/>
                <w:szCs w:val="12"/>
              </w:rPr>
            </w:pPr>
            <w:r>
              <w:rPr>
                <w:bCs/>
                <w:color w:val="000000"/>
                <w:sz w:val="12"/>
                <w:szCs w:val="12"/>
              </w:rPr>
              <w:t>Листопад</w:t>
            </w:r>
          </w:p>
        </w:tc>
        <w:tc>
          <w:tcPr>
            <w:tcW w:w="666" w:type="dxa"/>
            <w:vAlign w:val="center"/>
            <w:hideMark/>
          </w:tcPr>
          <w:p w:rsidR="00705F07" w:rsidRDefault="00185A37">
            <w:pPr>
              <w:jc w:val="center"/>
              <w:rPr>
                <w:bCs/>
                <w:color w:val="000000"/>
                <w:sz w:val="12"/>
                <w:szCs w:val="12"/>
              </w:rPr>
            </w:pPr>
            <w:r>
              <w:rPr>
                <w:bCs/>
                <w:color w:val="000000"/>
                <w:sz w:val="12"/>
                <w:szCs w:val="12"/>
              </w:rPr>
              <w:t>Грудень</w:t>
            </w:r>
          </w:p>
        </w:tc>
      </w:tr>
      <w:tr w:rsidR="00705F07">
        <w:trPr>
          <w:trHeight w:val="165"/>
          <w:jc w:val="center"/>
        </w:trPr>
        <w:tc>
          <w:tcPr>
            <w:tcW w:w="1257" w:type="dxa"/>
            <w:shd w:val="clear" w:color="000000" w:fill="B6DDE8"/>
            <w:vAlign w:val="center"/>
            <w:hideMark/>
          </w:tcPr>
          <w:p w:rsidR="00705F07" w:rsidRDefault="00705F07">
            <w:pPr>
              <w:rPr>
                <w:bCs/>
                <w:color w:val="000000"/>
                <w:sz w:val="12"/>
                <w:szCs w:val="12"/>
              </w:rPr>
            </w:pPr>
          </w:p>
        </w:tc>
        <w:tc>
          <w:tcPr>
            <w:tcW w:w="606" w:type="dxa"/>
            <w:shd w:val="clear" w:color="000000" w:fill="B6DDE8"/>
            <w:vAlign w:val="center"/>
            <w:hideMark/>
          </w:tcPr>
          <w:p w:rsidR="00705F07" w:rsidRDefault="00705F07">
            <w:pPr>
              <w:rPr>
                <w:bCs/>
                <w:color w:val="000000"/>
                <w:sz w:val="12"/>
                <w:szCs w:val="12"/>
              </w:rPr>
            </w:pPr>
          </w:p>
        </w:tc>
        <w:tc>
          <w:tcPr>
            <w:tcW w:w="606" w:type="dxa"/>
            <w:shd w:val="clear" w:color="000000" w:fill="B6DDE8"/>
            <w:vAlign w:val="center"/>
            <w:hideMark/>
          </w:tcPr>
          <w:p w:rsidR="00705F07" w:rsidRDefault="00705F07">
            <w:pPr>
              <w:rPr>
                <w:bCs/>
                <w:color w:val="000000"/>
                <w:sz w:val="12"/>
                <w:szCs w:val="12"/>
              </w:rPr>
            </w:pPr>
          </w:p>
        </w:tc>
        <w:tc>
          <w:tcPr>
            <w:tcW w:w="703" w:type="dxa"/>
            <w:shd w:val="clear" w:color="000000" w:fill="B6DDE8"/>
            <w:vAlign w:val="center"/>
            <w:hideMark/>
          </w:tcPr>
          <w:p w:rsidR="00705F07" w:rsidRDefault="00705F07">
            <w:pPr>
              <w:rPr>
                <w:bCs/>
                <w:color w:val="000000"/>
                <w:sz w:val="12"/>
                <w:szCs w:val="12"/>
              </w:rPr>
            </w:pPr>
          </w:p>
        </w:tc>
        <w:tc>
          <w:tcPr>
            <w:tcW w:w="646" w:type="dxa"/>
            <w:shd w:val="clear" w:color="000000" w:fill="B6DDE8"/>
            <w:vAlign w:val="center"/>
            <w:hideMark/>
          </w:tcPr>
          <w:p w:rsidR="00705F07" w:rsidRDefault="00705F07">
            <w:pPr>
              <w:rPr>
                <w:bCs/>
                <w:color w:val="000000"/>
                <w:sz w:val="12"/>
                <w:szCs w:val="12"/>
              </w:rPr>
            </w:pPr>
          </w:p>
        </w:tc>
        <w:tc>
          <w:tcPr>
            <w:tcW w:w="674" w:type="dxa"/>
            <w:shd w:val="clear" w:color="000000" w:fill="B6DDE8"/>
            <w:vAlign w:val="center"/>
            <w:hideMark/>
          </w:tcPr>
          <w:p w:rsidR="00705F07" w:rsidRDefault="00705F07">
            <w:pPr>
              <w:rPr>
                <w:bCs/>
                <w:color w:val="000000"/>
                <w:sz w:val="12"/>
                <w:szCs w:val="12"/>
              </w:rPr>
            </w:pPr>
          </w:p>
        </w:tc>
        <w:tc>
          <w:tcPr>
            <w:tcW w:w="675" w:type="dxa"/>
            <w:shd w:val="clear" w:color="000000" w:fill="B6DDE8"/>
            <w:vAlign w:val="center"/>
            <w:hideMark/>
          </w:tcPr>
          <w:p w:rsidR="00705F07" w:rsidRDefault="00705F07">
            <w:pPr>
              <w:rPr>
                <w:bCs/>
                <w:color w:val="000000"/>
                <w:sz w:val="12"/>
                <w:szCs w:val="12"/>
              </w:rPr>
            </w:pPr>
          </w:p>
        </w:tc>
        <w:tc>
          <w:tcPr>
            <w:tcW w:w="630" w:type="dxa"/>
            <w:shd w:val="clear" w:color="000000" w:fill="B6DDE8"/>
            <w:vAlign w:val="center"/>
            <w:hideMark/>
          </w:tcPr>
          <w:p w:rsidR="00705F07" w:rsidRDefault="00705F07">
            <w:pPr>
              <w:rPr>
                <w:bCs/>
                <w:color w:val="000000"/>
                <w:sz w:val="12"/>
                <w:szCs w:val="12"/>
              </w:rPr>
            </w:pPr>
          </w:p>
        </w:tc>
        <w:tc>
          <w:tcPr>
            <w:tcW w:w="678" w:type="dxa"/>
            <w:shd w:val="clear" w:color="000000" w:fill="B6DDE8"/>
            <w:vAlign w:val="center"/>
            <w:hideMark/>
          </w:tcPr>
          <w:p w:rsidR="00705F07" w:rsidRDefault="00705F07">
            <w:pPr>
              <w:rPr>
                <w:bCs/>
                <w:color w:val="000000"/>
                <w:sz w:val="12"/>
                <w:szCs w:val="12"/>
              </w:rPr>
            </w:pPr>
          </w:p>
        </w:tc>
        <w:tc>
          <w:tcPr>
            <w:tcW w:w="709" w:type="dxa"/>
            <w:shd w:val="clear" w:color="000000" w:fill="B6DDE8"/>
            <w:vAlign w:val="center"/>
            <w:hideMark/>
          </w:tcPr>
          <w:p w:rsidR="00705F07" w:rsidRDefault="00705F07">
            <w:pPr>
              <w:rPr>
                <w:bCs/>
                <w:color w:val="000000"/>
                <w:sz w:val="12"/>
                <w:szCs w:val="12"/>
              </w:rPr>
            </w:pPr>
          </w:p>
        </w:tc>
        <w:tc>
          <w:tcPr>
            <w:tcW w:w="705" w:type="dxa"/>
            <w:shd w:val="clear" w:color="000000" w:fill="B6DDE8"/>
            <w:vAlign w:val="center"/>
            <w:hideMark/>
          </w:tcPr>
          <w:p w:rsidR="00705F07" w:rsidRDefault="00705F07">
            <w:pPr>
              <w:rPr>
                <w:bCs/>
                <w:color w:val="000000"/>
                <w:sz w:val="12"/>
                <w:szCs w:val="12"/>
              </w:rPr>
            </w:pPr>
          </w:p>
        </w:tc>
        <w:tc>
          <w:tcPr>
            <w:tcW w:w="737" w:type="dxa"/>
            <w:shd w:val="clear" w:color="000000" w:fill="B6DDE8"/>
            <w:vAlign w:val="center"/>
            <w:hideMark/>
          </w:tcPr>
          <w:p w:rsidR="00705F07" w:rsidRDefault="00705F07">
            <w:pPr>
              <w:rPr>
                <w:bCs/>
                <w:color w:val="000000"/>
                <w:sz w:val="12"/>
                <w:szCs w:val="12"/>
              </w:rPr>
            </w:pPr>
          </w:p>
        </w:tc>
        <w:tc>
          <w:tcPr>
            <w:tcW w:w="666" w:type="dxa"/>
            <w:shd w:val="clear" w:color="000000" w:fill="B6DDE8"/>
            <w:vAlign w:val="center"/>
            <w:hideMark/>
          </w:tcPr>
          <w:p w:rsidR="00705F07" w:rsidRDefault="00705F07">
            <w:pPr>
              <w:rPr>
                <w:bCs/>
                <w:color w:val="000000"/>
                <w:sz w:val="12"/>
                <w:szCs w:val="12"/>
              </w:rPr>
            </w:pPr>
          </w:p>
        </w:tc>
      </w:tr>
      <w:tr w:rsidR="00705F07">
        <w:trPr>
          <w:trHeight w:val="165"/>
          <w:jc w:val="center"/>
        </w:trPr>
        <w:tc>
          <w:tcPr>
            <w:tcW w:w="1257" w:type="dxa"/>
            <w:vAlign w:val="center"/>
            <w:hideMark/>
          </w:tcPr>
          <w:p w:rsidR="00705F07" w:rsidRDefault="00185A37">
            <w:pPr>
              <w:jc w:val="center"/>
              <w:rPr>
                <w:color w:val="000000"/>
                <w:sz w:val="12"/>
                <w:szCs w:val="12"/>
              </w:rPr>
            </w:pPr>
            <w:r>
              <w:rPr>
                <w:color w:val="000000"/>
                <w:sz w:val="12"/>
                <w:szCs w:val="12"/>
              </w:rPr>
              <w:t xml:space="preserve">         продажу (млн. дол США)</w:t>
            </w:r>
          </w:p>
        </w:tc>
        <w:tc>
          <w:tcPr>
            <w:tcW w:w="606" w:type="dxa"/>
            <w:vAlign w:val="center"/>
            <w:hideMark/>
          </w:tcPr>
          <w:p w:rsidR="00705F07" w:rsidRDefault="00185A37">
            <w:pPr>
              <w:jc w:val="center"/>
              <w:rPr>
                <w:color w:val="000000"/>
                <w:sz w:val="12"/>
                <w:szCs w:val="12"/>
              </w:rPr>
            </w:pPr>
            <w:r>
              <w:rPr>
                <w:color w:val="000000"/>
                <w:sz w:val="12"/>
                <w:szCs w:val="12"/>
              </w:rPr>
              <w:t>969,1</w:t>
            </w:r>
          </w:p>
        </w:tc>
        <w:tc>
          <w:tcPr>
            <w:tcW w:w="606" w:type="dxa"/>
            <w:vAlign w:val="center"/>
            <w:hideMark/>
          </w:tcPr>
          <w:p w:rsidR="00705F07" w:rsidRDefault="00185A37">
            <w:pPr>
              <w:jc w:val="center"/>
              <w:rPr>
                <w:color w:val="000000"/>
                <w:sz w:val="12"/>
                <w:szCs w:val="12"/>
              </w:rPr>
            </w:pPr>
            <w:r>
              <w:rPr>
                <w:color w:val="000000"/>
                <w:sz w:val="12"/>
                <w:szCs w:val="12"/>
              </w:rPr>
              <w:t>1 003,4</w:t>
            </w:r>
          </w:p>
        </w:tc>
        <w:tc>
          <w:tcPr>
            <w:tcW w:w="703" w:type="dxa"/>
            <w:vAlign w:val="center"/>
            <w:hideMark/>
          </w:tcPr>
          <w:p w:rsidR="00705F07" w:rsidRDefault="00185A37">
            <w:pPr>
              <w:jc w:val="center"/>
              <w:rPr>
                <w:color w:val="000000"/>
                <w:sz w:val="12"/>
                <w:szCs w:val="12"/>
              </w:rPr>
            </w:pPr>
            <w:r>
              <w:rPr>
                <w:color w:val="000000"/>
                <w:sz w:val="12"/>
                <w:szCs w:val="12"/>
              </w:rPr>
              <w:t>1 152,8</w:t>
            </w:r>
          </w:p>
        </w:tc>
        <w:tc>
          <w:tcPr>
            <w:tcW w:w="646" w:type="dxa"/>
            <w:vAlign w:val="center"/>
            <w:hideMark/>
          </w:tcPr>
          <w:p w:rsidR="00705F07" w:rsidRDefault="00185A37">
            <w:pPr>
              <w:jc w:val="center"/>
              <w:rPr>
                <w:color w:val="000000"/>
                <w:sz w:val="12"/>
                <w:szCs w:val="12"/>
              </w:rPr>
            </w:pPr>
            <w:r>
              <w:rPr>
                <w:color w:val="000000"/>
                <w:sz w:val="12"/>
                <w:szCs w:val="12"/>
              </w:rPr>
              <w:t>1 056,7</w:t>
            </w:r>
          </w:p>
        </w:tc>
        <w:tc>
          <w:tcPr>
            <w:tcW w:w="674" w:type="dxa"/>
            <w:vAlign w:val="center"/>
            <w:hideMark/>
          </w:tcPr>
          <w:p w:rsidR="00705F07" w:rsidRDefault="00185A37">
            <w:pPr>
              <w:jc w:val="center"/>
              <w:rPr>
                <w:color w:val="000000"/>
                <w:sz w:val="12"/>
                <w:szCs w:val="12"/>
              </w:rPr>
            </w:pPr>
            <w:r>
              <w:rPr>
                <w:color w:val="000000"/>
                <w:sz w:val="12"/>
                <w:szCs w:val="12"/>
              </w:rPr>
              <w:t>1 251,2</w:t>
            </w:r>
          </w:p>
        </w:tc>
        <w:tc>
          <w:tcPr>
            <w:tcW w:w="675" w:type="dxa"/>
            <w:vAlign w:val="center"/>
            <w:hideMark/>
          </w:tcPr>
          <w:p w:rsidR="00705F07" w:rsidRDefault="00185A37">
            <w:pPr>
              <w:jc w:val="center"/>
              <w:rPr>
                <w:color w:val="000000"/>
                <w:sz w:val="12"/>
                <w:szCs w:val="12"/>
              </w:rPr>
            </w:pPr>
            <w:r>
              <w:rPr>
                <w:color w:val="000000"/>
                <w:sz w:val="12"/>
                <w:szCs w:val="12"/>
              </w:rPr>
              <w:t>1 170,5</w:t>
            </w:r>
          </w:p>
        </w:tc>
        <w:tc>
          <w:tcPr>
            <w:tcW w:w="630" w:type="dxa"/>
            <w:vAlign w:val="center"/>
            <w:hideMark/>
          </w:tcPr>
          <w:p w:rsidR="00705F07" w:rsidRDefault="00185A37">
            <w:pPr>
              <w:jc w:val="center"/>
              <w:rPr>
                <w:color w:val="000000"/>
                <w:sz w:val="12"/>
                <w:szCs w:val="12"/>
              </w:rPr>
            </w:pPr>
            <w:r>
              <w:rPr>
                <w:color w:val="000000"/>
                <w:sz w:val="12"/>
                <w:szCs w:val="12"/>
              </w:rPr>
              <w:t>1 095,1</w:t>
            </w:r>
          </w:p>
        </w:tc>
        <w:tc>
          <w:tcPr>
            <w:tcW w:w="678" w:type="dxa"/>
            <w:vAlign w:val="center"/>
            <w:hideMark/>
          </w:tcPr>
          <w:p w:rsidR="00705F07" w:rsidRDefault="00185A37">
            <w:pPr>
              <w:jc w:val="center"/>
              <w:rPr>
                <w:color w:val="000000"/>
                <w:sz w:val="12"/>
                <w:szCs w:val="12"/>
              </w:rPr>
            </w:pPr>
            <w:r>
              <w:rPr>
                <w:color w:val="000000"/>
                <w:sz w:val="12"/>
                <w:szCs w:val="12"/>
              </w:rPr>
              <w:t>1 162,2</w:t>
            </w:r>
          </w:p>
        </w:tc>
        <w:tc>
          <w:tcPr>
            <w:tcW w:w="709" w:type="dxa"/>
            <w:vAlign w:val="center"/>
            <w:hideMark/>
          </w:tcPr>
          <w:p w:rsidR="00705F07" w:rsidRDefault="00185A37">
            <w:pPr>
              <w:jc w:val="center"/>
              <w:rPr>
                <w:color w:val="000000"/>
                <w:sz w:val="12"/>
                <w:szCs w:val="12"/>
              </w:rPr>
            </w:pPr>
            <w:r>
              <w:rPr>
                <w:color w:val="000000"/>
                <w:sz w:val="12"/>
                <w:szCs w:val="12"/>
              </w:rPr>
              <w:t>1 109,9</w:t>
            </w:r>
          </w:p>
        </w:tc>
        <w:tc>
          <w:tcPr>
            <w:tcW w:w="705" w:type="dxa"/>
            <w:vAlign w:val="center"/>
            <w:hideMark/>
          </w:tcPr>
          <w:p w:rsidR="00705F07" w:rsidRDefault="00185A37">
            <w:pPr>
              <w:jc w:val="center"/>
              <w:rPr>
                <w:color w:val="000000"/>
                <w:sz w:val="12"/>
                <w:szCs w:val="12"/>
              </w:rPr>
            </w:pPr>
            <w:r>
              <w:rPr>
                <w:color w:val="000000"/>
                <w:sz w:val="12"/>
                <w:szCs w:val="12"/>
              </w:rPr>
              <w:t>1 299,8</w:t>
            </w:r>
          </w:p>
        </w:tc>
        <w:tc>
          <w:tcPr>
            <w:tcW w:w="737" w:type="dxa"/>
            <w:vAlign w:val="center"/>
            <w:hideMark/>
          </w:tcPr>
          <w:p w:rsidR="00705F07" w:rsidRDefault="00185A37">
            <w:pPr>
              <w:jc w:val="center"/>
              <w:rPr>
                <w:color w:val="000000"/>
                <w:sz w:val="12"/>
                <w:szCs w:val="12"/>
              </w:rPr>
            </w:pPr>
            <w:r>
              <w:rPr>
                <w:color w:val="000000"/>
                <w:sz w:val="12"/>
                <w:szCs w:val="12"/>
              </w:rPr>
              <w:t>1 270,0</w:t>
            </w:r>
          </w:p>
        </w:tc>
        <w:tc>
          <w:tcPr>
            <w:tcW w:w="666" w:type="dxa"/>
            <w:vAlign w:val="center"/>
            <w:hideMark/>
          </w:tcPr>
          <w:p w:rsidR="00705F07" w:rsidRDefault="00185A37">
            <w:pPr>
              <w:jc w:val="center"/>
              <w:rPr>
                <w:color w:val="000000"/>
                <w:sz w:val="12"/>
                <w:szCs w:val="12"/>
              </w:rPr>
            </w:pPr>
            <w:r>
              <w:rPr>
                <w:color w:val="000000"/>
                <w:sz w:val="12"/>
                <w:szCs w:val="12"/>
              </w:rPr>
              <w:t>1 603,5</w:t>
            </w:r>
          </w:p>
        </w:tc>
      </w:tr>
      <w:tr w:rsidR="00705F07">
        <w:trPr>
          <w:trHeight w:val="165"/>
          <w:jc w:val="center"/>
        </w:trPr>
        <w:tc>
          <w:tcPr>
            <w:tcW w:w="1257" w:type="dxa"/>
            <w:vAlign w:val="center"/>
            <w:hideMark/>
          </w:tcPr>
          <w:p w:rsidR="00705F07" w:rsidRDefault="00185A37">
            <w:pPr>
              <w:jc w:val="center"/>
              <w:rPr>
                <w:color w:val="000000"/>
                <w:sz w:val="12"/>
                <w:szCs w:val="12"/>
              </w:rPr>
            </w:pPr>
            <w:r>
              <w:rPr>
                <w:color w:val="000000"/>
                <w:sz w:val="12"/>
                <w:szCs w:val="12"/>
              </w:rPr>
              <w:t xml:space="preserve">         купівлі (млн. дол США)</w:t>
            </w:r>
          </w:p>
        </w:tc>
        <w:tc>
          <w:tcPr>
            <w:tcW w:w="606" w:type="dxa"/>
            <w:vAlign w:val="center"/>
            <w:hideMark/>
          </w:tcPr>
          <w:p w:rsidR="00705F07" w:rsidRDefault="00185A37">
            <w:pPr>
              <w:jc w:val="center"/>
              <w:rPr>
                <w:color w:val="000000"/>
                <w:sz w:val="12"/>
                <w:szCs w:val="12"/>
              </w:rPr>
            </w:pPr>
            <w:r>
              <w:rPr>
                <w:color w:val="000000"/>
                <w:sz w:val="12"/>
                <w:szCs w:val="12"/>
              </w:rPr>
              <w:t>786,8</w:t>
            </w:r>
          </w:p>
        </w:tc>
        <w:tc>
          <w:tcPr>
            <w:tcW w:w="606" w:type="dxa"/>
            <w:vAlign w:val="center"/>
            <w:hideMark/>
          </w:tcPr>
          <w:p w:rsidR="00705F07" w:rsidRDefault="00185A37">
            <w:pPr>
              <w:jc w:val="center"/>
              <w:rPr>
                <w:color w:val="000000"/>
                <w:sz w:val="12"/>
                <w:szCs w:val="12"/>
              </w:rPr>
            </w:pPr>
            <w:r>
              <w:rPr>
                <w:color w:val="000000"/>
                <w:sz w:val="12"/>
                <w:szCs w:val="12"/>
              </w:rPr>
              <w:t>798,8</w:t>
            </w:r>
          </w:p>
        </w:tc>
        <w:tc>
          <w:tcPr>
            <w:tcW w:w="703" w:type="dxa"/>
            <w:vAlign w:val="center"/>
            <w:hideMark/>
          </w:tcPr>
          <w:p w:rsidR="00705F07" w:rsidRDefault="00185A37">
            <w:pPr>
              <w:jc w:val="center"/>
              <w:rPr>
                <w:color w:val="000000"/>
                <w:sz w:val="12"/>
                <w:szCs w:val="12"/>
              </w:rPr>
            </w:pPr>
            <w:r>
              <w:rPr>
                <w:color w:val="000000"/>
                <w:sz w:val="12"/>
                <w:szCs w:val="12"/>
              </w:rPr>
              <w:t>931,4</w:t>
            </w:r>
          </w:p>
        </w:tc>
        <w:tc>
          <w:tcPr>
            <w:tcW w:w="646" w:type="dxa"/>
            <w:vAlign w:val="center"/>
            <w:hideMark/>
          </w:tcPr>
          <w:p w:rsidR="00705F07" w:rsidRDefault="00185A37">
            <w:pPr>
              <w:jc w:val="center"/>
              <w:rPr>
                <w:color w:val="000000"/>
                <w:sz w:val="12"/>
                <w:szCs w:val="12"/>
              </w:rPr>
            </w:pPr>
            <w:r>
              <w:rPr>
                <w:color w:val="000000"/>
                <w:sz w:val="12"/>
                <w:szCs w:val="12"/>
              </w:rPr>
              <w:t>886,0</w:t>
            </w:r>
          </w:p>
        </w:tc>
        <w:tc>
          <w:tcPr>
            <w:tcW w:w="674" w:type="dxa"/>
            <w:vAlign w:val="center"/>
            <w:hideMark/>
          </w:tcPr>
          <w:p w:rsidR="00705F07" w:rsidRDefault="00185A37">
            <w:pPr>
              <w:jc w:val="center"/>
              <w:rPr>
                <w:color w:val="000000"/>
                <w:sz w:val="12"/>
                <w:szCs w:val="12"/>
              </w:rPr>
            </w:pPr>
            <w:r>
              <w:rPr>
                <w:color w:val="000000"/>
                <w:sz w:val="12"/>
                <w:szCs w:val="12"/>
              </w:rPr>
              <w:t>1 047,9</w:t>
            </w:r>
          </w:p>
        </w:tc>
        <w:tc>
          <w:tcPr>
            <w:tcW w:w="675" w:type="dxa"/>
            <w:vAlign w:val="center"/>
            <w:hideMark/>
          </w:tcPr>
          <w:p w:rsidR="00705F07" w:rsidRDefault="00185A37">
            <w:pPr>
              <w:jc w:val="center"/>
              <w:rPr>
                <w:color w:val="000000"/>
                <w:sz w:val="12"/>
                <w:szCs w:val="12"/>
              </w:rPr>
            </w:pPr>
            <w:r>
              <w:rPr>
                <w:color w:val="000000"/>
                <w:sz w:val="12"/>
                <w:szCs w:val="12"/>
              </w:rPr>
              <w:t>1 067,2</w:t>
            </w:r>
          </w:p>
        </w:tc>
        <w:tc>
          <w:tcPr>
            <w:tcW w:w="630" w:type="dxa"/>
            <w:vAlign w:val="center"/>
            <w:hideMark/>
          </w:tcPr>
          <w:p w:rsidR="00705F07" w:rsidRDefault="00185A37">
            <w:pPr>
              <w:jc w:val="center"/>
              <w:rPr>
                <w:color w:val="000000"/>
                <w:sz w:val="12"/>
                <w:szCs w:val="12"/>
              </w:rPr>
            </w:pPr>
            <w:r>
              <w:rPr>
                <w:color w:val="000000"/>
                <w:sz w:val="12"/>
                <w:szCs w:val="12"/>
              </w:rPr>
              <w:t>1 017,7</w:t>
            </w:r>
          </w:p>
        </w:tc>
        <w:tc>
          <w:tcPr>
            <w:tcW w:w="678" w:type="dxa"/>
            <w:vAlign w:val="center"/>
            <w:hideMark/>
          </w:tcPr>
          <w:p w:rsidR="00705F07" w:rsidRDefault="00185A37">
            <w:pPr>
              <w:jc w:val="center"/>
              <w:rPr>
                <w:color w:val="000000"/>
                <w:sz w:val="12"/>
                <w:szCs w:val="12"/>
              </w:rPr>
            </w:pPr>
            <w:r>
              <w:rPr>
                <w:color w:val="000000"/>
                <w:sz w:val="12"/>
                <w:szCs w:val="12"/>
              </w:rPr>
              <w:t>1 065,8</w:t>
            </w:r>
          </w:p>
        </w:tc>
        <w:tc>
          <w:tcPr>
            <w:tcW w:w="709" w:type="dxa"/>
            <w:vAlign w:val="center"/>
            <w:hideMark/>
          </w:tcPr>
          <w:p w:rsidR="00705F07" w:rsidRDefault="00185A37">
            <w:pPr>
              <w:jc w:val="center"/>
              <w:rPr>
                <w:color w:val="000000"/>
                <w:sz w:val="12"/>
                <w:szCs w:val="12"/>
              </w:rPr>
            </w:pPr>
            <w:r>
              <w:rPr>
                <w:color w:val="000000"/>
                <w:sz w:val="12"/>
                <w:szCs w:val="12"/>
              </w:rPr>
              <w:t>1 025,9</w:t>
            </w:r>
          </w:p>
        </w:tc>
        <w:tc>
          <w:tcPr>
            <w:tcW w:w="705" w:type="dxa"/>
            <w:vAlign w:val="center"/>
            <w:hideMark/>
          </w:tcPr>
          <w:p w:rsidR="00705F07" w:rsidRDefault="00185A37">
            <w:pPr>
              <w:jc w:val="center"/>
              <w:rPr>
                <w:color w:val="000000"/>
                <w:sz w:val="12"/>
                <w:szCs w:val="12"/>
              </w:rPr>
            </w:pPr>
            <w:r>
              <w:rPr>
                <w:color w:val="000000"/>
                <w:sz w:val="12"/>
                <w:szCs w:val="12"/>
              </w:rPr>
              <w:t>1 033,9</w:t>
            </w:r>
          </w:p>
        </w:tc>
        <w:tc>
          <w:tcPr>
            <w:tcW w:w="737" w:type="dxa"/>
            <w:vAlign w:val="center"/>
            <w:hideMark/>
          </w:tcPr>
          <w:p w:rsidR="00705F07" w:rsidRDefault="00185A37">
            <w:pPr>
              <w:jc w:val="center"/>
              <w:rPr>
                <w:color w:val="000000"/>
                <w:sz w:val="12"/>
                <w:szCs w:val="12"/>
              </w:rPr>
            </w:pPr>
            <w:r>
              <w:rPr>
                <w:color w:val="000000"/>
                <w:sz w:val="12"/>
                <w:szCs w:val="12"/>
              </w:rPr>
              <w:t>1 000,3</w:t>
            </w:r>
          </w:p>
        </w:tc>
        <w:tc>
          <w:tcPr>
            <w:tcW w:w="666" w:type="dxa"/>
            <w:vAlign w:val="center"/>
            <w:hideMark/>
          </w:tcPr>
          <w:p w:rsidR="00705F07" w:rsidRDefault="00185A37">
            <w:pPr>
              <w:jc w:val="center"/>
              <w:rPr>
                <w:color w:val="000000"/>
                <w:sz w:val="12"/>
                <w:szCs w:val="12"/>
              </w:rPr>
            </w:pPr>
            <w:r>
              <w:rPr>
                <w:color w:val="000000"/>
                <w:sz w:val="12"/>
                <w:szCs w:val="12"/>
              </w:rPr>
              <w:t>939,4</w:t>
            </w:r>
          </w:p>
        </w:tc>
      </w:tr>
      <w:tr w:rsidR="00705F07">
        <w:trPr>
          <w:trHeight w:val="165"/>
          <w:jc w:val="center"/>
        </w:trPr>
        <w:tc>
          <w:tcPr>
            <w:tcW w:w="1257" w:type="dxa"/>
            <w:shd w:val="clear" w:color="000000" w:fill="B6DDE8"/>
            <w:vAlign w:val="center"/>
            <w:hideMark/>
          </w:tcPr>
          <w:p w:rsidR="00705F07" w:rsidRDefault="00185A37">
            <w:pPr>
              <w:jc w:val="center"/>
              <w:rPr>
                <w:color w:val="000000"/>
                <w:sz w:val="12"/>
                <w:szCs w:val="12"/>
              </w:rPr>
            </w:pPr>
            <w:r>
              <w:rPr>
                <w:color w:val="000000"/>
                <w:sz w:val="12"/>
                <w:szCs w:val="12"/>
              </w:rPr>
              <w:t>Сальдо (продаж мінус купівля, млн. дол США)</w:t>
            </w:r>
          </w:p>
        </w:tc>
        <w:tc>
          <w:tcPr>
            <w:tcW w:w="606" w:type="dxa"/>
            <w:shd w:val="clear" w:color="000000" w:fill="B6DDE8"/>
            <w:vAlign w:val="center"/>
            <w:hideMark/>
          </w:tcPr>
          <w:p w:rsidR="00705F07" w:rsidRDefault="00185A37">
            <w:pPr>
              <w:jc w:val="center"/>
              <w:rPr>
                <w:color w:val="000000"/>
                <w:sz w:val="12"/>
                <w:szCs w:val="12"/>
              </w:rPr>
            </w:pPr>
            <w:r>
              <w:rPr>
                <w:color w:val="000000"/>
                <w:sz w:val="12"/>
                <w:szCs w:val="12"/>
              </w:rPr>
              <w:t>182,3</w:t>
            </w:r>
          </w:p>
        </w:tc>
        <w:tc>
          <w:tcPr>
            <w:tcW w:w="606" w:type="dxa"/>
            <w:shd w:val="clear" w:color="000000" w:fill="B6DDE8"/>
            <w:vAlign w:val="center"/>
            <w:hideMark/>
          </w:tcPr>
          <w:p w:rsidR="00705F07" w:rsidRDefault="00185A37">
            <w:pPr>
              <w:jc w:val="center"/>
              <w:rPr>
                <w:color w:val="000000"/>
                <w:sz w:val="12"/>
                <w:szCs w:val="12"/>
              </w:rPr>
            </w:pPr>
            <w:r>
              <w:rPr>
                <w:color w:val="000000"/>
                <w:sz w:val="12"/>
                <w:szCs w:val="12"/>
              </w:rPr>
              <w:t>204,6</w:t>
            </w:r>
          </w:p>
        </w:tc>
        <w:tc>
          <w:tcPr>
            <w:tcW w:w="703" w:type="dxa"/>
            <w:shd w:val="clear" w:color="000000" w:fill="B6DDE8"/>
            <w:vAlign w:val="center"/>
            <w:hideMark/>
          </w:tcPr>
          <w:p w:rsidR="00705F07" w:rsidRDefault="00185A37">
            <w:pPr>
              <w:jc w:val="center"/>
              <w:rPr>
                <w:color w:val="000000"/>
                <w:sz w:val="12"/>
                <w:szCs w:val="12"/>
              </w:rPr>
            </w:pPr>
            <w:r>
              <w:rPr>
                <w:color w:val="000000"/>
                <w:sz w:val="12"/>
                <w:szCs w:val="12"/>
              </w:rPr>
              <w:t>221,4</w:t>
            </w:r>
          </w:p>
        </w:tc>
        <w:tc>
          <w:tcPr>
            <w:tcW w:w="646" w:type="dxa"/>
            <w:shd w:val="clear" w:color="000000" w:fill="B6DDE8"/>
            <w:vAlign w:val="center"/>
            <w:hideMark/>
          </w:tcPr>
          <w:p w:rsidR="00705F07" w:rsidRDefault="00185A37">
            <w:pPr>
              <w:jc w:val="center"/>
              <w:rPr>
                <w:color w:val="000000"/>
                <w:sz w:val="12"/>
                <w:szCs w:val="12"/>
              </w:rPr>
            </w:pPr>
            <w:r>
              <w:rPr>
                <w:color w:val="000000"/>
                <w:sz w:val="12"/>
                <w:szCs w:val="12"/>
              </w:rPr>
              <w:t>170,7</w:t>
            </w:r>
          </w:p>
        </w:tc>
        <w:tc>
          <w:tcPr>
            <w:tcW w:w="674" w:type="dxa"/>
            <w:shd w:val="clear" w:color="000000" w:fill="B6DDE8"/>
            <w:vAlign w:val="center"/>
            <w:hideMark/>
          </w:tcPr>
          <w:p w:rsidR="00705F07" w:rsidRDefault="00185A37">
            <w:pPr>
              <w:jc w:val="center"/>
              <w:rPr>
                <w:color w:val="000000"/>
                <w:sz w:val="12"/>
                <w:szCs w:val="12"/>
              </w:rPr>
            </w:pPr>
            <w:r>
              <w:rPr>
                <w:color w:val="000000"/>
                <w:sz w:val="12"/>
                <w:szCs w:val="12"/>
              </w:rPr>
              <w:t>203,4</w:t>
            </w:r>
          </w:p>
        </w:tc>
        <w:tc>
          <w:tcPr>
            <w:tcW w:w="675" w:type="dxa"/>
            <w:shd w:val="clear" w:color="000000" w:fill="B6DDE8"/>
            <w:vAlign w:val="center"/>
            <w:hideMark/>
          </w:tcPr>
          <w:p w:rsidR="00705F07" w:rsidRDefault="00185A37">
            <w:pPr>
              <w:jc w:val="center"/>
              <w:rPr>
                <w:color w:val="000000"/>
                <w:sz w:val="12"/>
                <w:szCs w:val="12"/>
              </w:rPr>
            </w:pPr>
            <w:r>
              <w:rPr>
                <w:color w:val="000000"/>
                <w:sz w:val="12"/>
                <w:szCs w:val="12"/>
              </w:rPr>
              <w:t>103,3</w:t>
            </w:r>
          </w:p>
        </w:tc>
        <w:tc>
          <w:tcPr>
            <w:tcW w:w="630" w:type="dxa"/>
            <w:shd w:val="clear" w:color="000000" w:fill="B6DDE8"/>
            <w:vAlign w:val="center"/>
            <w:hideMark/>
          </w:tcPr>
          <w:p w:rsidR="00705F07" w:rsidRDefault="00185A37">
            <w:pPr>
              <w:jc w:val="center"/>
              <w:rPr>
                <w:color w:val="000000"/>
                <w:sz w:val="12"/>
                <w:szCs w:val="12"/>
              </w:rPr>
            </w:pPr>
            <w:r>
              <w:rPr>
                <w:color w:val="000000"/>
                <w:sz w:val="12"/>
                <w:szCs w:val="12"/>
              </w:rPr>
              <w:t>77,3</w:t>
            </w:r>
          </w:p>
        </w:tc>
        <w:tc>
          <w:tcPr>
            <w:tcW w:w="678" w:type="dxa"/>
            <w:shd w:val="clear" w:color="000000" w:fill="B6DDE8"/>
            <w:vAlign w:val="center"/>
            <w:hideMark/>
          </w:tcPr>
          <w:p w:rsidR="00705F07" w:rsidRDefault="00185A37">
            <w:pPr>
              <w:jc w:val="center"/>
              <w:rPr>
                <w:color w:val="000000"/>
                <w:sz w:val="12"/>
                <w:szCs w:val="12"/>
              </w:rPr>
            </w:pPr>
            <w:r>
              <w:rPr>
                <w:color w:val="000000"/>
                <w:sz w:val="12"/>
                <w:szCs w:val="12"/>
              </w:rPr>
              <w:t>96,4</w:t>
            </w:r>
          </w:p>
        </w:tc>
        <w:tc>
          <w:tcPr>
            <w:tcW w:w="709" w:type="dxa"/>
            <w:shd w:val="clear" w:color="000000" w:fill="B6DDE8"/>
            <w:vAlign w:val="center"/>
            <w:hideMark/>
          </w:tcPr>
          <w:p w:rsidR="00705F07" w:rsidRDefault="00185A37">
            <w:pPr>
              <w:jc w:val="center"/>
              <w:rPr>
                <w:color w:val="000000"/>
                <w:sz w:val="12"/>
                <w:szCs w:val="12"/>
              </w:rPr>
            </w:pPr>
            <w:r>
              <w:rPr>
                <w:color w:val="000000"/>
                <w:sz w:val="12"/>
                <w:szCs w:val="12"/>
              </w:rPr>
              <w:t>84,0</w:t>
            </w:r>
          </w:p>
        </w:tc>
        <w:tc>
          <w:tcPr>
            <w:tcW w:w="705" w:type="dxa"/>
            <w:shd w:val="clear" w:color="000000" w:fill="B6DDE8"/>
            <w:vAlign w:val="center"/>
            <w:hideMark/>
          </w:tcPr>
          <w:p w:rsidR="00705F07" w:rsidRDefault="00185A37">
            <w:pPr>
              <w:jc w:val="center"/>
              <w:rPr>
                <w:color w:val="000000"/>
                <w:sz w:val="12"/>
                <w:szCs w:val="12"/>
              </w:rPr>
            </w:pPr>
            <w:r>
              <w:rPr>
                <w:color w:val="000000"/>
                <w:sz w:val="12"/>
                <w:szCs w:val="12"/>
              </w:rPr>
              <w:t>265,9</w:t>
            </w:r>
          </w:p>
        </w:tc>
        <w:tc>
          <w:tcPr>
            <w:tcW w:w="737" w:type="dxa"/>
            <w:shd w:val="clear" w:color="000000" w:fill="B6DDE8"/>
            <w:vAlign w:val="center"/>
            <w:hideMark/>
          </w:tcPr>
          <w:p w:rsidR="00705F07" w:rsidRDefault="00185A37">
            <w:pPr>
              <w:jc w:val="center"/>
              <w:rPr>
                <w:color w:val="000000"/>
                <w:sz w:val="12"/>
                <w:szCs w:val="12"/>
              </w:rPr>
            </w:pPr>
            <w:r>
              <w:rPr>
                <w:color w:val="000000"/>
                <w:sz w:val="12"/>
                <w:szCs w:val="12"/>
              </w:rPr>
              <w:t>269,7</w:t>
            </w:r>
          </w:p>
        </w:tc>
        <w:tc>
          <w:tcPr>
            <w:tcW w:w="666" w:type="dxa"/>
            <w:shd w:val="clear" w:color="000000" w:fill="B6DDE8"/>
            <w:vAlign w:val="center"/>
            <w:hideMark/>
          </w:tcPr>
          <w:p w:rsidR="00705F07" w:rsidRDefault="00185A37">
            <w:pPr>
              <w:jc w:val="center"/>
              <w:rPr>
                <w:color w:val="000000"/>
                <w:sz w:val="12"/>
                <w:szCs w:val="12"/>
              </w:rPr>
            </w:pPr>
            <w:r>
              <w:rPr>
                <w:color w:val="000000"/>
                <w:sz w:val="12"/>
                <w:szCs w:val="12"/>
              </w:rPr>
              <w:t>664,2</w:t>
            </w:r>
          </w:p>
        </w:tc>
      </w:tr>
      <w:tr w:rsidR="00705F07">
        <w:trPr>
          <w:trHeight w:val="165"/>
          <w:jc w:val="center"/>
        </w:trPr>
        <w:tc>
          <w:tcPr>
            <w:tcW w:w="1257" w:type="dxa"/>
            <w:vAlign w:val="center"/>
            <w:hideMark/>
          </w:tcPr>
          <w:p w:rsidR="00705F07" w:rsidRDefault="00185A37">
            <w:pPr>
              <w:jc w:val="center"/>
              <w:rPr>
                <w:color w:val="000000"/>
                <w:sz w:val="12"/>
                <w:szCs w:val="12"/>
              </w:rPr>
            </w:pPr>
            <w:r>
              <w:rPr>
                <w:color w:val="000000"/>
                <w:sz w:val="12"/>
                <w:szCs w:val="12"/>
              </w:rPr>
              <w:t xml:space="preserve">         продажу (млн. євро в доларовому еквіваленті)</w:t>
            </w:r>
          </w:p>
        </w:tc>
        <w:tc>
          <w:tcPr>
            <w:tcW w:w="606" w:type="dxa"/>
            <w:vAlign w:val="center"/>
            <w:hideMark/>
          </w:tcPr>
          <w:p w:rsidR="00705F07" w:rsidRDefault="00185A37">
            <w:pPr>
              <w:jc w:val="center"/>
              <w:rPr>
                <w:color w:val="000000"/>
                <w:sz w:val="12"/>
                <w:szCs w:val="12"/>
              </w:rPr>
            </w:pPr>
            <w:r>
              <w:rPr>
                <w:color w:val="000000"/>
                <w:sz w:val="12"/>
                <w:szCs w:val="12"/>
              </w:rPr>
              <w:t>262,6</w:t>
            </w:r>
          </w:p>
        </w:tc>
        <w:tc>
          <w:tcPr>
            <w:tcW w:w="606" w:type="dxa"/>
            <w:vAlign w:val="center"/>
            <w:hideMark/>
          </w:tcPr>
          <w:p w:rsidR="00705F07" w:rsidRDefault="00185A37">
            <w:pPr>
              <w:jc w:val="center"/>
              <w:rPr>
                <w:color w:val="000000"/>
                <w:sz w:val="12"/>
                <w:szCs w:val="12"/>
              </w:rPr>
            </w:pPr>
            <w:r>
              <w:rPr>
                <w:color w:val="000000"/>
                <w:sz w:val="12"/>
                <w:szCs w:val="12"/>
              </w:rPr>
              <w:t>253,0</w:t>
            </w:r>
          </w:p>
        </w:tc>
        <w:tc>
          <w:tcPr>
            <w:tcW w:w="703" w:type="dxa"/>
            <w:vAlign w:val="center"/>
            <w:hideMark/>
          </w:tcPr>
          <w:p w:rsidR="00705F07" w:rsidRDefault="00185A37">
            <w:pPr>
              <w:jc w:val="center"/>
              <w:rPr>
                <w:color w:val="000000"/>
                <w:sz w:val="12"/>
                <w:szCs w:val="12"/>
              </w:rPr>
            </w:pPr>
            <w:r>
              <w:rPr>
                <w:color w:val="000000"/>
                <w:sz w:val="12"/>
                <w:szCs w:val="12"/>
              </w:rPr>
              <w:t>324,0</w:t>
            </w:r>
          </w:p>
        </w:tc>
        <w:tc>
          <w:tcPr>
            <w:tcW w:w="646" w:type="dxa"/>
            <w:vAlign w:val="center"/>
            <w:hideMark/>
          </w:tcPr>
          <w:p w:rsidR="00705F07" w:rsidRDefault="00185A37">
            <w:pPr>
              <w:jc w:val="center"/>
              <w:rPr>
                <w:color w:val="000000"/>
                <w:sz w:val="12"/>
                <w:szCs w:val="12"/>
              </w:rPr>
            </w:pPr>
            <w:r>
              <w:rPr>
                <w:color w:val="000000"/>
                <w:sz w:val="12"/>
                <w:szCs w:val="12"/>
              </w:rPr>
              <w:t>298,1</w:t>
            </w:r>
          </w:p>
        </w:tc>
        <w:tc>
          <w:tcPr>
            <w:tcW w:w="674" w:type="dxa"/>
            <w:vAlign w:val="center"/>
            <w:hideMark/>
          </w:tcPr>
          <w:p w:rsidR="00705F07" w:rsidRDefault="00185A37">
            <w:pPr>
              <w:jc w:val="center"/>
              <w:rPr>
                <w:color w:val="000000"/>
                <w:sz w:val="12"/>
                <w:szCs w:val="12"/>
              </w:rPr>
            </w:pPr>
            <w:r>
              <w:rPr>
                <w:color w:val="000000"/>
                <w:sz w:val="12"/>
                <w:szCs w:val="12"/>
              </w:rPr>
              <w:t>323,7</w:t>
            </w:r>
          </w:p>
        </w:tc>
        <w:tc>
          <w:tcPr>
            <w:tcW w:w="675" w:type="dxa"/>
            <w:vAlign w:val="center"/>
            <w:hideMark/>
          </w:tcPr>
          <w:p w:rsidR="00705F07" w:rsidRDefault="00185A37">
            <w:pPr>
              <w:jc w:val="center"/>
              <w:rPr>
                <w:color w:val="000000"/>
                <w:sz w:val="12"/>
                <w:szCs w:val="12"/>
              </w:rPr>
            </w:pPr>
            <w:r>
              <w:rPr>
                <w:color w:val="000000"/>
                <w:sz w:val="12"/>
                <w:szCs w:val="12"/>
              </w:rPr>
              <w:t>353,2</w:t>
            </w:r>
          </w:p>
        </w:tc>
        <w:tc>
          <w:tcPr>
            <w:tcW w:w="630" w:type="dxa"/>
            <w:vAlign w:val="center"/>
            <w:hideMark/>
          </w:tcPr>
          <w:p w:rsidR="00705F07" w:rsidRDefault="00185A37">
            <w:pPr>
              <w:jc w:val="center"/>
              <w:rPr>
                <w:color w:val="000000"/>
                <w:sz w:val="12"/>
                <w:szCs w:val="12"/>
              </w:rPr>
            </w:pPr>
            <w:r>
              <w:rPr>
                <w:color w:val="000000"/>
                <w:sz w:val="12"/>
                <w:szCs w:val="12"/>
              </w:rPr>
              <w:t>355,9</w:t>
            </w:r>
          </w:p>
        </w:tc>
        <w:tc>
          <w:tcPr>
            <w:tcW w:w="678" w:type="dxa"/>
            <w:vAlign w:val="center"/>
            <w:hideMark/>
          </w:tcPr>
          <w:p w:rsidR="00705F07" w:rsidRDefault="00185A37">
            <w:pPr>
              <w:jc w:val="center"/>
              <w:rPr>
                <w:color w:val="000000"/>
                <w:sz w:val="12"/>
                <w:szCs w:val="12"/>
              </w:rPr>
            </w:pPr>
            <w:r>
              <w:rPr>
                <w:color w:val="000000"/>
                <w:sz w:val="12"/>
                <w:szCs w:val="12"/>
              </w:rPr>
              <w:t>413,7</w:t>
            </w:r>
          </w:p>
        </w:tc>
        <w:tc>
          <w:tcPr>
            <w:tcW w:w="709" w:type="dxa"/>
            <w:vAlign w:val="center"/>
            <w:hideMark/>
          </w:tcPr>
          <w:p w:rsidR="00705F07" w:rsidRDefault="00185A37">
            <w:pPr>
              <w:jc w:val="center"/>
              <w:rPr>
                <w:color w:val="000000"/>
                <w:sz w:val="12"/>
                <w:szCs w:val="12"/>
              </w:rPr>
            </w:pPr>
            <w:r>
              <w:rPr>
                <w:color w:val="000000"/>
                <w:sz w:val="12"/>
                <w:szCs w:val="12"/>
              </w:rPr>
              <w:t>381,9</w:t>
            </w:r>
          </w:p>
        </w:tc>
        <w:tc>
          <w:tcPr>
            <w:tcW w:w="705" w:type="dxa"/>
            <w:vAlign w:val="center"/>
            <w:hideMark/>
          </w:tcPr>
          <w:p w:rsidR="00705F07" w:rsidRDefault="00185A37">
            <w:pPr>
              <w:jc w:val="center"/>
              <w:rPr>
                <w:color w:val="000000"/>
                <w:sz w:val="12"/>
                <w:szCs w:val="12"/>
              </w:rPr>
            </w:pPr>
            <w:r>
              <w:rPr>
                <w:color w:val="000000"/>
                <w:sz w:val="12"/>
                <w:szCs w:val="12"/>
              </w:rPr>
              <w:t>395,6</w:t>
            </w:r>
          </w:p>
        </w:tc>
        <w:tc>
          <w:tcPr>
            <w:tcW w:w="737" w:type="dxa"/>
            <w:vAlign w:val="center"/>
            <w:hideMark/>
          </w:tcPr>
          <w:p w:rsidR="00705F07" w:rsidRDefault="00185A37">
            <w:pPr>
              <w:jc w:val="center"/>
              <w:rPr>
                <w:color w:val="000000"/>
                <w:sz w:val="12"/>
                <w:szCs w:val="12"/>
              </w:rPr>
            </w:pPr>
            <w:r>
              <w:rPr>
                <w:color w:val="000000"/>
                <w:sz w:val="12"/>
                <w:szCs w:val="12"/>
              </w:rPr>
              <w:t>385,4</w:t>
            </w:r>
          </w:p>
        </w:tc>
        <w:tc>
          <w:tcPr>
            <w:tcW w:w="666" w:type="dxa"/>
            <w:vAlign w:val="center"/>
            <w:hideMark/>
          </w:tcPr>
          <w:p w:rsidR="00705F07" w:rsidRDefault="00185A37">
            <w:pPr>
              <w:jc w:val="center"/>
              <w:rPr>
                <w:color w:val="000000"/>
                <w:sz w:val="12"/>
                <w:szCs w:val="12"/>
              </w:rPr>
            </w:pPr>
            <w:r>
              <w:rPr>
                <w:color w:val="000000"/>
                <w:sz w:val="12"/>
                <w:szCs w:val="12"/>
              </w:rPr>
              <w:t>408,3</w:t>
            </w:r>
          </w:p>
        </w:tc>
      </w:tr>
      <w:tr w:rsidR="00705F07">
        <w:trPr>
          <w:trHeight w:val="165"/>
          <w:jc w:val="center"/>
        </w:trPr>
        <w:tc>
          <w:tcPr>
            <w:tcW w:w="1257" w:type="dxa"/>
            <w:vAlign w:val="center"/>
            <w:hideMark/>
          </w:tcPr>
          <w:p w:rsidR="00705F07" w:rsidRDefault="00185A37">
            <w:pPr>
              <w:jc w:val="center"/>
              <w:rPr>
                <w:color w:val="000000"/>
                <w:sz w:val="12"/>
                <w:szCs w:val="12"/>
              </w:rPr>
            </w:pPr>
            <w:r>
              <w:rPr>
                <w:color w:val="000000"/>
                <w:sz w:val="12"/>
                <w:szCs w:val="12"/>
              </w:rPr>
              <w:t xml:space="preserve">         купівлі (млн. євро в доларовому еквіваленті)</w:t>
            </w:r>
          </w:p>
        </w:tc>
        <w:tc>
          <w:tcPr>
            <w:tcW w:w="606" w:type="dxa"/>
            <w:vAlign w:val="center"/>
            <w:hideMark/>
          </w:tcPr>
          <w:p w:rsidR="00705F07" w:rsidRDefault="00185A37">
            <w:pPr>
              <w:jc w:val="center"/>
              <w:rPr>
                <w:color w:val="000000"/>
                <w:sz w:val="12"/>
                <w:szCs w:val="12"/>
              </w:rPr>
            </w:pPr>
            <w:r>
              <w:rPr>
                <w:color w:val="000000"/>
                <w:sz w:val="12"/>
                <w:szCs w:val="12"/>
              </w:rPr>
              <w:t>251,2</w:t>
            </w:r>
          </w:p>
        </w:tc>
        <w:tc>
          <w:tcPr>
            <w:tcW w:w="606" w:type="dxa"/>
            <w:vAlign w:val="center"/>
            <w:hideMark/>
          </w:tcPr>
          <w:p w:rsidR="00705F07" w:rsidRDefault="00185A37">
            <w:pPr>
              <w:jc w:val="center"/>
              <w:rPr>
                <w:color w:val="000000"/>
                <w:sz w:val="12"/>
                <w:szCs w:val="12"/>
              </w:rPr>
            </w:pPr>
            <w:r>
              <w:rPr>
                <w:color w:val="000000"/>
                <w:sz w:val="12"/>
                <w:szCs w:val="12"/>
              </w:rPr>
              <w:t>252,0</w:t>
            </w:r>
          </w:p>
        </w:tc>
        <w:tc>
          <w:tcPr>
            <w:tcW w:w="703" w:type="dxa"/>
            <w:vAlign w:val="center"/>
            <w:hideMark/>
          </w:tcPr>
          <w:p w:rsidR="00705F07" w:rsidRDefault="00185A37">
            <w:pPr>
              <w:jc w:val="center"/>
              <w:rPr>
                <w:color w:val="000000"/>
                <w:sz w:val="12"/>
                <w:szCs w:val="12"/>
              </w:rPr>
            </w:pPr>
            <w:r>
              <w:rPr>
                <w:color w:val="000000"/>
                <w:sz w:val="12"/>
                <w:szCs w:val="12"/>
              </w:rPr>
              <w:t>264,2</w:t>
            </w:r>
          </w:p>
        </w:tc>
        <w:tc>
          <w:tcPr>
            <w:tcW w:w="646" w:type="dxa"/>
            <w:vAlign w:val="center"/>
            <w:hideMark/>
          </w:tcPr>
          <w:p w:rsidR="00705F07" w:rsidRDefault="00185A37">
            <w:pPr>
              <w:jc w:val="center"/>
              <w:rPr>
                <w:color w:val="000000"/>
                <w:sz w:val="12"/>
                <w:szCs w:val="12"/>
              </w:rPr>
            </w:pPr>
            <w:r>
              <w:rPr>
                <w:color w:val="000000"/>
                <w:sz w:val="12"/>
                <w:szCs w:val="12"/>
              </w:rPr>
              <w:t>261,2</w:t>
            </w:r>
          </w:p>
        </w:tc>
        <w:tc>
          <w:tcPr>
            <w:tcW w:w="674" w:type="dxa"/>
            <w:vAlign w:val="center"/>
            <w:hideMark/>
          </w:tcPr>
          <w:p w:rsidR="00705F07" w:rsidRDefault="00185A37">
            <w:pPr>
              <w:jc w:val="center"/>
              <w:rPr>
                <w:color w:val="000000"/>
                <w:sz w:val="12"/>
                <w:szCs w:val="12"/>
              </w:rPr>
            </w:pPr>
            <w:r>
              <w:rPr>
                <w:color w:val="000000"/>
                <w:sz w:val="12"/>
                <w:szCs w:val="12"/>
              </w:rPr>
              <w:t>278,3</w:t>
            </w:r>
          </w:p>
        </w:tc>
        <w:tc>
          <w:tcPr>
            <w:tcW w:w="675" w:type="dxa"/>
            <w:vAlign w:val="center"/>
            <w:hideMark/>
          </w:tcPr>
          <w:p w:rsidR="00705F07" w:rsidRDefault="00185A37">
            <w:pPr>
              <w:jc w:val="center"/>
              <w:rPr>
                <w:color w:val="000000"/>
                <w:sz w:val="12"/>
                <w:szCs w:val="12"/>
              </w:rPr>
            </w:pPr>
            <w:r>
              <w:rPr>
                <w:color w:val="000000"/>
                <w:sz w:val="12"/>
                <w:szCs w:val="12"/>
              </w:rPr>
              <w:t>277,4</w:t>
            </w:r>
          </w:p>
        </w:tc>
        <w:tc>
          <w:tcPr>
            <w:tcW w:w="630" w:type="dxa"/>
            <w:vAlign w:val="center"/>
            <w:hideMark/>
          </w:tcPr>
          <w:p w:rsidR="00705F07" w:rsidRDefault="00185A37">
            <w:pPr>
              <w:jc w:val="center"/>
              <w:rPr>
                <w:color w:val="000000"/>
                <w:sz w:val="12"/>
                <w:szCs w:val="12"/>
              </w:rPr>
            </w:pPr>
            <w:r>
              <w:rPr>
                <w:color w:val="000000"/>
                <w:sz w:val="12"/>
                <w:szCs w:val="12"/>
              </w:rPr>
              <w:t>305,8</w:t>
            </w:r>
          </w:p>
        </w:tc>
        <w:tc>
          <w:tcPr>
            <w:tcW w:w="678" w:type="dxa"/>
            <w:vAlign w:val="center"/>
            <w:hideMark/>
          </w:tcPr>
          <w:p w:rsidR="00705F07" w:rsidRDefault="00185A37">
            <w:pPr>
              <w:jc w:val="center"/>
              <w:rPr>
                <w:color w:val="000000"/>
                <w:sz w:val="12"/>
                <w:szCs w:val="12"/>
              </w:rPr>
            </w:pPr>
            <w:r>
              <w:rPr>
                <w:color w:val="000000"/>
                <w:sz w:val="12"/>
                <w:szCs w:val="12"/>
              </w:rPr>
              <w:t>327,8</w:t>
            </w:r>
          </w:p>
        </w:tc>
        <w:tc>
          <w:tcPr>
            <w:tcW w:w="709" w:type="dxa"/>
            <w:vAlign w:val="center"/>
            <w:hideMark/>
          </w:tcPr>
          <w:p w:rsidR="00705F07" w:rsidRDefault="00185A37">
            <w:pPr>
              <w:jc w:val="center"/>
              <w:rPr>
                <w:color w:val="000000"/>
                <w:sz w:val="12"/>
                <w:szCs w:val="12"/>
              </w:rPr>
            </w:pPr>
            <w:r>
              <w:rPr>
                <w:color w:val="000000"/>
                <w:sz w:val="12"/>
                <w:szCs w:val="12"/>
              </w:rPr>
              <w:t>283,4</w:t>
            </w:r>
          </w:p>
        </w:tc>
        <w:tc>
          <w:tcPr>
            <w:tcW w:w="705" w:type="dxa"/>
            <w:vAlign w:val="center"/>
            <w:hideMark/>
          </w:tcPr>
          <w:p w:rsidR="00705F07" w:rsidRDefault="00185A37">
            <w:pPr>
              <w:jc w:val="center"/>
              <w:rPr>
                <w:color w:val="000000"/>
                <w:sz w:val="12"/>
                <w:szCs w:val="12"/>
              </w:rPr>
            </w:pPr>
            <w:r>
              <w:rPr>
                <w:color w:val="000000"/>
                <w:sz w:val="12"/>
                <w:szCs w:val="12"/>
              </w:rPr>
              <w:t>281,3</w:t>
            </w:r>
          </w:p>
        </w:tc>
        <w:tc>
          <w:tcPr>
            <w:tcW w:w="737" w:type="dxa"/>
            <w:vAlign w:val="center"/>
            <w:hideMark/>
          </w:tcPr>
          <w:p w:rsidR="00705F07" w:rsidRDefault="00185A37">
            <w:pPr>
              <w:jc w:val="center"/>
              <w:rPr>
                <w:color w:val="000000"/>
                <w:sz w:val="12"/>
                <w:szCs w:val="12"/>
              </w:rPr>
            </w:pPr>
            <w:r>
              <w:rPr>
                <w:color w:val="000000"/>
                <w:sz w:val="12"/>
                <w:szCs w:val="12"/>
              </w:rPr>
              <w:t>281,6</w:t>
            </w:r>
          </w:p>
        </w:tc>
        <w:tc>
          <w:tcPr>
            <w:tcW w:w="666" w:type="dxa"/>
            <w:vAlign w:val="center"/>
            <w:hideMark/>
          </w:tcPr>
          <w:p w:rsidR="00705F07" w:rsidRDefault="00185A37">
            <w:pPr>
              <w:jc w:val="center"/>
              <w:rPr>
                <w:color w:val="000000"/>
                <w:sz w:val="12"/>
                <w:szCs w:val="12"/>
              </w:rPr>
            </w:pPr>
            <w:r>
              <w:rPr>
                <w:color w:val="000000"/>
                <w:sz w:val="12"/>
                <w:szCs w:val="12"/>
              </w:rPr>
              <w:t>263,2</w:t>
            </w:r>
          </w:p>
        </w:tc>
      </w:tr>
      <w:tr w:rsidR="00705F07">
        <w:trPr>
          <w:trHeight w:val="165"/>
          <w:jc w:val="center"/>
        </w:trPr>
        <w:tc>
          <w:tcPr>
            <w:tcW w:w="1257" w:type="dxa"/>
            <w:shd w:val="clear" w:color="000000" w:fill="B6DDE8"/>
            <w:vAlign w:val="center"/>
            <w:hideMark/>
          </w:tcPr>
          <w:p w:rsidR="00705F07" w:rsidRDefault="00185A37">
            <w:pPr>
              <w:jc w:val="center"/>
              <w:rPr>
                <w:color w:val="000000"/>
                <w:sz w:val="12"/>
                <w:szCs w:val="12"/>
              </w:rPr>
            </w:pPr>
            <w:r>
              <w:rPr>
                <w:color w:val="000000"/>
                <w:sz w:val="12"/>
                <w:szCs w:val="12"/>
              </w:rPr>
              <w:t>Сальдо (продаж мінус купівля, млн. євро в доларовому еквів.)</w:t>
            </w:r>
          </w:p>
        </w:tc>
        <w:tc>
          <w:tcPr>
            <w:tcW w:w="606" w:type="dxa"/>
            <w:shd w:val="clear" w:color="000000" w:fill="B6DDE8"/>
            <w:vAlign w:val="center"/>
            <w:hideMark/>
          </w:tcPr>
          <w:p w:rsidR="00705F07" w:rsidRDefault="00185A37">
            <w:pPr>
              <w:jc w:val="center"/>
              <w:rPr>
                <w:color w:val="000000"/>
                <w:sz w:val="12"/>
                <w:szCs w:val="12"/>
              </w:rPr>
            </w:pPr>
            <w:r>
              <w:rPr>
                <w:color w:val="000000"/>
                <w:sz w:val="12"/>
                <w:szCs w:val="12"/>
              </w:rPr>
              <w:t>11,4</w:t>
            </w:r>
          </w:p>
        </w:tc>
        <w:tc>
          <w:tcPr>
            <w:tcW w:w="606" w:type="dxa"/>
            <w:shd w:val="clear" w:color="000000" w:fill="B6DDE8"/>
            <w:vAlign w:val="center"/>
            <w:hideMark/>
          </w:tcPr>
          <w:p w:rsidR="00705F07" w:rsidRDefault="00185A37">
            <w:pPr>
              <w:jc w:val="center"/>
              <w:rPr>
                <w:color w:val="000000"/>
                <w:sz w:val="12"/>
                <w:szCs w:val="12"/>
              </w:rPr>
            </w:pPr>
            <w:r>
              <w:rPr>
                <w:color w:val="000000"/>
                <w:sz w:val="12"/>
                <w:szCs w:val="12"/>
              </w:rPr>
              <w:t>1,0</w:t>
            </w:r>
          </w:p>
        </w:tc>
        <w:tc>
          <w:tcPr>
            <w:tcW w:w="703" w:type="dxa"/>
            <w:shd w:val="clear" w:color="000000" w:fill="B6DDE8"/>
            <w:vAlign w:val="center"/>
            <w:hideMark/>
          </w:tcPr>
          <w:p w:rsidR="00705F07" w:rsidRDefault="00185A37">
            <w:pPr>
              <w:jc w:val="center"/>
              <w:rPr>
                <w:color w:val="000000"/>
                <w:sz w:val="12"/>
                <w:szCs w:val="12"/>
              </w:rPr>
            </w:pPr>
            <w:r>
              <w:rPr>
                <w:color w:val="000000"/>
                <w:sz w:val="12"/>
                <w:szCs w:val="12"/>
              </w:rPr>
              <w:t>59,7</w:t>
            </w:r>
          </w:p>
        </w:tc>
        <w:tc>
          <w:tcPr>
            <w:tcW w:w="646" w:type="dxa"/>
            <w:shd w:val="clear" w:color="000000" w:fill="B6DDE8"/>
            <w:vAlign w:val="center"/>
            <w:hideMark/>
          </w:tcPr>
          <w:p w:rsidR="00705F07" w:rsidRDefault="00185A37">
            <w:pPr>
              <w:jc w:val="center"/>
              <w:rPr>
                <w:color w:val="000000"/>
                <w:sz w:val="12"/>
                <w:szCs w:val="12"/>
              </w:rPr>
            </w:pPr>
            <w:r>
              <w:rPr>
                <w:color w:val="000000"/>
                <w:sz w:val="12"/>
                <w:szCs w:val="12"/>
              </w:rPr>
              <w:t>37,0</w:t>
            </w:r>
          </w:p>
        </w:tc>
        <w:tc>
          <w:tcPr>
            <w:tcW w:w="674" w:type="dxa"/>
            <w:shd w:val="clear" w:color="000000" w:fill="B6DDE8"/>
            <w:vAlign w:val="center"/>
            <w:hideMark/>
          </w:tcPr>
          <w:p w:rsidR="00705F07" w:rsidRDefault="00185A37">
            <w:pPr>
              <w:jc w:val="center"/>
              <w:rPr>
                <w:color w:val="000000"/>
                <w:sz w:val="12"/>
                <w:szCs w:val="12"/>
              </w:rPr>
            </w:pPr>
            <w:r>
              <w:rPr>
                <w:color w:val="000000"/>
                <w:sz w:val="12"/>
                <w:szCs w:val="12"/>
              </w:rPr>
              <w:t>45,4</w:t>
            </w:r>
          </w:p>
        </w:tc>
        <w:tc>
          <w:tcPr>
            <w:tcW w:w="675" w:type="dxa"/>
            <w:shd w:val="clear" w:color="000000" w:fill="B6DDE8"/>
            <w:vAlign w:val="center"/>
            <w:hideMark/>
          </w:tcPr>
          <w:p w:rsidR="00705F07" w:rsidRDefault="00185A37">
            <w:pPr>
              <w:jc w:val="center"/>
              <w:rPr>
                <w:color w:val="000000"/>
                <w:sz w:val="12"/>
                <w:szCs w:val="12"/>
              </w:rPr>
            </w:pPr>
            <w:r>
              <w:rPr>
                <w:color w:val="000000"/>
                <w:sz w:val="12"/>
                <w:szCs w:val="12"/>
              </w:rPr>
              <w:t>75,8</w:t>
            </w:r>
          </w:p>
        </w:tc>
        <w:tc>
          <w:tcPr>
            <w:tcW w:w="630" w:type="dxa"/>
            <w:shd w:val="clear" w:color="000000" w:fill="B6DDE8"/>
            <w:vAlign w:val="center"/>
            <w:hideMark/>
          </w:tcPr>
          <w:p w:rsidR="00705F07" w:rsidRDefault="00185A37">
            <w:pPr>
              <w:jc w:val="center"/>
              <w:rPr>
                <w:color w:val="000000"/>
                <w:sz w:val="12"/>
                <w:szCs w:val="12"/>
              </w:rPr>
            </w:pPr>
            <w:r>
              <w:rPr>
                <w:color w:val="000000"/>
                <w:sz w:val="12"/>
                <w:szCs w:val="12"/>
              </w:rPr>
              <w:t>50,1</w:t>
            </w:r>
          </w:p>
        </w:tc>
        <w:tc>
          <w:tcPr>
            <w:tcW w:w="678" w:type="dxa"/>
            <w:shd w:val="clear" w:color="000000" w:fill="B6DDE8"/>
            <w:vAlign w:val="center"/>
            <w:hideMark/>
          </w:tcPr>
          <w:p w:rsidR="00705F07" w:rsidRDefault="00185A37">
            <w:pPr>
              <w:jc w:val="center"/>
              <w:rPr>
                <w:color w:val="000000"/>
                <w:sz w:val="12"/>
                <w:szCs w:val="12"/>
              </w:rPr>
            </w:pPr>
            <w:r>
              <w:rPr>
                <w:color w:val="000000"/>
                <w:sz w:val="12"/>
                <w:szCs w:val="12"/>
              </w:rPr>
              <w:t>85,9</w:t>
            </w:r>
          </w:p>
        </w:tc>
        <w:tc>
          <w:tcPr>
            <w:tcW w:w="709" w:type="dxa"/>
            <w:shd w:val="clear" w:color="000000" w:fill="B6DDE8"/>
            <w:vAlign w:val="center"/>
            <w:hideMark/>
          </w:tcPr>
          <w:p w:rsidR="00705F07" w:rsidRDefault="00185A37">
            <w:pPr>
              <w:jc w:val="center"/>
              <w:rPr>
                <w:color w:val="000000"/>
                <w:sz w:val="12"/>
                <w:szCs w:val="12"/>
              </w:rPr>
            </w:pPr>
            <w:r>
              <w:rPr>
                <w:color w:val="000000"/>
                <w:sz w:val="12"/>
                <w:szCs w:val="12"/>
              </w:rPr>
              <w:t>98,5</w:t>
            </w:r>
          </w:p>
        </w:tc>
        <w:tc>
          <w:tcPr>
            <w:tcW w:w="705" w:type="dxa"/>
            <w:shd w:val="clear" w:color="000000" w:fill="B6DDE8"/>
            <w:vAlign w:val="center"/>
            <w:hideMark/>
          </w:tcPr>
          <w:p w:rsidR="00705F07" w:rsidRDefault="00185A37">
            <w:pPr>
              <w:jc w:val="center"/>
              <w:rPr>
                <w:color w:val="000000"/>
                <w:sz w:val="12"/>
                <w:szCs w:val="12"/>
              </w:rPr>
            </w:pPr>
            <w:r>
              <w:rPr>
                <w:color w:val="000000"/>
                <w:sz w:val="12"/>
                <w:szCs w:val="12"/>
              </w:rPr>
              <w:t>114,3</w:t>
            </w:r>
          </w:p>
        </w:tc>
        <w:tc>
          <w:tcPr>
            <w:tcW w:w="737" w:type="dxa"/>
            <w:shd w:val="clear" w:color="000000" w:fill="B6DDE8"/>
            <w:vAlign w:val="center"/>
            <w:hideMark/>
          </w:tcPr>
          <w:p w:rsidR="00705F07" w:rsidRDefault="00185A37">
            <w:pPr>
              <w:jc w:val="center"/>
              <w:rPr>
                <w:color w:val="000000"/>
                <w:sz w:val="12"/>
                <w:szCs w:val="12"/>
              </w:rPr>
            </w:pPr>
            <w:r>
              <w:rPr>
                <w:color w:val="000000"/>
                <w:sz w:val="12"/>
                <w:szCs w:val="12"/>
              </w:rPr>
              <w:t>103,9</w:t>
            </w:r>
          </w:p>
        </w:tc>
        <w:tc>
          <w:tcPr>
            <w:tcW w:w="666" w:type="dxa"/>
            <w:shd w:val="clear" w:color="000000" w:fill="B6DDE8"/>
            <w:vAlign w:val="center"/>
            <w:hideMark/>
          </w:tcPr>
          <w:p w:rsidR="00705F07" w:rsidRDefault="00185A37">
            <w:pPr>
              <w:jc w:val="center"/>
              <w:rPr>
                <w:color w:val="000000"/>
                <w:sz w:val="12"/>
                <w:szCs w:val="12"/>
              </w:rPr>
            </w:pPr>
            <w:r>
              <w:rPr>
                <w:color w:val="000000"/>
                <w:sz w:val="12"/>
                <w:szCs w:val="12"/>
              </w:rPr>
              <w:t>145,1</w:t>
            </w:r>
          </w:p>
        </w:tc>
      </w:tr>
      <w:tr w:rsidR="00705F07">
        <w:trPr>
          <w:trHeight w:val="390"/>
          <w:jc w:val="center"/>
        </w:trPr>
        <w:tc>
          <w:tcPr>
            <w:tcW w:w="1257" w:type="dxa"/>
            <w:shd w:val="clear" w:color="000000" w:fill="D7E4BC"/>
            <w:vAlign w:val="center"/>
            <w:hideMark/>
          </w:tcPr>
          <w:p w:rsidR="00705F07" w:rsidRDefault="00185A37">
            <w:pPr>
              <w:jc w:val="center"/>
              <w:rPr>
                <w:bCs/>
                <w:color w:val="000000"/>
                <w:sz w:val="12"/>
                <w:szCs w:val="12"/>
              </w:rPr>
            </w:pPr>
            <w:r>
              <w:rPr>
                <w:bCs/>
                <w:color w:val="000000"/>
                <w:sz w:val="12"/>
                <w:szCs w:val="12"/>
              </w:rPr>
              <w:t>у тому числі обсяг операцій з готівковою іноземною валютою небанківських фінансових установ (млн. дол США в еквіваленті):</w:t>
            </w:r>
          </w:p>
        </w:tc>
        <w:tc>
          <w:tcPr>
            <w:tcW w:w="606" w:type="dxa"/>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06" w:type="dxa"/>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03" w:type="dxa"/>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46" w:type="dxa"/>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74" w:type="dxa"/>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75" w:type="dxa"/>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30" w:type="dxa"/>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78" w:type="dxa"/>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09" w:type="dxa"/>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05" w:type="dxa"/>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37" w:type="dxa"/>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66" w:type="dxa"/>
            <w:shd w:val="clear" w:color="000000" w:fill="D7E4BC"/>
            <w:vAlign w:val="center"/>
            <w:hideMark/>
          </w:tcPr>
          <w:p w:rsidR="00705F07" w:rsidRDefault="00185A37">
            <w:pPr>
              <w:jc w:val="center"/>
              <w:rPr>
                <w:color w:val="000000"/>
                <w:sz w:val="12"/>
                <w:szCs w:val="12"/>
              </w:rPr>
            </w:pPr>
            <w:r>
              <w:rPr>
                <w:color w:val="000000"/>
                <w:sz w:val="12"/>
                <w:szCs w:val="12"/>
              </w:rPr>
              <w:t> </w:t>
            </w:r>
          </w:p>
        </w:tc>
      </w:tr>
      <w:tr w:rsidR="00705F07">
        <w:trPr>
          <w:trHeight w:val="165"/>
          <w:jc w:val="center"/>
        </w:trPr>
        <w:tc>
          <w:tcPr>
            <w:tcW w:w="1257" w:type="dxa"/>
            <w:vAlign w:val="center"/>
            <w:hideMark/>
          </w:tcPr>
          <w:p w:rsidR="00705F07" w:rsidRDefault="00185A37">
            <w:pPr>
              <w:jc w:val="center"/>
              <w:rPr>
                <w:color w:val="000000"/>
                <w:sz w:val="12"/>
                <w:szCs w:val="12"/>
              </w:rPr>
            </w:pPr>
            <w:r>
              <w:rPr>
                <w:color w:val="000000"/>
                <w:sz w:val="12"/>
                <w:szCs w:val="12"/>
              </w:rPr>
              <w:t xml:space="preserve">         продажу</w:t>
            </w:r>
          </w:p>
        </w:tc>
        <w:tc>
          <w:tcPr>
            <w:tcW w:w="606" w:type="dxa"/>
            <w:vAlign w:val="center"/>
            <w:hideMark/>
          </w:tcPr>
          <w:p w:rsidR="00705F07" w:rsidRDefault="00185A37">
            <w:pPr>
              <w:jc w:val="center"/>
              <w:rPr>
                <w:color w:val="000000"/>
                <w:sz w:val="12"/>
                <w:szCs w:val="12"/>
              </w:rPr>
            </w:pPr>
            <w:r>
              <w:rPr>
                <w:color w:val="000000"/>
                <w:sz w:val="12"/>
                <w:szCs w:val="12"/>
              </w:rPr>
              <w:t>884,9</w:t>
            </w:r>
          </w:p>
        </w:tc>
        <w:tc>
          <w:tcPr>
            <w:tcW w:w="606" w:type="dxa"/>
            <w:vAlign w:val="center"/>
            <w:hideMark/>
          </w:tcPr>
          <w:p w:rsidR="00705F07" w:rsidRDefault="00185A37">
            <w:pPr>
              <w:jc w:val="center"/>
              <w:rPr>
                <w:color w:val="000000"/>
                <w:sz w:val="12"/>
                <w:szCs w:val="12"/>
              </w:rPr>
            </w:pPr>
            <w:r>
              <w:rPr>
                <w:color w:val="000000"/>
                <w:sz w:val="12"/>
                <w:szCs w:val="12"/>
              </w:rPr>
              <w:t>883,4</w:t>
            </w:r>
          </w:p>
        </w:tc>
        <w:tc>
          <w:tcPr>
            <w:tcW w:w="703" w:type="dxa"/>
            <w:vAlign w:val="center"/>
            <w:hideMark/>
          </w:tcPr>
          <w:p w:rsidR="00705F07" w:rsidRDefault="00185A37">
            <w:pPr>
              <w:jc w:val="center"/>
              <w:rPr>
                <w:color w:val="000000"/>
                <w:sz w:val="12"/>
                <w:szCs w:val="12"/>
              </w:rPr>
            </w:pPr>
            <w:r>
              <w:rPr>
                <w:color w:val="000000"/>
                <w:sz w:val="12"/>
                <w:szCs w:val="12"/>
              </w:rPr>
              <w:t>1 039,9</w:t>
            </w:r>
          </w:p>
        </w:tc>
        <w:tc>
          <w:tcPr>
            <w:tcW w:w="646" w:type="dxa"/>
            <w:vAlign w:val="center"/>
            <w:hideMark/>
          </w:tcPr>
          <w:p w:rsidR="00705F07" w:rsidRDefault="00185A37">
            <w:pPr>
              <w:jc w:val="center"/>
              <w:rPr>
                <w:color w:val="000000"/>
                <w:sz w:val="12"/>
                <w:szCs w:val="12"/>
              </w:rPr>
            </w:pPr>
            <w:r>
              <w:rPr>
                <w:color w:val="000000"/>
                <w:sz w:val="12"/>
                <w:szCs w:val="12"/>
              </w:rPr>
              <w:t>996,9</w:t>
            </w:r>
          </w:p>
        </w:tc>
        <w:tc>
          <w:tcPr>
            <w:tcW w:w="674" w:type="dxa"/>
            <w:vAlign w:val="center"/>
            <w:hideMark/>
          </w:tcPr>
          <w:p w:rsidR="00705F07" w:rsidRDefault="00185A37">
            <w:pPr>
              <w:jc w:val="center"/>
              <w:rPr>
                <w:color w:val="000000"/>
                <w:sz w:val="12"/>
                <w:szCs w:val="12"/>
              </w:rPr>
            </w:pPr>
            <w:r>
              <w:rPr>
                <w:color w:val="000000"/>
                <w:sz w:val="12"/>
                <w:szCs w:val="12"/>
              </w:rPr>
              <w:t>1 134,8</w:t>
            </w:r>
          </w:p>
        </w:tc>
        <w:tc>
          <w:tcPr>
            <w:tcW w:w="675" w:type="dxa"/>
            <w:vAlign w:val="center"/>
            <w:hideMark/>
          </w:tcPr>
          <w:p w:rsidR="00705F07" w:rsidRDefault="00185A37">
            <w:pPr>
              <w:jc w:val="center"/>
              <w:rPr>
                <w:color w:val="000000"/>
                <w:sz w:val="12"/>
                <w:szCs w:val="12"/>
              </w:rPr>
            </w:pPr>
            <w:r>
              <w:rPr>
                <w:color w:val="000000"/>
                <w:sz w:val="12"/>
                <w:szCs w:val="12"/>
              </w:rPr>
              <w:t>1 123,8</w:t>
            </w:r>
          </w:p>
        </w:tc>
        <w:tc>
          <w:tcPr>
            <w:tcW w:w="630" w:type="dxa"/>
            <w:vAlign w:val="center"/>
            <w:hideMark/>
          </w:tcPr>
          <w:p w:rsidR="00705F07" w:rsidRDefault="00185A37">
            <w:pPr>
              <w:jc w:val="center"/>
              <w:rPr>
                <w:color w:val="000000"/>
                <w:sz w:val="12"/>
                <w:szCs w:val="12"/>
              </w:rPr>
            </w:pPr>
            <w:r>
              <w:rPr>
                <w:color w:val="000000"/>
                <w:sz w:val="12"/>
                <w:szCs w:val="12"/>
              </w:rPr>
              <w:t>1 118,1</w:t>
            </w:r>
          </w:p>
        </w:tc>
        <w:tc>
          <w:tcPr>
            <w:tcW w:w="678" w:type="dxa"/>
            <w:vAlign w:val="center"/>
            <w:hideMark/>
          </w:tcPr>
          <w:p w:rsidR="00705F07" w:rsidRDefault="00185A37">
            <w:pPr>
              <w:jc w:val="center"/>
              <w:rPr>
                <w:color w:val="000000"/>
                <w:sz w:val="12"/>
                <w:szCs w:val="12"/>
              </w:rPr>
            </w:pPr>
            <w:r>
              <w:rPr>
                <w:color w:val="000000"/>
                <w:sz w:val="12"/>
                <w:szCs w:val="12"/>
              </w:rPr>
              <w:t>1 213,1</w:t>
            </w:r>
          </w:p>
        </w:tc>
        <w:tc>
          <w:tcPr>
            <w:tcW w:w="709" w:type="dxa"/>
            <w:vAlign w:val="center"/>
            <w:hideMark/>
          </w:tcPr>
          <w:p w:rsidR="00705F07" w:rsidRDefault="00185A37">
            <w:pPr>
              <w:jc w:val="center"/>
              <w:rPr>
                <w:color w:val="000000"/>
                <w:sz w:val="12"/>
                <w:szCs w:val="12"/>
              </w:rPr>
            </w:pPr>
            <w:r>
              <w:rPr>
                <w:color w:val="000000"/>
                <w:sz w:val="12"/>
                <w:szCs w:val="12"/>
              </w:rPr>
              <w:t>1 117,5</w:t>
            </w:r>
          </w:p>
        </w:tc>
        <w:tc>
          <w:tcPr>
            <w:tcW w:w="705" w:type="dxa"/>
            <w:vAlign w:val="center"/>
            <w:hideMark/>
          </w:tcPr>
          <w:p w:rsidR="00705F07" w:rsidRDefault="00185A37">
            <w:pPr>
              <w:jc w:val="center"/>
              <w:rPr>
                <w:color w:val="000000"/>
                <w:sz w:val="12"/>
                <w:szCs w:val="12"/>
              </w:rPr>
            </w:pPr>
            <w:r>
              <w:rPr>
                <w:color w:val="000000"/>
                <w:sz w:val="12"/>
                <w:szCs w:val="12"/>
              </w:rPr>
              <w:t>1 140,7</w:t>
            </w:r>
          </w:p>
        </w:tc>
        <w:tc>
          <w:tcPr>
            <w:tcW w:w="737" w:type="dxa"/>
            <w:vAlign w:val="center"/>
            <w:hideMark/>
          </w:tcPr>
          <w:p w:rsidR="00705F07" w:rsidRDefault="00185A37">
            <w:pPr>
              <w:jc w:val="center"/>
              <w:rPr>
                <w:color w:val="000000"/>
                <w:sz w:val="12"/>
                <w:szCs w:val="12"/>
              </w:rPr>
            </w:pPr>
            <w:r>
              <w:rPr>
                <w:color w:val="000000"/>
                <w:sz w:val="12"/>
                <w:szCs w:val="12"/>
              </w:rPr>
              <w:t>1 105,0</w:t>
            </w:r>
          </w:p>
        </w:tc>
        <w:tc>
          <w:tcPr>
            <w:tcW w:w="666" w:type="dxa"/>
            <w:vAlign w:val="center"/>
            <w:hideMark/>
          </w:tcPr>
          <w:p w:rsidR="00705F07" w:rsidRDefault="00185A37">
            <w:pPr>
              <w:jc w:val="center"/>
              <w:rPr>
                <w:color w:val="000000"/>
                <w:sz w:val="12"/>
                <w:szCs w:val="12"/>
              </w:rPr>
            </w:pPr>
            <w:r>
              <w:rPr>
                <w:color w:val="000000"/>
                <w:sz w:val="12"/>
                <w:szCs w:val="12"/>
              </w:rPr>
              <w:t>1 069,2</w:t>
            </w:r>
          </w:p>
        </w:tc>
      </w:tr>
      <w:tr w:rsidR="00705F07">
        <w:trPr>
          <w:trHeight w:val="165"/>
          <w:jc w:val="center"/>
        </w:trPr>
        <w:tc>
          <w:tcPr>
            <w:tcW w:w="1257" w:type="dxa"/>
            <w:vAlign w:val="center"/>
            <w:hideMark/>
          </w:tcPr>
          <w:p w:rsidR="00705F07" w:rsidRDefault="00185A37">
            <w:pPr>
              <w:jc w:val="center"/>
              <w:rPr>
                <w:color w:val="000000"/>
                <w:sz w:val="12"/>
                <w:szCs w:val="12"/>
              </w:rPr>
            </w:pPr>
            <w:r>
              <w:rPr>
                <w:color w:val="000000"/>
                <w:sz w:val="12"/>
                <w:szCs w:val="12"/>
              </w:rPr>
              <w:t xml:space="preserve">         купівлі</w:t>
            </w:r>
          </w:p>
        </w:tc>
        <w:tc>
          <w:tcPr>
            <w:tcW w:w="606" w:type="dxa"/>
            <w:vAlign w:val="center"/>
            <w:hideMark/>
          </w:tcPr>
          <w:p w:rsidR="00705F07" w:rsidRDefault="00185A37">
            <w:pPr>
              <w:jc w:val="center"/>
              <w:rPr>
                <w:color w:val="000000"/>
                <w:sz w:val="12"/>
                <w:szCs w:val="12"/>
              </w:rPr>
            </w:pPr>
            <w:r>
              <w:rPr>
                <w:color w:val="000000"/>
                <w:sz w:val="12"/>
                <w:szCs w:val="12"/>
              </w:rPr>
              <w:t>886,8</w:t>
            </w:r>
          </w:p>
        </w:tc>
        <w:tc>
          <w:tcPr>
            <w:tcW w:w="606" w:type="dxa"/>
            <w:vAlign w:val="center"/>
            <w:hideMark/>
          </w:tcPr>
          <w:p w:rsidR="00705F07" w:rsidRDefault="00185A37">
            <w:pPr>
              <w:jc w:val="center"/>
              <w:rPr>
                <w:color w:val="000000"/>
                <w:sz w:val="12"/>
                <w:szCs w:val="12"/>
              </w:rPr>
            </w:pPr>
            <w:r>
              <w:rPr>
                <w:color w:val="000000"/>
                <w:sz w:val="12"/>
                <w:szCs w:val="12"/>
              </w:rPr>
              <w:t>884,8</w:t>
            </w:r>
          </w:p>
        </w:tc>
        <w:tc>
          <w:tcPr>
            <w:tcW w:w="703" w:type="dxa"/>
            <w:vAlign w:val="center"/>
            <w:hideMark/>
          </w:tcPr>
          <w:p w:rsidR="00705F07" w:rsidRDefault="00185A37">
            <w:pPr>
              <w:jc w:val="center"/>
              <w:rPr>
                <w:color w:val="000000"/>
                <w:sz w:val="12"/>
                <w:szCs w:val="12"/>
              </w:rPr>
            </w:pPr>
            <w:r>
              <w:rPr>
                <w:color w:val="000000"/>
                <w:sz w:val="12"/>
                <w:szCs w:val="12"/>
              </w:rPr>
              <w:t>1 039,8</w:t>
            </w:r>
          </w:p>
        </w:tc>
        <w:tc>
          <w:tcPr>
            <w:tcW w:w="646" w:type="dxa"/>
            <w:vAlign w:val="center"/>
            <w:hideMark/>
          </w:tcPr>
          <w:p w:rsidR="00705F07" w:rsidRDefault="00185A37">
            <w:pPr>
              <w:jc w:val="center"/>
              <w:rPr>
                <w:color w:val="000000"/>
                <w:sz w:val="12"/>
                <w:szCs w:val="12"/>
              </w:rPr>
            </w:pPr>
            <w:r>
              <w:rPr>
                <w:color w:val="000000"/>
                <w:sz w:val="12"/>
                <w:szCs w:val="12"/>
              </w:rPr>
              <w:t>999,9</w:t>
            </w:r>
          </w:p>
        </w:tc>
        <w:tc>
          <w:tcPr>
            <w:tcW w:w="674" w:type="dxa"/>
            <w:vAlign w:val="center"/>
            <w:hideMark/>
          </w:tcPr>
          <w:p w:rsidR="00705F07" w:rsidRDefault="00185A37">
            <w:pPr>
              <w:jc w:val="center"/>
              <w:rPr>
                <w:color w:val="000000"/>
                <w:sz w:val="12"/>
                <w:szCs w:val="12"/>
              </w:rPr>
            </w:pPr>
            <w:r>
              <w:rPr>
                <w:color w:val="000000"/>
                <w:sz w:val="12"/>
                <w:szCs w:val="12"/>
              </w:rPr>
              <w:t>1 138,3</w:t>
            </w:r>
          </w:p>
        </w:tc>
        <w:tc>
          <w:tcPr>
            <w:tcW w:w="675" w:type="dxa"/>
            <w:vAlign w:val="center"/>
            <w:hideMark/>
          </w:tcPr>
          <w:p w:rsidR="00705F07" w:rsidRDefault="00185A37">
            <w:pPr>
              <w:jc w:val="center"/>
              <w:rPr>
                <w:color w:val="000000"/>
                <w:sz w:val="12"/>
                <w:szCs w:val="12"/>
              </w:rPr>
            </w:pPr>
            <w:r>
              <w:rPr>
                <w:color w:val="000000"/>
                <w:sz w:val="12"/>
                <w:szCs w:val="12"/>
              </w:rPr>
              <w:t>1 128,4</w:t>
            </w:r>
          </w:p>
        </w:tc>
        <w:tc>
          <w:tcPr>
            <w:tcW w:w="630" w:type="dxa"/>
            <w:vAlign w:val="center"/>
            <w:hideMark/>
          </w:tcPr>
          <w:p w:rsidR="00705F07" w:rsidRDefault="00185A37">
            <w:pPr>
              <w:jc w:val="center"/>
              <w:rPr>
                <w:color w:val="000000"/>
                <w:sz w:val="12"/>
                <w:szCs w:val="12"/>
              </w:rPr>
            </w:pPr>
            <w:r>
              <w:rPr>
                <w:color w:val="000000"/>
                <w:sz w:val="12"/>
                <w:szCs w:val="12"/>
              </w:rPr>
              <w:t>1 122,0</w:t>
            </w:r>
          </w:p>
        </w:tc>
        <w:tc>
          <w:tcPr>
            <w:tcW w:w="678" w:type="dxa"/>
            <w:vAlign w:val="center"/>
            <w:hideMark/>
          </w:tcPr>
          <w:p w:rsidR="00705F07" w:rsidRDefault="00185A37">
            <w:pPr>
              <w:jc w:val="center"/>
              <w:rPr>
                <w:color w:val="000000"/>
                <w:sz w:val="12"/>
                <w:szCs w:val="12"/>
              </w:rPr>
            </w:pPr>
            <w:r>
              <w:rPr>
                <w:color w:val="000000"/>
                <w:sz w:val="12"/>
                <w:szCs w:val="12"/>
              </w:rPr>
              <w:t>1 210,4</w:t>
            </w:r>
          </w:p>
        </w:tc>
        <w:tc>
          <w:tcPr>
            <w:tcW w:w="709" w:type="dxa"/>
            <w:vAlign w:val="center"/>
            <w:hideMark/>
          </w:tcPr>
          <w:p w:rsidR="00705F07" w:rsidRDefault="00185A37">
            <w:pPr>
              <w:jc w:val="center"/>
              <w:rPr>
                <w:color w:val="000000"/>
                <w:sz w:val="12"/>
                <w:szCs w:val="12"/>
              </w:rPr>
            </w:pPr>
            <w:r>
              <w:rPr>
                <w:color w:val="000000"/>
                <w:sz w:val="12"/>
                <w:szCs w:val="12"/>
              </w:rPr>
              <w:t>1 113,8</w:t>
            </w:r>
          </w:p>
        </w:tc>
        <w:tc>
          <w:tcPr>
            <w:tcW w:w="705" w:type="dxa"/>
            <w:vAlign w:val="center"/>
            <w:hideMark/>
          </w:tcPr>
          <w:p w:rsidR="00705F07" w:rsidRDefault="00185A37">
            <w:pPr>
              <w:jc w:val="center"/>
              <w:rPr>
                <w:color w:val="000000"/>
                <w:sz w:val="12"/>
                <w:szCs w:val="12"/>
              </w:rPr>
            </w:pPr>
            <w:r>
              <w:rPr>
                <w:color w:val="000000"/>
                <w:sz w:val="12"/>
                <w:szCs w:val="12"/>
              </w:rPr>
              <w:t>1 140,7</w:t>
            </w:r>
          </w:p>
        </w:tc>
        <w:tc>
          <w:tcPr>
            <w:tcW w:w="737" w:type="dxa"/>
            <w:vAlign w:val="center"/>
            <w:hideMark/>
          </w:tcPr>
          <w:p w:rsidR="00705F07" w:rsidRDefault="00185A37">
            <w:pPr>
              <w:jc w:val="center"/>
              <w:rPr>
                <w:color w:val="000000"/>
                <w:sz w:val="12"/>
                <w:szCs w:val="12"/>
              </w:rPr>
            </w:pPr>
            <w:r>
              <w:rPr>
                <w:color w:val="000000"/>
                <w:sz w:val="12"/>
                <w:szCs w:val="12"/>
              </w:rPr>
              <w:t>1 104,1</w:t>
            </w:r>
          </w:p>
        </w:tc>
        <w:tc>
          <w:tcPr>
            <w:tcW w:w="666" w:type="dxa"/>
            <w:vAlign w:val="center"/>
            <w:hideMark/>
          </w:tcPr>
          <w:p w:rsidR="00705F07" w:rsidRDefault="00185A37">
            <w:pPr>
              <w:jc w:val="center"/>
              <w:rPr>
                <w:color w:val="000000"/>
                <w:sz w:val="12"/>
                <w:szCs w:val="12"/>
              </w:rPr>
            </w:pPr>
            <w:r>
              <w:rPr>
                <w:color w:val="000000"/>
                <w:sz w:val="12"/>
                <w:szCs w:val="12"/>
              </w:rPr>
              <w:t>1 068,8</w:t>
            </w:r>
          </w:p>
        </w:tc>
      </w:tr>
      <w:tr w:rsidR="00705F07">
        <w:trPr>
          <w:trHeight w:val="165"/>
          <w:jc w:val="center"/>
        </w:trPr>
        <w:tc>
          <w:tcPr>
            <w:tcW w:w="1257" w:type="dxa"/>
            <w:shd w:val="clear" w:color="000000" w:fill="B6DDE8"/>
            <w:vAlign w:val="center"/>
            <w:hideMark/>
          </w:tcPr>
          <w:p w:rsidR="00705F07" w:rsidRDefault="00185A37">
            <w:pPr>
              <w:jc w:val="center"/>
              <w:rPr>
                <w:color w:val="000000"/>
                <w:sz w:val="12"/>
                <w:szCs w:val="12"/>
              </w:rPr>
            </w:pPr>
            <w:r>
              <w:rPr>
                <w:color w:val="000000"/>
                <w:sz w:val="12"/>
                <w:szCs w:val="12"/>
              </w:rPr>
              <w:t xml:space="preserve">Сальдо (продаж мінус </w:t>
            </w:r>
            <w:r>
              <w:rPr>
                <w:color w:val="000000"/>
                <w:sz w:val="12"/>
                <w:szCs w:val="12"/>
              </w:rPr>
              <w:t>купівля, млн. дол США в еквіваленті)</w:t>
            </w:r>
          </w:p>
        </w:tc>
        <w:tc>
          <w:tcPr>
            <w:tcW w:w="606" w:type="dxa"/>
            <w:shd w:val="clear" w:color="000000" w:fill="B6DDE8"/>
            <w:vAlign w:val="center"/>
            <w:hideMark/>
          </w:tcPr>
          <w:p w:rsidR="00705F07" w:rsidRDefault="00185A37">
            <w:pPr>
              <w:jc w:val="center"/>
              <w:rPr>
                <w:color w:val="000000"/>
                <w:sz w:val="12"/>
                <w:szCs w:val="12"/>
              </w:rPr>
            </w:pPr>
            <w:r>
              <w:rPr>
                <w:color w:val="000000"/>
                <w:sz w:val="12"/>
                <w:szCs w:val="12"/>
              </w:rPr>
              <w:t>-1,8</w:t>
            </w:r>
          </w:p>
        </w:tc>
        <w:tc>
          <w:tcPr>
            <w:tcW w:w="606" w:type="dxa"/>
            <w:shd w:val="clear" w:color="000000" w:fill="B6DDE8"/>
            <w:vAlign w:val="center"/>
            <w:hideMark/>
          </w:tcPr>
          <w:p w:rsidR="00705F07" w:rsidRDefault="00185A37">
            <w:pPr>
              <w:jc w:val="center"/>
              <w:rPr>
                <w:color w:val="000000"/>
                <w:sz w:val="12"/>
                <w:szCs w:val="12"/>
              </w:rPr>
            </w:pPr>
            <w:r>
              <w:rPr>
                <w:color w:val="000000"/>
                <w:sz w:val="12"/>
                <w:szCs w:val="12"/>
              </w:rPr>
              <w:t>-1,4</w:t>
            </w:r>
          </w:p>
        </w:tc>
        <w:tc>
          <w:tcPr>
            <w:tcW w:w="703" w:type="dxa"/>
            <w:shd w:val="clear" w:color="000000" w:fill="B6DDE8"/>
            <w:vAlign w:val="center"/>
            <w:hideMark/>
          </w:tcPr>
          <w:p w:rsidR="00705F07" w:rsidRDefault="00185A37">
            <w:pPr>
              <w:jc w:val="center"/>
              <w:rPr>
                <w:color w:val="000000"/>
                <w:sz w:val="12"/>
                <w:szCs w:val="12"/>
              </w:rPr>
            </w:pPr>
            <w:r>
              <w:rPr>
                <w:color w:val="000000"/>
                <w:sz w:val="12"/>
                <w:szCs w:val="12"/>
              </w:rPr>
              <w:t>0,2</w:t>
            </w:r>
          </w:p>
        </w:tc>
        <w:tc>
          <w:tcPr>
            <w:tcW w:w="646" w:type="dxa"/>
            <w:shd w:val="clear" w:color="000000" w:fill="B6DDE8"/>
            <w:vAlign w:val="center"/>
            <w:hideMark/>
          </w:tcPr>
          <w:p w:rsidR="00705F07" w:rsidRDefault="00185A37">
            <w:pPr>
              <w:jc w:val="center"/>
              <w:rPr>
                <w:color w:val="000000"/>
                <w:sz w:val="12"/>
                <w:szCs w:val="12"/>
              </w:rPr>
            </w:pPr>
            <w:r>
              <w:rPr>
                <w:color w:val="000000"/>
                <w:sz w:val="12"/>
                <w:szCs w:val="12"/>
              </w:rPr>
              <w:t>-3,0</w:t>
            </w:r>
          </w:p>
        </w:tc>
        <w:tc>
          <w:tcPr>
            <w:tcW w:w="674" w:type="dxa"/>
            <w:shd w:val="clear" w:color="000000" w:fill="B6DDE8"/>
            <w:vAlign w:val="center"/>
            <w:hideMark/>
          </w:tcPr>
          <w:p w:rsidR="00705F07" w:rsidRDefault="00185A37">
            <w:pPr>
              <w:jc w:val="center"/>
              <w:rPr>
                <w:color w:val="000000"/>
                <w:sz w:val="12"/>
                <w:szCs w:val="12"/>
              </w:rPr>
            </w:pPr>
            <w:r>
              <w:rPr>
                <w:color w:val="000000"/>
                <w:sz w:val="12"/>
                <w:szCs w:val="12"/>
              </w:rPr>
              <w:t>-3,5</w:t>
            </w:r>
          </w:p>
        </w:tc>
        <w:tc>
          <w:tcPr>
            <w:tcW w:w="675" w:type="dxa"/>
            <w:shd w:val="clear" w:color="000000" w:fill="B6DDE8"/>
            <w:vAlign w:val="center"/>
            <w:hideMark/>
          </w:tcPr>
          <w:p w:rsidR="00705F07" w:rsidRDefault="00185A37">
            <w:pPr>
              <w:jc w:val="center"/>
              <w:rPr>
                <w:color w:val="000000"/>
                <w:sz w:val="12"/>
                <w:szCs w:val="12"/>
              </w:rPr>
            </w:pPr>
            <w:r>
              <w:rPr>
                <w:color w:val="000000"/>
                <w:sz w:val="12"/>
                <w:szCs w:val="12"/>
              </w:rPr>
              <w:t>-4,5</w:t>
            </w:r>
          </w:p>
        </w:tc>
        <w:tc>
          <w:tcPr>
            <w:tcW w:w="630" w:type="dxa"/>
            <w:shd w:val="clear" w:color="000000" w:fill="B6DDE8"/>
            <w:vAlign w:val="center"/>
            <w:hideMark/>
          </w:tcPr>
          <w:p w:rsidR="00705F07" w:rsidRDefault="00185A37">
            <w:pPr>
              <w:jc w:val="center"/>
              <w:rPr>
                <w:color w:val="000000"/>
                <w:sz w:val="12"/>
                <w:szCs w:val="12"/>
              </w:rPr>
            </w:pPr>
            <w:r>
              <w:rPr>
                <w:color w:val="000000"/>
                <w:sz w:val="12"/>
                <w:szCs w:val="12"/>
              </w:rPr>
              <w:t>-3,9</w:t>
            </w:r>
          </w:p>
        </w:tc>
        <w:tc>
          <w:tcPr>
            <w:tcW w:w="678" w:type="dxa"/>
            <w:shd w:val="clear" w:color="000000" w:fill="B6DDE8"/>
            <w:vAlign w:val="center"/>
            <w:hideMark/>
          </w:tcPr>
          <w:p w:rsidR="00705F07" w:rsidRDefault="00185A37">
            <w:pPr>
              <w:jc w:val="center"/>
              <w:rPr>
                <w:color w:val="000000"/>
                <w:sz w:val="12"/>
                <w:szCs w:val="12"/>
              </w:rPr>
            </w:pPr>
            <w:r>
              <w:rPr>
                <w:color w:val="000000"/>
                <w:sz w:val="12"/>
                <w:szCs w:val="12"/>
              </w:rPr>
              <w:t>2,8</w:t>
            </w:r>
          </w:p>
        </w:tc>
        <w:tc>
          <w:tcPr>
            <w:tcW w:w="709" w:type="dxa"/>
            <w:shd w:val="clear" w:color="000000" w:fill="B6DDE8"/>
            <w:vAlign w:val="center"/>
            <w:hideMark/>
          </w:tcPr>
          <w:p w:rsidR="00705F07" w:rsidRDefault="00185A37">
            <w:pPr>
              <w:jc w:val="center"/>
              <w:rPr>
                <w:color w:val="000000"/>
                <w:sz w:val="12"/>
                <w:szCs w:val="12"/>
              </w:rPr>
            </w:pPr>
            <w:r>
              <w:rPr>
                <w:color w:val="000000"/>
                <w:sz w:val="12"/>
                <w:szCs w:val="12"/>
              </w:rPr>
              <w:t>3,8</w:t>
            </w:r>
          </w:p>
        </w:tc>
        <w:tc>
          <w:tcPr>
            <w:tcW w:w="705" w:type="dxa"/>
            <w:shd w:val="clear" w:color="000000" w:fill="B6DDE8"/>
            <w:vAlign w:val="center"/>
            <w:hideMark/>
          </w:tcPr>
          <w:p w:rsidR="00705F07" w:rsidRDefault="00185A37">
            <w:pPr>
              <w:jc w:val="center"/>
              <w:rPr>
                <w:color w:val="000000"/>
                <w:sz w:val="12"/>
                <w:szCs w:val="12"/>
              </w:rPr>
            </w:pPr>
            <w:r>
              <w:rPr>
                <w:color w:val="000000"/>
                <w:sz w:val="12"/>
                <w:szCs w:val="12"/>
              </w:rPr>
              <w:t>0,0</w:t>
            </w:r>
          </w:p>
        </w:tc>
        <w:tc>
          <w:tcPr>
            <w:tcW w:w="737" w:type="dxa"/>
            <w:shd w:val="clear" w:color="000000" w:fill="B6DDE8"/>
            <w:vAlign w:val="center"/>
            <w:hideMark/>
          </w:tcPr>
          <w:p w:rsidR="00705F07" w:rsidRDefault="00185A37">
            <w:pPr>
              <w:jc w:val="center"/>
              <w:rPr>
                <w:color w:val="000000"/>
                <w:sz w:val="12"/>
                <w:szCs w:val="12"/>
              </w:rPr>
            </w:pPr>
            <w:r>
              <w:rPr>
                <w:color w:val="000000"/>
                <w:sz w:val="12"/>
                <w:szCs w:val="12"/>
              </w:rPr>
              <w:t>0,8</w:t>
            </w:r>
          </w:p>
        </w:tc>
        <w:tc>
          <w:tcPr>
            <w:tcW w:w="666" w:type="dxa"/>
            <w:shd w:val="clear" w:color="000000" w:fill="B6DDE8"/>
            <w:vAlign w:val="center"/>
            <w:hideMark/>
          </w:tcPr>
          <w:p w:rsidR="00705F07" w:rsidRDefault="00185A37">
            <w:pPr>
              <w:jc w:val="center"/>
              <w:rPr>
                <w:color w:val="000000"/>
                <w:sz w:val="12"/>
                <w:szCs w:val="12"/>
              </w:rPr>
            </w:pPr>
            <w:r>
              <w:rPr>
                <w:color w:val="000000"/>
                <w:sz w:val="12"/>
                <w:szCs w:val="12"/>
              </w:rPr>
              <w:t>0,4</w:t>
            </w:r>
          </w:p>
        </w:tc>
      </w:tr>
      <w:tr w:rsidR="00705F07">
        <w:trPr>
          <w:trHeight w:val="165"/>
          <w:jc w:val="center"/>
        </w:trPr>
        <w:tc>
          <w:tcPr>
            <w:tcW w:w="1257" w:type="dxa"/>
            <w:vAlign w:val="center"/>
            <w:hideMark/>
          </w:tcPr>
          <w:p w:rsidR="00705F07" w:rsidRDefault="00185A37">
            <w:pPr>
              <w:jc w:val="center"/>
              <w:rPr>
                <w:color w:val="000000"/>
                <w:sz w:val="12"/>
                <w:szCs w:val="12"/>
              </w:rPr>
            </w:pPr>
            <w:r>
              <w:rPr>
                <w:color w:val="000000"/>
                <w:sz w:val="12"/>
                <w:szCs w:val="12"/>
              </w:rPr>
              <w:t xml:space="preserve">         продажу (млн. дол США)</w:t>
            </w:r>
          </w:p>
        </w:tc>
        <w:tc>
          <w:tcPr>
            <w:tcW w:w="606" w:type="dxa"/>
            <w:vAlign w:val="center"/>
            <w:hideMark/>
          </w:tcPr>
          <w:p w:rsidR="00705F07" w:rsidRDefault="00185A37">
            <w:pPr>
              <w:jc w:val="center"/>
              <w:rPr>
                <w:color w:val="000000"/>
                <w:sz w:val="12"/>
                <w:szCs w:val="12"/>
              </w:rPr>
            </w:pPr>
            <w:r>
              <w:rPr>
                <w:color w:val="000000"/>
                <w:sz w:val="12"/>
                <w:szCs w:val="12"/>
              </w:rPr>
              <w:t>664,9</w:t>
            </w:r>
          </w:p>
        </w:tc>
        <w:tc>
          <w:tcPr>
            <w:tcW w:w="606" w:type="dxa"/>
            <w:vAlign w:val="center"/>
            <w:hideMark/>
          </w:tcPr>
          <w:p w:rsidR="00705F07" w:rsidRDefault="00185A37">
            <w:pPr>
              <w:jc w:val="center"/>
              <w:rPr>
                <w:color w:val="000000"/>
                <w:sz w:val="12"/>
                <w:szCs w:val="12"/>
              </w:rPr>
            </w:pPr>
            <w:r>
              <w:rPr>
                <w:color w:val="000000"/>
                <w:sz w:val="12"/>
                <w:szCs w:val="12"/>
              </w:rPr>
              <w:t>677,2</w:t>
            </w:r>
          </w:p>
        </w:tc>
        <w:tc>
          <w:tcPr>
            <w:tcW w:w="703" w:type="dxa"/>
            <w:vAlign w:val="center"/>
            <w:hideMark/>
          </w:tcPr>
          <w:p w:rsidR="00705F07" w:rsidRDefault="00185A37">
            <w:pPr>
              <w:jc w:val="center"/>
              <w:rPr>
                <w:color w:val="000000"/>
                <w:sz w:val="12"/>
                <w:szCs w:val="12"/>
              </w:rPr>
            </w:pPr>
            <w:r>
              <w:rPr>
                <w:color w:val="000000"/>
                <w:sz w:val="12"/>
                <w:szCs w:val="12"/>
              </w:rPr>
              <w:t>787,8</w:t>
            </w:r>
          </w:p>
        </w:tc>
        <w:tc>
          <w:tcPr>
            <w:tcW w:w="646" w:type="dxa"/>
            <w:vAlign w:val="center"/>
            <w:hideMark/>
          </w:tcPr>
          <w:p w:rsidR="00705F07" w:rsidRDefault="00185A37">
            <w:pPr>
              <w:jc w:val="center"/>
              <w:rPr>
                <w:color w:val="000000"/>
                <w:sz w:val="12"/>
                <w:szCs w:val="12"/>
              </w:rPr>
            </w:pPr>
            <w:r>
              <w:rPr>
                <w:color w:val="000000"/>
                <w:sz w:val="12"/>
                <w:szCs w:val="12"/>
              </w:rPr>
              <w:t>744,6</w:t>
            </w:r>
          </w:p>
        </w:tc>
        <w:tc>
          <w:tcPr>
            <w:tcW w:w="674" w:type="dxa"/>
            <w:vAlign w:val="center"/>
            <w:hideMark/>
          </w:tcPr>
          <w:p w:rsidR="00705F07" w:rsidRDefault="00185A37">
            <w:pPr>
              <w:jc w:val="center"/>
              <w:rPr>
                <w:color w:val="000000"/>
                <w:sz w:val="12"/>
                <w:szCs w:val="12"/>
              </w:rPr>
            </w:pPr>
            <w:r>
              <w:rPr>
                <w:color w:val="000000"/>
                <w:sz w:val="12"/>
                <w:szCs w:val="12"/>
              </w:rPr>
              <w:t>859,2</w:t>
            </w:r>
          </w:p>
        </w:tc>
        <w:tc>
          <w:tcPr>
            <w:tcW w:w="675" w:type="dxa"/>
            <w:vAlign w:val="center"/>
            <w:hideMark/>
          </w:tcPr>
          <w:p w:rsidR="00705F07" w:rsidRDefault="00185A37">
            <w:pPr>
              <w:jc w:val="center"/>
              <w:rPr>
                <w:color w:val="000000"/>
                <w:sz w:val="12"/>
                <w:szCs w:val="12"/>
              </w:rPr>
            </w:pPr>
            <w:r>
              <w:rPr>
                <w:color w:val="000000"/>
                <w:sz w:val="12"/>
                <w:szCs w:val="12"/>
              </w:rPr>
              <w:t>845,8</w:t>
            </w:r>
          </w:p>
        </w:tc>
        <w:tc>
          <w:tcPr>
            <w:tcW w:w="630" w:type="dxa"/>
            <w:vAlign w:val="center"/>
            <w:hideMark/>
          </w:tcPr>
          <w:p w:rsidR="00705F07" w:rsidRDefault="00185A37">
            <w:pPr>
              <w:jc w:val="center"/>
              <w:rPr>
                <w:color w:val="000000"/>
                <w:sz w:val="12"/>
                <w:szCs w:val="12"/>
              </w:rPr>
            </w:pPr>
            <w:r>
              <w:rPr>
                <w:color w:val="000000"/>
                <w:sz w:val="12"/>
                <w:szCs w:val="12"/>
              </w:rPr>
              <w:t>822,8</w:t>
            </w:r>
          </w:p>
        </w:tc>
        <w:tc>
          <w:tcPr>
            <w:tcW w:w="678" w:type="dxa"/>
            <w:vAlign w:val="center"/>
            <w:hideMark/>
          </w:tcPr>
          <w:p w:rsidR="00705F07" w:rsidRDefault="00185A37">
            <w:pPr>
              <w:jc w:val="center"/>
              <w:rPr>
                <w:color w:val="000000"/>
                <w:sz w:val="12"/>
                <w:szCs w:val="12"/>
              </w:rPr>
            </w:pPr>
            <w:r>
              <w:rPr>
                <w:color w:val="000000"/>
                <w:sz w:val="12"/>
                <w:szCs w:val="12"/>
              </w:rPr>
              <w:t>854,4</w:t>
            </w:r>
          </w:p>
        </w:tc>
        <w:tc>
          <w:tcPr>
            <w:tcW w:w="709" w:type="dxa"/>
            <w:vAlign w:val="center"/>
            <w:hideMark/>
          </w:tcPr>
          <w:p w:rsidR="00705F07" w:rsidRDefault="00185A37">
            <w:pPr>
              <w:jc w:val="center"/>
              <w:rPr>
                <w:color w:val="000000"/>
                <w:sz w:val="12"/>
                <w:szCs w:val="12"/>
              </w:rPr>
            </w:pPr>
            <w:r>
              <w:rPr>
                <w:color w:val="000000"/>
                <w:sz w:val="12"/>
                <w:szCs w:val="12"/>
              </w:rPr>
              <w:t>827,8</w:t>
            </w:r>
          </w:p>
        </w:tc>
        <w:tc>
          <w:tcPr>
            <w:tcW w:w="705" w:type="dxa"/>
            <w:vAlign w:val="center"/>
            <w:hideMark/>
          </w:tcPr>
          <w:p w:rsidR="00705F07" w:rsidRDefault="00185A37">
            <w:pPr>
              <w:jc w:val="center"/>
              <w:rPr>
                <w:color w:val="000000"/>
                <w:sz w:val="12"/>
                <w:szCs w:val="12"/>
              </w:rPr>
            </w:pPr>
            <w:r>
              <w:rPr>
                <w:color w:val="000000"/>
                <w:sz w:val="12"/>
                <w:szCs w:val="12"/>
              </w:rPr>
              <w:t>856,5</w:t>
            </w:r>
          </w:p>
        </w:tc>
        <w:tc>
          <w:tcPr>
            <w:tcW w:w="737" w:type="dxa"/>
            <w:vAlign w:val="center"/>
            <w:hideMark/>
          </w:tcPr>
          <w:p w:rsidR="00705F07" w:rsidRDefault="00185A37">
            <w:pPr>
              <w:jc w:val="center"/>
              <w:rPr>
                <w:color w:val="000000"/>
                <w:sz w:val="12"/>
                <w:szCs w:val="12"/>
              </w:rPr>
            </w:pPr>
            <w:r>
              <w:rPr>
                <w:color w:val="000000"/>
                <w:sz w:val="12"/>
                <w:szCs w:val="12"/>
              </w:rPr>
              <w:t>820,4</w:t>
            </w:r>
          </w:p>
        </w:tc>
        <w:tc>
          <w:tcPr>
            <w:tcW w:w="666" w:type="dxa"/>
            <w:vAlign w:val="center"/>
            <w:hideMark/>
          </w:tcPr>
          <w:p w:rsidR="00705F07" w:rsidRDefault="00185A37">
            <w:pPr>
              <w:jc w:val="center"/>
              <w:rPr>
                <w:color w:val="000000"/>
                <w:sz w:val="12"/>
                <w:szCs w:val="12"/>
              </w:rPr>
            </w:pPr>
            <w:r>
              <w:rPr>
                <w:color w:val="000000"/>
                <w:sz w:val="12"/>
                <w:szCs w:val="12"/>
              </w:rPr>
              <w:t>797,7</w:t>
            </w:r>
          </w:p>
        </w:tc>
      </w:tr>
      <w:tr w:rsidR="00705F07">
        <w:trPr>
          <w:trHeight w:val="165"/>
          <w:jc w:val="center"/>
        </w:trPr>
        <w:tc>
          <w:tcPr>
            <w:tcW w:w="1257" w:type="dxa"/>
            <w:vAlign w:val="center"/>
            <w:hideMark/>
          </w:tcPr>
          <w:p w:rsidR="00705F07" w:rsidRDefault="00185A37">
            <w:pPr>
              <w:jc w:val="center"/>
              <w:rPr>
                <w:color w:val="000000"/>
                <w:sz w:val="12"/>
                <w:szCs w:val="12"/>
              </w:rPr>
            </w:pPr>
            <w:r>
              <w:rPr>
                <w:color w:val="000000"/>
                <w:sz w:val="12"/>
                <w:szCs w:val="12"/>
              </w:rPr>
              <w:t xml:space="preserve">         купівлі (млн. дол США)</w:t>
            </w:r>
          </w:p>
        </w:tc>
        <w:tc>
          <w:tcPr>
            <w:tcW w:w="606" w:type="dxa"/>
            <w:vAlign w:val="center"/>
            <w:hideMark/>
          </w:tcPr>
          <w:p w:rsidR="00705F07" w:rsidRDefault="00185A37">
            <w:pPr>
              <w:jc w:val="center"/>
              <w:rPr>
                <w:color w:val="000000"/>
                <w:sz w:val="12"/>
                <w:szCs w:val="12"/>
              </w:rPr>
            </w:pPr>
            <w:r>
              <w:rPr>
                <w:color w:val="000000"/>
                <w:sz w:val="12"/>
                <w:szCs w:val="12"/>
              </w:rPr>
              <w:t>668,3</w:t>
            </w:r>
          </w:p>
        </w:tc>
        <w:tc>
          <w:tcPr>
            <w:tcW w:w="606" w:type="dxa"/>
            <w:vAlign w:val="center"/>
            <w:hideMark/>
          </w:tcPr>
          <w:p w:rsidR="00705F07" w:rsidRDefault="00185A37">
            <w:pPr>
              <w:jc w:val="center"/>
              <w:rPr>
                <w:color w:val="000000"/>
                <w:sz w:val="12"/>
                <w:szCs w:val="12"/>
              </w:rPr>
            </w:pPr>
            <w:r>
              <w:rPr>
                <w:color w:val="000000"/>
                <w:sz w:val="12"/>
                <w:szCs w:val="12"/>
              </w:rPr>
              <w:t>676,8</w:t>
            </w:r>
          </w:p>
        </w:tc>
        <w:tc>
          <w:tcPr>
            <w:tcW w:w="703" w:type="dxa"/>
            <w:vAlign w:val="center"/>
            <w:hideMark/>
          </w:tcPr>
          <w:p w:rsidR="00705F07" w:rsidRDefault="00185A37">
            <w:pPr>
              <w:jc w:val="center"/>
              <w:rPr>
                <w:color w:val="000000"/>
                <w:sz w:val="12"/>
                <w:szCs w:val="12"/>
              </w:rPr>
            </w:pPr>
            <w:r>
              <w:rPr>
                <w:color w:val="000000"/>
                <w:sz w:val="12"/>
                <w:szCs w:val="12"/>
              </w:rPr>
              <w:t>789,5</w:t>
            </w:r>
          </w:p>
        </w:tc>
        <w:tc>
          <w:tcPr>
            <w:tcW w:w="646" w:type="dxa"/>
            <w:vAlign w:val="center"/>
            <w:hideMark/>
          </w:tcPr>
          <w:p w:rsidR="00705F07" w:rsidRDefault="00185A37">
            <w:pPr>
              <w:jc w:val="center"/>
              <w:rPr>
                <w:color w:val="000000"/>
                <w:sz w:val="12"/>
                <w:szCs w:val="12"/>
              </w:rPr>
            </w:pPr>
            <w:r>
              <w:rPr>
                <w:color w:val="000000"/>
                <w:sz w:val="12"/>
                <w:szCs w:val="12"/>
              </w:rPr>
              <w:t>746,5</w:t>
            </w:r>
          </w:p>
        </w:tc>
        <w:tc>
          <w:tcPr>
            <w:tcW w:w="674" w:type="dxa"/>
            <w:vAlign w:val="center"/>
            <w:hideMark/>
          </w:tcPr>
          <w:p w:rsidR="00705F07" w:rsidRDefault="00185A37">
            <w:pPr>
              <w:jc w:val="center"/>
              <w:rPr>
                <w:color w:val="000000"/>
                <w:sz w:val="12"/>
                <w:szCs w:val="12"/>
              </w:rPr>
            </w:pPr>
            <w:r>
              <w:rPr>
                <w:color w:val="000000"/>
                <w:sz w:val="12"/>
                <w:szCs w:val="12"/>
              </w:rPr>
              <w:t>862,7</w:t>
            </w:r>
          </w:p>
        </w:tc>
        <w:tc>
          <w:tcPr>
            <w:tcW w:w="675" w:type="dxa"/>
            <w:vAlign w:val="center"/>
            <w:hideMark/>
          </w:tcPr>
          <w:p w:rsidR="00705F07" w:rsidRDefault="00185A37">
            <w:pPr>
              <w:jc w:val="center"/>
              <w:rPr>
                <w:color w:val="000000"/>
                <w:sz w:val="12"/>
                <w:szCs w:val="12"/>
              </w:rPr>
            </w:pPr>
            <w:r>
              <w:rPr>
                <w:color w:val="000000"/>
                <w:sz w:val="12"/>
                <w:szCs w:val="12"/>
              </w:rPr>
              <w:t>849,5</w:t>
            </w:r>
          </w:p>
        </w:tc>
        <w:tc>
          <w:tcPr>
            <w:tcW w:w="630" w:type="dxa"/>
            <w:vAlign w:val="center"/>
            <w:hideMark/>
          </w:tcPr>
          <w:p w:rsidR="00705F07" w:rsidRDefault="00185A37">
            <w:pPr>
              <w:jc w:val="center"/>
              <w:rPr>
                <w:color w:val="000000"/>
                <w:sz w:val="12"/>
                <w:szCs w:val="12"/>
              </w:rPr>
            </w:pPr>
            <w:r>
              <w:rPr>
                <w:color w:val="000000"/>
                <w:sz w:val="12"/>
                <w:szCs w:val="12"/>
              </w:rPr>
              <w:t>824,5</w:t>
            </w:r>
          </w:p>
        </w:tc>
        <w:tc>
          <w:tcPr>
            <w:tcW w:w="678" w:type="dxa"/>
            <w:vAlign w:val="center"/>
            <w:hideMark/>
          </w:tcPr>
          <w:p w:rsidR="00705F07" w:rsidRDefault="00185A37">
            <w:pPr>
              <w:jc w:val="center"/>
              <w:rPr>
                <w:color w:val="000000"/>
                <w:sz w:val="12"/>
                <w:szCs w:val="12"/>
              </w:rPr>
            </w:pPr>
            <w:r>
              <w:rPr>
                <w:color w:val="000000"/>
                <w:sz w:val="12"/>
                <w:szCs w:val="12"/>
              </w:rPr>
              <w:t>851,5</w:t>
            </w:r>
          </w:p>
        </w:tc>
        <w:tc>
          <w:tcPr>
            <w:tcW w:w="709" w:type="dxa"/>
            <w:vAlign w:val="center"/>
            <w:hideMark/>
          </w:tcPr>
          <w:p w:rsidR="00705F07" w:rsidRDefault="00185A37">
            <w:pPr>
              <w:jc w:val="center"/>
              <w:rPr>
                <w:color w:val="000000"/>
                <w:sz w:val="12"/>
                <w:szCs w:val="12"/>
              </w:rPr>
            </w:pPr>
            <w:r>
              <w:rPr>
                <w:color w:val="000000"/>
                <w:sz w:val="12"/>
                <w:szCs w:val="12"/>
              </w:rPr>
              <w:t>825,0</w:t>
            </w:r>
          </w:p>
        </w:tc>
        <w:tc>
          <w:tcPr>
            <w:tcW w:w="705" w:type="dxa"/>
            <w:vAlign w:val="center"/>
            <w:hideMark/>
          </w:tcPr>
          <w:p w:rsidR="00705F07" w:rsidRDefault="00185A37">
            <w:pPr>
              <w:jc w:val="center"/>
              <w:rPr>
                <w:color w:val="000000"/>
                <w:sz w:val="12"/>
                <w:szCs w:val="12"/>
              </w:rPr>
            </w:pPr>
            <w:r>
              <w:rPr>
                <w:color w:val="000000"/>
                <w:sz w:val="12"/>
                <w:szCs w:val="12"/>
              </w:rPr>
              <w:t>854,9</w:t>
            </w:r>
          </w:p>
        </w:tc>
        <w:tc>
          <w:tcPr>
            <w:tcW w:w="737" w:type="dxa"/>
            <w:vAlign w:val="center"/>
            <w:hideMark/>
          </w:tcPr>
          <w:p w:rsidR="00705F07" w:rsidRDefault="00185A37">
            <w:pPr>
              <w:jc w:val="center"/>
              <w:rPr>
                <w:color w:val="000000"/>
                <w:sz w:val="12"/>
                <w:szCs w:val="12"/>
              </w:rPr>
            </w:pPr>
            <w:r>
              <w:rPr>
                <w:color w:val="000000"/>
                <w:sz w:val="12"/>
                <w:szCs w:val="12"/>
              </w:rPr>
              <w:t>821,7</w:t>
            </w:r>
          </w:p>
        </w:tc>
        <w:tc>
          <w:tcPr>
            <w:tcW w:w="666" w:type="dxa"/>
            <w:vAlign w:val="center"/>
            <w:hideMark/>
          </w:tcPr>
          <w:p w:rsidR="00705F07" w:rsidRDefault="00185A37">
            <w:pPr>
              <w:jc w:val="center"/>
              <w:rPr>
                <w:color w:val="000000"/>
                <w:sz w:val="12"/>
                <w:szCs w:val="12"/>
              </w:rPr>
            </w:pPr>
            <w:r>
              <w:rPr>
                <w:color w:val="000000"/>
                <w:sz w:val="12"/>
                <w:szCs w:val="12"/>
              </w:rPr>
              <w:t>798,1</w:t>
            </w:r>
          </w:p>
        </w:tc>
      </w:tr>
      <w:tr w:rsidR="00705F07">
        <w:trPr>
          <w:trHeight w:val="165"/>
          <w:jc w:val="center"/>
        </w:trPr>
        <w:tc>
          <w:tcPr>
            <w:tcW w:w="1257" w:type="dxa"/>
            <w:shd w:val="clear" w:color="000000" w:fill="B6DDE8"/>
            <w:vAlign w:val="center"/>
            <w:hideMark/>
          </w:tcPr>
          <w:p w:rsidR="00705F07" w:rsidRDefault="00185A37">
            <w:pPr>
              <w:jc w:val="center"/>
              <w:rPr>
                <w:color w:val="000000"/>
                <w:sz w:val="12"/>
                <w:szCs w:val="12"/>
              </w:rPr>
            </w:pPr>
            <w:r>
              <w:rPr>
                <w:color w:val="000000"/>
                <w:sz w:val="12"/>
                <w:szCs w:val="12"/>
              </w:rPr>
              <w:t>Сальдо (продаж мінус купівля, млн. дол США)</w:t>
            </w:r>
          </w:p>
        </w:tc>
        <w:tc>
          <w:tcPr>
            <w:tcW w:w="606" w:type="dxa"/>
            <w:shd w:val="clear" w:color="000000" w:fill="B6DDE8"/>
            <w:vAlign w:val="center"/>
            <w:hideMark/>
          </w:tcPr>
          <w:p w:rsidR="00705F07" w:rsidRDefault="00185A37">
            <w:pPr>
              <w:jc w:val="center"/>
              <w:rPr>
                <w:color w:val="000000"/>
                <w:sz w:val="12"/>
                <w:szCs w:val="12"/>
              </w:rPr>
            </w:pPr>
            <w:r>
              <w:rPr>
                <w:color w:val="000000"/>
                <w:sz w:val="12"/>
                <w:szCs w:val="12"/>
              </w:rPr>
              <w:t>-3,4</w:t>
            </w:r>
          </w:p>
        </w:tc>
        <w:tc>
          <w:tcPr>
            <w:tcW w:w="606" w:type="dxa"/>
            <w:shd w:val="clear" w:color="000000" w:fill="B6DDE8"/>
            <w:vAlign w:val="center"/>
            <w:hideMark/>
          </w:tcPr>
          <w:p w:rsidR="00705F07" w:rsidRDefault="00185A37">
            <w:pPr>
              <w:jc w:val="center"/>
              <w:rPr>
                <w:color w:val="000000"/>
                <w:sz w:val="12"/>
                <w:szCs w:val="12"/>
              </w:rPr>
            </w:pPr>
            <w:r>
              <w:rPr>
                <w:color w:val="000000"/>
                <w:sz w:val="12"/>
                <w:szCs w:val="12"/>
              </w:rPr>
              <w:t>0,4</w:t>
            </w:r>
          </w:p>
        </w:tc>
        <w:tc>
          <w:tcPr>
            <w:tcW w:w="703" w:type="dxa"/>
            <w:shd w:val="clear" w:color="000000" w:fill="B6DDE8"/>
            <w:vAlign w:val="center"/>
            <w:hideMark/>
          </w:tcPr>
          <w:p w:rsidR="00705F07" w:rsidRDefault="00185A37">
            <w:pPr>
              <w:jc w:val="center"/>
              <w:rPr>
                <w:color w:val="000000"/>
                <w:sz w:val="12"/>
                <w:szCs w:val="12"/>
              </w:rPr>
            </w:pPr>
            <w:r>
              <w:rPr>
                <w:color w:val="000000"/>
                <w:sz w:val="12"/>
                <w:szCs w:val="12"/>
              </w:rPr>
              <w:t>-1,6</w:t>
            </w:r>
          </w:p>
        </w:tc>
        <w:tc>
          <w:tcPr>
            <w:tcW w:w="646" w:type="dxa"/>
            <w:shd w:val="clear" w:color="000000" w:fill="B6DDE8"/>
            <w:vAlign w:val="center"/>
            <w:hideMark/>
          </w:tcPr>
          <w:p w:rsidR="00705F07" w:rsidRDefault="00185A37">
            <w:pPr>
              <w:jc w:val="center"/>
              <w:rPr>
                <w:color w:val="000000"/>
                <w:sz w:val="12"/>
                <w:szCs w:val="12"/>
              </w:rPr>
            </w:pPr>
            <w:r>
              <w:rPr>
                <w:color w:val="000000"/>
                <w:sz w:val="12"/>
                <w:szCs w:val="12"/>
              </w:rPr>
              <w:t>-1,9</w:t>
            </w:r>
          </w:p>
        </w:tc>
        <w:tc>
          <w:tcPr>
            <w:tcW w:w="674" w:type="dxa"/>
            <w:shd w:val="clear" w:color="000000" w:fill="B6DDE8"/>
            <w:vAlign w:val="center"/>
            <w:hideMark/>
          </w:tcPr>
          <w:p w:rsidR="00705F07" w:rsidRDefault="00185A37">
            <w:pPr>
              <w:jc w:val="center"/>
              <w:rPr>
                <w:color w:val="000000"/>
                <w:sz w:val="12"/>
                <w:szCs w:val="12"/>
              </w:rPr>
            </w:pPr>
            <w:r>
              <w:rPr>
                <w:color w:val="000000"/>
                <w:sz w:val="12"/>
                <w:szCs w:val="12"/>
              </w:rPr>
              <w:t>-3,6</w:t>
            </w:r>
          </w:p>
        </w:tc>
        <w:tc>
          <w:tcPr>
            <w:tcW w:w="675" w:type="dxa"/>
            <w:shd w:val="clear" w:color="000000" w:fill="B6DDE8"/>
            <w:vAlign w:val="center"/>
            <w:hideMark/>
          </w:tcPr>
          <w:p w:rsidR="00705F07" w:rsidRDefault="00185A37">
            <w:pPr>
              <w:jc w:val="center"/>
              <w:rPr>
                <w:color w:val="000000"/>
                <w:sz w:val="12"/>
                <w:szCs w:val="12"/>
              </w:rPr>
            </w:pPr>
            <w:r>
              <w:rPr>
                <w:color w:val="000000"/>
                <w:sz w:val="12"/>
                <w:szCs w:val="12"/>
              </w:rPr>
              <w:t>-3,7</w:t>
            </w:r>
          </w:p>
        </w:tc>
        <w:tc>
          <w:tcPr>
            <w:tcW w:w="630" w:type="dxa"/>
            <w:shd w:val="clear" w:color="000000" w:fill="B6DDE8"/>
            <w:vAlign w:val="center"/>
            <w:hideMark/>
          </w:tcPr>
          <w:p w:rsidR="00705F07" w:rsidRDefault="00185A37">
            <w:pPr>
              <w:jc w:val="center"/>
              <w:rPr>
                <w:color w:val="000000"/>
                <w:sz w:val="12"/>
                <w:szCs w:val="12"/>
              </w:rPr>
            </w:pPr>
            <w:r>
              <w:rPr>
                <w:color w:val="000000"/>
                <w:sz w:val="12"/>
                <w:szCs w:val="12"/>
              </w:rPr>
              <w:t>-1,8</w:t>
            </w:r>
          </w:p>
        </w:tc>
        <w:tc>
          <w:tcPr>
            <w:tcW w:w="678" w:type="dxa"/>
            <w:shd w:val="clear" w:color="000000" w:fill="B6DDE8"/>
            <w:vAlign w:val="center"/>
            <w:hideMark/>
          </w:tcPr>
          <w:p w:rsidR="00705F07" w:rsidRDefault="00185A37">
            <w:pPr>
              <w:jc w:val="center"/>
              <w:rPr>
                <w:color w:val="000000"/>
                <w:sz w:val="12"/>
                <w:szCs w:val="12"/>
              </w:rPr>
            </w:pPr>
            <w:r>
              <w:rPr>
                <w:color w:val="000000"/>
                <w:sz w:val="12"/>
                <w:szCs w:val="12"/>
              </w:rPr>
              <w:t>2,9</w:t>
            </w:r>
          </w:p>
        </w:tc>
        <w:tc>
          <w:tcPr>
            <w:tcW w:w="709" w:type="dxa"/>
            <w:shd w:val="clear" w:color="000000" w:fill="B6DDE8"/>
            <w:vAlign w:val="center"/>
            <w:hideMark/>
          </w:tcPr>
          <w:p w:rsidR="00705F07" w:rsidRDefault="00185A37">
            <w:pPr>
              <w:jc w:val="center"/>
              <w:rPr>
                <w:color w:val="000000"/>
                <w:sz w:val="12"/>
                <w:szCs w:val="12"/>
              </w:rPr>
            </w:pPr>
            <w:r>
              <w:rPr>
                <w:color w:val="000000"/>
                <w:sz w:val="12"/>
                <w:szCs w:val="12"/>
              </w:rPr>
              <w:t>2,8</w:t>
            </w:r>
          </w:p>
        </w:tc>
        <w:tc>
          <w:tcPr>
            <w:tcW w:w="705" w:type="dxa"/>
            <w:shd w:val="clear" w:color="000000" w:fill="B6DDE8"/>
            <w:vAlign w:val="center"/>
            <w:hideMark/>
          </w:tcPr>
          <w:p w:rsidR="00705F07" w:rsidRDefault="00185A37">
            <w:pPr>
              <w:jc w:val="center"/>
              <w:rPr>
                <w:color w:val="000000"/>
                <w:sz w:val="12"/>
                <w:szCs w:val="12"/>
              </w:rPr>
            </w:pPr>
            <w:r>
              <w:rPr>
                <w:color w:val="000000"/>
                <w:sz w:val="12"/>
                <w:szCs w:val="12"/>
              </w:rPr>
              <w:t>1,6</w:t>
            </w:r>
          </w:p>
        </w:tc>
        <w:tc>
          <w:tcPr>
            <w:tcW w:w="737" w:type="dxa"/>
            <w:shd w:val="clear" w:color="000000" w:fill="B6DDE8"/>
            <w:vAlign w:val="center"/>
            <w:hideMark/>
          </w:tcPr>
          <w:p w:rsidR="00705F07" w:rsidRDefault="00185A37">
            <w:pPr>
              <w:jc w:val="center"/>
              <w:rPr>
                <w:color w:val="000000"/>
                <w:sz w:val="12"/>
                <w:szCs w:val="12"/>
              </w:rPr>
            </w:pPr>
            <w:r>
              <w:rPr>
                <w:color w:val="000000"/>
                <w:sz w:val="12"/>
                <w:szCs w:val="12"/>
              </w:rPr>
              <w:t>-1,3</w:t>
            </w:r>
          </w:p>
        </w:tc>
        <w:tc>
          <w:tcPr>
            <w:tcW w:w="666" w:type="dxa"/>
            <w:shd w:val="clear" w:color="000000" w:fill="B6DDE8"/>
            <w:vAlign w:val="center"/>
            <w:hideMark/>
          </w:tcPr>
          <w:p w:rsidR="00705F07" w:rsidRDefault="00185A37">
            <w:pPr>
              <w:jc w:val="center"/>
              <w:rPr>
                <w:color w:val="000000"/>
                <w:sz w:val="12"/>
                <w:szCs w:val="12"/>
              </w:rPr>
            </w:pPr>
            <w:r>
              <w:rPr>
                <w:color w:val="000000"/>
                <w:sz w:val="12"/>
                <w:szCs w:val="12"/>
              </w:rPr>
              <w:t>-0,4</w:t>
            </w:r>
          </w:p>
        </w:tc>
      </w:tr>
      <w:tr w:rsidR="00705F07">
        <w:trPr>
          <w:trHeight w:val="165"/>
          <w:jc w:val="center"/>
        </w:trPr>
        <w:tc>
          <w:tcPr>
            <w:tcW w:w="1257" w:type="dxa"/>
            <w:vAlign w:val="center"/>
            <w:hideMark/>
          </w:tcPr>
          <w:p w:rsidR="00705F07" w:rsidRDefault="00185A37">
            <w:pPr>
              <w:jc w:val="center"/>
              <w:rPr>
                <w:color w:val="000000"/>
                <w:sz w:val="12"/>
                <w:szCs w:val="12"/>
              </w:rPr>
            </w:pPr>
            <w:r>
              <w:rPr>
                <w:color w:val="000000"/>
                <w:sz w:val="12"/>
                <w:szCs w:val="12"/>
              </w:rPr>
              <w:t xml:space="preserve">         продажу (млн. євро в доларовому еквіваленті)</w:t>
            </w:r>
          </w:p>
        </w:tc>
        <w:tc>
          <w:tcPr>
            <w:tcW w:w="606" w:type="dxa"/>
            <w:vAlign w:val="center"/>
            <w:hideMark/>
          </w:tcPr>
          <w:p w:rsidR="00705F07" w:rsidRDefault="00185A37">
            <w:pPr>
              <w:jc w:val="center"/>
              <w:rPr>
                <w:color w:val="000000"/>
                <w:sz w:val="12"/>
                <w:szCs w:val="12"/>
              </w:rPr>
            </w:pPr>
            <w:r>
              <w:rPr>
                <w:color w:val="000000"/>
                <w:sz w:val="12"/>
                <w:szCs w:val="12"/>
              </w:rPr>
              <w:t>186,9</w:t>
            </w:r>
          </w:p>
        </w:tc>
        <w:tc>
          <w:tcPr>
            <w:tcW w:w="606" w:type="dxa"/>
            <w:vAlign w:val="center"/>
            <w:hideMark/>
          </w:tcPr>
          <w:p w:rsidR="00705F07" w:rsidRDefault="00185A37">
            <w:pPr>
              <w:jc w:val="center"/>
              <w:rPr>
                <w:color w:val="000000"/>
                <w:sz w:val="12"/>
                <w:szCs w:val="12"/>
              </w:rPr>
            </w:pPr>
            <w:r>
              <w:rPr>
                <w:color w:val="000000"/>
                <w:sz w:val="12"/>
                <w:szCs w:val="12"/>
              </w:rPr>
              <w:t>179,5</w:t>
            </w:r>
          </w:p>
        </w:tc>
        <w:tc>
          <w:tcPr>
            <w:tcW w:w="703" w:type="dxa"/>
            <w:vAlign w:val="center"/>
            <w:hideMark/>
          </w:tcPr>
          <w:p w:rsidR="00705F07" w:rsidRDefault="00185A37">
            <w:pPr>
              <w:jc w:val="center"/>
              <w:rPr>
                <w:color w:val="000000"/>
                <w:sz w:val="12"/>
                <w:szCs w:val="12"/>
              </w:rPr>
            </w:pPr>
            <w:r>
              <w:rPr>
                <w:color w:val="000000"/>
                <w:sz w:val="12"/>
                <w:szCs w:val="12"/>
              </w:rPr>
              <w:t>215,3</w:t>
            </w:r>
          </w:p>
        </w:tc>
        <w:tc>
          <w:tcPr>
            <w:tcW w:w="646" w:type="dxa"/>
            <w:vAlign w:val="center"/>
            <w:hideMark/>
          </w:tcPr>
          <w:p w:rsidR="00705F07" w:rsidRDefault="00185A37">
            <w:pPr>
              <w:jc w:val="center"/>
              <w:rPr>
                <w:color w:val="000000"/>
                <w:sz w:val="12"/>
                <w:szCs w:val="12"/>
              </w:rPr>
            </w:pPr>
            <w:r>
              <w:rPr>
                <w:color w:val="000000"/>
                <w:sz w:val="12"/>
                <w:szCs w:val="12"/>
              </w:rPr>
              <w:t>211,1</w:t>
            </w:r>
          </w:p>
        </w:tc>
        <w:tc>
          <w:tcPr>
            <w:tcW w:w="674" w:type="dxa"/>
            <w:vAlign w:val="center"/>
            <w:hideMark/>
          </w:tcPr>
          <w:p w:rsidR="00705F07" w:rsidRDefault="00185A37">
            <w:pPr>
              <w:jc w:val="center"/>
              <w:rPr>
                <w:color w:val="000000"/>
                <w:sz w:val="12"/>
                <w:szCs w:val="12"/>
              </w:rPr>
            </w:pPr>
            <w:r>
              <w:rPr>
                <w:color w:val="000000"/>
                <w:sz w:val="12"/>
                <w:szCs w:val="12"/>
              </w:rPr>
              <w:t>231,0</w:t>
            </w:r>
          </w:p>
        </w:tc>
        <w:tc>
          <w:tcPr>
            <w:tcW w:w="675" w:type="dxa"/>
            <w:vAlign w:val="center"/>
            <w:hideMark/>
          </w:tcPr>
          <w:p w:rsidR="00705F07" w:rsidRDefault="00185A37">
            <w:pPr>
              <w:jc w:val="center"/>
              <w:rPr>
                <w:color w:val="000000"/>
                <w:sz w:val="12"/>
                <w:szCs w:val="12"/>
              </w:rPr>
            </w:pPr>
            <w:r>
              <w:rPr>
                <w:color w:val="000000"/>
                <w:sz w:val="12"/>
                <w:szCs w:val="12"/>
              </w:rPr>
              <w:t>231,3</w:t>
            </w:r>
          </w:p>
        </w:tc>
        <w:tc>
          <w:tcPr>
            <w:tcW w:w="630" w:type="dxa"/>
            <w:vAlign w:val="center"/>
            <w:hideMark/>
          </w:tcPr>
          <w:p w:rsidR="00705F07" w:rsidRDefault="00185A37">
            <w:pPr>
              <w:jc w:val="center"/>
              <w:rPr>
                <w:color w:val="000000"/>
                <w:sz w:val="12"/>
                <w:szCs w:val="12"/>
              </w:rPr>
            </w:pPr>
            <w:r>
              <w:rPr>
                <w:color w:val="000000"/>
                <w:sz w:val="12"/>
                <w:szCs w:val="12"/>
              </w:rPr>
              <w:t>243,4</w:t>
            </w:r>
          </w:p>
        </w:tc>
        <w:tc>
          <w:tcPr>
            <w:tcW w:w="678" w:type="dxa"/>
            <w:vAlign w:val="center"/>
            <w:hideMark/>
          </w:tcPr>
          <w:p w:rsidR="00705F07" w:rsidRDefault="00185A37">
            <w:pPr>
              <w:jc w:val="center"/>
              <w:rPr>
                <w:color w:val="000000"/>
                <w:sz w:val="12"/>
                <w:szCs w:val="12"/>
              </w:rPr>
            </w:pPr>
            <w:r>
              <w:rPr>
                <w:color w:val="000000"/>
                <w:sz w:val="12"/>
                <w:szCs w:val="12"/>
              </w:rPr>
              <w:t>270,5</w:t>
            </w:r>
          </w:p>
        </w:tc>
        <w:tc>
          <w:tcPr>
            <w:tcW w:w="709" w:type="dxa"/>
            <w:vAlign w:val="center"/>
            <w:hideMark/>
          </w:tcPr>
          <w:p w:rsidR="00705F07" w:rsidRDefault="00185A37">
            <w:pPr>
              <w:jc w:val="center"/>
              <w:rPr>
                <w:color w:val="000000"/>
                <w:sz w:val="12"/>
                <w:szCs w:val="12"/>
              </w:rPr>
            </w:pPr>
            <w:r>
              <w:rPr>
                <w:color w:val="000000"/>
                <w:sz w:val="12"/>
                <w:szCs w:val="12"/>
              </w:rPr>
              <w:t>238,7</w:t>
            </w:r>
          </w:p>
        </w:tc>
        <w:tc>
          <w:tcPr>
            <w:tcW w:w="705" w:type="dxa"/>
            <w:vAlign w:val="center"/>
            <w:hideMark/>
          </w:tcPr>
          <w:p w:rsidR="00705F07" w:rsidRDefault="00185A37">
            <w:pPr>
              <w:jc w:val="center"/>
              <w:rPr>
                <w:color w:val="000000"/>
                <w:sz w:val="12"/>
                <w:szCs w:val="12"/>
              </w:rPr>
            </w:pPr>
            <w:r>
              <w:rPr>
                <w:color w:val="000000"/>
                <w:sz w:val="12"/>
                <w:szCs w:val="12"/>
              </w:rPr>
              <w:t>235,1</w:t>
            </w:r>
          </w:p>
        </w:tc>
        <w:tc>
          <w:tcPr>
            <w:tcW w:w="737" w:type="dxa"/>
            <w:vAlign w:val="center"/>
            <w:hideMark/>
          </w:tcPr>
          <w:p w:rsidR="00705F07" w:rsidRDefault="00185A37">
            <w:pPr>
              <w:jc w:val="center"/>
              <w:rPr>
                <w:color w:val="000000"/>
                <w:sz w:val="12"/>
                <w:szCs w:val="12"/>
              </w:rPr>
            </w:pPr>
            <w:r>
              <w:rPr>
                <w:color w:val="000000"/>
                <w:sz w:val="12"/>
                <w:szCs w:val="12"/>
              </w:rPr>
              <w:t>230,9</w:t>
            </w:r>
          </w:p>
        </w:tc>
        <w:tc>
          <w:tcPr>
            <w:tcW w:w="666" w:type="dxa"/>
            <w:vAlign w:val="center"/>
            <w:hideMark/>
          </w:tcPr>
          <w:p w:rsidR="00705F07" w:rsidRDefault="00185A37">
            <w:pPr>
              <w:jc w:val="center"/>
              <w:rPr>
                <w:color w:val="000000"/>
                <w:sz w:val="12"/>
                <w:szCs w:val="12"/>
              </w:rPr>
            </w:pPr>
            <w:r>
              <w:rPr>
                <w:color w:val="000000"/>
                <w:sz w:val="12"/>
                <w:szCs w:val="12"/>
              </w:rPr>
              <w:t>221,7</w:t>
            </w:r>
          </w:p>
        </w:tc>
      </w:tr>
      <w:tr w:rsidR="00705F07">
        <w:trPr>
          <w:trHeight w:val="165"/>
          <w:jc w:val="center"/>
        </w:trPr>
        <w:tc>
          <w:tcPr>
            <w:tcW w:w="1257" w:type="dxa"/>
            <w:vAlign w:val="center"/>
            <w:hideMark/>
          </w:tcPr>
          <w:p w:rsidR="00705F07" w:rsidRDefault="00185A37">
            <w:pPr>
              <w:jc w:val="center"/>
              <w:rPr>
                <w:color w:val="000000"/>
                <w:sz w:val="12"/>
                <w:szCs w:val="12"/>
              </w:rPr>
            </w:pPr>
            <w:r>
              <w:rPr>
                <w:color w:val="000000"/>
                <w:sz w:val="12"/>
                <w:szCs w:val="12"/>
              </w:rPr>
              <w:t xml:space="preserve">         купівлі (млн. євро в доларовому еквіваленті)</w:t>
            </w:r>
          </w:p>
        </w:tc>
        <w:tc>
          <w:tcPr>
            <w:tcW w:w="606" w:type="dxa"/>
            <w:vAlign w:val="center"/>
            <w:hideMark/>
          </w:tcPr>
          <w:p w:rsidR="00705F07" w:rsidRDefault="00185A37">
            <w:pPr>
              <w:jc w:val="center"/>
              <w:rPr>
                <w:color w:val="000000"/>
                <w:sz w:val="12"/>
                <w:szCs w:val="12"/>
              </w:rPr>
            </w:pPr>
            <w:r>
              <w:rPr>
                <w:color w:val="000000"/>
                <w:sz w:val="12"/>
                <w:szCs w:val="12"/>
              </w:rPr>
              <w:t>186,1</w:t>
            </w:r>
          </w:p>
        </w:tc>
        <w:tc>
          <w:tcPr>
            <w:tcW w:w="606" w:type="dxa"/>
            <w:vAlign w:val="center"/>
            <w:hideMark/>
          </w:tcPr>
          <w:p w:rsidR="00705F07" w:rsidRDefault="00185A37">
            <w:pPr>
              <w:jc w:val="center"/>
              <w:rPr>
                <w:color w:val="000000"/>
                <w:sz w:val="12"/>
                <w:szCs w:val="12"/>
              </w:rPr>
            </w:pPr>
            <w:r>
              <w:rPr>
                <w:color w:val="000000"/>
                <w:sz w:val="12"/>
                <w:szCs w:val="12"/>
              </w:rPr>
              <w:t>180,7</w:t>
            </w:r>
          </w:p>
        </w:tc>
        <w:tc>
          <w:tcPr>
            <w:tcW w:w="703" w:type="dxa"/>
            <w:vAlign w:val="center"/>
            <w:hideMark/>
          </w:tcPr>
          <w:p w:rsidR="00705F07" w:rsidRDefault="00185A37">
            <w:pPr>
              <w:jc w:val="center"/>
              <w:rPr>
                <w:color w:val="000000"/>
                <w:sz w:val="12"/>
                <w:szCs w:val="12"/>
              </w:rPr>
            </w:pPr>
            <w:r>
              <w:rPr>
                <w:color w:val="000000"/>
                <w:sz w:val="12"/>
                <w:szCs w:val="12"/>
              </w:rPr>
              <w:t>214,0</w:t>
            </w:r>
          </w:p>
        </w:tc>
        <w:tc>
          <w:tcPr>
            <w:tcW w:w="646" w:type="dxa"/>
            <w:vAlign w:val="center"/>
            <w:hideMark/>
          </w:tcPr>
          <w:p w:rsidR="00705F07" w:rsidRDefault="00185A37">
            <w:pPr>
              <w:jc w:val="center"/>
              <w:rPr>
                <w:color w:val="000000"/>
                <w:sz w:val="12"/>
                <w:szCs w:val="12"/>
              </w:rPr>
            </w:pPr>
            <w:r>
              <w:rPr>
                <w:color w:val="000000"/>
                <w:sz w:val="12"/>
                <w:szCs w:val="12"/>
              </w:rPr>
              <w:t>211,6</w:t>
            </w:r>
          </w:p>
        </w:tc>
        <w:tc>
          <w:tcPr>
            <w:tcW w:w="674" w:type="dxa"/>
            <w:vAlign w:val="center"/>
            <w:hideMark/>
          </w:tcPr>
          <w:p w:rsidR="00705F07" w:rsidRDefault="00185A37">
            <w:pPr>
              <w:jc w:val="center"/>
              <w:rPr>
                <w:color w:val="000000"/>
                <w:sz w:val="12"/>
                <w:szCs w:val="12"/>
              </w:rPr>
            </w:pPr>
            <w:r>
              <w:rPr>
                <w:color w:val="000000"/>
                <w:sz w:val="12"/>
                <w:szCs w:val="12"/>
              </w:rPr>
              <w:t>230,4</w:t>
            </w:r>
          </w:p>
        </w:tc>
        <w:tc>
          <w:tcPr>
            <w:tcW w:w="675" w:type="dxa"/>
            <w:vAlign w:val="center"/>
            <w:hideMark/>
          </w:tcPr>
          <w:p w:rsidR="00705F07" w:rsidRDefault="00185A37">
            <w:pPr>
              <w:jc w:val="center"/>
              <w:rPr>
                <w:color w:val="000000"/>
                <w:sz w:val="12"/>
                <w:szCs w:val="12"/>
              </w:rPr>
            </w:pPr>
            <w:r>
              <w:rPr>
                <w:color w:val="000000"/>
                <w:sz w:val="12"/>
                <w:szCs w:val="12"/>
              </w:rPr>
              <w:t>231,5</w:t>
            </w:r>
          </w:p>
        </w:tc>
        <w:tc>
          <w:tcPr>
            <w:tcW w:w="630" w:type="dxa"/>
            <w:vAlign w:val="center"/>
            <w:hideMark/>
          </w:tcPr>
          <w:p w:rsidR="00705F07" w:rsidRDefault="00185A37">
            <w:pPr>
              <w:jc w:val="center"/>
              <w:rPr>
                <w:color w:val="000000"/>
                <w:sz w:val="12"/>
                <w:szCs w:val="12"/>
              </w:rPr>
            </w:pPr>
            <w:r>
              <w:rPr>
                <w:color w:val="000000"/>
                <w:sz w:val="12"/>
                <w:szCs w:val="12"/>
              </w:rPr>
              <w:t>245,7</w:t>
            </w:r>
          </w:p>
        </w:tc>
        <w:tc>
          <w:tcPr>
            <w:tcW w:w="678" w:type="dxa"/>
            <w:vAlign w:val="center"/>
            <w:hideMark/>
          </w:tcPr>
          <w:p w:rsidR="00705F07" w:rsidRDefault="00185A37">
            <w:pPr>
              <w:jc w:val="center"/>
              <w:rPr>
                <w:color w:val="000000"/>
                <w:sz w:val="12"/>
                <w:szCs w:val="12"/>
              </w:rPr>
            </w:pPr>
            <w:r>
              <w:rPr>
                <w:color w:val="000000"/>
                <w:sz w:val="12"/>
                <w:szCs w:val="12"/>
              </w:rPr>
              <w:t>270,1</w:t>
            </w:r>
          </w:p>
        </w:tc>
        <w:tc>
          <w:tcPr>
            <w:tcW w:w="709" w:type="dxa"/>
            <w:vAlign w:val="center"/>
            <w:hideMark/>
          </w:tcPr>
          <w:p w:rsidR="00705F07" w:rsidRDefault="00185A37">
            <w:pPr>
              <w:jc w:val="center"/>
              <w:rPr>
                <w:color w:val="000000"/>
                <w:sz w:val="12"/>
                <w:szCs w:val="12"/>
              </w:rPr>
            </w:pPr>
            <w:r>
              <w:rPr>
                <w:color w:val="000000"/>
                <w:sz w:val="12"/>
                <w:szCs w:val="12"/>
              </w:rPr>
              <w:t>237,6</w:t>
            </w:r>
          </w:p>
        </w:tc>
        <w:tc>
          <w:tcPr>
            <w:tcW w:w="705" w:type="dxa"/>
            <w:vAlign w:val="center"/>
            <w:hideMark/>
          </w:tcPr>
          <w:p w:rsidR="00705F07" w:rsidRDefault="00185A37">
            <w:pPr>
              <w:jc w:val="center"/>
              <w:rPr>
                <w:color w:val="000000"/>
                <w:sz w:val="12"/>
                <w:szCs w:val="12"/>
              </w:rPr>
            </w:pPr>
            <w:r>
              <w:rPr>
                <w:color w:val="000000"/>
                <w:sz w:val="12"/>
                <w:szCs w:val="12"/>
              </w:rPr>
              <w:t>236,9</w:t>
            </w:r>
          </w:p>
        </w:tc>
        <w:tc>
          <w:tcPr>
            <w:tcW w:w="737" w:type="dxa"/>
            <w:vAlign w:val="center"/>
            <w:hideMark/>
          </w:tcPr>
          <w:p w:rsidR="00705F07" w:rsidRDefault="00185A37">
            <w:pPr>
              <w:jc w:val="center"/>
              <w:rPr>
                <w:color w:val="000000"/>
                <w:sz w:val="12"/>
                <w:szCs w:val="12"/>
              </w:rPr>
            </w:pPr>
            <w:r>
              <w:rPr>
                <w:color w:val="000000"/>
                <w:sz w:val="12"/>
                <w:szCs w:val="12"/>
              </w:rPr>
              <w:t>229,9</w:t>
            </w:r>
          </w:p>
        </w:tc>
        <w:tc>
          <w:tcPr>
            <w:tcW w:w="666" w:type="dxa"/>
            <w:vAlign w:val="center"/>
            <w:hideMark/>
          </w:tcPr>
          <w:p w:rsidR="00705F07" w:rsidRDefault="00185A37">
            <w:pPr>
              <w:jc w:val="center"/>
              <w:rPr>
                <w:color w:val="000000"/>
                <w:sz w:val="12"/>
                <w:szCs w:val="12"/>
              </w:rPr>
            </w:pPr>
            <w:r>
              <w:rPr>
                <w:color w:val="000000"/>
                <w:sz w:val="12"/>
                <w:szCs w:val="12"/>
              </w:rPr>
              <w:t>220,1</w:t>
            </w:r>
          </w:p>
        </w:tc>
      </w:tr>
      <w:tr w:rsidR="00705F07">
        <w:trPr>
          <w:trHeight w:val="165"/>
          <w:jc w:val="center"/>
        </w:trPr>
        <w:tc>
          <w:tcPr>
            <w:tcW w:w="1257" w:type="dxa"/>
            <w:shd w:val="clear" w:color="000000" w:fill="B6DDE8"/>
            <w:vAlign w:val="center"/>
            <w:hideMark/>
          </w:tcPr>
          <w:p w:rsidR="00705F07" w:rsidRDefault="00185A37">
            <w:pPr>
              <w:jc w:val="center"/>
              <w:rPr>
                <w:color w:val="000000"/>
                <w:sz w:val="12"/>
                <w:szCs w:val="12"/>
              </w:rPr>
            </w:pPr>
            <w:r>
              <w:rPr>
                <w:color w:val="000000"/>
                <w:sz w:val="12"/>
                <w:szCs w:val="12"/>
              </w:rPr>
              <w:t>Сальдо (продаж мінус купівля, млн. євро в доларовому еквів.)</w:t>
            </w:r>
          </w:p>
        </w:tc>
        <w:tc>
          <w:tcPr>
            <w:tcW w:w="606" w:type="dxa"/>
            <w:shd w:val="clear" w:color="000000" w:fill="B6DDE8"/>
            <w:vAlign w:val="center"/>
            <w:hideMark/>
          </w:tcPr>
          <w:p w:rsidR="00705F07" w:rsidRDefault="00185A37">
            <w:pPr>
              <w:jc w:val="center"/>
              <w:rPr>
                <w:color w:val="000000"/>
                <w:sz w:val="12"/>
                <w:szCs w:val="12"/>
              </w:rPr>
            </w:pPr>
            <w:r>
              <w:rPr>
                <w:color w:val="000000"/>
                <w:sz w:val="12"/>
                <w:szCs w:val="12"/>
              </w:rPr>
              <w:t>0,8</w:t>
            </w:r>
          </w:p>
        </w:tc>
        <w:tc>
          <w:tcPr>
            <w:tcW w:w="606" w:type="dxa"/>
            <w:shd w:val="clear" w:color="000000" w:fill="B6DDE8"/>
            <w:vAlign w:val="center"/>
            <w:hideMark/>
          </w:tcPr>
          <w:p w:rsidR="00705F07" w:rsidRDefault="00185A37">
            <w:pPr>
              <w:jc w:val="center"/>
              <w:rPr>
                <w:color w:val="000000"/>
                <w:sz w:val="12"/>
                <w:szCs w:val="12"/>
              </w:rPr>
            </w:pPr>
            <w:r>
              <w:rPr>
                <w:color w:val="000000"/>
                <w:sz w:val="12"/>
                <w:szCs w:val="12"/>
              </w:rPr>
              <w:t>-1,3</w:t>
            </w:r>
          </w:p>
        </w:tc>
        <w:tc>
          <w:tcPr>
            <w:tcW w:w="703" w:type="dxa"/>
            <w:shd w:val="clear" w:color="000000" w:fill="B6DDE8"/>
            <w:vAlign w:val="center"/>
            <w:hideMark/>
          </w:tcPr>
          <w:p w:rsidR="00705F07" w:rsidRDefault="00185A37">
            <w:pPr>
              <w:jc w:val="center"/>
              <w:rPr>
                <w:color w:val="000000"/>
                <w:sz w:val="12"/>
                <w:szCs w:val="12"/>
              </w:rPr>
            </w:pPr>
            <w:r>
              <w:rPr>
                <w:color w:val="000000"/>
                <w:sz w:val="12"/>
                <w:szCs w:val="12"/>
              </w:rPr>
              <w:t>1,3</w:t>
            </w:r>
          </w:p>
        </w:tc>
        <w:tc>
          <w:tcPr>
            <w:tcW w:w="646" w:type="dxa"/>
            <w:shd w:val="clear" w:color="000000" w:fill="B6DDE8"/>
            <w:vAlign w:val="center"/>
            <w:hideMark/>
          </w:tcPr>
          <w:p w:rsidR="00705F07" w:rsidRDefault="00185A37">
            <w:pPr>
              <w:jc w:val="center"/>
              <w:rPr>
                <w:color w:val="000000"/>
                <w:sz w:val="12"/>
                <w:szCs w:val="12"/>
              </w:rPr>
            </w:pPr>
            <w:r>
              <w:rPr>
                <w:color w:val="000000"/>
                <w:sz w:val="12"/>
                <w:szCs w:val="12"/>
              </w:rPr>
              <w:t>-0,6</w:t>
            </w:r>
          </w:p>
        </w:tc>
        <w:tc>
          <w:tcPr>
            <w:tcW w:w="674" w:type="dxa"/>
            <w:shd w:val="clear" w:color="000000" w:fill="B6DDE8"/>
            <w:vAlign w:val="center"/>
            <w:hideMark/>
          </w:tcPr>
          <w:p w:rsidR="00705F07" w:rsidRDefault="00185A37">
            <w:pPr>
              <w:jc w:val="center"/>
              <w:rPr>
                <w:color w:val="000000"/>
                <w:sz w:val="12"/>
                <w:szCs w:val="12"/>
              </w:rPr>
            </w:pPr>
            <w:r>
              <w:rPr>
                <w:color w:val="000000"/>
                <w:sz w:val="12"/>
                <w:szCs w:val="12"/>
              </w:rPr>
              <w:t>0,6</w:t>
            </w:r>
          </w:p>
        </w:tc>
        <w:tc>
          <w:tcPr>
            <w:tcW w:w="675" w:type="dxa"/>
            <w:shd w:val="clear" w:color="000000" w:fill="B6DDE8"/>
            <w:vAlign w:val="center"/>
            <w:hideMark/>
          </w:tcPr>
          <w:p w:rsidR="00705F07" w:rsidRDefault="00185A37">
            <w:pPr>
              <w:jc w:val="center"/>
              <w:rPr>
                <w:color w:val="000000"/>
                <w:sz w:val="12"/>
                <w:szCs w:val="12"/>
              </w:rPr>
            </w:pPr>
            <w:r>
              <w:rPr>
                <w:color w:val="000000"/>
                <w:sz w:val="12"/>
                <w:szCs w:val="12"/>
              </w:rPr>
              <w:t>-0,2</w:t>
            </w:r>
          </w:p>
        </w:tc>
        <w:tc>
          <w:tcPr>
            <w:tcW w:w="630" w:type="dxa"/>
            <w:shd w:val="clear" w:color="000000" w:fill="B6DDE8"/>
            <w:vAlign w:val="center"/>
            <w:hideMark/>
          </w:tcPr>
          <w:p w:rsidR="00705F07" w:rsidRDefault="00185A37">
            <w:pPr>
              <w:jc w:val="center"/>
              <w:rPr>
                <w:color w:val="000000"/>
                <w:sz w:val="12"/>
                <w:szCs w:val="12"/>
              </w:rPr>
            </w:pPr>
            <w:r>
              <w:rPr>
                <w:color w:val="000000"/>
                <w:sz w:val="12"/>
                <w:szCs w:val="12"/>
              </w:rPr>
              <w:t>-2,3</w:t>
            </w:r>
          </w:p>
        </w:tc>
        <w:tc>
          <w:tcPr>
            <w:tcW w:w="678" w:type="dxa"/>
            <w:shd w:val="clear" w:color="000000" w:fill="B6DDE8"/>
            <w:vAlign w:val="center"/>
            <w:hideMark/>
          </w:tcPr>
          <w:p w:rsidR="00705F07" w:rsidRDefault="00185A37">
            <w:pPr>
              <w:jc w:val="center"/>
              <w:rPr>
                <w:color w:val="000000"/>
                <w:sz w:val="12"/>
                <w:szCs w:val="12"/>
              </w:rPr>
            </w:pPr>
            <w:r>
              <w:rPr>
                <w:color w:val="000000"/>
                <w:sz w:val="12"/>
                <w:szCs w:val="12"/>
              </w:rPr>
              <w:t>0,4</w:t>
            </w:r>
          </w:p>
        </w:tc>
        <w:tc>
          <w:tcPr>
            <w:tcW w:w="709" w:type="dxa"/>
            <w:shd w:val="clear" w:color="000000" w:fill="B6DDE8"/>
            <w:vAlign w:val="center"/>
            <w:hideMark/>
          </w:tcPr>
          <w:p w:rsidR="00705F07" w:rsidRDefault="00185A37">
            <w:pPr>
              <w:jc w:val="center"/>
              <w:rPr>
                <w:color w:val="000000"/>
                <w:sz w:val="12"/>
                <w:szCs w:val="12"/>
              </w:rPr>
            </w:pPr>
            <w:r>
              <w:rPr>
                <w:color w:val="000000"/>
                <w:sz w:val="12"/>
                <w:szCs w:val="12"/>
              </w:rPr>
              <w:t>1,1</w:t>
            </w:r>
          </w:p>
        </w:tc>
        <w:tc>
          <w:tcPr>
            <w:tcW w:w="705" w:type="dxa"/>
            <w:shd w:val="clear" w:color="000000" w:fill="B6DDE8"/>
            <w:vAlign w:val="center"/>
            <w:hideMark/>
          </w:tcPr>
          <w:p w:rsidR="00705F07" w:rsidRDefault="00185A37">
            <w:pPr>
              <w:jc w:val="center"/>
              <w:rPr>
                <w:color w:val="000000"/>
                <w:sz w:val="12"/>
                <w:szCs w:val="12"/>
              </w:rPr>
            </w:pPr>
            <w:r>
              <w:rPr>
                <w:color w:val="000000"/>
                <w:sz w:val="12"/>
                <w:szCs w:val="12"/>
              </w:rPr>
              <w:t>-1,8</w:t>
            </w:r>
          </w:p>
        </w:tc>
        <w:tc>
          <w:tcPr>
            <w:tcW w:w="737" w:type="dxa"/>
            <w:shd w:val="clear" w:color="000000" w:fill="B6DDE8"/>
            <w:vAlign w:val="center"/>
            <w:hideMark/>
          </w:tcPr>
          <w:p w:rsidR="00705F07" w:rsidRDefault="00185A37">
            <w:pPr>
              <w:jc w:val="center"/>
              <w:rPr>
                <w:color w:val="000000"/>
                <w:sz w:val="12"/>
                <w:szCs w:val="12"/>
              </w:rPr>
            </w:pPr>
            <w:r>
              <w:rPr>
                <w:color w:val="000000"/>
                <w:sz w:val="12"/>
                <w:szCs w:val="12"/>
              </w:rPr>
              <w:t>1,0</w:t>
            </w:r>
          </w:p>
        </w:tc>
        <w:tc>
          <w:tcPr>
            <w:tcW w:w="666" w:type="dxa"/>
            <w:shd w:val="clear" w:color="000000" w:fill="B6DDE8"/>
            <w:vAlign w:val="center"/>
            <w:hideMark/>
          </w:tcPr>
          <w:p w:rsidR="00705F07" w:rsidRDefault="00185A37">
            <w:pPr>
              <w:jc w:val="center"/>
              <w:rPr>
                <w:color w:val="000000"/>
                <w:sz w:val="12"/>
                <w:szCs w:val="12"/>
              </w:rPr>
            </w:pPr>
            <w:r>
              <w:rPr>
                <w:color w:val="000000"/>
                <w:sz w:val="12"/>
                <w:szCs w:val="12"/>
              </w:rPr>
              <w:t>1,6</w:t>
            </w:r>
          </w:p>
        </w:tc>
      </w:tr>
      <w:tr w:rsidR="00705F07">
        <w:trPr>
          <w:trHeight w:val="195"/>
          <w:jc w:val="center"/>
        </w:trPr>
        <w:tc>
          <w:tcPr>
            <w:tcW w:w="1257" w:type="dxa"/>
            <w:shd w:val="clear" w:color="000000" w:fill="D7E4BC"/>
            <w:vAlign w:val="center"/>
            <w:hideMark/>
          </w:tcPr>
          <w:p w:rsidR="00705F07" w:rsidRDefault="00185A37">
            <w:pPr>
              <w:jc w:val="center"/>
              <w:rPr>
                <w:bCs/>
                <w:color w:val="000000"/>
                <w:sz w:val="12"/>
                <w:szCs w:val="12"/>
              </w:rPr>
            </w:pPr>
            <w:r>
              <w:rPr>
                <w:bCs/>
                <w:color w:val="000000"/>
                <w:sz w:val="12"/>
                <w:szCs w:val="12"/>
              </w:rPr>
              <w:t>Обсяг операцій клієнтів банків з безготівковою іноземною валютою (млн. дол США в еквіваленті):</w:t>
            </w:r>
          </w:p>
        </w:tc>
        <w:tc>
          <w:tcPr>
            <w:tcW w:w="606" w:type="dxa"/>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06" w:type="dxa"/>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03" w:type="dxa"/>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46" w:type="dxa"/>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74" w:type="dxa"/>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75" w:type="dxa"/>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30" w:type="dxa"/>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78" w:type="dxa"/>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09" w:type="dxa"/>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05" w:type="dxa"/>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37" w:type="dxa"/>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66" w:type="dxa"/>
            <w:shd w:val="clear" w:color="000000" w:fill="D7E4BC"/>
            <w:vAlign w:val="center"/>
            <w:hideMark/>
          </w:tcPr>
          <w:p w:rsidR="00705F07" w:rsidRDefault="00185A37">
            <w:pPr>
              <w:jc w:val="center"/>
              <w:rPr>
                <w:color w:val="000000"/>
                <w:sz w:val="12"/>
                <w:szCs w:val="12"/>
              </w:rPr>
            </w:pPr>
            <w:r>
              <w:rPr>
                <w:color w:val="000000"/>
                <w:sz w:val="12"/>
                <w:szCs w:val="12"/>
              </w:rPr>
              <w:t> </w:t>
            </w:r>
          </w:p>
        </w:tc>
      </w:tr>
      <w:tr w:rsidR="00705F07">
        <w:trPr>
          <w:trHeight w:val="165"/>
          <w:jc w:val="center"/>
        </w:trPr>
        <w:tc>
          <w:tcPr>
            <w:tcW w:w="1257" w:type="dxa"/>
            <w:vAlign w:val="center"/>
            <w:hideMark/>
          </w:tcPr>
          <w:p w:rsidR="00705F07" w:rsidRDefault="00185A37">
            <w:pPr>
              <w:jc w:val="center"/>
              <w:rPr>
                <w:color w:val="000000"/>
                <w:sz w:val="12"/>
                <w:szCs w:val="12"/>
              </w:rPr>
            </w:pPr>
            <w:r>
              <w:rPr>
                <w:color w:val="000000"/>
                <w:sz w:val="12"/>
                <w:szCs w:val="12"/>
              </w:rPr>
              <w:t xml:space="preserve">         продажу</w:t>
            </w:r>
          </w:p>
        </w:tc>
        <w:tc>
          <w:tcPr>
            <w:tcW w:w="606" w:type="dxa"/>
            <w:vAlign w:val="center"/>
            <w:hideMark/>
          </w:tcPr>
          <w:p w:rsidR="00705F07" w:rsidRDefault="00185A37">
            <w:pPr>
              <w:jc w:val="center"/>
              <w:rPr>
                <w:color w:val="000000"/>
                <w:sz w:val="12"/>
                <w:szCs w:val="12"/>
              </w:rPr>
            </w:pPr>
            <w:r>
              <w:rPr>
                <w:color w:val="000000"/>
                <w:sz w:val="12"/>
                <w:szCs w:val="12"/>
              </w:rPr>
              <w:t>10 246,8</w:t>
            </w:r>
          </w:p>
        </w:tc>
        <w:tc>
          <w:tcPr>
            <w:tcW w:w="606" w:type="dxa"/>
            <w:vAlign w:val="center"/>
            <w:hideMark/>
          </w:tcPr>
          <w:p w:rsidR="00705F07" w:rsidRDefault="00185A37">
            <w:pPr>
              <w:jc w:val="center"/>
              <w:rPr>
                <w:color w:val="000000"/>
                <w:sz w:val="12"/>
                <w:szCs w:val="12"/>
              </w:rPr>
            </w:pPr>
            <w:r>
              <w:rPr>
                <w:color w:val="000000"/>
                <w:sz w:val="12"/>
                <w:szCs w:val="12"/>
              </w:rPr>
              <w:t>9 686,1</w:t>
            </w:r>
          </w:p>
        </w:tc>
        <w:tc>
          <w:tcPr>
            <w:tcW w:w="703" w:type="dxa"/>
            <w:vAlign w:val="center"/>
            <w:hideMark/>
          </w:tcPr>
          <w:p w:rsidR="00705F07" w:rsidRDefault="00185A37">
            <w:pPr>
              <w:jc w:val="center"/>
              <w:rPr>
                <w:color w:val="000000"/>
                <w:sz w:val="12"/>
                <w:szCs w:val="12"/>
              </w:rPr>
            </w:pPr>
            <w:r>
              <w:rPr>
                <w:color w:val="000000"/>
                <w:sz w:val="12"/>
                <w:szCs w:val="12"/>
              </w:rPr>
              <w:t>12 785,4</w:t>
            </w:r>
          </w:p>
        </w:tc>
        <w:tc>
          <w:tcPr>
            <w:tcW w:w="646" w:type="dxa"/>
            <w:vAlign w:val="center"/>
            <w:hideMark/>
          </w:tcPr>
          <w:p w:rsidR="00705F07" w:rsidRDefault="00185A37">
            <w:pPr>
              <w:jc w:val="center"/>
              <w:rPr>
                <w:color w:val="000000"/>
                <w:sz w:val="12"/>
                <w:szCs w:val="12"/>
              </w:rPr>
            </w:pPr>
            <w:r>
              <w:rPr>
                <w:color w:val="000000"/>
                <w:sz w:val="12"/>
                <w:szCs w:val="12"/>
              </w:rPr>
              <w:t>9 855,7</w:t>
            </w:r>
          </w:p>
        </w:tc>
        <w:tc>
          <w:tcPr>
            <w:tcW w:w="674" w:type="dxa"/>
            <w:vAlign w:val="center"/>
            <w:hideMark/>
          </w:tcPr>
          <w:p w:rsidR="00705F07" w:rsidRDefault="00185A37">
            <w:pPr>
              <w:jc w:val="center"/>
              <w:rPr>
                <w:color w:val="000000"/>
                <w:sz w:val="12"/>
                <w:szCs w:val="12"/>
              </w:rPr>
            </w:pPr>
            <w:r>
              <w:rPr>
                <w:color w:val="000000"/>
                <w:sz w:val="12"/>
                <w:szCs w:val="12"/>
              </w:rPr>
              <w:t>9 268,0</w:t>
            </w:r>
          </w:p>
        </w:tc>
        <w:tc>
          <w:tcPr>
            <w:tcW w:w="675" w:type="dxa"/>
            <w:vAlign w:val="center"/>
            <w:hideMark/>
          </w:tcPr>
          <w:p w:rsidR="00705F07" w:rsidRDefault="00185A37">
            <w:pPr>
              <w:jc w:val="center"/>
              <w:rPr>
                <w:color w:val="000000"/>
                <w:sz w:val="12"/>
                <w:szCs w:val="12"/>
              </w:rPr>
            </w:pPr>
            <w:r>
              <w:rPr>
                <w:color w:val="000000"/>
                <w:sz w:val="12"/>
                <w:szCs w:val="12"/>
              </w:rPr>
              <w:t>8 844,5</w:t>
            </w:r>
          </w:p>
        </w:tc>
        <w:tc>
          <w:tcPr>
            <w:tcW w:w="630" w:type="dxa"/>
            <w:vAlign w:val="center"/>
            <w:hideMark/>
          </w:tcPr>
          <w:p w:rsidR="00705F07" w:rsidRDefault="00185A37">
            <w:pPr>
              <w:jc w:val="center"/>
              <w:rPr>
                <w:color w:val="000000"/>
                <w:sz w:val="12"/>
                <w:szCs w:val="12"/>
              </w:rPr>
            </w:pPr>
            <w:r>
              <w:rPr>
                <w:color w:val="000000"/>
                <w:sz w:val="12"/>
                <w:szCs w:val="12"/>
              </w:rPr>
              <w:t>7 639,4</w:t>
            </w:r>
          </w:p>
        </w:tc>
        <w:tc>
          <w:tcPr>
            <w:tcW w:w="678" w:type="dxa"/>
            <w:vAlign w:val="center"/>
            <w:hideMark/>
          </w:tcPr>
          <w:p w:rsidR="00705F07" w:rsidRDefault="00185A37">
            <w:pPr>
              <w:jc w:val="center"/>
              <w:rPr>
                <w:color w:val="000000"/>
                <w:sz w:val="12"/>
                <w:szCs w:val="12"/>
              </w:rPr>
            </w:pPr>
            <w:r>
              <w:rPr>
                <w:color w:val="000000"/>
                <w:sz w:val="12"/>
                <w:szCs w:val="12"/>
              </w:rPr>
              <w:t>7 276,0</w:t>
            </w:r>
          </w:p>
        </w:tc>
        <w:tc>
          <w:tcPr>
            <w:tcW w:w="709" w:type="dxa"/>
            <w:vAlign w:val="center"/>
            <w:hideMark/>
          </w:tcPr>
          <w:p w:rsidR="00705F07" w:rsidRDefault="00185A37">
            <w:pPr>
              <w:jc w:val="center"/>
              <w:rPr>
                <w:color w:val="000000"/>
                <w:sz w:val="12"/>
                <w:szCs w:val="12"/>
              </w:rPr>
            </w:pPr>
            <w:r>
              <w:rPr>
                <w:color w:val="000000"/>
                <w:sz w:val="12"/>
                <w:szCs w:val="12"/>
              </w:rPr>
              <w:t>6 792,2</w:t>
            </w:r>
          </w:p>
        </w:tc>
        <w:tc>
          <w:tcPr>
            <w:tcW w:w="705" w:type="dxa"/>
            <w:vAlign w:val="center"/>
            <w:hideMark/>
          </w:tcPr>
          <w:p w:rsidR="00705F07" w:rsidRDefault="00185A37">
            <w:pPr>
              <w:jc w:val="center"/>
              <w:rPr>
                <w:color w:val="000000"/>
                <w:sz w:val="12"/>
                <w:szCs w:val="12"/>
              </w:rPr>
            </w:pPr>
            <w:r>
              <w:rPr>
                <w:color w:val="000000"/>
                <w:sz w:val="12"/>
                <w:szCs w:val="12"/>
              </w:rPr>
              <w:t>6 435,9</w:t>
            </w:r>
          </w:p>
        </w:tc>
        <w:tc>
          <w:tcPr>
            <w:tcW w:w="737" w:type="dxa"/>
            <w:vAlign w:val="center"/>
            <w:hideMark/>
          </w:tcPr>
          <w:p w:rsidR="00705F07" w:rsidRDefault="00185A37">
            <w:pPr>
              <w:jc w:val="center"/>
              <w:rPr>
                <w:color w:val="000000"/>
                <w:sz w:val="12"/>
                <w:szCs w:val="12"/>
              </w:rPr>
            </w:pPr>
            <w:r>
              <w:rPr>
                <w:color w:val="000000"/>
                <w:sz w:val="12"/>
                <w:szCs w:val="12"/>
              </w:rPr>
              <w:t>7 468,4</w:t>
            </w:r>
          </w:p>
        </w:tc>
        <w:tc>
          <w:tcPr>
            <w:tcW w:w="666" w:type="dxa"/>
            <w:vAlign w:val="center"/>
            <w:hideMark/>
          </w:tcPr>
          <w:p w:rsidR="00705F07" w:rsidRDefault="00185A37">
            <w:pPr>
              <w:jc w:val="center"/>
              <w:rPr>
                <w:color w:val="000000"/>
                <w:sz w:val="12"/>
                <w:szCs w:val="12"/>
              </w:rPr>
            </w:pPr>
            <w:r>
              <w:rPr>
                <w:color w:val="000000"/>
                <w:sz w:val="12"/>
                <w:szCs w:val="12"/>
              </w:rPr>
              <w:t>7 642,4</w:t>
            </w:r>
          </w:p>
        </w:tc>
      </w:tr>
      <w:tr w:rsidR="00705F07">
        <w:trPr>
          <w:trHeight w:val="165"/>
          <w:jc w:val="center"/>
        </w:trPr>
        <w:tc>
          <w:tcPr>
            <w:tcW w:w="1257" w:type="dxa"/>
            <w:vAlign w:val="center"/>
            <w:hideMark/>
          </w:tcPr>
          <w:p w:rsidR="00705F07" w:rsidRDefault="00185A37">
            <w:pPr>
              <w:jc w:val="center"/>
              <w:rPr>
                <w:color w:val="000000"/>
                <w:sz w:val="12"/>
                <w:szCs w:val="12"/>
              </w:rPr>
            </w:pPr>
            <w:r>
              <w:rPr>
                <w:color w:val="000000"/>
                <w:sz w:val="12"/>
                <w:szCs w:val="12"/>
              </w:rPr>
              <w:t xml:space="preserve">                          у тому числі на умовах "форвард"</w:t>
            </w:r>
          </w:p>
        </w:tc>
        <w:tc>
          <w:tcPr>
            <w:tcW w:w="606" w:type="dxa"/>
            <w:vAlign w:val="center"/>
            <w:hideMark/>
          </w:tcPr>
          <w:p w:rsidR="00705F07" w:rsidRDefault="00185A37">
            <w:pPr>
              <w:jc w:val="center"/>
              <w:rPr>
                <w:color w:val="000000"/>
                <w:sz w:val="12"/>
                <w:szCs w:val="12"/>
              </w:rPr>
            </w:pPr>
            <w:r>
              <w:rPr>
                <w:color w:val="000000"/>
                <w:sz w:val="12"/>
                <w:szCs w:val="12"/>
              </w:rPr>
              <w:t>0,0</w:t>
            </w:r>
          </w:p>
        </w:tc>
        <w:tc>
          <w:tcPr>
            <w:tcW w:w="606" w:type="dxa"/>
            <w:vAlign w:val="center"/>
            <w:hideMark/>
          </w:tcPr>
          <w:p w:rsidR="00705F07" w:rsidRDefault="00185A37">
            <w:pPr>
              <w:jc w:val="center"/>
              <w:rPr>
                <w:color w:val="000000"/>
                <w:sz w:val="12"/>
                <w:szCs w:val="12"/>
              </w:rPr>
            </w:pPr>
            <w:r>
              <w:rPr>
                <w:color w:val="000000"/>
                <w:sz w:val="12"/>
                <w:szCs w:val="12"/>
              </w:rPr>
              <w:t>0,0</w:t>
            </w:r>
          </w:p>
        </w:tc>
        <w:tc>
          <w:tcPr>
            <w:tcW w:w="703" w:type="dxa"/>
            <w:vAlign w:val="center"/>
            <w:hideMark/>
          </w:tcPr>
          <w:p w:rsidR="00705F07" w:rsidRDefault="00185A37">
            <w:pPr>
              <w:jc w:val="center"/>
              <w:rPr>
                <w:color w:val="000000"/>
                <w:sz w:val="12"/>
                <w:szCs w:val="12"/>
              </w:rPr>
            </w:pPr>
            <w:r>
              <w:rPr>
                <w:color w:val="000000"/>
                <w:sz w:val="12"/>
                <w:szCs w:val="12"/>
              </w:rPr>
              <w:t>0,0</w:t>
            </w:r>
          </w:p>
        </w:tc>
        <w:tc>
          <w:tcPr>
            <w:tcW w:w="646" w:type="dxa"/>
            <w:vAlign w:val="center"/>
            <w:hideMark/>
          </w:tcPr>
          <w:p w:rsidR="00705F07" w:rsidRDefault="00185A37">
            <w:pPr>
              <w:jc w:val="center"/>
              <w:rPr>
                <w:color w:val="000000"/>
                <w:sz w:val="12"/>
                <w:szCs w:val="12"/>
              </w:rPr>
            </w:pPr>
            <w:r>
              <w:rPr>
                <w:color w:val="000000"/>
                <w:sz w:val="12"/>
                <w:szCs w:val="12"/>
              </w:rPr>
              <w:t>0,0</w:t>
            </w:r>
          </w:p>
        </w:tc>
        <w:tc>
          <w:tcPr>
            <w:tcW w:w="674" w:type="dxa"/>
            <w:vAlign w:val="center"/>
            <w:hideMark/>
          </w:tcPr>
          <w:p w:rsidR="00705F07" w:rsidRDefault="00185A37">
            <w:pPr>
              <w:jc w:val="center"/>
              <w:rPr>
                <w:color w:val="000000"/>
                <w:sz w:val="12"/>
                <w:szCs w:val="12"/>
              </w:rPr>
            </w:pPr>
            <w:r>
              <w:rPr>
                <w:color w:val="000000"/>
                <w:sz w:val="12"/>
                <w:szCs w:val="12"/>
              </w:rPr>
              <w:t>0,0</w:t>
            </w:r>
          </w:p>
        </w:tc>
        <w:tc>
          <w:tcPr>
            <w:tcW w:w="675" w:type="dxa"/>
            <w:vAlign w:val="center"/>
            <w:hideMark/>
          </w:tcPr>
          <w:p w:rsidR="00705F07" w:rsidRDefault="00185A37">
            <w:pPr>
              <w:jc w:val="center"/>
              <w:rPr>
                <w:color w:val="000000"/>
                <w:sz w:val="12"/>
                <w:szCs w:val="12"/>
              </w:rPr>
            </w:pPr>
            <w:r>
              <w:rPr>
                <w:color w:val="000000"/>
                <w:sz w:val="12"/>
                <w:szCs w:val="12"/>
              </w:rPr>
              <w:t>0,0</w:t>
            </w:r>
          </w:p>
        </w:tc>
        <w:tc>
          <w:tcPr>
            <w:tcW w:w="630" w:type="dxa"/>
            <w:vAlign w:val="center"/>
            <w:hideMark/>
          </w:tcPr>
          <w:p w:rsidR="00705F07" w:rsidRDefault="00185A37">
            <w:pPr>
              <w:jc w:val="center"/>
              <w:rPr>
                <w:color w:val="000000"/>
                <w:sz w:val="12"/>
                <w:szCs w:val="12"/>
              </w:rPr>
            </w:pPr>
            <w:r>
              <w:rPr>
                <w:color w:val="000000"/>
                <w:sz w:val="12"/>
                <w:szCs w:val="12"/>
              </w:rPr>
              <w:t>0,0</w:t>
            </w:r>
          </w:p>
        </w:tc>
        <w:tc>
          <w:tcPr>
            <w:tcW w:w="678" w:type="dxa"/>
            <w:vAlign w:val="center"/>
            <w:hideMark/>
          </w:tcPr>
          <w:p w:rsidR="00705F07" w:rsidRDefault="00185A37">
            <w:pPr>
              <w:jc w:val="center"/>
              <w:rPr>
                <w:color w:val="000000"/>
                <w:sz w:val="12"/>
                <w:szCs w:val="12"/>
              </w:rPr>
            </w:pPr>
            <w:r>
              <w:rPr>
                <w:color w:val="000000"/>
                <w:sz w:val="12"/>
                <w:szCs w:val="12"/>
              </w:rPr>
              <w:t>0,0</w:t>
            </w:r>
          </w:p>
        </w:tc>
        <w:tc>
          <w:tcPr>
            <w:tcW w:w="709" w:type="dxa"/>
            <w:vAlign w:val="center"/>
            <w:hideMark/>
          </w:tcPr>
          <w:p w:rsidR="00705F07" w:rsidRDefault="00185A37">
            <w:pPr>
              <w:jc w:val="center"/>
              <w:rPr>
                <w:color w:val="000000"/>
                <w:sz w:val="12"/>
                <w:szCs w:val="12"/>
              </w:rPr>
            </w:pPr>
            <w:r>
              <w:rPr>
                <w:color w:val="000000"/>
                <w:sz w:val="12"/>
                <w:szCs w:val="12"/>
              </w:rPr>
              <w:t>0,0</w:t>
            </w:r>
          </w:p>
        </w:tc>
        <w:tc>
          <w:tcPr>
            <w:tcW w:w="705" w:type="dxa"/>
            <w:vAlign w:val="center"/>
            <w:hideMark/>
          </w:tcPr>
          <w:p w:rsidR="00705F07" w:rsidRDefault="00185A37">
            <w:pPr>
              <w:jc w:val="center"/>
              <w:rPr>
                <w:color w:val="000000"/>
                <w:sz w:val="12"/>
                <w:szCs w:val="12"/>
              </w:rPr>
            </w:pPr>
            <w:r>
              <w:rPr>
                <w:color w:val="000000"/>
                <w:sz w:val="12"/>
                <w:szCs w:val="12"/>
              </w:rPr>
              <w:t>0,0</w:t>
            </w:r>
          </w:p>
        </w:tc>
        <w:tc>
          <w:tcPr>
            <w:tcW w:w="737" w:type="dxa"/>
            <w:vAlign w:val="center"/>
            <w:hideMark/>
          </w:tcPr>
          <w:p w:rsidR="00705F07" w:rsidRDefault="00185A37">
            <w:pPr>
              <w:jc w:val="center"/>
              <w:rPr>
                <w:color w:val="000000"/>
                <w:sz w:val="12"/>
                <w:szCs w:val="12"/>
              </w:rPr>
            </w:pPr>
            <w:r>
              <w:rPr>
                <w:color w:val="000000"/>
                <w:sz w:val="12"/>
                <w:szCs w:val="12"/>
              </w:rPr>
              <w:t>0,0</w:t>
            </w:r>
          </w:p>
        </w:tc>
        <w:tc>
          <w:tcPr>
            <w:tcW w:w="666" w:type="dxa"/>
            <w:vAlign w:val="center"/>
            <w:hideMark/>
          </w:tcPr>
          <w:p w:rsidR="00705F07" w:rsidRDefault="00185A37">
            <w:pPr>
              <w:jc w:val="center"/>
              <w:rPr>
                <w:color w:val="000000"/>
                <w:sz w:val="12"/>
                <w:szCs w:val="12"/>
              </w:rPr>
            </w:pPr>
            <w:r>
              <w:rPr>
                <w:color w:val="000000"/>
                <w:sz w:val="12"/>
                <w:szCs w:val="12"/>
              </w:rPr>
              <w:t>0,0</w:t>
            </w:r>
          </w:p>
        </w:tc>
      </w:tr>
      <w:tr w:rsidR="00705F07">
        <w:trPr>
          <w:trHeight w:val="165"/>
          <w:jc w:val="center"/>
        </w:trPr>
        <w:tc>
          <w:tcPr>
            <w:tcW w:w="1257" w:type="dxa"/>
            <w:vAlign w:val="center"/>
            <w:hideMark/>
          </w:tcPr>
          <w:p w:rsidR="00705F07" w:rsidRDefault="00185A37">
            <w:pPr>
              <w:jc w:val="center"/>
              <w:rPr>
                <w:color w:val="000000"/>
                <w:sz w:val="12"/>
                <w:szCs w:val="12"/>
              </w:rPr>
            </w:pPr>
            <w:r>
              <w:rPr>
                <w:color w:val="000000"/>
                <w:sz w:val="12"/>
                <w:szCs w:val="12"/>
              </w:rPr>
              <w:t xml:space="preserve">                          у тому числі на умовах "своп"</w:t>
            </w:r>
          </w:p>
        </w:tc>
        <w:tc>
          <w:tcPr>
            <w:tcW w:w="606" w:type="dxa"/>
            <w:vAlign w:val="center"/>
            <w:hideMark/>
          </w:tcPr>
          <w:p w:rsidR="00705F07" w:rsidRDefault="00185A37">
            <w:pPr>
              <w:jc w:val="center"/>
              <w:rPr>
                <w:color w:val="000000"/>
                <w:sz w:val="12"/>
                <w:szCs w:val="12"/>
              </w:rPr>
            </w:pPr>
            <w:r>
              <w:rPr>
                <w:color w:val="000000"/>
                <w:sz w:val="12"/>
                <w:szCs w:val="12"/>
              </w:rPr>
              <w:t>6 798,5</w:t>
            </w:r>
          </w:p>
        </w:tc>
        <w:tc>
          <w:tcPr>
            <w:tcW w:w="606" w:type="dxa"/>
            <w:vAlign w:val="center"/>
            <w:hideMark/>
          </w:tcPr>
          <w:p w:rsidR="00705F07" w:rsidRDefault="00185A37">
            <w:pPr>
              <w:jc w:val="center"/>
              <w:rPr>
                <w:color w:val="000000"/>
                <w:sz w:val="12"/>
                <w:szCs w:val="12"/>
              </w:rPr>
            </w:pPr>
            <w:r>
              <w:rPr>
                <w:color w:val="000000"/>
                <w:sz w:val="12"/>
                <w:szCs w:val="12"/>
              </w:rPr>
              <w:t>5 577,7</w:t>
            </w:r>
          </w:p>
        </w:tc>
        <w:tc>
          <w:tcPr>
            <w:tcW w:w="703" w:type="dxa"/>
            <w:vAlign w:val="center"/>
            <w:hideMark/>
          </w:tcPr>
          <w:p w:rsidR="00705F07" w:rsidRDefault="00185A37">
            <w:pPr>
              <w:jc w:val="center"/>
              <w:rPr>
                <w:color w:val="000000"/>
                <w:sz w:val="12"/>
                <w:szCs w:val="12"/>
              </w:rPr>
            </w:pPr>
            <w:r>
              <w:rPr>
                <w:color w:val="000000"/>
                <w:sz w:val="12"/>
                <w:szCs w:val="12"/>
              </w:rPr>
              <w:t>8 070,4</w:t>
            </w:r>
          </w:p>
        </w:tc>
        <w:tc>
          <w:tcPr>
            <w:tcW w:w="646" w:type="dxa"/>
            <w:vAlign w:val="center"/>
            <w:hideMark/>
          </w:tcPr>
          <w:p w:rsidR="00705F07" w:rsidRDefault="00185A37">
            <w:pPr>
              <w:jc w:val="center"/>
              <w:rPr>
                <w:color w:val="000000"/>
                <w:sz w:val="12"/>
                <w:szCs w:val="12"/>
              </w:rPr>
            </w:pPr>
            <w:r>
              <w:rPr>
                <w:color w:val="000000"/>
                <w:sz w:val="12"/>
                <w:szCs w:val="12"/>
              </w:rPr>
              <w:t>5 971,0</w:t>
            </w:r>
          </w:p>
        </w:tc>
        <w:tc>
          <w:tcPr>
            <w:tcW w:w="674" w:type="dxa"/>
            <w:vAlign w:val="center"/>
            <w:hideMark/>
          </w:tcPr>
          <w:p w:rsidR="00705F07" w:rsidRDefault="00185A37">
            <w:pPr>
              <w:jc w:val="center"/>
              <w:rPr>
                <w:color w:val="000000"/>
                <w:sz w:val="12"/>
                <w:szCs w:val="12"/>
              </w:rPr>
            </w:pPr>
            <w:r>
              <w:rPr>
                <w:color w:val="000000"/>
                <w:sz w:val="12"/>
                <w:szCs w:val="12"/>
              </w:rPr>
              <w:t>5 194,1</w:t>
            </w:r>
          </w:p>
        </w:tc>
        <w:tc>
          <w:tcPr>
            <w:tcW w:w="675" w:type="dxa"/>
            <w:vAlign w:val="center"/>
            <w:hideMark/>
          </w:tcPr>
          <w:p w:rsidR="00705F07" w:rsidRDefault="00185A37">
            <w:pPr>
              <w:jc w:val="center"/>
              <w:rPr>
                <w:color w:val="000000"/>
                <w:sz w:val="12"/>
                <w:szCs w:val="12"/>
              </w:rPr>
            </w:pPr>
            <w:r>
              <w:rPr>
                <w:color w:val="000000"/>
                <w:sz w:val="12"/>
                <w:szCs w:val="12"/>
              </w:rPr>
              <w:t>4 663,8</w:t>
            </w:r>
          </w:p>
        </w:tc>
        <w:tc>
          <w:tcPr>
            <w:tcW w:w="630" w:type="dxa"/>
            <w:vAlign w:val="center"/>
            <w:hideMark/>
          </w:tcPr>
          <w:p w:rsidR="00705F07" w:rsidRDefault="00185A37">
            <w:pPr>
              <w:jc w:val="center"/>
              <w:rPr>
                <w:color w:val="000000"/>
                <w:sz w:val="12"/>
                <w:szCs w:val="12"/>
              </w:rPr>
            </w:pPr>
            <w:r>
              <w:rPr>
                <w:color w:val="000000"/>
                <w:sz w:val="12"/>
                <w:szCs w:val="12"/>
              </w:rPr>
              <w:t>3 524,0</w:t>
            </w:r>
          </w:p>
        </w:tc>
        <w:tc>
          <w:tcPr>
            <w:tcW w:w="678" w:type="dxa"/>
            <w:vAlign w:val="center"/>
            <w:hideMark/>
          </w:tcPr>
          <w:p w:rsidR="00705F07" w:rsidRDefault="00185A37">
            <w:pPr>
              <w:jc w:val="center"/>
              <w:rPr>
                <w:color w:val="000000"/>
                <w:sz w:val="12"/>
                <w:szCs w:val="12"/>
              </w:rPr>
            </w:pPr>
            <w:r>
              <w:rPr>
                <w:color w:val="000000"/>
                <w:sz w:val="12"/>
                <w:szCs w:val="12"/>
              </w:rPr>
              <w:t>3 008,8</w:t>
            </w:r>
          </w:p>
        </w:tc>
        <w:tc>
          <w:tcPr>
            <w:tcW w:w="709" w:type="dxa"/>
            <w:vAlign w:val="center"/>
            <w:hideMark/>
          </w:tcPr>
          <w:p w:rsidR="00705F07" w:rsidRDefault="00185A37">
            <w:pPr>
              <w:jc w:val="center"/>
              <w:rPr>
                <w:color w:val="000000"/>
                <w:sz w:val="12"/>
                <w:szCs w:val="12"/>
              </w:rPr>
            </w:pPr>
            <w:r>
              <w:rPr>
                <w:color w:val="000000"/>
                <w:sz w:val="12"/>
                <w:szCs w:val="12"/>
              </w:rPr>
              <w:t>2 828,1</w:t>
            </w:r>
          </w:p>
        </w:tc>
        <w:tc>
          <w:tcPr>
            <w:tcW w:w="705" w:type="dxa"/>
            <w:vAlign w:val="center"/>
            <w:hideMark/>
          </w:tcPr>
          <w:p w:rsidR="00705F07" w:rsidRDefault="00185A37">
            <w:pPr>
              <w:jc w:val="center"/>
              <w:rPr>
                <w:color w:val="000000"/>
                <w:sz w:val="12"/>
                <w:szCs w:val="12"/>
              </w:rPr>
            </w:pPr>
            <w:r>
              <w:rPr>
                <w:color w:val="000000"/>
                <w:sz w:val="12"/>
                <w:szCs w:val="12"/>
              </w:rPr>
              <w:t>2 657,3</w:t>
            </w:r>
          </w:p>
        </w:tc>
        <w:tc>
          <w:tcPr>
            <w:tcW w:w="737" w:type="dxa"/>
            <w:vAlign w:val="center"/>
            <w:hideMark/>
          </w:tcPr>
          <w:p w:rsidR="00705F07" w:rsidRDefault="00185A37">
            <w:pPr>
              <w:jc w:val="center"/>
              <w:rPr>
                <w:color w:val="000000"/>
                <w:sz w:val="12"/>
                <w:szCs w:val="12"/>
              </w:rPr>
            </w:pPr>
            <w:r>
              <w:rPr>
                <w:color w:val="000000"/>
                <w:sz w:val="12"/>
                <w:szCs w:val="12"/>
              </w:rPr>
              <w:t>2 976,9</w:t>
            </w:r>
          </w:p>
        </w:tc>
        <w:tc>
          <w:tcPr>
            <w:tcW w:w="666" w:type="dxa"/>
            <w:vAlign w:val="center"/>
            <w:hideMark/>
          </w:tcPr>
          <w:p w:rsidR="00705F07" w:rsidRDefault="00185A37">
            <w:pPr>
              <w:jc w:val="center"/>
              <w:rPr>
                <w:color w:val="000000"/>
                <w:sz w:val="12"/>
                <w:szCs w:val="12"/>
              </w:rPr>
            </w:pPr>
            <w:r>
              <w:rPr>
                <w:color w:val="000000"/>
                <w:sz w:val="12"/>
                <w:szCs w:val="12"/>
              </w:rPr>
              <w:t xml:space="preserve">2 </w:t>
            </w:r>
            <w:r>
              <w:rPr>
                <w:color w:val="000000"/>
                <w:sz w:val="12"/>
                <w:szCs w:val="12"/>
              </w:rPr>
              <w:t>731,3</w:t>
            </w:r>
          </w:p>
        </w:tc>
      </w:tr>
      <w:tr w:rsidR="00705F07">
        <w:trPr>
          <w:trHeight w:val="165"/>
          <w:jc w:val="center"/>
        </w:trPr>
        <w:tc>
          <w:tcPr>
            <w:tcW w:w="1257" w:type="dxa"/>
            <w:vAlign w:val="center"/>
            <w:hideMark/>
          </w:tcPr>
          <w:p w:rsidR="00705F07" w:rsidRDefault="00185A37">
            <w:pPr>
              <w:jc w:val="center"/>
              <w:rPr>
                <w:color w:val="000000"/>
                <w:sz w:val="12"/>
                <w:szCs w:val="12"/>
              </w:rPr>
            </w:pPr>
            <w:r>
              <w:rPr>
                <w:color w:val="000000"/>
                <w:sz w:val="12"/>
                <w:szCs w:val="12"/>
              </w:rPr>
              <w:t xml:space="preserve">         купівлі</w:t>
            </w:r>
          </w:p>
        </w:tc>
        <w:tc>
          <w:tcPr>
            <w:tcW w:w="606" w:type="dxa"/>
            <w:vAlign w:val="center"/>
            <w:hideMark/>
          </w:tcPr>
          <w:p w:rsidR="00705F07" w:rsidRDefault="00185A37">
            <w:pPr>
              <w:jc w:val="center"/>
              <w:rPr>
                <w:color w:val="000000"/>
                <w:sz w:val="12"/>
                <w:szCs w:val="12"/>
              </w:rPr>
            </w:pPr>
            <w:r>
              <w:rPr>
                <w:color w:val="000000"/>
                <w:sz w:val="12"/>
                <w:szCs w:val="12"/>
              </w:rPr>
              <w:t>11 556,9</w:t>
            </w:r>
          </w:p>
        </w:tc>
        <w:tc>
          <w:tcPr>
            <w:tcW w:w="606" w:type="dxa"/>
            <w:vAlign w:val="center"/>
            <w:hideMark/>
          </w:tcPr>
          <w:p w:rsidR="00705F07" w:rsidRDefault="00185A37">
            <w:pPr>
              <w:jc w:val="center"/>
              <w:rPr>
                <w:color w:val="000000"/>
                <w:sz w:val="12"/>
                <w:szCs w:val="12"/>
              </w:rPr>
            </w:pPr>
            <w:r>
              <w:rPr>
                <w:color w:val="000000"/>
                <w:sz w:val="12"/>
                <w:szCs w:val="12"/>
              </w:rPr>
              <w:t>10 429,2</w:t>
            </w:r>
          </w:p>
        </w:tc>
        <w:tc>
          <w:tcPr>
            <w:tcW w:w="703" w:type="dxa"/>
            <w:vAlign w:val="center"/>
            <w:hideMark/>
          </w:tcPr>
          <w:p w:rsidR="00705F07" w:rsidRDefault="00185A37">
            <w:pPr>
              <w:jc w:val="center"/>
              <w:rPr>
                <w:color w:val="000000"/>
                <w:sz w:val="12"/>
                <w:szCs w:val="12"/>
              </w:rPr>
            </w:pPr>
            <w:r>
              <w:rPr>
                <w:color w:val="000000"/>
                <w:sz w:val="12"/>
                <w:szCs w:val="12"/>
              </w:rPr>
              <w:t>13 226,8</w:t>
            </w:r>
          </w:p>
        </w:tc>
        <w:tc>
          <w:tcPr>
            <w:tcW w:w="646" w:type="dxa"/>
            <w:vAlign w:val="center"/>
            <w:hideMark/>
          </w:tcPr>
          <w:p w:rsidR="00705F07" w:rsidRDefault="00185A37">
            <w:pPr>
              <w:jc w:val="center"/>
              <w:rPr>
                <w:color w:val="000000"/>
                <w:sz w:val="12"/>
                <w:szCs w:val="12"/>
              </w:rPr>
            </w:pPr>
            <w:r>
              <w:rPr>
                <w:color w:val="000000"/>
                <w:sz w:val="12"/>
                <w:szCs w:val="12"/>
              </w:rPr>
              <w:t>10 399,7</w:t>
            </w:r>
          </w:p>
        </w:tc>
        <w:tc>
          <w:tcPr>
            <w:tcW w:w="674" w:type="dxa"/>
            <w:vAlign w:val="center"/>
            <w:hideMark/>
          </w:tcPr>
          <w:p w:rsidR="00705F07" w:rsidRDefault="00185A37">
            <w:pPr>
              <w:jc w:val="center"/>
              <w:rPr>
                <w:color w:val="000000"/>
                <w:sz w:val="12"/>
                <w:szCs w:val="12"/>
              </w:rPr>
            </w:pPr>
            <w:r>
              <w:rPr>
                <w:color w:val="000000"/>
                <w:sz w:val="12"/>
                <w:szCs w:val="12"/>
              </w:rPr>
              <w:t>10 149,2</w:t>
            </w:r>
          </w:p>
        </w:tc>
        <w:tc>
          <w:tcPr>
            <w:tcW w:w="675" w:type="dxa"/>
            <w:vAlign w:val="center"/>
            <w:hideMark/>
          </w:tcPr>
          <w:p w:rsidR="00705F07" w:rsidRDefault="00185A37">
            <w:pPr>
              <w:jc w:val="center"/>
              <w:rPr>
                <w:color w:val="000000"/>
                <w:sz w:val="12"/>
                <w:szCs w:val="12"/>
              </w:rPr>
            </w:pPr>
            <w:r>
              <w:rPr>
                <w:color w:val="000000"/>
                <w:sz w:val="12"/>
                <w:szCs w:val="12"/>
              </w:rPr>
              <w:t>9 673,0</w:t>
            </w:r>
          </w:p>
        </w:tc>
        <w:tc>
          <w:tcPr>
            <w:tcW w:w="630" w:type="dxa"/>
            <w:vAlign w:val="center"/>
            <w:hideMark/>
          </w:tcPr>
          <w:p w:rsidR="00705F07" w:rsidRDefault="00185A37">
            <w:pPr>
              <w:jc w:val="center"/>
              <w:rPr>
                <w:color w:val="000000"/>
                <w:sz w:val="12"/>
                <w:szCs w:val="12"/>
              </w:rPr>
            </w:pPr>
            <w:r>
              <w:rPr>
                <w:color w:val="000000"/>
                <w:sz w:val="12"/>
                <w:szCs w:val="12"/>
              </w:rPr>
              <w:t>8 630,3</w:t>
            </w:r>
          </w:p>
        </w:tc>
        <w:tc>
          <w:tcPr>
            <w:tcW w:w="678" w:type="dxa"/>
            <w:vAlign w:val="center"/>
            <w:hideMark/>
          </w:tcPr>
          <w:p w:rsidR="00705F07" w:rsidRDefault="00185A37">
            <w:pPr>
              <w:jc w:val="center"/>
              <w:rPr>
                <w:color w:val="000000"/>
                <w:sz w:val="12"/>
                <w:szCs w:val="12"/>
              </w:rPr>
            </w:pPr>
            <w:r>
              <w:rPr>
                <w:color w:val="000000"/>
                <w:sz w:val="12"/>
                <w:szCs w:val="12"/>
              </w:rPr>
              <w:t>8 526,8</w:t>
            </w:r>
          </w:p>
        </w:tc>
        <w:tc>
          <w:tcPr>
            <w:tcW w:w="709" w:type="dxa"/>
            <w:vAlign w:val="center"/>
            <w:hideMark/>
          </w:tcPr>
          <w:p w:rsidR="00705F07" w:rsidRDefault="00185A37">
            <w:pPr>
              <w:jc w:val="center"/>
              <w:rPr>
                <w:color w:val="000000"/>
                <w:sz w:val="12"/>
                <w:szCs w:val="12"/>
              </w:rPr>
            </w:pPr>
            <w:r>
              <w:rPr>
                <w:color w:val="000000"/>
                <w:sz w:val="12"/>
                <w:szCs w:val="12"/>
              </w:rPr>
              <w:t>8 626,6</w:t>
            </w:r>
          </w:p>
        </w:tc>
        <w:tc>
          <w:tcPr>
            <w:tcW w:w="705" w:type="dxa"/>
            <w:vAlign w:val="center"/>
            <w:hideMark/>
          </w:tcPr>
          <w:p w:rsidR="00705F07" w:rsidRDefault="00185A37">
            <w:pPr>
              <w:jc w:val="center"/>
              <w:rPr>
                <w:color w:val="000000"/>
                <w:sz w:val="12"/>
                <w:szCs w:val="12"/>
              </w:rPr>
            </w:pPr>
            <w:r>
              <w:rPr>
                <w:color w:val="000000"/>
                <w:sz w:val="12"/>
                <w:szCs w:val="12"/>
              </w:rPr>
              <w:t>8 607,8</w:t>
            </w:r>
          </w:p>
        </w:tc>
        <w:tc>
          <w:tcPr>
            <w:tcW w:w="737" w:type="dxa"/>
            <w:vAlign w:val="center"/>
            <w:hideMark/>
          </w:tcPr>
          <w:p w:rsidR="00705F07" w:rsidRDefault="00185A37">
            <w:pPr>
              <w:jc w:val="center"/>
              <w:rPr>
                <w:color w:val="000000"/>
                <w:sz w:val="12"/>
                <w:szCs w:val="12"/>
              </w:rPr>
            </w:pPr>
            <w:r>
              <w:rPr>
                <w:color w:val="000000"/>
                <w:sz w:val="12"/>
                <w:szCs w:val="12"/>
              </w:rPr>
              <w:t>8 831,3</w:t>
            </w:r>
          </w:p>
        </w:tc>
        <w:tc>
          <w:tcPr>
            <w:tcW w:w="666" w:type="dxa"/>
            <w:vAlign w:val="center"/>
            <w:hideMark/>
          </w:tcPr>
          <w:p w:rsidR="00705F07" w:rsidRDefault="00185A37">
            <w:pPr>
              <w:jc w:val="center"/>
              <w:rPr>
                <w:color w:val="000000"/>
                <w:sz w:val="12"/>
                <w:szCs w:val="12"/>
              </w:rPr>
            </w:pPr>
            <w:r>
              <w:rPr>
                <w:color w:val="000000"/>
                <w:sz w:val="12"/>
                <w:szCs w:val="12"/>
              </w:rPr>
              <w:t>9 789,6</w:t>
            </w:r>
          </w:p>
        </w:tc>
      </w:tr>
      <w:tr w:rsidR="00705F07">
        <w:trPr>
          <w:trHeight w:val="165"/>
          <w:jc w:val="center"/>
        </w:trPr>
        <w:tc>
          <w:tcPr>
            <w:tcW w:w="1257" w:type="dxa"/>
            <w:vAlign w:val="center"/>
            <w:hideMark/>
          </w:tcPr>
          <w:p w:rsidR="00705F07" w:rsidRDefault="00185A37">
            <w:pPr>
              <w:jc w:val="center"/>
              <w:rPr>
                <w:color w:val="000000"/>
                <w:sz w:val="12"/>
                <w:szCs w:val="12"/>
              </w:rPr>
            </w:pPr>
            <w:r>
              <w:rPr>
                <w:color w:val="000000"/>
                <w:sz w:val="12"/>
                <w:szCs w:val="12"/>
              </w:rPr>
              <w:t xml:space="preserve">                          у тому числі на умовах "форвард"</w:t>
            </w:r>
          </w:p>
        </w:tc>
        <w:tc>
          <w:tcPr>
            <w:tcW w:w="606" w:type="dxa"/>
            <w:vAlign w:val="center"/>
            <w:hideMark/>
          </w:tcPr>
          <w:p w:rsidR="00705F07" w:rsidRDefault="00185A37">
            <w:pPr>
              <w:jc w:val="center"/>
              <w:rPr>
                <w:color w:val="000000"/>
                <w:sz w:val="12"/>
                <w:szCs w:val="12"/>
              </w:rPr>
            </w:pPr>
            <w:r>
              <w:rPr>
                <w:color w:val="000000"/>
                <w:sz w:val="12"/>
                <w:szCs w:val="12"/>
              </w:rPr>
              <w:t>65,0</w:t>
            </w:r>
          </w:p>
        </w:tc>
        <w:tc>
          <w:tcPr>
            <w:tcW w:w="606" w:type="dxa"/>
            <w:vAlign w:val="center"/>
            <w:hideMark/>
          </w:tcPr>
          <w:p w:rsidR="00705F07" w:rsidRDefault="00185A37">
            <w:pPr>
              <w:jc w:val="center"/>
              <w:rPr>
                <w:color w:val="000000"/>
                <w:sz w:val="12"/>
                <w:szCs w:val="12"/>
              </w:rPr>
            </w:pPr>
            <w:r>
              <w:rPr>
                <w:color w:val="000000"/>
                <w:sz w:val="12"/>
                <w:szCs w:val="12"/>
              </w:rPr>
              <w:t>0,0</w:t>
            </w:r>
          </w:p>
        </w:tc>
        <w:tc>
          <w:tcPr>
            <w:tcW w:w="703" w:type="dxa"/>
            <w:vAlign w:val="center"/>
            <w:hideMark/>
          </w:tcPr>
          <w:p w:rsidR="00705F07" w:rsidRDefault="00185A37">
            <w:pPr>
              <w:jc w:val="center"/>
              <w:rPr>
                <w:color w:val="000000"/>
                <w:sz w:val="12"/>
                <w:szCs w:val="12"/>
              </w:rPr>
            </w:pPr>
            <w:r>
              <w:rPr>
                <w:color w:val="000000"/>
                <w:sz w:val="12"/>
                <w:szCs w:val="12"/>
              </w:rPr>
              <w:t>0,0</w:t>
            </w:r>
          </w:p>
        </w:tc>
        <w:tc>
          <w:tcPr>
            <w:tcW w:w="646" w:type="dxa"/>
            <w:vAlign w:val="center"/>
            <w:hideMark/>
          </w:tcPr>
          <w:p w:rsidR="00705F07" w:rsidRDefault="00185A37">
            <w:pPr>
              <w:jc w:val="center"/>
              <w:rPr>
                <w:color w:val="000000"/>
                <w:sz w:val="12"/>
                <w:szCs w:val="12"/>
              </w:rPr>
            </w:pPr>
            <w:r>
              <w:rPr>
                <w:color w:val="000000"/>
                <w:sz w:val="12"/>
                <w:szCs w:val="12"/>
              </w:rPr>
              <w:t>0,0</w:t>
            </w:r>
          </w:p>
        </w:tc>
        <w:tc>
          <w:tcPr>
            <w:tcW w:w="674" w:type="dxa"/>
            <w:vAlign w:val="center"/>
            <w:hideMark/>
          </w:tcPr>
          <w:p w:rsidR="00705F07" w:rsidRDefault="00185A37">
            <w:pPr>
              <w:jc w:val="center"/>
              <w:rPr>
                <w:color w:val="000000"/>
                <w:sz w:val="12"/>
                <w:szCs w:val="12"/>
              </w:rPr>
            </w:pPr>
            <w:r>
              <w:rPr>
                <w:color w:val="000000"/>
                <w:sz w:val="12"/>
                <w:szCs w:val="12"/>
              </w:rPr>
              <w:t>0,0</w:t>
            </w:r>
          </w:p>
        </w:tc>
        <w:tc>
          <w:tcPr>
            <w:tcW w:w="675" w:type="dxa"/>
            <w:vAlign w:val="center"/>
            <w:hideMark/>
          </w:tcPr>
          <w:p w:rsidR="00705F07" w:rsidRDefault="00185A37">
            <w:pPr>
              <w:jc w:val="center"/>
              <w:rPr>
                <w:color w:val="000000"/>
                <w:sz w:val="12"/>
                <w:szCs w:val="12"/>
              </w:rPr>
            </w:pPr>
            <w:r>
              <w:rPr>
                <w:color w:val="000000"/>
                <w:sz w:val="12"/>
                <w:szCs w:val="12"/>
              </w:rPr>
              <w:t>0,0</w:t>
            </w:r>
          </w:p>
        </w:tc>
        <w:tc>
          <w:tcPr>
            <w:tcW w:w="630" w:type="dxa"/>
            <w:vAlign w:val="center"/>
            <w:hideMark/>
          </w:tcPr>
          <w:p w:rsidR="00705F07" w:rsidRDefault="00185A37">
            <w:pPr>
              <w:jc w:val="center"/>
              <w:rPr>
                <w:color w:val="000000"/>
                <w:sz w:val="12"/>
                <w:szCs w:val="12"/>
              </w:rPr>
            </w:pPr>
            <w:r>
              <w:rPr>
                <w:color w:val="000000"/>
                <w:sz w:val="12"/>
                <w:szCs w:val="12"/>
              </w:rPr>
              <w:t>0,0</w:t>
            </w:r>
          </w:p>
        </w:tc>
        <w:tc>
          <w:tcPr>
            <w:tcW w:w="678" w:type="dxa"/>
            <w:vAlign w:val="center"/>
            <w:hideMark/>
          </w:tcPr>
          <w:p w:rsidR="00705F07" w:rsidRDefault="00185A37">
            <w:pPr>
              <w:jc w:val="center"/>
              <w:rPr>
                <w:color w:val="000000"/>
                <w:sz w:val="12"/>
                <w:szCs w:val="12"/>
              </w:rPr>
            </w:pPr>
            <w:r>
              <w:rPr>
                <w:color w:val="000000"/>
                <w:sz w:val="12"/>
                <w:szCs w:val="12"/>
              </w:rPr>
              <w:t>0,0</w:t>
            </w:r>
          </w:p>
        </w:tc>
        <w:tc>
          <w:tcPr>
            <w:tcW w:w="709" w:type="dxa"/>
            <w:vAlign w:val="center"/>
            <w:hideMark/>
          </w:tcPr>
          <w:p w:rsidR="00705F07" w:rsidRDefault="00185A37">
            <w:pPr>
              <w:jc w:val="center"/>
              <w:rPr>
                <w:color w:val="000000"/>
                <w:sz w:val="12"/>
                <w:szCs w:val="12"/>
              </w:rPr>
            </w:pPr>
            <w:r>
              <w:rPr>
                <w:color w:val="000000"/>
                <w:sz w:val="12"/>
                <w:szCs w:val="12"/>
              </w:rPr>
              <w:t>0,0</w:t>
            </w:r>
          </w:p>
        </w:tc>
        <w:tc>
          <w:tcPr>
            <w:tcW w:w="705" w:type="dxa"/>
            <w:vAlign w:val="center"/>
            <w:hideMark/>
          </w:tcPr>
          <w:p w:rsidR="00705F07" w:rsidRDefault="00185A37">
            <w:pPr>
              <w:jc w:val="center"/>
              <w:rPr>
                <w:color w:val="000000"/>
                <w:sz w:val="12"/>
                <w:szCs w:val="12"/>
              </w:rPr>
            </w:pPr>
            <w:r>
              <w:rPr>
                <w:color w:val="000000"/>
                <w:sz w:val="12"/>
                <w:szCs w:val="12"/>
              </w:rPr>
              <w:t>0,0</w:t>
            </w:r>
          </w:p>
        </w:tc>
        <w:tc>
          <w:tcPr>
            <w:tcW w:w="737" w:type="dxa"/>
            <w:vAlign w:val="center"/>
            <w:hideMark/>
          </w:tcPr>
          <w:p w:rsidR="00705F07" w:rsidRDefault="00185A37">
            <w:pPr>
              <w:jc w:val="center"/>
              <w:rPr>
                <w:color w:val="000000"/>
                <w:sz w:val="12"/>
                <w:szCs w:val="12"/>
              </w:rPr>
            </w:pPr>
            <w:r>
              <w:rPr>
                <w:color w:val="000000"/>
                <w:sz w:val="12"/>
                <w:szCs w:val="12"/>
              </w:rPr>
              <w:t>0,0</w:t>
            </w:r>
          </w:p>
        </w:tc>
        <w:tc>
          <w:tcPr>
            <w:tcW w:w="666" w:type="dxa"/>
            <w:vAlign w:val="center"/>
            <w:hideMark/>
          </w:tcPr>
          <w:p w:rsidR="00705F07" w:rsidRDefault="00185A37">
            <w:pPr>
              <w:jc w:val="center"/>
              <w:rPr>
                <w:color w:val="000000"/>
                <w:sz w:val="12"/>
                <w:szCs w:val="12"/>
              </w:rPr>
            </w:pPr>
            <w:r>
              <w:rPr>
                <w:color w:val="000000"/>
                <w:sz w:val="12"/>
                <w:szCs w:val="12"/>
              </w:rPr>
              <w:t>0,0</w:t>
            </w:r>
          </w:p>
        </w:tc>
      </w:tr>
      <w:tr w:rsidR="00705F07">
        <w:trPr>
          <w:trHeight w:val="165"/>
          <w:jc w:val="center"/>
        </w:trPr>
        <w:tc>
          <w:tcPr>
            <w:tcW w:w="1257" w:type="dxa"/>
            <w:vAlign w:val="center"/>
            <w:hideMark/>
          </w:tcPr>
          <w:p w:rsidR="00705F07" w:rsidRDefault="00185A37">
            <w:pPr>
              <w:jc w:val="center"/>
              <w:rPr>
                <w:color w:val="000000"/>
                <w:sz w:val="12"/>
                <w:szCs w:val="12"/>
              </w:rPr>
            </w:pPr>
            <w:r>
              <w:rPr>
                <w:color w:val="000000"/>
                <w:sz w:val="12"/>
                <w:szCs w:val="12"/>
              </w:rPr>
              <w:t xml:space="preserve">                          у тому числі на умовах "своп"</w:t>
            </w:r>
          </w:p>
        </w:tc>
        <w:tc>
          <w:tcPr>
            <w:tcW w:w="606" w:type="dxa"/>
            <w:vAlign w:val="center"/>
            <w:hideMark/>
          </w:tcPr>
          <w:p w:rsidR="00705F07" w:rsidRDefault="00185A37">
            <w:pPr>
              <w:jc w:val="center"/>
              <w:rPr>
                <w:color w:val="000000"/>
                <w:sz w:val="12"/>
                <w:szCs w:val="12"/>
              </w:rPr>
            </w:pPr>
            <w:r>
              <w:rPr>
                <w:color w:val="000000"/>
                <w:sz w:val="12"/>
                <w:szCs w:val="12"/>
              </w:rPr>
              <w:t>6 800,1</w:t>
            </w:r>
          </w:p>
        </w:tc>
        <w:tc>
          <w:tcPr>
            <w:tcW w:w="606" w:type="dxa"/>
            <w:vAlign w:val="center"/>
            <w:hideMark/>
          </w:tcPr>
          <w:p w:rsidR="00705F07" w:rsidRDefault="00185A37">
            <w:pPr>
              <w:jc w:val="center"/>
              <w:rPr>
                <w:color w:val="000000"/>
                <w:sz w:val="12"/>
                <w:szCs w:val="12"/>
              </w:rPr>
            </w:pPr>
            <w:r>
              <w:rPr>
                <w:color w:val="000000"/>
                <w:sz w:val="12"/>
                <w:szCs w:val="12"/>
              </w:rPr>
              <w:t>5 579,2</w:t>
            </w:r>
          </w:p>
        </w:tc>
        <w:tc>
          <w:tcPr>
            <w:tcW w:w="703" w:type="dxa"/>
            <w:vAlign w:val="center"/>
            <w:hideMark/>
          </w:tcPr>
          <w:p w:rsidR="00705F07" w:rsidRDefault="00185A37">
            <w:pPr>
              <w:jc w:val="center"/>
              <w:rPr>
                <w:color w:val="000000"/>
                <w:sz w:val="12"/>
                <w:szCs w:val="12"/>
              </w:rPr>
            </w:pPr>
            <w:r>
              <w:rPr>
                <w:color w:val="000000"/>
                <w:sz w:val="12"/>
                <w:szCs w:val="12"/>
              </w:rPr>
              <w:t>8 072,9</w:t>
            </w:r>
          </w:p>
        </w:tc>
        <w:tc>
          <w:tcPr>
            <w:tcW w:w="646" w:type="dxa"/>
            <w:vAlign w:val="center"/>
            <w:hideMark/>
          </w:tcPr>
          <w:p w:rsidR="00705F07" w:rsidRDefault="00185A37">
            <w:pPr>
              <w:jc w:val="center"/>
              <w:rPr>
                <w:color w:val="000000"/>
                <w:sz w:val="12"/>
                <w:szCs w:val="12"/>
              </w:rPr>
            </w:pPr>
            <w:r>
              <w:rPr>
                <w:color w:val="000000"/>
                <w:sz w:val="12"/>
                <w:szCs w:val="12"/>
              </w:rPr>
              <w:t>5 973,0</w:t>
            </w:r>
          </w:p>
        </w:tc>
        <w:tc>
          <w:tcPr>
            <w:tcW w:w="674" w:type="dxa"/>
            <w:vAlign w:val="center"/>
            <w:hideMark/>
          </w:tcPr>
          <w:p w:rsidR="00705F07" w:rsidRDefault="00185A37">
            <w:pPr>
              <w:jc w:val="center"/>
              <w:rPr>
                <w:color w:val="000000"/>
                <w:sz w:val="12"/>
                <w:szCs w:val="12"/>
              </w:rPr>
            </w:pPr>
            <w:r>
              <w:rPr>
                <w:color w:val="000000"/>
                <w:sz w:val="12"/>
                <w:szCs w:val="12"/>
              </w:rPr>
              <w:t>5 199,0</w:t>
            </w:r>
          </w:p>
        </w:tc>
        <w:tc>
          <w:tcPr>
            <w:tcW w:w="675" w:type="dxa"/>
            <w:vAlign w:val="center"/>
            <w:hideMark/>
          </w:tcPr>
          <w:p w:rsidR="00705F07" w:rsidRDefault="00185A37">
            <w:pPr>
              <w:jc w:val="center"/>
              <w:rPr>
                <w:color w:val="000000"/>
                <w:sz w:val="12"/>
                <w:szCs w:val="12"/>
              </w:rPr>
            </w:pPr>
            <w:r>
              <w:rPr>
                <w:color w:val="000000"/>
                <w:sz w:val="12"/>
                <w:szCs w:val="12"/>
              </w:rPr>
              <w:t>4 665,3</w:t>
            </w:r>
          </w:p>
        </w:tc>
        <w:tc>
          <w:tcPr>
            <w:tcW w:w="630" w:type="dxa"/>
            <w:vAlign w:val="center"/>
            <w:hideMark/>
          </w:tcPr>
          <w:p w:rsidR="00705F07" w:rsidRDefault="00185A37">
            <w:pPr>
              <w:jc w:val="center"/>
              <w:rPr>
                <w:color w:val="000000"/>
                <w:sz w:val="12"/>
                <w:szCs w:val="12"/>
              </w:rPr>
            </w:pPr>
            <w:r>
              <w:rPr>
                <w:color w:val="000000"/>
                <w:sz w:val="12"/>
                <w:szCs w:val="12"/>
              </w:rPr>
              <w:t>3 525,0</w:t>
            </w:r>
          </w:p>
        </w:tc>
        <w:tc>
          <w:tcPr>
            <w:tcW w:w="678" w:type="dxa"/>
            <w:vAlign w:val="center"/>
            <w:hideMark/>
          </w:tcPr>
          <w:p w:rsidR="00705F07" w:rsidRDefault="00185A37">
            <w:pPr>
              <w:jc w:val="center"/>
              <w:rPr>
                <w:color w:val="000000"/>
                <w:sz w:val="12"/>
                <w:szCs w:val="12"/>
              </w:rPr>
            </w:pPr>
            <w:r>
              <w:rPr>
                <w:color w:val="000000"/>
                <w:sz w:val="12"/>
                <w:szCs w:val="12"/>
              </w:rPr>
              <w:t>3 036,6</w:t>
            </w:r>
          </w:p>
        </w:tc>
        <w:tc>
          <w:tcPr>
            <w:tcW w:w="709" w:type="dxa"/>
            <w:vAlign w:val="center"/>
            <w:hideMark/>
          </w:tcPr>
          <w:p w:rsidR="00705F07" w:rsidRDefault="00185A37">
            <w:pPr>
              <w:jc w:val="center"/>
              <w:rPr>
                <w:color w:val="000000"/>
                <w:sz w:val="12"/>
                <w:szCs w:val="12"/>
              </w:rPr>
            </w:pPr>
            <w:r>
              <w:rPr>
                <w:color w:val="000000"/>
                <w:sz w:val="12"/>
                <w:szCs w:val="12"/>
              </w:rPr>
              <w:t>2 828,7</w:t>
            </w:r>
          </w:p>
        </w:tc>
        <w:tc>
          <w:tcPr>
            <w:tcW w:w="705" w:type="dxa"/>
            <w:vAlign w:val="center"/>
            <w:hideMark/>
          </w:tcPr>
          <w:p w:rsidR="00705F07" w:rsidRDefault="00185A37">
            <w:pPr>
              <w:jc w:val="center"/>
              <w:rPr>
                <w:color w:val="000000"/>
                <w:sz w:val="12"/>
                <w:szCs w:val="12"/>
              </w:rPr>
            </w:pPr>
            <w:r>
              <w:rPr>
                <w:color w:val="000000"/>
                <w:sz w:val="12"/>
                <w:szCs w:val="12"/>
              </w:rPr>
              <w:t>2 678,3</w:t>
            </w:r>
          </w:p>
        </w:tc>
        <w:tc>
          <w:tcPr>
            <w:tcW w:w="737" w:type="dxa"/>
            <w:vAlign w:val="center"/>
            <w:hideMark/>
          </w:tcPr>
          <w:p w:rsidR="00705F07" w:rsidRDefault="00185A37">
            <w:pPr>
              <w:jc w:val="center"/>
              <w:rPr>
                <w:color w:val="000000"/>
                <w:sz w:val="12"/>
                <w:szCs w:val="12"/>
              </w:rPr>
            </w:pPr>
            <w:r>
              <w:rPr>
                <w:color w:val="000000"/>
                <w:sz w:val="12"/>
                <w:szCs w:val="12"/>
              </w:rPr>
              <w:t>2 977,3</w:t>
            </w:r>
          </w:p>
        </w:tc>
        <w:tc>
          <w:tcPr>
            <w:tcW w:w="666" w:type="dxa"/>
            <w:vAlign w:val="center"/>
            <w:hideMark/>
          </w:tcPr>
          <w:p w:rsidR="00705F07" w:rsidRDefault="00185A37">
            <w:pPr>
              <w:jc w:val="center"/>
              <w:rPr>
                <w:color w:val="000000"/>
                <w:sz w:val="12"/>
                <w:szCs w:val="12"/>
              </w:rPr>
            </w:pPr>
            <w:r>
              <w:rPr>
                <w:color w:val="000000"/>
                <w:sz w:val="12"/>
                <w:szCs w:val="12"/>
              </w:rPr>
              <w:t>2 731,8</w:t>
            </w:r>
          </w:p>
        </w:tc>
      </w:tr>
    </w:tbl>
    <w:p w:rsidR="00705F07" w:rsidRDefault="00185A37">
      <w:pPr>
        <w:ind w:firstLine="709"/>
        <w:jc w:val="both"/>
        <w:rPr>
          <w:color w:val="000000"/>
        </w:rPr>
      </w:pPr>
      <w:r>
        <w:rPr>
          <w:color w:val="000000"/>
        </w:rPr>
        <w:t>Джерело: складено автором на основі даних [</w:t>
      </w:r>
      <w:r>
        <w:rPr>
          <w:color w:val="000000"/>
          <w:lang w:val="uk-UA"/>
        </w:rPr>
        <w:t>36</w:t>
      </w:r>
      <w:r>
        <w:rPr>
          <w:color w:val="000000"/>
        </w:rPr>
        <w:t>].</w:t>
      </w:r>
    </w:p>
    <w:p w:rsidR="00705F07" w:rsidRDefault="00705F07">
      <w:pPr>
        <w:jc w:val="center"/>
        <w:rPr>
          <w:color w:val="000000"/>
          <w:sz w:val="28"/>
          <w:szCs w:val="28"/>
        </w:rPr>
      </w:pPr>
    </w:p>
    <w:p w:rsidR="00705F07" w:rsidRDefault="00185A37">
      <w:pPr>
        <w:rPr>
          <w:color w:val="000000"/>
          <w:sz w:val="28"/>
          <w:szCs w:val="28"/>
        </w:rPr>
      </w:pPr>
      <w:r>
        <w:rPr>
          <w:color w:val="000000"/>
          <w:sz w:val="28"/>
          <w:szCs w:val="28"/>
        </w:rPr>
        <w:br w:type="page"/>
      </w:r>
    </w:p>
    <w:p w:rsidR="00705F07" w:rsidRDefault="00185A37">
      <w:pPr>
        <w:spacing w:line="360" w:lineRule="auto"/>
        <w:jc w:val="right"/>
        <w:rPr>
          <w:color w:val="000000"/>
          <w:sz w:val="28"/>
          <w:szCs w:val="28"/>
          <w:lang w:val="uk-UA"/>
        </w:rPr>
      </w:pPr>
      <w:r>
        <w:rPr>
          <w:color w:val="000000"/>
          <w:sz w:val="28"/>
          <w:szCs w:val="28"/>
        </w:rPr>
        <w:t>Додаток В</w:t>
      </w:r>
    </w:p>
    <w:p w:rsidR="00705F07" w:rsidRDefault="00185A37">
      <w:pPr>
        <w:spacing w:line="360" w:lineRule="auto"/>
        <w:jc w:val="right"/>
        <w:rPr>
          <w:color w:val="000000"/>
          <w:sz w:val="28"/>
          <w:szCs w:val="28"/>
          <w:lang w:val="uk-UA"/>
        </w:rPr>
      </w:pPr>
      <w:r>
        <w:rPr>
          <w:color w:val="000000"/>
          <w:sz w:val="28"/>
          <w:szCs w:val="28"/>
          <w:lang w:val="uk-UA"/>
        </w:rPr>
        <w:t>Таблиця В.1</w:t>
      </w:r>
    </w:p>
    <w:p w:rsidR="00705F07" w:rsidRDefault="00185A37">
      <w:pPr>
        <w:spacing w:line="360" w:lineRule="auto"/>
        <w:jc w:val="center"/>
        <w:rPr>
          <w:color w:val="000000"/>
          <w:sz w:val="28"/>
          <w:szCs w:val="28"/>
          <w:lang w:val="uk-UA"/>
        </w:rPr>
      </w:pPr>
      <w:r>
        <w:rPr>
          <w:color w:val="000000"/>
          <w:sz w:val="28"/>
          <w:szCs w:val="28"/>
          <w:lang w:val="uk-UA"/>
        </w:rPr>
        <w:t xml:space="preserve">Показники валютного ринку </w:t>
      </w:r>
      <w:r>
        <w:rPr>
          <w:color w:val="000000"/>
          <w:sz w:val="28"/>
          <w:szCs w:val="28"/>
          <w:lang w:val="uk-UA"/>
        </w:rPr>
        <w:t>України за 2024 рік</w:t>
      </w:r>
    </w:p>
    <w:tbl>
      <w:tblPr>
        <w:tblW w:w="9604" w:type="dxa"/>
        <w:jc w:val="center"/>
        <w:tblLook w:val="04A0" w:firstRow="1" w:lastRow="0" w:firstColumn="1" w:lastColumn="0" w:noHBand="0" w:noVBand="1"/>
      </w:tblPr>
      <w:tblGrid>
        <w:gridCol w:w="1348"/>
        <w:gridCol w:w="643"/>
        <w:gridCol w:w="643"/>
        <w:gridCol w:w="745"/>
        <w:gridCol w:w="646"/>
        <w:gridCol w:w="686"/>
        <w:gridCol w:w="695"/>
        <w:gridCol w:w="643"/>
        <w:gridCol w:w="692"/>
        <w:gridCol w:w="745"/>
        <w:gridCol w:w="718"/>
        <w:gridCol w:w="766"/>
        <w:gridCol w:w="677"/>
      </w:tblGrid>
      <w:tr w:rsidR="00705F07">
        <w:trPr>
          <w:trHeight w:val="810"/>
          <w:jc w:val="center"/>
        </w:trPr>
        <w:tc>
          <w:tcPr>
            <w:tcW w:w="1257" w:type="dxa"/>
            <w:vMerge w:val="restart"/>
            <w:tcBorders>
              <w:top w:val="single" w:sz="4" w:space="0" w:color="auto"/>
              <w:left w:val="single" w:sz="4" w:space="0" w:color="auto"/>
              <w:bottom w:val="single" w:sz="4" w:space="0" w:color="000000"/>
              <w:right w:val="nil"/>
            </w:tcBorders>
            <w:vAlign w:val="center"/>
            <w:hideMark/>
          </w:tcPr>
          <w:p w:rsidR="00705F07" w:rsidRDefault="00185A37">
            <w:pPr>
              <w:jc w:val="center"/>
              <w:rPr>
                <w:bCs/>
                <w:color w:val="000000"/>
                <w:sz w:val="12"/>
                <w:szCs w:val="12"/>
              </w:rPr>
            </w:pPr>
            <w:r>
              <w:rPr>
                <w:bCs/>
                <w:color w:val="000000"/>
                <w:sz w:val="12"/>
                <w:szCs w:val="12"/>
              </w:rPr>
              <w:t>Показники валютного ринку України за 2024 рік</w:t>
            </w:r>
          </w:p>
        </w:tc>
        <w:tc>
          <w:tcPr>
            <w:tcW w:w="606" w:type="dxa"/>
            <w:vMerge w:val="restart"/>
            <w:tcBorders>
              <w:top w:val="single" w:sz="4" w:space="0" w:color="auto"/>
              <w:left w:val="single" w:sz="4" w:space="0" w:color="auto"/>
              <w:bottom w:val="single" w:sz="4" w:space="0" w:color="000000"/>
              <w:right w:val="single" w:sz="4" w:space="0" w:color="auto"/>
            </w:tcBorders>
            <w:vAlign w:val="center"/>
            <w:hideMark/>
          </w:tcPr>
          <w:p w:rsidR="00705F07" w:rsidRDefault="00185A37">
            <w:pPr>
              <w:jc w:val="center"/>
              <w:rPr>
                <w:bCs/>
                <w:color w:val="000000"/>
                <w:sz w:val="12"/>
                <w:szCs w:val="12"/>
              </w:rPr>
            </w:pPr>
            <w:r>
              <w:rPr>
                <w:bCs/>
                <w:color w:val="000000"/>
                <w:sz w:val="12"/>
                <w:szCs w:val="12"/>
              </w:rPr>
              <w:t>Січень</w:t>
            </w:r>
          </w:p>
        </w:tc>
        <w:tc>
          <w:tcPr>
            <w:tcW w:w="606" w:type="dxa"/>
            <w:vMerge w:val="restart"/>
            <w:tcBorders>
              <w:top w:val="single" w:sz="4" w:space="0" w:color="auto"/>
              <w:left w:val="single" w:sz="4" w:space="0" w:color="auto"/>
              <w:bottom w:val="single" w:sz="4" w:space="0" w:color="000000"/>
              <w:right w:val="single" w:sz="4" w:space="0" w:color="auto"/>
            </w:tcBorders>
            <w:vAlign w:val="center"/>
            <w:hideMark/>
          </w:tcPr>
          <w:p w:rsidR="00705F07" w:rsidRDefault="00185A37">
            <w:pPr>
              <w:jc w:val="center"/>
              <w:rPr>
                <w:bCs/>
                <w:color w:val="000000"/>
                <w:sz w:val="12"/>
                <w:szCs w:val="12"/>
              </w:rPr>
            </w:pPr>
            <w:r>
              <w:rPr>
                <w:bCs/>
                <w:color w:val="000000"/>
                <w:sz w:val="12"/>
                <w:szCs w:val="12"/>
              </w:rPr>
              <w:t>Лютий</w:t>
            </w:r>
          </w:p>
        </w:tc>
        <w:tc>
          <w:tcPr>
            <w:tcW w:w="703" w:type="dxa"/>
            <w:vMerge w:val="restart"/>
            <w:tcBorders>
              <w:top w:val="single" w:sz="4" w:space="0" w:color="auto"/>
              <w:left w:val="single" w:sz="4" w:space="0" w:color="auto"/>
              <w:bottom w:val="single" w:sz="4" w:space="0" w:color="000000"/>
              <w:right w:val="single" w:sz="4" w:space="0" w:color="auto"/>
            </w:tcBorders>
            <w:vAlign w:val="center"/>
            <w:hideMark/>
          </w:tcPr>
          <w:p w:rsidR="00705F07" w:rsidRDefault="00185A37">
            <w:pPr>
              <w:jc w:val="center"/>
              <w:rPr>
                <w:bCs/>
                <w:color w:val="000000"/>
                <w:sz w:val="12"/>
                <w:szCs w:val="12"/>
              </w:rPr>
            </w:pPr>
            <w:r>
              <w:rPr>
                <w:bCs/>
                <w:color w:val="000000"/>
                <w:sz w:val="12"/>
                <w:szCs w:val="12"/>
              </w:rPr>
              <w:t>Березень</w:t>
            </w:r>
          </w:p>
        </w:tc>
        <w:tc>
          <w:tcPr>
            <w:tcW w:w="646" w:type="dxa"/>
            <w:vMerge w:val="restart"/>
            <w:tcBorders>
              <w:top w:val="single" w:sz="4" w:space="0" w:color="auto"/>
              <w:left w:val="single" w:sz="4" w:space="0" w:color="auto"/>
              <w:bottom w:val="single" w:sz="4" w:space="0" w:color="000000"/>
              <w:right w:val="single" w:sz="4" w:space="0" w:color="auto"/>
            </w:tcBorders>
            <w:vAlign w:val="center"/>
            <w:hideMark/>
          </w:tcPr>
          <w:p w:rsidR="00705F07" w:rsidRDefault="00185A37">
            <w:pPr>
              <w:jc w:val="center"/>
              <w:rPr>
                <w:bCs/>
                <w:color w:val="000000"/>
                <w:sz w:val="12"/>
                <w:szCs w:val="12"/>
              </w:rPr>
            </w:pPr>
            <w:r>
              <w:rPr>
                <w:bCs/>
                <w:color w:val="000000"/>
                <w:sz w:val="12"/>
                <w:szCs w:val="12"/>
              </w:rPr>
              <w:t>Квітень</w:t>
            </w:r>
          </w:p>
        </w:tc>
        <w:tc>
          <w:tcPr>
            <w:tcW w:w="674" w:type="dxa"/>
            <w:vMerge w:val="restart"/>
            <w:tcBorders>
              <w:top w:val="single" w:sz="4" w:space="0" w:color="auto"/>
              <w:left w:val="single" w:sz="4" w:space="0" w:color="auto"/>
              <w:bottom w:val="single" w:sz="4" w:space="0" w:color="000000"/>
              <w:right w:val="single" w:sz="4" w:space="0" w:color="auto"/>
            </w:tcBorders>
            <w:vAlign w:val="center"/>
            <w:hideMark/>
          </w:tcPr>
          <w:p w:rsidR="00705F07" w:rsidRDefault="00185A37">
            <w:pPr>
              <w:jc w:val="center"/>
              <w:rPr>
                <w:bCs/>
                <w:color w:val="000000"/>
                <w:sz w:val="12"/>
                <w:szCs w:val="12"/>
              </w:rPr>
            </w:pPr>
            <w:r>
              <w:rPr>
                <w:bCs/>
                <w:color w:val="000000"/>
                <w:sz w:val="12"/>
                <w:szCs w:val="12"/>
              </w:rPr>
              <w:t>Травень</w:t>
            </w:r>
          </w:p>
        </w:tc>
        <w:tc>
          <w:tcPr>
            <w:tcW w:w="675" w:type="dxa"/>
            <w:vMerge w:val="restart"/>
            <w:tcBorders>
              <w:top w:val="single" w:sz="4" w:space="0" w:color="auto"/>
              <w:left w:val="single" w:sz="4" w:space="0" w:color="auto"/>
              <w:bottom w:val="single" w:sz="4" w:space="0" w:color="000000"/>
              <w:right w:val="single" w:sz="4" w:space="0" w:color="auto"/>
            </w:tcBorders>
            <w:vAlign w:val="center"/>
            <w:hideMark/>
          </w:tcPr>
          <w:p w:rsidR="00705F07" w:rsidRDefault="00185A37">
            <w:pPr>
              <w:jc w:val="center"/>
              <w:rPr>
                <w:bCs/>
                <w:color w:val="000000"/>
                <w:sz w:val="12"/>
                <w:szCs w:val="12"/>
              </w:rPr>
            </w:pPr>
            <w:r>
              <w:rPr>
                <w:bCs/>
                <w:color w:val="000000"/>
                <w:sz w:val="12"/>
                <w:szCs w:val="12"/>
              </w:rPr>
              <w:t>Червень</w:t>
            </w:r>
          </w:p>
        </w:tc>
        <w:tc>
          <w:tcPr>
            <w:tcW w:w="689" w:type="dxa"/>
            <w:vMerge w:val="restart"/>
            <w:tcBorders>
              <w:top w:val="single" w:sz="4" w:space="0" w:color="auto"/>
              <w:left w:val="single" w:sz="4" w:space="0" w:color="auto"/>
              <w:bottom w:val="single" w:sz="4" w:space="0" w:color="000000"/>
              <w:right w:val="single" w:sz="4" w:space="0" w:color="auto"/>
            </w:tcBorders>
            <w:vAlign w:val="center"/>
            <w:hideMark/>
          </w:tcPr>
          <w:p w:rsidR="00705F07" w:rsidRDefault="00185A37">
            <w:pPr>
              <w:jc w:val="center"/>
              <w:rPr>
                <w:bCs/>
                <w:color w:val="000000"/>
                <w:sz w:val="12"/>
                <w:szCs w:val="12"/>
              </w:rPr>
            </w:pPr>
            <w:r>
              <w:rPr>
                <w:bCs/>
                <w:color w:val="000000"/>
                <w:sz w:val="12"/>
                <w:szCs w:val="12"/>
              </w:rPr>
              <w:t>Липень</w:t>
            </w:r>
          </w:p>
        </w:tc>
        <w:tc>
          <w:tcPr>
            <w:tcW w:w="732" w:type="dxa"/>
            <w:vMerge w:val="restart"/>
            <w:tcBorders>
              <w:top w:val="single" w:sz="4" w:space="0" w:color="auto"/>
              <w:left w:val="single" w:sz="4" w:space="0" w:color="auto"/>
              <w:bottom w:val="single" w:sz="4" w:space="0" w:color="000000"/>
              <w:right w:val="single" w:sz="4" w:space="0" w:color="auto"/>
            </w:tcBorders>
            <w:vAlign w:val="center"/>
            <w:hideMark/>
          </w:tcPr>
          <w:p w:rsidR="00705F07" w:rsidRDefault="00185A37">
            <w:pPr>
              <w:jc w:val="center"/>
              <w:rPr>
                <w:bCs/>
                <w:color w:val="000000"/>
                <w:sz w:val="12"/>
                <w:szCs w:val="12"/>
              </w:rPr>
            </w:pPr>
            <w:r>
              <w:rPr>
                <w:bCs/>
                <w:color w:val="000000"/>
                <w:sz w:val="12"/>
                <w:szCs w:val="12"/>
              </w:rPr>
              <w:t>Серпень</w:t>
            </w:r>
          </w:p>
        </w:tc>
        <w:tc>
          <w:tcPr>
            <w:tcW w:w="758" w:type="dxa"/>
            <w:vMerge w:val="restart"/>
            <w:tcBorders>
              <w:top w:val="single" w:sz="4" w:space="0" w:color="auto"/>
              <w:left w:val="single" w:sz="4" w:space="0" w:color="auto"/>
              <w:bottom w:val="single" w:sz="4" w:space="0" w:color="000000"/>
              <w:right w:val="single" w:sz="4" w:space="0" w:color="auto"/>
            </w:tcBorders>
            <w:vAlign w:val="center"/>
            <w:hideMark/>
          </w:tcPr>
          <w:p w:rsidR="00705F07" w:rsidRDefault="00185A37">
            <w:pPr>
              <w:jc w:val="center"/>
              <w:rPr>
                <w:bCs/>
                <w:color w:val="000000"/>
                <w:sz w:val="12"/>
                <w:szCs w:val="12"/>
              </w:rPr>
            </w:pPr>
            <w:r>
              <w:rPr>
                <w:bCs/>
                <w:color w:val="000000"/>
                <w:sz w:val="12"/>
                <w:szCs w:val="12"/>
              </w:rPr>
              <w:t>Вересень</w:t>
            </w:r>
          </w:p>
        </w:tc>
        <w:tc>
          <w:tcPr>
            <w:tcW w:w="755" w:type="dxa"/>
            <w:vMerge w:val="restart"/>
            <w:tcBorders>
              <w:top w:val="single" w:sz="4" w:space="0" w:color="auto"/>
              <w:left w:val="single" w:sz="4" w:space="0" w:color="auto"/>
              <w:bottom w:val="single" w:sz="4" w:space="0" w:color="000000"/>
              <w:right w:val="single" w:sz="4" w:space="0" w:color="auto"/>
            </w:tcBorders>
            <w:vAlign w:val="center"/>
            <w:hideMark/>
          </w:tcPr>
          <w:p w:rsidR="00705F07" w:rsidRDefault="00185A37">
            <w:pPr>
              <w:jc w:val="center"/>
              <w:rPr>
                <w:bCs/>
                <w:color w:val="000000"/>
                <w:sz w:val="12"/>
                <w:szCs w:val="12"/>
              </w:rPr>
            </w:pPr>
            <w:r>
              <w:rPr>
                <w:bCs/>
                <w:color w:val="000000"/>
                <w:sz w:val="12"/>
                <w:szCs w:val="12"/>
              </w:rPr>
              <w:t>Жовтень</w:t>
            </w:r>
          </w:p>
        </w:tc>
        <w:tc>
          <w:tcPr>
            <w:tcW w:w="782" w:type="dxa"/>
            <w:vMerge w:val="restart"/>
            <w:tcBorders>
              <w:top w:val="single" w:sz="4" w:space="0" w:color="auto"/>
              <w:left w:val="single" w:sz="4" w:space="0" w:color="auto"/>
              <w:bottom w:val="single" w:sz="4" w:space="0" w:color="000000"/>
              <w:right w:val="single" w:sz="4" w:space="0" w:color="auto"/>
            </w:tcBorders>
            <w:vAlign w:val="center"/>
            <w:hideMark/>
          </w:tcPr>
          <w:p w:rsidR="00705F07" w:rsidRDefault="00185A37">
            <w:pPr>
              <w:jc w:val="center"/>
              <w:rPr>
                <w:bCs/>
                <w:color w:val="000000"/>
                <w:sz w:val="12"/>
                <w:szCs w:val="12"/>
              </w:rPr>
            </w:pPr>
            <w:r>
              <w:rPr>
                <w:bCs/>
                <w:color w:val="000000"/>
                <w:sz w:val="12"/>
                <w:szCs w:val="12"/>
              </w:rPr>
              <w:t>Листопад</w:t>
            </w:r>
          </w:p>
        </w:tc>
        <w:tc>
          <w:tcPr>
            <w:tcW w:w="721" w:type="dxa"/>
            <w:vMerge w:val="restart"/>
            <w:tcBorders>
              <w:top w:val="single" w:sz="4" w:space="0" w:color="auto"/>
              <w:left w:val="single" w:sz="4" w:space="0" w:color="auto"/>
              <w:bottom w:val="single" w:sz="4" w:space="0" w:color="000000"/>
              <w:right w:val="single" w:sz="4" w:space="0" w:color="auto"/>
            </w:tcBorders>
            <w:vAlign w:val="center"/>
            <w:hideMark/>
          </w:tcPr>
          <w:p w:rsidR="00705F07" w:rsidRDefault="00185A37">
            <w:pPr>
              <w:jc w:val="center"/>
              <w:rPr>
                <w:bCs/>
                <w:color w:val="000000"/>
                <w:sz w:val="12"/>
                <w:szCs w:val="12"/>
              </w:rPr>
            </w:pPr>
            <w:r>
              <w:rPr>
                <w:bCs/>
                <w:color w:val="000000"/>
                <w:sz w:val="12"/>
                <w:szCs w:val="12"/>
              </w:rPr>
              <w:t>Грудень</w:t>
            </w:r>
          </w:p>
        </w:tc>
      </w:tr>
      <w:tr w:rsidR="00705F07">
        <w:trPr>
          <w:trHeight w:val="517"/>
          <w:jc w:val="center"/>
        </w:trPr>
        <w:tc>
          <w:tcPr>
            <w:tcW w:w="1257" w:type="dxa"/>
            <w:vMerge/>
            <w:tcBorders>
              <w:top w:val="single" w:sz="4" w:space="0" w:color="auto"/>
              <w:left w:val="single" w:sz="4" w:space="0" w:color="auto"/>
              <w:bottom w:val="single" w:sz="4" w:space="0" w:color="000000"/>
              <w:right w:val="nil"/>
            </w:tcBorders>
            <w:vAlign w:val="center"/>
            <w:hideMark/>
          </w:tcPr>
          <w:p w:rsidR="00705F07" w:rsidRDefault="00705F07">
            <w:pPr>
              <w:rPr>
                <w:bCs/>
                <w:color w:val="000000"/>
                <w:sz w:val="12"/>
                <w:szCs w:val="12"/>
              </w:rPr>
            </w:pPr>
          </w:p>
        </w:tc>
        <w:tc>
          <w:tcPr>
            <w:tcW w:w="606" w:type="dxa"/>
            <w:vMerge/>
            <w:tcBorders>
              <w:top w:val="single" w:sz="4" w:space="0" w:color="auto"/>
              <w:left w:val="single" w:sz="4" w:space="0" w:color="auto"/>
              <w:bottom w:val="single" w:sz="4" w:space="0" w:color="000000"/>
              <w:right w:val="single" w:sz="4" w:space="0" w:color="auto"/>
            </w:tcBorders>
            <w:vAlign w:val="center"/>
            <w:hideMark/>
          </w:tcPr>
          <w:p w:rsidR="00705F07" w:rsidRDefault="00705F07">
            <w:pPr>
              <w:rPr>
                <w:bCs/>
                <w:color w:val="000000"/>
                <w:sz w:val="12"/>
                <w:szCs w:val="12"/>
              </w:rPr>
            </w:pPr>
          </w:p>
        </w:tc>
        <w:tc>
          <w:tcPr>
            <w:tcW w:w="606" w:type="dxa"/>
            <w:vMerge/>
            <w:tcBorders>
              <w:top w:val="single" w:sz="4" w:space="0" w:color="auto"/>
              <w:left w:val="single" w:sz="4" w:space="0" w:color="auto"/>
              <w:bottom w:val="single" w:sz="4" w:space="0" w:color="000000"/>
              <w:right w:val="single" w:sz="4" w:space="0" w:color="auto"/>
            </w:tcBorders>
            <w:vAlign w:val="center"/>
            <w:hideMark/>
          </w:tcPr>
          <w:p w:rsidR="00705F07" w:rsidRDefault="00705F07">
            <w:pPr>
              <w:rPr>
                <w:bCs/>
                <w:color w:val="000000"/>
                <w:sz w:val="12"/>
                <w:szCs w:val="12"/>
              </w:rPr>
            </w:pPr>
          </w:p>
        </w:tc>
        <w:tc>
          <w:tcPr>
            <w:tcW w:w="703" w:type="dxa"/>
            <w:vMerge/>
            <w:tcBorders>
              <w:top w:val="single" w:sz="4" w:space="0" w:color="auto"/>
              <w:left w:val="single" w:sz="4" w:space="0" w:color="auto"/>
              <w:bottom w:val="single" w:sz="4" w:space="0" w:color="000000"/>
              <w:right w:val="single" w:sz="4" w:space="0" w:color="auto"/>
            </w:tcBorders>
            <w:vAlign w:val="center"/>
            <w:hideMark/>
          </w:tcPr>
          <w:p w:rsidR="00705F07" w:rsidRDefault="00705F07">
            <w:pPr>
              <w:rPr>
                <w:bCs/>
                <w:color w:val="000000"/>
                <w:sz w:val="12"/>
                <w:szCs w:val="12"/>
              </w:rPr>
            </w:pPr>
          </w:p>
        </w:tc>
        <w:tc>
          <w:tcPr>
            <w:tcW w:w="646" w:type="dxa"/>
            <w:vMerge/>
            <w:tcBorders>
              <w:top w:val="single" w:sz="4" w:space="0" w:color="auto"/>
              <w:left w:val="single" w:sz="4" w:space="0" w:color="auto"/>
              <w:bottom w:val="single" w:sz="4" w:space="0" w:color="000000"/>
              <w:right w:val="single" w:sz="4" w:space="0" w:color="auto"/>
            </w:tcBorders>
            <w:vAlign w:val="center"/>
            <w:hideMark/>
          </w:tcPr>
          <w:p w:rsidR="00705F07" w:rsidRDefault="00705F07">
            <w:pPr>
              <w:rPr>
                <w:bCs/>
                <w:color w:val="000000"/>
                <w:sz w:val="12"/>
                <w:szCs w:val="12"/>
              </w:rPr>
            </w:pPr>
          </w:p>
        </w:tc>
        <w:tc>
          <w:tcPr>
            <w:tcW w:w="674" w:type="dxa"/>
            <w:vMerge/>
            <w:tcBorders>
              <w:top w:val="single" w:sz="4" w:space="0" w:color="auto"/>
              <w:left w:val="single" w:sz="4" w:space="0" w:color="auto"/>
              <w:bottom w:val="single" w:sz="4" w:space="0" w:color="000000"/>
              <w:right w:val="single" w:sz="4" w:space="0" w:color="auto"/>
            </w:tcBorders>
            <w:vAlign w:val="center"/>
            <w:hideMark/>
          </w:tcPr>
          <w:p w:rsidR="00705F07" w:rsidRDefault="00705F07">
            <w:pPr>
              <w:rPr>
                <w:bCs/>
                <w:color w:val="000000"/>
                <w:sz w:val="12"/>
                <w:szCs w:val="12"/>
              </w:rPr>
            </w:pPr>
          </w:p>
        </w:tc>
        <w:tc>
          <w:tcPr>
            <w:tcW w:w="675" w:type="dxa"/>
            <w:vMerge/>
            <w:tcBorders>
              <w:top w:val="single" w:sz="4" w:space="0" w:color="auto"/>
              <w:left w:val="single" w:sz="4" w:space="0" w:color="auto"/>
              <w:bottom w:val="single" w:sz="4" w:space="0" w:color="000000"/>
              <w:right w:val="single" w:sz="4" w:space="0" w:color="auto"/>
            </w:tcBorders>
            <w:vAlign w:val="center"/>
            <w:hideMark/>
          </w:tcPr>
          <w:p w:rsidR="00705F07" w:rsidRDefault="00705F07">
            <w:pPr>
              <w:rPr>
                <w:bCs/>
                <w:color w:val="000000"/>
                <w:sz w:val="12"/>
                <w:szCs w:val="12"/>
              </w:rPr>
            </w:pPr>
          </w:p>
        </w:tc>
        <w:tc>
          <w:tcPr>
            <w:tcW w:w="689" w:type="dxa"/>
            <w:vMerge/>
            <w:tcBorders>
              <w:top w:val="single" w:sz="4" w:space="0" w:color="auto"/>
              <w:left w:val="single" w:sz="4" w:space="0" w:color="auto"/>
              <w:bottom w:val="single" w:sz="4" w:space="0" w:color="000000"/>
              <w:right w:val="single" w:sz="4" w:space="0" w:color="auto"/>
            </w:tcBorders>
            <w:vAlign w:val="center"/>
            <w:hideMark/>
          </w:tcPr>
          <w:p w:rsidR="00705F07" w:rsidRDefault="00705F07">
            <w:pPr>
              <w:rPr>
                <w:bCs/>
                <w:color w:val="000000"/>
                <w:sz w:val="12"/>
                <w:szCs w:val="12"/>
              </w:rPr>
            </w:pPr>
          </w:p>
        </w:tc>
        <w:tc>
          <w:tcPr>
            <w:tcW w:w="732" w:type="dxa"/>
            <w:vMerge/>
            <w:tcBorders>
              <w:top w:val="single" w:sz="4" w:space="0" w:color="auto"/>
              <w:left w:val="single" w:sz="4" w:space="0" w:color="auto"/>
              <w:bottom w:val="single" w:sz="4" w:space="0" w:color="000000"/>
              <w:right w:val="single" w:sz="4" w:space="0" w:color="auto"/>
            </w:tcBorders>
            <w:vAlign w:val="center"/>
            <w:hideMark/>
          </w:tcPr>
          <w:p w:rsidR="00705F07" w:rsidRDefault="00705F07">
            <w:pPr>
              <w:rPr>
                <w:bCs/>
                <w:color w:val="000000"/>
                <w:sz w:val="12"/>
                <w:szCs w:val="12"/>
              </w:rPr>
            </w:pPr>
          </w:p>
        </w:tc>
        <w:tc>
          <w:tcPr>
            <w:tcW w:w="758" w:type="dxa"/>
            <w:vMerge/>
            <w:tcBorders>
              <w:top w:val="single" w:sz="4" w:space="0" w:color="auto"/>
              <w:left w:val="single" w:sz="4" w:space="0" w:color="auto"/>
              <w:bottom w:val="single" w:sz="4" w:space="0" w:color="000000"/>
              <w:right w:val="single" w:sz="4" w:space="0" w:color="auto"/>
            </w:tcBorders>
            <w:vAlign w:val="center"/>
            <w:hideMark/>
          </w:tcPr>
          <w:p w:rsidR="00705F07" w:rsidRDefault="00705F07">
            <w:pPr>
              <w:rPr>
                <w:bCs/>
                <w:color w:val="000000"/>
                <w:sz w:val="12"/>
                <w:szCs w:val="12"/>
              </w:rPr>
            </w:pPr>
          </w:p>
        </w:tc>
        <w:tc>
          <w:tcPr>
            <w:tcW w:w="755" w:type="dxa"/>
            <w:vMerge/>
            <w:tcBorders>
              <w:top w:val="single" w:sz="4" w:space="0" w:color="auto"/>
              <w:left w:val="single" w:sz="4" w:space="0" w:color="auto"/>
              <w:bottom w:val="single" w:sz="4" w:space="0" w:color="000000"/>
              <w:right w:val="single" w:sz="4" w:space="0" w:color="auto"/>
            </w:tcBorders>
            <w:vAlign w:val="center"/>
            <w:hideMark/>
          </w:tcPr>
          <w:p w:rsidR="00705F07" w:rsidRDefault="00705F07">
            <w:pPr>
              <w:rPr>
                <w:bCs/>
                <w:color w:val="000000"/>
                <w:sz w:val="12"/>
                <w:szCs w:val="12"/>
              </w:rPr>
            </w:pPr>
          </w:p>
        </w:tc>
        <w:tc>
          <w:tcPr>
            <w:tcW w:w="782" w:type="dxa"/>
            <w:vMerge/>
            <w:tcBorders>
              <w:top w:val="single" w:sz="4" w:space="0" w:color="auto"/>
              <w:left w:val="single" w:sz="4" w:space="0" w:color="auto"/>
              <w:bottom w:val="single" w:sz="4" w:space="0" w:color="000000"/>
              <w:right w:val="single" w:sz="4" w:space="0" w:color="auto"/>
            </w:tcBorders>
            <w:vAlign w:val="center"/>
            <w:hideMark/>
          </w:tcPr>
          <w:p w:rsidR="00705F07" w:rsidRDefault="00705F07">
            <w:pPr>
              <w:rPr>
                <w:bCs/>
                <w:color w:val="000000"/>
                <w:sz w:val="12"/>
                <w:szCs w:val="12"/>
              </w:rPr>
            </w:pPr>
          </w:p>
        </w:tc>
        <w:tc>
          <w:tcPr>
            <w:tcW w:w="721" w:type="dxa"/>
            <w:vMerge/>
            <w:tcBorders>
              <w:top w:val="single" w:sz="4" w:space="0" w:color="auto"/>
              <w:left w:val="single" w:sz="4" w:space="0" w:color="auto"/>
              <w:bottom w:val="single" w:sz="4" w:space="0" w:color="000000"/>
              <w:right w:val="single" w:sz="4" w:space="0" w:color="auto"/>
            </w:tcBorders>
            <w:vAlign w:val="center"/>
            <w:hideMark/>
          </w:tcPr>
          <w:p w:rsidR="00705F07" w:rsidRDefault="00705F07">
            <w:pPr>
              <w:rPr>
                <w:bCs/>
                <w:color w:val="000000"/>
                <w:sz w:val="12"/>
                <w:szCs w:val="12"/>
              </w:rPr>
            </w:pPr>
          </w:p>
        </w:tc>
      </w:tr>
      <w:tr w:rsidR="00705F07">
        <w:trPr>
          <w:trHeight w:val="195"/>
          <w:jc w:val="center"/>
        </w:trPr>
        <w:tc>
          <w:tcPr>
            <w:tcW w:w="1257" w:type="dxa"/>
            <w:tcBorders>
              <w:top w:val="nil"/>
              <w:left w:val="single" w:sz="4" w:space="0" w:color="auto"/>
              <w:bottom w:val="nil"/>
              <w:right w:val="single" w:sz="4" w:space="0" w:color="auto"/>
            </w:tcBorders>
            <w:shd w:val="clear" w:color="000000" w:fill="D7E4BC"/>
            <w:vAlign w:val="center"/>
            <w:hideMark/>
          </w:tcPr>
          <w:p w:rsidR="00705F07" w:rsidRDefault="00185A37">
            <w:pPr>
              <w:jc w:val="center"/>
              <w:rPr>
                <w:bCs/>
                <w:color w:val="000000"/>
                <w:sz w:val="12"/>
                <w:szCs w:val="12"/>
              </w:rPr>
            </w:pPr>
            <w:r>
              <w:rPr>
                <w:bCs/>
                <w:color w:val="000000"/>
                <w:sz w:val="12"/>
                <w:szCs w:val="12"/>
              </w:rPr>
              <w:t>Офіційний курс гривні до іноземних валют на останній день місяця:</w:t>
            </w:r>
          </w:p>
        </w:tc>
        <w:tc>
          <w:tcPr>
            <w:tcW w:w="606"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06"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03"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46"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74"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75"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89"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32"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58"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55"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82"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21"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r>
      <w:tr w:rsidR="00705F07">
        <w:trPr>
          <w:trHeight w:val="165"/>
          <w:jc w:val="center"/>
        </w:trPr>
        <w:tc>
          <w:tcPr>
            <w:tcW w:w="1257" w:type="dxa"/>
            <w:tcBorders>
              <w:top w:val="single" w:sz="4" w:space="0" w:color="auto"/>
              <w:left w:val="single" w:sz="4" w:space="0" w:color="auto"/>
              <w:bottom w:val="single" w:sz="4" w:space="0" w:color="auto"/>
              <w:right w:val="nil"/>
            </w:tcBorders>
            <w:vAlign w:val="center"/>
            <w:hideMark/>
          </w:tcPr>
          <w:p w:rsidR="00705F07" w:rsidRDefault="00185A37">
            <w:pPr>
              <w:jc w:val="center"/>
              <w:rPr>
                <w:color w:val="000000"/>
                <w:sz w:val="12"/>
                <w:szCs w:val="12"/>
              </w:rPr>
            </w:pPr>
            <w:r>
              <w:rPr>
                <w:color w:val="000000"/>
                <w:sz w:val="12"/>
                <w:szCs w:val="12"/>
              </w:rPr>
              <w:t xml:space="preserve">                        - до долара США (за 1 од.)</w:t>
            </w:r>
          </w:p>
        </w:tc>
        <w:tc>
          <w:tcPr>
            <w:tcW w:w="606" w:type="dxa"/>
            <w:tcBorders>
              <w:top w:val="single" w:sz="4" w:space="0" w:color="auto"/>
              <w:left w:val="single" w:sz="4" w:space="0" w:color="auto"/>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37,8746</w:t>
            </w:r>
          </w:p>
        </w:tc>
        <w:tc>
          <w:tcPr>
            <w:tcW w:w="606"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38,2077</w:t>
            </w:r>
          </w:p>
        </w:tc>
        <w:tc>
          <w:tcPr>
            <w:tcW w:w="703"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39,2214</w:t>
            </w:r>
          </w:p>
        </w:tc>
        <w:tc>
          <w:tcPr>
            <w:tcW w:w="646"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39,6688</w:t>
            </w:r>
          </w:p>
        </w:tc>
        <w:tc>
          <w:tcPr>
            <w:tcW w:w="674"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40,5001</w:t>
            </w:r>
          </w:p>
        </w:tc>
        <w:tc>
          <w:tcPr>
            <w:tcW w:w="675"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40,5374</w:t>
            </w:r>
          </w:p>
        </w:tc>
        <w:tc>
          <w:tcPr>
            <w:tcW w:w="689"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41,0291</w:t>
            </w:r>
          </w:p>
        </w:tc>
        <w:tc>
          <w:tcPr>
            <w:tcW w:w="732"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41,1901</w:t>
            </w:r>
          </w:p>
        </w:tc>
        <w:tc>
          <w:tcPr>
            <w:tcW w:w="758"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41,1664</w:t>
            </w:r>
          </w:p>
        </w:tc>
        <w:tc>
          <w:tcPr>
            <w:tcW w:w="755"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41,2790</w:t>
            </w:r>
          </w:p>
        </w:tc>
        <w:tc>
          <w:tcPr>
            <w:tcW w:w="782"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41,5956</w:t>
            </w:r>
          </w:p>
        </w:tc>
        <w:tc>
          <w:tcPr>
            <w:tcW w:w="721"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42,0390</w:t>
            </w:r>
          </w:p>
        </w:tc>
      </w:tr>
      <w:tr w:rsidR="00705F07">
        <w:trPr>
          <w:trHeight w:val="165"/>
          <w:jc w:val="center"/>
        </w:trPr>
        <w:tc>
          <w:tcPr>
            <w:tcW w:w="1257" w:type="dxa"/>
            <w:tcBorders>
              <w:top w:val="nil"/>
              <w:left w:val="single" w:sz="4" w:space="0" w:color="auto"/>
              <w:bottom w:val="single" w:sz="4" w:space="0" w:color="auto"/>
              <w:right w:val="nil"/>
            </w:tcBorders>
            <w:vAlign w:val="center"/>
            <w:hideMark/>
          </w:tcPr>
          <w:p w:rsidR="00705F07" w:rsidRDefault="00185A37">
            <w:pPr>
              <w:jc w:val="center"/>
              <w:rPr>
                <w:color w:val="000000"/>
                <w:sz w:val="12"/>
                <w:szCs w:val="12"/>
              </w:rPr>
            </w:pPr>
            <w:r>
              <w:rPr>
                <w:color w:val="000000"/>
                <w:sz w:val="12"/>
                <w:szCs w:val="12"/>
              </w:rPr>
              <w:t xml:space="preserve">                        - до євро (за 1 од.)</w:t>
            </w:r>
          </w:p>
        </w:tc>
        <w:tc>
          <w:tcPr>
            <w:tcW w:w="606"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41,0845</w:t>
            </w:r>
          </w:p>
        </w:tc>
        <w:tc>
          <w:tcPr>
            <w:tcW w:w="60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41,2968</w:t>
            </w:r>
          </w:p>
        </w:tc>
        <w:tc>
          <w:tcPr>
            <w:tcW w:w="703"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42,3670</w:t>
            </w:r>
          </w:p>
        </w:tc>
        <w:tc>
          <w:tcPr>
            <w:tcW w:w="64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42,4972</w:t>
            </w:r>
          </w:p>
        </w:tc>
        <w:tc>
          <w:tcPr>
            <w:tcW w:w="674"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43,8171</w:t>
            </w:r>
          </w:p>
        </w:tc>
        <w:tc>
          <w:tcPr>
            <w:tcW w:w="67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43,3547</w:t>
            </w:r>
          </w:p>
        </w:tc>
        <w:tc>
          <w:tcPr>
            <w:tcW w:w="689"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44,4181</w:t>
            </w:r>
          </w:p>
        </w:tc>
        <w:tc>
          <w:tcPr>
            <w:tcW w:w="732"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45,7045</w:t>
            </w:r>
          </w:p>
        </w:tc>
        <w:tc>
          <w:tcPr>
            <w:tcW w:w="758"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45,9541</w:t>
            </w:r>
          </w:p>
        </w:tc>
        <w:tc>
          <w:tcPr>
            <w:tcW w:w="75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44,6350</w:t>
            </w:r>
          </w:p>
        </w:tc>
        <w:tc>
          <w:tcPr>
            <w:tcW w:w="782"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43,8626</w:t>
            </w:r>
          </w:p>
        </w:tc>
        <w:tc>
          <w:tcPr>
            <w:tcW w:w="721"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43,9266</w:t>
            </w:r>
          </w:p>
        </w:tc>
      </w:tr>
      <w:tr w:rsidR="00705F07">
        <w:trPr>
          <w:trHeight w:val="165"/>
          <w:jc w:val="center"/>
        </w:trPr>
        <w:tc>
          <w:tcPr>
            <w:tcW w:w="1257" w:type="dxa"/>
            <w:tcBorders>
              <w:top w:val="nil"/>
              <w:left w:val="single" w:sz="4" w:space="0" w:color="auto"/>
              <w:bottom w:val="single" w:sz="4" w:space="0" w:color="auto"/>
              <w:right w:val="nil"/>
            </w:tcBorders>
            <w:vAlign w:val="center"/>
            <w:hideMark/>
          </w:tcPr>
          <w:p w:rsidR="00705F07" w:rsidRDefault="00185A37">
            <w:pPr>
              <w:jc w:val="center"/>
              <w:rPr>
                <w:color w:val="000000"/>
                <w:sz w:val="12"/>
                <w:szCs w:val="12"/>
              </w:rPr>
            </w:pPr>
            <w:r>
              <w:rPr>
                <w:color w:val="000000"/>
                <w:sz w:val="12"/>
                <w:szCs w:val="12"/>
              </w:rPr>
              <w:t xml:space="preserve">                        - до російського рубля (за 10 од)</w:t>
            </w:r>
          </w:p>
        </w:tc>
        <w:tc>
          <w:tcPr>
            <w:tcW w:w="606"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4,2322</w:t>
            </w:r>
          </w:p>
        </w:tc>
        <w:tc>
          <w:tcPr>
            <w:tcW w:w="60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4,1607</w:t>
            </w:r>
          </w:p>
        </w:tc>
        <w:tc>
          <w:tcPr>
            <w:tcW w:w="703"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4,2382</w:t>
            </w:r>
          </w:p>
        </w:tc>
        <w:tc>
          <w:tcPr>
            <w:tcW w:w="64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4,2547</w:t>
            </w:r>
          </w:p>
        </w:tc>
        <w:tc>
          <w:tcPr>
            <w:tcW w:w="674"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4,5105</w:t>
            </w:r>
          </w:p>
        </w:tc>
        <w:tc>
          <w:tcPr>
            <w:tcW w:w="67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4,7443</w:t>
            </w:r>
          </w:p>
        </w:tc>
        <w:tc>
          <w:tcPr>
            <w:tcW w:w="689"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4,7488</w:t>
            </w:r>
          </w:p>
        </w:tc>
        <w:tc>
          <w:tcPr>
            <w:tcW w:w="732"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4,5051</w:t>
            </w:r>
          </w:p>
        </w:tc>
        <w:tc>
          <w:tcPr>
            <w:tcW w:w="758"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4,4327</w:t>
            </w:r>
          </w:p>
        </w:tc>
        <w:tc>
          <w:tcPr>
            <w:tcW w:w="75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4,2545</w:t>
            </w:r>
          </w:p>
        </w:tc>
        <w:tc>
          <w:tcPr>
            <w:tcW w:w="782"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3,8300</w:t>
            </w:r>
          </w:p>
        </w:tc>
        <w:tc>
          <w:tcPr>
            <w:tcW w:w="721"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3,8978</w:t>
            </w:r>
          </w:p>
        </w:tc>
      </w:tr>
      <w:tr w:rsidR="00705F07">
        <w:trPr>
          <w:trHeight w:val="195"/>
          <w:jc w:val="center"/>
        </w:trPr>
        <w:tc>
          <w:tcPr>
            <w:tcW w:w="1257" w:type="dxa"/>
            <w:tcBorders>
              <w:top w:val="nil"/>
              <w:left w:val="single" w:sz="4" w:space="0" w:color="auto"/>
              <w:bottom w:val="nil"/>
              <w:right w:val="single" w:sz="4" w:space="0" w:color="auto"/>
            </w:tcBorders>
            <w:shd w:val="clear" w:color="000000" w:fill="D7E4BC"/>
            <w:vAlign w:val="center"/>
            <w:hideMark/>
          </w:tcPr>
          <w:p w:rsidR="00705F07" w:rsidRDefault="00185A37">
            <w:pPr>
              <w:jc w:val="center"/>
              <w:rPr>
                <w:bCs/>
                <w:color w:val="000000"/>
                <w:sz w:val="12"/>
                <w:szCs w:val="12"/>
              </w:rPr>
            </w:pPr>
            <w:r>
              <w:rPr>
                <w:bCs/>
                <w:color w:val="000000"/>
                <w:sz w:val="12"/>
                <w:szCs w:val="12"/>
              </w:rPr>
              <w:t xml:space="preserve">Середньозважений курс гривні за операціями з готівковою </w:t>
            </w:r>
            <w:r>
              <w:rPr>
                <w:bCs/>
                <w:color w:val="000000"/>
                <w:sz w:val="12"/>
                <w:szCs w:val="12"/>
              </w:rPr>
              <w:t>іноземною валютою:</w:t>
            </w:r>
          </w:p>
        </w:tc>
        <w:tc>
          <w:tcPr>
            <w:tcW w:w="606"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06"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03"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46"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74"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75"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89"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32"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58"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55"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82"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21"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r>
      <w:tr w:rsidR="00705F07">
        <w:trPr>
          <w:trHeight w:val="165"/>
          <w:jc w:val="center"/>
        </w:trPr>
        <w:tc>
          <w:tcPr>
            <w:tcW w:w="1257" w:type="dxa"/>
            <w:tcBorders>
              <w:top w:val="single" w:sz="4" w:space="0" w:color="auto"/>
              <w:left w:val="single" w:sz="4" w:space="0" w:color="auto"/>
              <w:bottom w:val="single" w:sz="4" w:space="0" w:color="auto"/>
              <w:right w:val="nil"/>
            </w:tcBorders>
            <w:vAlign w:val="center"/>
            <w:hideMark/>
          </w:tcPr>
          <w:p w:rsidR="00705F07" w:rsidRDefault="00185A37">
            <w:pPr>
              <w:jc w:val="center"/>
              <w:rPr>
                <w:color w:val="000000"/>
                <w:sz w:val="12"/>
                <w:szCs w:val="12"/>
              </w:rPr>
            </w:pPr>
            <w:r>
              <w:rPr>
                <w:color w:val="000000"/>
                <w:sz w:val="12"/>
                <w:szCs w:val="12"/>
              </w:rPr>
              <w:t xml:space="preserve">          продажу:</w:t>
            </w:r>
          </w:p>
        </w:tc>
        <w:tc>
          <w:tcPr>
            <w:tcW w:w="606" w:type="dxa"/>
            <w:tcBorders>
              <w:top w:val="single" w:sz="4" w:space="0" w:color="auto"/>
              <w:left w:val="single" w:sz="4" w:space="0" w:color="auto"/>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 </w:t>
            </w:r>
          </w:p>
        </w:tc>
        <w:tc>
          <w:tcPr>
            <w:tcW w:w="606"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 </w:t>
            </w:r>
          </w:p>
        </w:tc>
        <w:tc>
          <w:tcPr>
            <w:tcW w:w="703"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 </w:t>
            </w:r>
          </w:p>
        </w:tc>
        <w:tc>
          <w:tcPr>
            <w:tcW w:w="646"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 </w:t>
            </w:r>
          </w:p>
        </w:tc>
        <w:tc>
          <w:tcPr>
            <w:tcW w:w="674"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 </w:t>
            </w:r>
          </w:p>
        </w:tc>
        <w:tc>
          <w:tcPr>
            <w:tcW w:w="675"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 </w:t>
            </w:r>
          </w:p>
        </w:tc>
        <w:tc>
          <w:tcPr>
            <w:tcW w:w="689"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 </w:t>
            </w:r>
          </w:p>
        </w:tc>
        <w:tc>
          <w:tcPr>
            <w:tcW w:w="732"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 </w:t>
            </w:r>
          </w:p>
        </w:tc>
        <w:tc>
          <w:tcPr>
            <w:tcW w:w="758"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 </w:t>
            </w:r>
          </w:p>
        </w:tc>
        <w:tc>
          <w:tcPr>
            <w:tcW w:w="755"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 </w:t>
            </w:r>
          </w:p>
        </w:tc>
        <w:tc>
          <w:tcPr>
            <w:tcW w:w="782"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 </w:t>
            </w:r>
          </w:p>
        </w:tc>
        <w:tc>
          <w:tcPr>
            <w:tcW w:w="721"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 </w:t>
            </w:r>
          </w:p>
        </w:tc>
      </w:tr>
      <w:tr w:rsidR="00705F07">
        <w:trPr>
          <w:trHeight w:val="165"/>
          <w:jc w:val="center"/>
        </w:trPr>
        <w:tc>
          <w:tcPr>
            <w:tcW w:w="1257" w:type="dxa"/>
            <w:tcBorders>
              <w:top w:val="nil"/>
              <w:left w:val="single" w:sz="4" w:space="0" w:color="auto"/>
              <w:bottom w:val="single" w:sz="4" w:space="0" w:color="auto"/>
              <w:right w:val="nil"/>
            </w:tcBorders>
            <w:vAlign w:val="center"/>
            <w:hideMark/>
          </w:tcPr>
          <w:p w:rsidR="00705F07" w:rsidRDefault="00185A37">
            <w:pPr>
              <w:jc w:val="center"/>
              <w:rPr>
                <w:color w:val="000000"/>
                <w:sz w:val="12"/>
                <w:szCs w:val="12"/>
              </w:rPr>
            </w:pPr>
            <w:r>
              <w:rPr>
                <w:color w:val="000000"/>
                <w:sz w:val="12"/>
                <w:szCs w:val="12"/>
              </w:rPr>
              <w:t xml:space="preserve">                        - долар США</w:t>
            </w:r>
          </w:p>
        </w:tc>
        <w:tc>
          <w:tcPr>
            <w:tcW w:w="606"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38,5649</w:t>
            </w:r>
          </w:p>
        </w:tc>
        <w:tc>
          <w:tcPr>
            <w:tcW w:w="60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38,3393</w:t>
            </w:r>
          </w:p>
        </w:tc>
        <w:tc>
          <w:tcPr>
            <w:tcW w:w="703"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38,9394</w:t>
            </w:r>
          </w:p>
        </w:tc>
        <w:tc>
          <w:tcPr>
            <w:tcW w:w="64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39,6415</w:t>
            </w:r>
          </w:p>
        </w:tc>
        <w:tc>
          <w:tcPr>
            <w:tcW w:w="674"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40,1666</w:t>
            </w:r>
          </w:p>
        </w:tc>
        <w:tc>
          <w:tcPr>
            <w:tcW w:w="67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40,8487</w:t>
            </w:r>
          </w:p>
        </w:tc>
        <w:tc>
          <w:tcPr>
            <w:tcW w:w="689"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41,3441</w:t>
            </w:r>
          </w:p>
        </w:tc>
        <w:tc>
          <w:tcPr>
            <w:tcW w:w="732"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41,4252</w:t>
            </w:r>
          </w:p>
        </w:tc>
        <w:tc>
          <w:tcPr>
            <w:tcW w:w="758"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41,5594</w:t>
            </w:r>
          </w:p>
        </w:tc>
        <w:tc>
          <w:tcPr>
            <w:tcW w:w="75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41,5164</w:t>
            </w:r>
          </w:p>
        </w:tc>
        <w:tc>
          <w:tcPr>
            <w:tcW w:w="782"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41,6840</w:t>
            </w:r>
          </w:p>
        </w:tc>
        <w:tc>
          <w:tcPr>
            <w:tcW w:w="721"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42,0675</w:t>
            </w:r>
          </w:p>
        </w:tc>
      </w:tr>
      <w:tr w:rsidR="00705F07">
        <w:trPr>
          <w:trHeight w:val="165"/>
          <w:jc w:val="center"/>
        </w:trPr>
        <w:tc>
          <w:tcPr>
            <w:tcW w:w="1257" w:type="dxa"/>
            <w:tcBorders>
              <w:top w:val="nil"/>
              <w:left w:val="single" w:sz="4" w:space="0" w:color="auto"/>
              <w:bottom w:val="single" w:sz="4" w:space="0" w:color="auto"/>
              <w:right w:val="nil"/>
            </w:tcBorders>
            <w:vAlign w:val="center"/>
            <w:hideMark/>
          </w:tcPr>
          <w:p w:rsidR="00705F07" w:rsidRDefault="00185A37">
            <w:pPr>
              <w:jc w:val="center"/>
              <w:rPr>
                <w:color w:val="000000"/>
                <w:sz w:val="12"/>
                <w:szCs w:val="12"/>
              </w:rPr>
            </w:pPr>
            <w:r>
              <w:rPr>
                <w:color w:val="000000"/>
                <w:sz w:val="12"/>
                <w:szCs w:val="12"/>
              </w:rPr>
              <w:t xml:space="preserve">                        - євро</w:t>
            </w:r>
          </w:p>
        </w:tc>
        <w:tc>
          <w:tcPr>
            <w:tcW w:w="606"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42,1589</w:t>
            </w:r>
          </w:p>
        </w:tc>
        <w:tc>
          <w:tcPr>
            <w:tcW w:w="60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41,5586</w:t>
            </w:r>
          </w:p>
        </w:tc>
        <w:tc>
          <w:tcPr>
            <w:tcW w:w="703"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42,4531</w:t>
            </w:r>
          </w:p>
        </w:tc>
        <w:tc>
          <w:tcPr>
            <w:tcW w:w="64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42,7807</w:t>
            </w:r>
          </w:p>
        </w:tc>
        <w:tc>
          <w:tcPr>
            <w:tcW w:w="674"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43,4163</w:t>
            </w:r>
          </w:p>
        </w:tc>
        <w:tc>
          <w:tcPr>
            <w:tcW w:w="67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44,1294</w:t>
            </w:r>
          </w:p>
        </w:tc>
        <w:tc>
          <w:tcPr>
            <w:tcW w:w="689"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44,8378</w:t>
            </w:r>
          </w:p>
        </w:tc>
        <w:tc>
          <w:tcPr>
            <w:tcW w:w="732"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45,4661</w:t>
            </w:r>
          </w:p>
        </w:tc>
        <w:tc>
          <w:tcPr>
            <w:tcW w:w="758"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46,1426</w:t>
            </w:r>
          </w:p>
        </w:tc>
        <w:tc>
          <w:tcPr>
            <w:tcW w:w="75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45,4219</w:t>
            </w:r>
          </w:p>
        </w:tc>
        <w:tc>
          <w:tcPr>
            <w:tcW w:w="782"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44,4219</w:t>
            </w:r>
          </w:p>
        </w:tc>
        <w:tc>
          <w:tcPr>
            <w:tcW w:w="721"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44,1753</w:t>
            </w:r>
          </w:p>
        </w:tc>
      </w:tr>
      <w:tr w:rsidR="00705F07">
        <w:trPr>
          <w:trHeight w:val="165"/>
          <w:jc w:val="center"/>
        </w:trPr>
        <w:tc>
          <w:tcPr>
            <w:tcW w:w="1257" w:type="dxa"/>
            <w:tcBorders>
              <w:top w:val="nil"/>
              <w:left w:val="single" w:sz="4" w:space="0" w:color="auto"/>
              <w:bottom w:val="single" w:sz="4" w:space="0" w:color="auto"/>
              <w:right w:val="nil"/>
            </w:tcBorders>
            <w:vAlign w:val="center"/>
            <w:hideMark/>
          </w:tcPr>
          <w:p w:rsidR="00705F07" w:rsidRDefault="00185A37">
            <w:pPr>
              <w:jc w:val="center"/>
              <w:rPr>
                <w:color w:val="000000"/>
                <w:sz w:val="12"/>
                <w:szCs w:val="12"/>
              </w:rPr>
            </w:pPr>
            <w:r>
              <w:rPr>
                <w:color w:val="000000"/>
                <w:sz w:val="12"/>
                <w:szCs w:val="12"/>
              </w:rPr>
              <w:t xml:space="preserve">         купівлі:</w:t>
            </w:r>
          </w:p>
        </w:tc>
        <w:tc>
          <w:tcPr>
            <w:tcW w:w="606"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 </w:t>
            </w:r>
          </w:p>
        </w:tc>
        <w:tc>
          <w:tcPr>
            <w:tcW w:w="60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 </w:t>
            </w:r>
          </w:p>
        </w:tc>
        <w:tc>
          <w:tcPr>
            <w:tcW w:w="703"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 </w:t>
            </w:r>
          </w:p>
        </w:tc>
        <w:tc>
          <w:tcPr>
            <w:tcW w:w="64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 </w:t>
            </w:r>
          </w:p>
        </w:tc>
        <w:tc>
          <w:tcPr>
            <w:tcW w:w="674"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 </w:t>
            </w:r>
          </w:p>
        </w:tc>
        <w:tc>
          <w:tcPr>
            <w:tcW w:w="67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 </w:t>
            </w:r>
          </w:p>
        </w:tc>
        <w:tc>
          <w:tcPr>
            <w:tcW w:w="689"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 </w:t>
            </w:r>
          </w:p>
        </w:tc>
        <w:tc>
          <w:tcPr>
            <w:tcW w:w="732"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 </w:t>
            </w:r>
          </w:p>
        </w:tc>
        <w:tc>
          <w:tcPr>
            <w:tcW w:w="758"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 </w:t>
            </w:r>
          </w:p>
        </w:tc>
        <w:tc>
          <w:tcPr>
            <w:tcW w:w="75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 </w:t>
            </w:r>
          </w:p>
        </w:tc>
        <w:tc>
          <w:tcPr>
            <w:tcW w:w="782"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 </w:t>
            </w:r>
          </w:p>
        </w:tc>
        <w:tc>
          <w:tcPr>
            <w:tcW w:w="721"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 </w:t>
            </w:r>
          </w:p>
        </w:tc>
      </w:tr>
      <w:tr w:rsidR="00705F07">
        <w:trPr>
          <w:trHeight w:val="165"/>
          <w:jc w:val="center"/>
        </w:trPr>
        <w:tc>
          <w:tcPr>
            <w:tcW w:w="1257" w:type="dxa"/>
            <w:tcBorders>
              <w:top w:val="nil"/>
              <w:left w:val="single" w:sz="4" w:space="0" w:color="auto"/>
              <w:bottom w:val="single" w:sz="4" w:space="0" w:color="auto"/>
              <w:right w:val="nil"/>
            </w:tcBorders>
            <w:vAlign w:val="center"/>
            <w:hideMark/>
          </w:tcPr>
          <w:p w:rsidR="00705F07" w:rsidRDefault="00185A37">
            <w:pPr>
              <w:jc w:val="center"/>
              <w:rPr>
                <w:color w:val="000000"/>
                <w:sz w:val="12"/>
                <w:szCs w:val="12"/>
              </w:rPr>
            </w:pPr>
            <w:r>
              <w:rPr>
                <w:color w:val="000000"/>
                <w:sz w:val="12"/>
                <w:szCs w:val="12"/>
              </w:rPr>
              <w:t xml:space="preserve">                        - долар США</w:t>
            </w:r>
          </w:p>
        </w:tc>
        <w:tc>
          <w:tcPr>
            <w:tcW w:w="606"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38,2674</w:t>
            </w:r>
          </w:p>
        </w:tc>
        <w:tc>
          <w:tcPr>
            <w:tcW w:w="60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38,0205</w:t>
            </w:r>
          </w:p>
        </w:tc>
        <w:tc>
          <w:tcPr>
            <w:tcW w:w="703"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38,5912</w:t>
            </w:r>
          </w:p>
        </w:tc>
        <w:tc>
          <w:tcPr>
            <w:tcW w:w="64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39,2950</w:t>
            </w:r>
          </w:p>
        </w:tc>
        <w:tc>
          <w:tcPr>
            <w:tcW w:w="674"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39,7935</w:t>
            </w:r>
          </w:p>
        </w:tc>
        <w:tc>
          <w:tcPr>
            <w:tcW w:w="67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40,5057</w:t>
            </w:r>
          </w:p>
        </w:tc>
        <w:tc>
          <w:tcPr>
            <w:tcW w:w="689"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40,9572</w:t>
            </w:r>
          </w:p>
        </w:tc>
        <w:tc>
          <w:tcPr>
            <w:tcW w:w="732"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41,0710</w:t>
            </w:r>
          </w:p>
        </w:tc>
        <w:tc>
          <w:tcPr>
            <w:tcW w:w="758"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41,2068</w:t>
            </w:r>
          </w:p>
        </w:tc>
        <w:tc>
          <w:tcPr>
            <w:tcW w:w="75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41,1723</w:t>
            </w:r>
          </w:p>
        </w:tc>
        <w:tc>
          <w:tcPr>
            <w:tcW w:w="782"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41,3298</w:t>
            </w:r>
          </w:p>
        </w:tc>
        <w:tc>
          <w:tcPr>
            <w:tcW w:w="721"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41,6746</w:t>
            </w:r>
          </w:p>
        </w:tc>
      </w:tr>
      <w:tr w:rsidR="00705F07">
        <w:trPr>
          <w:trHeight w:val="165"/>
          <w:jc w:val="center"/>
        </w:trPr>
        <w:tc>
          <w:tcPr>
            <w:tcW w:w="1257" w:type="dxa"/>
            <w:tcBorders>
              <w:top w:val="nil"/>
              <w:left w:val="single" w:sz="4" w:space="0" w:color="auto"/>
              <w:bottom w:val="single" w:sz="4" w:space="0" w:color="auto"/>
              <w:right w:val="nil"/>
            </w:tcBorders>
            <w:vAlign w:val="center"/>
            <w:hideMark/>
          </w:tcPr>
          <w:p w:rsidR="00705F07" w:rsidRDefault="00185A37">
            <w:pPr>
              <w:jc w:val="center"/>
              <w:rPr>
                <w:color w:val="000000"/>
                <w:sz w:val="12"/>
                <w:szCs w:val="12"/>
              </w:rPr>
            </w:pPr>
            <w:r>
              <w:rPr>
                <w:color w:val="000000"/>
                <w:sz w:val="12"/>
                <w:szCs w:val="12"/>
              </w:rPr>
              <w:t xml:space="preserve">                        - євро</w:t>
            </w:r>
          </w:p>
        </w:tc>
        <w:tc>
          <w:tcPr>
            <w:tcW w:w="606"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41,7676</w:t>
            </w:r>
          </w:p>
        </w:tc>
        <w:tc>
          <w:tcPr>
            <w:tcW w:w="60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41,2027</w:t>
            </w:r>
          </w:p>
        </w:tc>
        <w:tc>
          <w:tcPr>
            <w:tcW w:w="703"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42,0273</w:t>
            </w:r>
          </w:p>
        </w:tc>
        <w:tc>
          <w:tcPr>
            <w:tcW w:w="64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42,4248</w:t>
            </w:r>
          </w:p>
        </w:tc>
        <w:tc>
          <w:tcPr>
            <w:tcW w:w="674"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42,9854</w:t>
            </w:r>
          </w:p>
        </w:tc>
        <w:tc>
          <w:tcPr>
            <w:tcW w:w="67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43,7721</w:t>
            </w:r>
          </w:p>
        </w:tc>
        <w:tc>
          <w:tcPr>
            <w:tcW w:w="689"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44,4198</w:t>
            </w:r>
          </w:p>
        </w:tc>
        <w:tc>
          <w:tcPr>
            <w:tcW w:w="732"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45,0580</w:t>
            </w:r>
          </w:p>
        </w:tc>
        <w:tc>
          <w:tcPr>
            <w:tcW w:w="758"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45,7123</w:t>
            </w:r>
          </w:p>
        </w:tc>
        <w:tc>
          <w:tcPr>
            <w:tcW w:w="75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45,0796</w:t>
            </w:r>
          </w:p>
        </w:tc>
        <w:tc>
          <w:tcPr>
            <w:tcW w:w="782"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44,0371</w:t>
            </w:r>
          </w:p>
        </w:tc>
        <w:tc>
          <w:tcPr>
            <w:tcW w:w="721"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43,7790</w:t>
            </w:r>
          </w:p>
        </w:tc>
      </w:tr>
      <w:tr w:rsidR="00705F07">
        <w:trPr>
          <w:trHeight w:val="195"/>
          <w:jc w:val="center"/>
        </w:trPr>
        <w:tc>
          <w:tcPr>
            <w:tcW w:w="1257" w:type="dxa"/>
            <w:tcBorders>
              <w:top w:val="nil"/>
              <w:left w:val="single" w:sz="4" w:space="0" w:color="auto"/>
              <w:bottom w:val="nil"/>
              <w:right w:val="single" w:sz="4" w:space="0" w:color="auto"/>
            </w:tcBorders>
            <w:shd w:val="clear" w:color="000000" w:fill="D7E4BC"/>
            <w:vAlign w:val="center"/>
            <w:hideMark/>
          </w:tcPr>
          <w:p w:rsidR="00705F07" w:rsidRDefault="00185A37">
            <w:pPr>
              <w:jc w:val="center"/>
              <w:rPr>
                <w:bCs/>
                <w:color w:val="000000"/>
                <w:sz w:val="12"/>
                <w:szCs w:val="12"/>
              </w:rPr>
            </w:pPr>
            <w:r>
              <w:rPr>
                <w:bCs/>
                <w:color w:val="000000"/>
                <w:sz w:val="12"/>
                <w:szCs w:val="12"/>
              </w:rPr>
              <w:t>Курс інтервенцій Національного банку України:</w:t>
            </w:r>
          </w:p>
        </w:tc>
        <w:tc>
          <w:tcPr>
            <w:tcW w:w="606" w:type="dxa"/>
            <w:tcBorders>
              <w:top w:val="nil"/>
              <w:left w:val="nil"/>
              <w:bottom w:val="single" w:sz="4" w:space="0" w:color="auto"/>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06" w:type="dxa"/>
            <w:tcBorders>
              <w:top w:val="nil"/>
              <w:left w:val="nil"/>
              <w:bottom w:val="single" w:sz="4" w:space="0" w:color="auto"/>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03" w:type="dxa"/>
            <w:tcBorders>
              <w:top w:val="nil"/>
              <w:left w:val="nil"/>
              <w:bottom w:val="single" w:sz="4" w:space="0" w:color="auto"/>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46" w:type="dxa"/>
            <w:tcBorders>
              <w:top w:val="nil"/>
              <w:left w:val="nil"/>
              <w:bottom w:val="single" w:sz="4" w:space="0" w:color="auto"/>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74" w:type="dxa"/>
            <w:tcBorders>
              <w:top w:val="nil"/>
              <w:left w:val="nil"/>
              <w:bottom w:val="single" w:sz="4" w:space="0" w:color="auto"/>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75" w:type="dxa"/>
            <w:tcBorders>
              <w:top w:val="nil"/>
              <w:left w:val="nil"/>
              <w:bottom w:val="single" w:sz="4" w:space="0" w:color="auto"/>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89" w:type="dxa"/>
            <w:tcBorders>
              <w:top w:val="nil"/>
              <w:left w:val="nil"/>
              <w:bottom w:val="single" w:sz="4" w:space="0" w:color="auto"/>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32" w:type="dxa"/>
            <w:tcBorders>
              <w:top w:val="nil"/>
              <w:left w:val="nil"/>
              <w:bottom w:val="single" w:sz="4" w:space="0" w:color="auto"/>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58" w:type="dxa"/>
            <w:tcBorders>
              <w:top w:val="nil"/>
              <w:left w:val="nil"/>
              <w:bottom w:val="single" w:sz="4" w:space="0" w:color="auto"/>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55" w:type="dxa"/>
            <w:tcBorders>
              <w:top w:val="nil"/>
              <w:left w:val="nil"/>
              <w:bottom w:val="single" w:sz="4" w:space="0" w:color="auto"/>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82" w:type="dxa"/>
            <w:tcBorders>
              <w:top w:val="nil"/>
              <w:left w:val="nil"/>
              <w:bottom w:val="single" w:sz="4" w:space="0" w:color="auto"/>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21" w:type="dxa"/>
            <w:tcBorders>
              <w:top w:val="nil"/>
              <w:left w:val="nil"/>
              <w:bottom w:val="single" w:sz="4" w:space="0" w:color="auto"/>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r>
      <w:tr w:rsidR="00705F07">
        <w:trPr>
          <w:trHeight w:val="195"/>
          <w:jc w:val="center"/>
        </w:trPr>
        <w:tc>
          <w:tcPr>
            <w:tcW w:w="1257" w:type="dxa"/>
            <w:tcBorders>
              <w:top w:val="single" w:sz="4" w:space="0" w:color="auto"/>
              <w:left w:val="single" w:sz="4" w:space="0" w:color="auto"/>
              <w:bottom w:val="single" w:sz="4" w:space="0" w:color="auto"/>
              <w:right w:val="single" w:sz="4" w:space="0" w:color="auto"/>
            </w:tcBorders>
            <w:shd w:val="clear" w:color="000000" w:fill="B6DDE8"/>
            <w:vAlign w:val="center"/>
            <w:hideMark/>
          </w:tcPr>
          <w:p w:rsidR="00705F07" w:rsidRDefault="00185A37">
            <w:pPr>
              <w:jc w:val="center"/>
              <w:rPr>
                <w:bCs/>
                <w:color w:val="000000"/>
                <w:sz w:val="12"/>
                <w:szCs w:val="12"/>
              </w:rPr>
            </w:pPr>
            <w:r>
              <w:rPr>
                <w:bCs/>
                <w:color w:val="000000"/>
                <w:sz w:val="12"/>
                <w:szCs w:val="12"/>
              </w:rPr>
              <w:t xml:space="preserve">       долари США  (середньозважений за 1 долар США):</w:t>
            </w:r>
          </w:p>
        </w:tc>
        <w:tc>
          <w:tcPr>
            <w:tcW w:w="606" w:type="dxa"/>
            <w:tcBorders>
              <w:top w:val="nil"/>
              <w:left w:val="nil"/>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 </w:t>
            </w:r>
          </w:p>
        </w:tc>
        <w:tc>
          <w:tcPr>
            <w:tcW w:w="606" w:type="dxa"/>
            <w:tcBorders>
              <w:top w:val="nil"/>
              <w:left w:val="nil"/>
              <w:bottom w:val="nil"/>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 </w:t>
            </w:r>
          </w:p>
        </w:tc>
        <w:tc>
          <w:tcPr>
            <w:tcW w:w="703" w:type="dxa"/>
            <w:tcBorders>
              <w:top w:val="nil"/>
              <w:left w:val="nil"/>
              <w:bottom w:val="nil"/>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 </w:t>
            </w:r>
          </w:p>
        </w:tc>
        <w:tc>
          <w:tcPr>
            <w:tcW w:w="646" w:type="dxa"/>
            <w:tcBorders>
              <w:top w:val="nil"/>
              <w:left w:val="nil"/>
              <w:bottom w:val="nil"/>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 </w:t>
            </w:r>
          </w:p>
        </w:tc>
        <w:tc>
          <w:tcPr>
            <w:tcW w:w="674" w:type="dxa"/>
            <w:tcBorders>
              <w:top w:val="nil"/>
              <w:left w:val="nil"/>
              <w:bottom w:val="nil"/>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 </w:t>
            </w:r>
          </w:p>
        </w:tc>
        <w:tc>
          <w:tcPr>
            <w:tcW w:w="675" w:type="dxa"/>
            <w:tcBorders>
              <w:top w:val="nil"/>
              <w:left w:val="nil"/>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 </w:t>
            </w:r>
          </w:p>
        </w:tc>
        <w:tc>
          <w:tcPr>
            <w:tcW w:w="689" w:type="dxa"/>
            <w:tcBorders>
              <w:top w:val="nil"/>
              <w:left w:val="nil"/>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 </w:t>
            </w:r>
          </w:p>
        </w:tc>
        <w:tc>
          <w:tcPr>
            <w:tcW w:w="732" w:type="dxa"/>
            <w:tcBorders>
              <w:top w:val="nil"/>
              <w:left w:val="nil"/>
              <w:bottom w:val="nil"/>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 </w:t>
            </w:r>
          </w:p>
        </w:tc>
        <w:tc>
          <w:tcPr>
            <w:tcW w:w="758" w:type="dxa"/>
            <w:tcBorders>
              <w:top w:val="nil"/>
              <w:left w:val="nil"/>
              <w:bottom w:val="nil"/>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 </w:t>
            </w:r>
          </w:p>
        </w:tc>
        <w:tc>
          <w:tcPr>
            <w:tcW w:w="755" w:type="dxa"/>
            <w:tcBorders>
              <w:top w:val="nil"/>
              <w:left w:val="nil"/>
              <w:bottom w:val="nil"/>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 </w:t>
            </w:r>
          </w:p>
        </w:tc>
        <w:tc>
          <w:tcPr>
            <w:tcW w:w="782" w:type="dxa"/>
            <w:tcBorders>
              <w:top w:val="nil"/>
              <w:left w:val="nil"/>
              <w:bottom w:val="nil"/>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 </w:t>
            </w:r>
          </w:p>
        </w:tc>
        <w:tc>
          <w:tcPr>
            <w:tcW w:w="721" w:type="dxa"/>
            <w:tcBorders>
              <w:top w:val="nil"/>
              <w:left w:val="nil"/>
              <w:bottom w:val="nil"/>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 </w:t>
            </w:r>
          </w:p>
        </w:tc>
      </w:tr>
      <w:tr w:rsidR="00705F07">
        <w:trPr>
          <w:trHeight w:val="165"/>
          <w:jc w:val="center"/>
        </w:trPr>
        <w:tc>
          <w:tcPr>
            <w:tcW w:w="1257" w:type="dxa"/>
            <w:tcBorders>
              <w:top w:val="nil"/>
              <w:left w:val="single" w:sz="4" w:space="0" w:color="auto"/>
              <w:bottom w:val="single" w:sz="4" w:space="0" w:color="auto"/>
              <w:right w:val="nil"/>
            </w:tcBorders>
            <w:vAlign w:val="center"/>
            <w:hideMark/>
          </w:tcPr>
          <w:p w:rsidR="00705F07" w:rsidRDefault="00185A37">
            <w:pPr>
              <w:jc w:val="center"/>
              <w:rPr>
                <w:color w:val="000000"/>
                <w:sz w:val="12"/>
                <w:szCs w:val="12"/>
              </w:rPr>
            </w:pPr>
            <w:r>
              <w:rPr>
                <w:color w:val="000000"/>
                <w:sz w:val="12"/>
                <w:szCs w:val="12"/>
              </w:rPr>
              <w:t xml:space="preserve">         продажу</w:t>
            </w:r>
          </w:p>
        </w:tc>
        <w:tc>
          <w:tcPr>
            <w:tcW w:w="606"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37,9239</w:t>
            </w:r>
          </w:p>
        </w:tc>
        <w:tc>
          <w:tcPr>
            <w:tcW w:w="606"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38,1616</w:t>
            </w:r>
          </w:p>
        </w:tc>
        <w:tc>
          <w:tcPr>
            <w:tcW w:w="703"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38,9454</w:t>
            </w:r>
          </w:p>
        </w:tc>
        <w:tc>
          <w:tcPr>
            <w:tcW w:w="646"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39,4517</w:t>
            </w:r>
          </w:p>
        </w:tc>
        <w:tc>
          <w:tcPr>
            <w:tcW w:w="674"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39,9369</w:t>
            </w:r>
          </w:p>
        </w:tc>
        <w:tc>
          <w:tcPr>
            <w:tcW w:w="67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40,4704</w:t>
            </w:r>
          </w:p>
        </w:tc>
        <w:tc>
          <w:tcPr>
            <w:tcW w:w="689"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41,0561</w:t>
            </w:r>
          </w:p>
        </w:tc>
        <w:tc>
          <w:tcPr>
            <w:tcW w:w="732"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41,2051</w:t>
            </w:r>
          </w:p>
        </w:tc>
        <w:tc>
          <w:tcPr>
            <w:tcW w:w="758"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41,2522</w:t>
            </w:r>
          </w:p>
        </w:tc>
        <w:tc>
          <w:tcPr>
            <w:tcW w:w="755"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41,2371</w:t>
            </w:r>
          </w:p>
        </w:tc>
        <w:tc>
          <w:tcPr>
            <w:tcW w:w="782"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41,3882</w:t>
            </w:r>
          </w:p>
        </w:tc>
        <w:tc>
          <w:tcPr>
            <w:tcW w:w="721"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41,8072</w:t>
            </w:r>
          </w:p>
        </w:tc>
      </w:tr>
      <w:tr w:rsidR="00705F07">
        <w:trPr>
          <w:trHeight w:val="165"/>
          <w:jc w:val="center"/>
        </w:trPr>
        <w:tc>
          <w:tcPr>
            <w:tcW w:w="1257" w:type="dxa"/>
            <w:tcBorders>
              <w:top w:val="nil"/>
              <w:left w:val="single" w:sz="4" w:space="0" w:color="auto"/>
              <w:bottom w:val="single" w:sz="4" w:space="0" w:color="auto"/>
              <w:right w:val="nil"/>
            </w:tcBorders>
            <w:vAlign w:val="center"/>
            <w:hideMark/>
          </w:tcPr>
          <w:p w:rsidR="00705F07" w:rsidRDefault="00185A37">
            <w:pPr>
              <w:jc w:val="center"/>
              <w:rPr>
                <w:color w:val="000000"/>
                <w:sz w:val="12"/>
                <w:szCs w:val="12"/>
              </w:rPr>
            </w:pPr>
            <w:r>
              <w:rPr>
                <w:color w:val="000000"/>
                <w:sz w:val="12"/>
                <w:szCs w:val="12"/>
              </w:rPr>
              <w:t xml:space="preserve">         купівлі</w:t>
            </w:r>
          </w:p>
        </w:tc>
        <w:tc>
          <w:tcPr>
            <w:tcW w:w="606"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37,5638</w:t>
            </w:r>
          </w:p>
        </w:tc>
        <w:tc>
          <w:tcPr>
            <w:tcW w:w="60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38,0699</w:t>
            </w:r>
          </w:p>
        </w:tc>
        <w:tc>
          <w:tcPr>
            <w:tcW w:w="703"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38,2984</w:t>
            </w:r>
          </w:p>
        </w:tc>
        <w:tc>
          <w:tcPr>
            <w:tcW w:w="64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38,9485</w:t>
            </w:r>
          </w:p>
        </w:tc>
        <w:tc>
          <w:tcPr>
            <w:tcW w:w="674"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40,1559</w:t>
            </w:r>
          </w:p>
        </w:tc>
        <w:tc>
          <w:tcPr>
            <w:tcW w:w="67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40,5759</w:t>
            </w:r>
          </w:p>
        </w:tc>
        <w:tc>
          <w:tcPr>
            <w:tcW w:w="689"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40,8733</w:t>
            </w:r>
          </w:p>
        </w:tc>
        <w:tc>
          <w:tcPr>
            <w:tcW w:w="732"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41,1649</w:t>
            </w:r>
          </w:p>
        </w:tc>
        <w:tc>
          <w:tcPr>
            <w:tcW w:w="758"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41,2766</w:t>
            </w:r>
          </w:p>
        </w:tc>
        <w:tc>
          <w:tcPr>
            <w:tcW w:w="75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41,2295</w:t>
            </w:r>
          </w:p>
        </w:tc>
        <w:tc>
          <w:tcPr>
            <w:tcW w:w="782"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41,3653</w:t>
            </w:r>
          </w:p>
        </w:tc>
        <w:tc>
          <w:tcPr>
            <w:tcW w:w="721"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41,5625</w:t>
            </w:r>
          </w:p>
        </w:tc>
      </w:tr>
      <w:tr w:rsidR="00705F07">
        <w:trPr>
          <w:trHeight w:val="300"/>
          <w:jc w:val="center"/>
        </w:trPr>
        <w:tc>
          <w:tcPr>
            <w:tcW w:w="1257" w:type="dxa"/>
            <w:tcBorders>
              <w:top w:val="single" w:sz="4" w:space="0" w:color="auto"/>
              <w:left w:val="single" w:sz="4" w:space="0" w:color="auto"/>
              <w:bottom w:val="single" w:sz="4" w:space="0" w:color="auto"/>
              <w:right w:val="single" w:sz="4" w:space="0" w:color="auto"/>
            </w:tcBorders>
            <w:shd w:val="clear" w:color="000000" w:fill="C2D69A"/>
            <w:vAlign w:val="center"/>
            <w:hideMark/>
          </w:tcPr>
          <w:p w:rsidR="00705F07" w:rsidRDefault="00185A37">
            <w:pPr>
              <w:jc w:val="center"/>
              <w:rPr>
                <w:bCs/>
                <w:color w:val="000000"/>
                <w:sz w:val="12"/>
                <w:szCs w:val="12"/>
              </w:rPr>
            </w:pPr>
            <w:r>
              <w:rPr>
                <w:bCs/>
                <w:color w:val="000000"/>
                <w:sz w:val="12"/>
                <w:szCs w:val="12"/>
              </w:rPr>
              <w:t xml:space="preserve">Обсяг операцій банків </w:t>
            </w:r>
            <w:r>
              <w:rPr>
                <w:bCs/>
                <w:color w:val="000000"/>
                <w:sz w:val="12"/>
                <w:szCs w:val="12"/>
              </w:rPr>
              <w:t>на валютному ринку України на умовах «тод», «том», «спот» (без операцій НБУ):</w:t>
            </w:r>
          </w:p>
        </w:tc>
        <w:tc>
          <w:tcPr>
            <w:tcW w:w="606" w:type="dxa"/>
            <w:tcBorders>
              <w:top w:val="single" w:sz="4" w:space="0" w:color="auto"/>
              <w:left w:val="nil"/>
              <w:bottom w:val="single" w:sz="4" w:space="0" w:color="auto"/>
              <w:right w:val="single" w:sz="4" w:space="0" w:color="auto"/>
            </w:tcBorders>
            <w:shd w:val="clear" w:color="000000" w:fill="C2D69A"/>
            <w:vAlign w:val="center"/>
            <w:hideMark/>
          </w:tcPr>
          <w:p w:rsidR="00705F07" w:rsidRDefault="00185A37">
            <w:pPr>
              <w:jc w:val="center"/>
              <w:rPr>
                <w:color w:val="000000"/>
                <w:sz w:val="12"/>
                <w:szCs w:val="12"/>
              </w:rPr>
            </w:pPr>
            <w:r>
              <w:rPr>
                <w:color w:val="000000"/>
                <w:sz w:val="12"/>
                <w:szCs w:val="12"/>
              </w:rPr>
              <w:t> </w:t>
            </w:r>
          </w:p>
        </w:tc>
        <w:tc>
          <w:tcPr>
            <w:tcW w:w="606" w:type="dxa"/>
            <w:tcBorders>
              <w:top w:val="single" w:sz="4" w:space="0" w:color="auto"/>
              <w:left w:val="nil"/>
              <w:bottom w:val="single" w:sz="4" w:space="0" w:color="auto"/>
              <w:right w:val="single" w:sz="4" w:space="0" w:color="auto"/>
            </w:tcBorders>
            <w:shd w:val="clear" w:color="000000" w:fill="C2D69A"/>
            <w:vAlign w:val="center"/>
            <w:hideMark/>
          </w:tcPr>
          <w:p w:rsidR="00705F07" w:rsidRDefault="00185A37">
            <w:pPr>
              <w:jc w:val="center"/>
              <w:rPr>
                <w:color w:val="000000"/>
                <w:sz w:val="12"/>
                <w:szCs w:val="12"/>
              </w:rPr>
            </w:pPr>
            <w:r>
              <w:rPr>
                <w:color w:val="000000"/>
                <w:sz w:val="12"/>
                <w:szCs w:val="12"/>
              </w:rPr>
              <w:t> </w:t>
            </w:r>
          </w:p>
        </w:tc>
        <w:tc>
          <w:tcPr>
            <w:tcW w:w="703" w:type="dxa"/>
            <w:tcBorders>
              <w:top w:val="single" w:sz="4" w:space="0" w:color="auto"/>
              <w:left w:val="nil"/>
              <w:bottom w:val="single" w:sz="4" w:space="0" w:color="auto"/>
              <w:right w:val="single" w:sz="4" w:space="0" w:color="auto"/>
            </w:tcBorders>
            <w:shd w:val="clear" w:color="000000" w:fill="C2D69A"/>
            <w:vAlign w:val="center"/>
            <w:hideMark/>
          </w:tcPr>
          <w:p w:rsidR="00705F07" w:rsidRDefault="00185A37">
            <w:pPr>
              <w:jc w:val="center"/>
              <w:rPr>
                <w:color w:val="000000"/>
                <w:sz w:val="12"/>
                <w:szCs w:val="12"/>
              </w:rPr>
            </w:pPr>
            <w:r>
              <w:rPr>
                <w:color w:val="000000"/>
                <w:sz w:val="12"/>
                <w:szCs w:val="12"/>
              </w:rPr>
              <w:t> </w:t>
            </w:r>
          </w:p>
        </w:tc>
        <w:tc>
          <w:tcPr>
            <w:tcW w:w="646" w:type="dxa"/>
            <w:tcBorders>
              <w:top w:val="single" w:sz="4" w:space="0" w:color="auto"/>
              <w:left w:val="nil"/>
              <w:bottom w:val="single" w:sz="4" w:space="0" w:color="auto"/>
              <w:right w:val="single" w:sz="4" w:space="0" w:color="auto"/>
            </w:tcBorders>
            <w:shd w:val="clear" w:color="000000" w:fill="C2D69A"/>
            <w:vAlign w:val="center"/>
            <w:hideMark/>
          </w:tcPr>
          <w:p w:rsidR="00705F07" w:rsidRDefault="00185A37">
            <w:pPr>
              <w:jc w:val="center"/>
              <w:rPr>
                <w:color w:val="000000"/>
                <w:sz w:val="12"/>
                <w:szCs w:val="12"/>
              </w:rPr>
            </w:pPr>
            <w:r>
              <w:rPr>
                <w:color w:val="000000"/>
                <w:sz w:val="12"/>
                <w:szCs w:val="12"/>
              </w:rPr>
              <w:t> </w:t>
            </w:r>
          </w:p>
        </w:tc>
        <w:tc>
          <w:tcPr>
            <w:tcW w:w="674" w:type="dxa"/>
            <w:tcBorders>
              <w:top w:val="single" w:sz="4" w:space="0" w:color="auto"/>
              <w:left w:val="nil"/>
              <w:bottom w:val="single" w:sz="4" w:space="0" w:color="auto"/>
              <w:right w:val="single" w:sz="4" w:space="0" w:color="auto"/>
            </w:tcBorders>
            <w:shd w:val="clear" w:color="000000" w:fill="C2D69A"/>
            <w:vAlign w:val="center"/>
            <w:hideMark/>
          </w:tcPr>
          <w:p w:rsidR="00705F07" w:rsidRDefault="00185A37">
            <w:pPr>
              <w:jc w:val="center"/>
              <w:rPr>
                <w:color w:val="000000"/>
                <w:sz w:val="12"/>
                <w:szCs w:val="12"/>
              </w:rPr>
            </w:pPr>
            <w:r>
              <w:rPr>
                <w:color w:val="000000"/>
                <w:sz w:val="12"/>
                <w:szCs w:val="12"/>
              </w:rPr>
              <w:t> </w:t>
            </w:r>
          </w:p>
        </w:tc>
        <w:tc>
          <w:tcPr>
            <w:tcW w:w="675" w:type="dxa"/>
            <w:tcBorders>
              <w:top w:val="single" w:sz="4" w:space="0" w:color="auto"/>
              <w:left w:val="nil"/>
              <w:bottom w:val="single" w:sz="4" w:space="0" w:color="auto"/>
              <w:right w:val="single" w:sz="4" w:space="0" w:color="auto"/>
            </w:tcBorders>
            <w:shd w:val="clear" w:color="000000" w:fill="C2D69A"/>
            <w:vAlign w:val="center"/>
            <w:hideMark/>
          </w:tcPr>
          <w:p w:rsidR="00705F07" w:rsidRDefault="00185A37">
            <w:pPr>
              <w:jc w:val="center"/>
              <w:rPr>
                <w:color w:val="000000"/>
                <w:sz w:val="12"/>
                <w:szCs w:val="12"/>
              </w:rPr>
            </w:pPr>
            <w:r>
              <w:rPr>
                <w:color w:val="000000"/>
                <w:sz w:val="12"/>
                <w:szCs w:val="12"/>
              </w:rPr>
              <w:t> </w:t>
            </w:r>
          </w:p>
        </w:tc>
        <w:tc>
          <w:tcPr>
            <w:tcW w:w="689" w:type="dxa"/>
            <w:tcBorders>
              <w:top w:val="single" w:sz="4" w:space="0" w:color="auto"/>
              <w:left w:val="nil"/>
              <w:bottom w:val="single" w:sz="4" w:space="0" w:color="auto"/>
              <w:right w:val="single" w:sz="4" w:space="0" w:color="auto"/>
            </w:tcBorders>
            <w:shd w:val="clear" w:color="000000" w:fill="C2D69A"/>
            <w:vAlign w:val="center"/>
            <w:hideMark/>
          </w:tcPr>
          <w:p w:rsidR="00705F07" w:rsidRDefault="00185A37">
            <w:pPr>
              <w:jc w:val="center"/>
              <w:rPr>
                <w:color w:val="000000"/>
                <w:sz w:val="12"/>
                <w:szCs w:val="12"/>
              </w:rPr>
            </w:pPr>
            <w:r>
              <w:rPr>
                <w:color w:val="000000"/>
                <w:sz w:val="12"/>
                <w:szCs w:val="12"/>
              </w:rPr>
              <w:t> </w:t>
            </w:r>
          </w:p>
        </w:tc>
        <w:tc>
          <w:tcPr>
            <w:tcW w:w="732" w:type="dxa"/>
            <w:tcBorders>
              <w:top w:val="single" w:sz="4" w:space="0" w:color="auto"/>
              <w:left w:val="nil"/>
              <w:bottom w:val="single" w:sz="4" w:space="0" w:color="auto"/>
              <w:right w:val="single" w:sz="4" w:space="0" w:color="auto"/>
            </w:tcBorders>
            <w:shd w:val="clear" w:color="000000" w:fill="C2D69A"/>
            <w:vAlign w:val="center"/>
            <w:hideMark/>
          </w:tcPr>
          <w:p w:rsidR="00705F07" w:rsidRDefault="00185A37">
            <w:pPr>
              <w:jc w:val="center"/>
              <w:rPr>
                <w:color w:val="000000"/>
                <w:sz w:val="12"/>
                <w:szCs w:val="12"/>
              </w:rPr>
            </w:pPr>
            <w:r>
              <w:rPr>
                <w:color w:val="000000"/>
                <w:sz w:val="12"/>
                <w:szCs w:val="12"/>
              </w:rPr>
              <w:t> </w:t>
            </w:r>
          </w:p>
        </w:tc>
        <w:tc>
          <w:tcPr>
            <w:tcW w:w="758" w:type="dxa"/>
            <w:tcBorders>
              <w:top w:val="single" w:sz="4" w:space="0" w:color="auto"/>
              <w:left w:val="nil"/>
              <w:bottom w:val="single" w:sz="4" w:space="0" w:color="auto"/>
              <w:right w:val="single" w:sz="4" w:space="0" w:color="auto"/>
            </w:tcBorders>
            <w:shd w:val="clear" w:color="000000" w:fill="C2D69A"/>
            <w:vAlign w:val="center"/>
            <w:hideMark/>
          </w:tcPr>
          <w:p w:rsidR="00705F07" w:rsidRDefault="00185A37">
            <w:pPr>
              <w:jc w:val="center"/>
              <w:rPr>
                <w:color w:val="000000"/>
                <w:sz w:val="12"/>
                <w:szCs w:val="12"/>
              </w:rPr>
            </w:pPr>
            <w:r>
              <w:rPr>
                <w:color w:val="000000"/>
                <w:sz w:val="12"/>
                <w:szCs w:val="12"/>
              </w:rPr>
              <w:t> </w:t>
            </w:r>
          </w:p>
        </w:tc>
        <w:tc>
          <w:tcPr>
            <w:tcW w:w="755" w:type="dxa"/>
            <w:tcBorders>
              <w:top w:val="single" w:sz="4" w:space="0" w:color="auto"/>
              <w:left w:val="nil"/>
              <w:bottom w:val="single" w:sz="4" w:space="0" w:color="auto"/>
              <w:right w:val="single" w:sz="4" w:space="0" w:color="auto"/>
            </w:tcBorders>
            <w:shd w:val="clear" w:color="000000" w:fill="C2D69A"/>
            <w:vAlign w:val="center"/>
            <w:hideMark/>
          </w:tcPr>
          <w:p w:rsidR="00705F07" w:rsidRDefault="00185A37">
            <w:pPr>
              <w:jc w:val="center"/>
              <w:rPr>
                <w:color w:val="000000"/>
                <w:sz w:val="12"/>
                <w:szCs w:val="12"/>
              </w:rPr>
            </w:pPr>
            <w:r>
              <w:rPr>
                <w:color w:val="000000"/>
                <w:sz w:val="12"/>
                <w:szCs w:val="12"/>
              </w:rPr>
              <w:t> </w:t>
            </w:r>
          </w:p>
        </w:tc>
        <w:tc>
          <w:tcPr>
            <w:tcW w:w="782" w:type="dxa"/>
            <w:tcBorders>
              <w:top w:val="single" w:sz="4" w:space="0" w:color="auto"/>
              <w:left w:val="nil"/>
              <w:bottom w:val="single" w:sz="4" w:space="0" w:color="auto"/>
              <w:right w:val="single" w:sz="4" w:space="0" w:color="auto"/>
            </w:tcBorders>
            <w:shd w:val="clear" w:color="000000" w:fill="C2D69A"/>
            <w:vAlign w:val="center"/>
            <w:hideMark/>
          </w:tcPr>
          <w:p w:rsidR="00705F07" w:rsidRDefault="00185A37">
            <w:pPr>
              <w:jc w:val="center"/>
              <w:rPr>
                <w:color w:val="000000"/>
                <w:sz w:val="12"/>
                <w:szCs w:val="12"/>
              </w:rPr>
            </w:pPr>
            <w:r>
              <w:rPr>
                <w:color w:val="000000"/>
                <w:sz w:val="12"/>
                <w:szCs w:val="12"/>
              </w:rPr>
              <w:t> </w:t>
            </w:r>
          </w:p>
        </w:tc>
        <w:tc>
          <w:tcPr>
            <w:tcW w:w="721" w:type="dxa"/>
            <w:tcBorders>
              <w:top w:val="single" w:sz="4" w:space="0" w:color="auto"/>
              <w:left w:val="nil"/>
              <w:bottom w:val="single" w:sz="4" w:space="0" w:color="auto"/>
              <w:right w:val="single" w:sz="4" w:space="0" w:color="auto"/>
            </w:tcBorders>
            <w:shd w:val="clear" w:color="000000" w:fill="C2D69A"/>
            <w:vAlign w:val="center"/>
            <w:hideMark/>
          </w:tcPr>
          <w:p w:rsidR="00705F07" w:rsidRDefault="00185A37">
            <w:pPr>
              <w:jc w:val="center"/>
              <w:rPr>
                <w:color w:val="000000"/>
                <w:sz w:val="12"/>
                <w:szCs w:val="12"/>
              </w:rPr>
            </w:pPr>
            <w:r>
              <w:rPr>
                <w:color w:val="000000"/>
                <w:sz w:val="12"/>
                <w:szCs w:val="12"/>
              </w:rPr>
              <w:t> </w:t>
            </w:r>
          </w:p>
        </w:tc>
      </w:tr>
      <w:tr w:rsidR="00705F07">
        <w:trPr>
          <w:trHeight w:val="195"/>
          <w:jc w:val="center"/>
        </w:trPr>
        <w:tc>
          <w:tcPr>
            <w:tcW w:w="1257" w:type="dxa"/>
            <w:tcBorders>
              <w:top w:val="nil"/>
              <w:left w:val="single" w:sz="4" w:space="0" w:color="auto"/>
              <w:bottom w:val="single" w:sz="4" w:space="0" w:color="auto"/>
              <w:right w:val="nil"/>
            </w:tcBorders>
            <w:shd w:val="clear" w:color="000000" w:fill="D7E4BC"/>
            <w:vAlign w:val="center"/>
            <w:hideMark/>
          </w:tcPr>
          <w:p w:rsidR="00705F07" w:rsidRDefault="00185A37">
            <w:pPr>
              <w:jc w:val="center"/>
              <w:rPr>
                <w:bCs/>
                <w:color w:val="000000"/>
                <w:sz w:val="12"/>
                <w:szCs w:val="12"/>
              </w:rPr>
            </w:pPr>
            <w:r>
              <w:rPr>
                <w:bCs/>
                <w:color w:val="000000"/>
                <w:sz w:val="12"/>
                <w:szCs w:val="12"/>
              </w:rPr>
              <w:t>із безготівковою іноземною валютою (млн. дол США в еквіваленті):</w:t>
            </w:r>
          </w:p>
        </w:tc>
        <w:tc>
          <w:tcPr>
            <w:tcW w:w="606" w:type="dxa"/>
            <w:tcBorders>
              <w:top w:val="nil"/>
              <w:left w:val="nil"/>
              <w:bottom w:val="single" w:sz="4" w:space="0" w:color="auto"/>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06"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03"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46"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74"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75"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89"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32"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58"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55"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82"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21"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r>
      <w:tr w:rsidR="00705F07">
        <w:trPr>
          <w:trHeight w:val="165"/>
          <w:jc w:val="center"/>
        </w:trPr>
        <w:tc>
          <w:tcPr>
            <w:tcW w:w="1257" w:type="dxa"/>
            <w:tcBorders>
              <w:top w:val="nil"/>
              <w:left w:val="single" w:sz="4" w:space="0" w:color="auto"/>
              <w:bottom w:val="single" w:sz="4" w:space="0" w:color="auto"/>
              <w:right w:val="nil"/>
            </w:tcBorders>
            <w:vAlign w:val="center"/>
            <w:hideMark/>
          </w:tcPr>
          <w:p w:rsidR="00705F07" w:rsidRDefault="00185A37">
            <w:pPr>
              <w:jc w:val="center"/>
              <w:rPr>
                <w:color w:val="000000"/>
                <w:sz w:val="12"/>
                <w:szCs w:val="12"/>
              </w:rPr>
            </w:pPr>
            <w:r>
              <w:rPr>
                <w:color w:val="000000"/>
                <w:sz w:val="12"/>
                <w:szCs w:val="12"/>
              </w:rPr>
              <w:t xml:space="preserve">         продажу</w:t>
            </w:r>
          </w:p>
        </w:tc>
        <w:tc>
          <w:tcPr>
            <w:tcW w:w="606"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1 778,5</w:t>
            </w:r>
          </w:p>
        </w:tc>
        <w:tc>
          <w:tcPr>
            <w:tcW w:w="606"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1 933,7</w:t>
            </w:r>
          </w:p>
        </w:tc>
        <w:tc>
          <w:tcPr>
            <w:tcW w:w="703"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2 536,8</w:t>
            </w:r>
          </w:p>
        </w:tc>
        <w:tc>
          <w:tcPr>
            <w:tcW w:w="646"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2 677,9</w:t>
            </w:r>
          </w:p>
        </w:tc>
        <w:tc>
          <w:tcPr>
            <w:tcW w:w="674"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2 681,8</w:t>
            </w:r>
          </w:p>
        </w:tc>
        <w:tc>
          <w:tcPr>
            <w:tcW w:w="675"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 xml:space="preserve">2 </w:t>
            </w:r>
            <w:r>
              <w:rPr>
                <w:color w:val="000000"/>
                <w:sz w:val="12"/>
                <w:szCs w:val="12"/>
              </w:rPr>
              <w:t>661,5</w:t>
            </w:r>
          </w:p>
        </w:tc>
        <w:tc>
          <w:tcPr>
            <w:tcW w:w="689"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2 698,8</w:t>
            </w:r>
          </w:p>
        </w:tc>
        <w:tc>
          <w:tcPr>
            <w:tcW w:w="732"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1 895,2</w:t>
            </w:r>
          </w:p>
        </w:tc>
        <w:tc>
          <w:tcPr>
            <w:tcW w:w="758"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2 584,3</w:t>
            </w:r>
          </w:p>
        </w:tc>
        <w:tc>
          <w:tcPr>
            <w:tcW w:w="755"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2 778,3</w:t>
            </w:r>
          </w:p>
        </w:tc>
        <w:tc>
          <w:tcPr>
            <w:tcW w:w="782"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2 633,8</w:t>
            </w:r>
          </w:p>
        </w:tc>
        <w:tc>
          <w:tcPr>
            <w:tcW w:w="721"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2 676,1</w:t>
            </w:r>
          </w:p>
        </w:tc>
      </w:tr>
      <w:tr w:rsidR="00705F07">
        <w:trPr>
          <w:trHeight w:val="165"/>
          <w:jc w:val="center"/>
        </w:trPr>
        <w:tc>
          <w:tcPr>
            <w:tcW w:w="1257" w:type="dxa"/>
            <w:tcBorders>
              <w:top w:val="nil"/>
              <w:left w:val="single" w:sz="4" w:space="0" w:color="auto"/>
              <w:bottom w:val="single" w:sz="4" w:space="0" w:color="auto"/>
              <w:right w:val="nil"/>
            </w:tcBorders>
            <w:vAlign w:val="center"/>
            <w:hideMark/>
          </w:tcPr>
          <w:p w:rsidR="00705F07" w:rsidRDefault="00185A37">
            <w:pPr>
              <w:jc w:val="center"/>
              <w:rPr>
                <w:color w:val="000000"/>
                <w:sz w:val="12"/>
                <w:szCs w:val="12"/>
              </w:rPr>
            </w:pPr>
            <w:r>
              <w:rPr>
                <w:color w:val="000000"/>
                <w:sz w:val="12"/>
                <w:szCs w:val="12"/>
              </w:rPr>
              <w:t xml:space="preserve">         купівлі</w:t>
            </w:r>
          </w:p>
        </w:tc>
        <w:tc>
          <w:tcPr>
            <w:tcW w:w="606"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1 778,5</w:t>
            </w:r>
          </w:p>
        </w:tc>
        <w:tc>
          <w:tcPr>
            <w:tcW w:w="60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1 933,7</w:t>
            </w:r>
          </w:p>
        </w:tc>
        <w:tc>
          <w:tcPr>
            <w:tcW w:w="703"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2 536,8</w:t>
            </w:r>
          </w:p>
        </w:tc>
        <w:tc>
          <w:tcPr>
            <w:tcW w:w="64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2 677,9</w:t>
            </w:r>
          </w:p>
        </w:tc>
        <w:tc>
          <w:tcPr>
            <w:tcW w:w="674"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2 681,8</w:t>
            </w:r>
          </w:p>
        </w:tc>
        <w:tc>
          <w:tcPr>
            <w:tcW w:w="67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2 661,5</w:t>
            </w:r>
          </w:p>
        </w:tc>
        <w:tc>
          <w:tcPr>
            <w:tcW w:w="689"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2 698,8</w:t>
            </w:r>
          </w:p>
        </w:tc>
        <w:tc>
          <w:tcPr>
            <w:tcW w:w="732"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1 895,2</w:t>
            </w:r>
          </w:p>
        </w:tc>
        <w:tc>
          <w:tcPr>
            <w:tcW w:w="758"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2 584,3</w:t>
            </w:r>
          </w:p>
        </w:tc>
        <w:tc>
          <w:tcPr>
            <w:tcW w:w="75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2 778,3</w:t>
            </w:r>
          </w:p>
        </w:tc>
        <w:tc>
          <w:tcPr>
            <w:tcW w:w="782"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2 633,8</w:t>
            </w:r>
          </w:p>
        </w:tc>
        <w:tc>
          <w:tcPr>
            <w:tcW w:w="721"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2 676,1</w:t>
            </w:r>
          </w:p>
        </w:tc>
      </w:tr>
      <w:tr w:rsidR="00705F07">
        <w:trPr>
          <w:trHeight w:val="300"/>
          <w:jc w:val="center"/>
        </w:trPr>
        <w:tc>
          <w:tcPr>
            <w:tcW w:w="1257" w:type="dxa"/>
            <w:tcBorders>
              <w:top w:val="nil"/>
              <w:left w:val="single" w:sz="4" w:space="0" w:color="auto"/>
              <w:bottom w:val="nil"/>
              <w:right w:val="single" w:sz="4" w:space="0" w:color="auto"/>
            </w:tcBorders>
            <w:shd w:val="clear" w:color="000000" w:fill="D7E4BC"/>
            <w:vAlign w:val="center"/>
            <w:hideMark/>
          </w:tcPr>
          <w:p w:rsidR="00705F07" w:rsidRDefault="00185A37">
            <w:pPr>
              <w:jc w:val="center"/>
              <w:rPr>
                <w:bCs/>
                <w:color w:val="000000"/>
                <w:sz w:val="12"/>
                <w:szCs w:val="12"/>
              </w:rPr>
            </w:pPr>
            <w:r>
              <w:rPr>
                <w:bCs/>
                <w:color w:val="000000"/>
                <w:sz w:val="12"/>
                <w:szCs w:val="12"/>
              </w:rPr>
              <w:t>інтервенції Національного банку України:</w:t>
            </w:r>
          </w:p>
        </w:tc>
        <w:tc>
          <w:tcPr>
            <w:tcW w:w="606"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06"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03"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46"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74"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75"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89"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32"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58"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55"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82"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21"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r>
      <w:tr w:rsidR="00705F07">
        <w:trPr>
          <w:trHeight w:val="165"/>
          <w:jc w:val="center"/>
        </w:trPr>
        <w:tc>
          <w:tcPr>
            <w:tcW w:w="1257" w:type="dxa"/>
            <w:tcBorders>
              <w:top w:val="single" w:sz="4" w:space="0" w:color="auto"/>
              <w:left w:val="single" w:sz="4" w:space="0" w:color="auto"/>
              <w:bottom w:val="single" w:sz="4" w:space="0" w:color="auto"/>
              <w:right w:val="nil"/>
            </w:tcBorders>
            <w:shd w:val="clear" w:color="000000" w:fill="B6DDE8"/>
            <w:vAlign w:val="center"/>
            <w:hideMark/>
          </w:tcPr>
          <w:p w:rsidR="00705F07" w:rsidRDefault="00185A37">
            <w:pPr>
              <w:jc w:val="center"/>
              <w:rPr>
                <w:color w:val="000000"/>
                <w:sz w:val="12"/>
                <w:szCs w:val="12"/>
              </w:rPr>
            </w:pPr>
            <w:r>
              <w:rPr>
                <w:color w:val="000000"/>
                <w:sz w:val="12"/>
                <w:szCs w:val="12"/>
              </w:rPr>
              <w:t xml:space="preserve">         продажу (млн. дол США в еквіваленті)</w:t>
            </w:r>
          </w:p>
        </w:tc>
        <w:tc>
          <w:tcPr>
            <w:tcW w:w="606" w:type="dxa"/>
            <w:tcBorders>
              <w:top w:val="single" w:sz="4" w:space="0" w:color="auto"/>
              <w:left w:val="single" w:sz="4" w:space="0" w:color="auto"/>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2 549,1</w:t>
            </w:r>
          </w:p>
        </w:tc>
        <w:tc>
          <w:tcPr>
            <w:tcW w:w="606" w:type="dxa"/>
            <w:tcBorders>
              <w:top w:val="single" w:sz="4" w:space="0" w:color="auto"/>
              <w:left w:val="nil"/>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1 540,6</w:t>
            </w:r>
          </w:p>
        </w:tc>
        <w:tc>
          <w:tcPr>
            <w:tcW w:w="703" w:type="dxa"/>
            <w:tcBorders>
              <w:top w:val="single" w:sz="4" w:space="0" w:color="auto"/>
              <w:left w:val="nil"/>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1 813,6</w:t>
            </w:r>
          </w:p>
        </w:tc>
        <w:tc>
          <w:tcPr>
            <w:tcW w:w="646" w:type="dxa"/>
            <w:tcBorders>
              <w:top w:val="single" w:sz="4" w:space="0" w:color="auto"/>
              <w:left w:val="nil"/>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2 313,4</w:t>
            </w:r>
          </w:p>
        </w:tc>
        <w:tc>
          <w:tcPr>
            <w:tcW w:w="674" w:type="dxa"/>
            <w:tcBorders>
              <w:top w:val="single" w:sz="4" w:space="0" w:color="auto"/>
              <w:left w:val="nil"/>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3 083,3</w:t>
            </w:r>
          </w:p>
        </w:tc>
        <w:tc>
          <w:tcPr>
            <w:tcW w:w="675" w:type="dxa"/>
            <w:tcBorders>
              <w:top w:val="single" w:sz="4" w:space="0" w:color="auto"/>
              <w:left w:val="nil"/>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2 986,4</w:t>
            </w:r>
          </w:p>
        </w:tc>
        <w:tc>
          <w:tcPr>
            <w:tcW w:w="689" w:type="dxa"/>
            <w:tcBorders>
              <w:top w:val="single" w:sz="4" w:space="0" w:color="auto"/>
              <w:left w:val="nil"/>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3 317,8</w:t>
            </w:r>
          </w:p>
        </w:tc>
        <w:tc>
          <w:tcPr>
            <w:tcW w:w="732" w:type="dxa"/>
            <w:tcBorders>
              <w:top w:val="single" w:sz="4" w:space="0" w:color="auto"/>
              <w:left w:val="nil"/>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2 679,6</w:t>
            </w:r>
          </w:p>
        </w:tc>
        <w:tc>
          <w:tcPr>
            <w:tcW w:w="758" w:type="dxa"/>
            <w:tcBorders>
              <w:top w:val="single" w:sz="4" w:space="0" w:color="auto"/>
              <w:left w:val="nil"/>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3 213,8</w:t>
            </w:r>
          </w:p>
        </w:tc>
        <w:tc>
          <w:tcPr>
            <w:tcW w:w="755" w:type="dxa"/>
            <w:tcBorders>
              <w:top w:val="single" w:sz="4" w:space="0" w:color="auto"/>
              <w:left w:val="nil"/>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3 429,9</w:t>
            </w:r>
          </w:p>
        </w:tc>
        <w:tc>
          <w:tcPr>
            <w:tcW w:w="782" w:type="dxa"/>
            <w:tcBorders>
              <w:top w:val="single" w:sz="4" w:space="0" w:color="auto"/>
              <w:left w:val="nil"/>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2 736,5</w:t>
            </w:r>
          </w:p>
        </w:tc>
        <w:tc>
          <w:tcPr>
            <w:tcW w:w="721" w:type="dxa"/>
            <w:tcBorders>
              <w:top w:val="single" w:sz="4" w:space="0" w:color="auto"/>
              <w:left w:val="nil"/>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5 284,4</w:t>
            </w:r>
          </w:p>
        </w:tc>
      </w:tr>
      <w:tr w:rsidR="00705F07">
        <w:trPr>
          <w:trHeight w:val="165"/>
          <w:jc w:val="center"/>
        </w:trPr>
        <w:tc>
          <w:tcPr>
            <w:tcW w:w="1257" w:type="dxa"/>
            <w:tcBorders>
              <w:top w:val="nil"/>
              <w:left w:val="single" w:sz="4" w:space="0" w:color="auto"/>
              <w:bottom w:val="single" w:sz="4" w:space="0" w:color="auto"/>
              <w:right w:val="nil"/>
            </w:tcBorders>
            <w:vAlign w:val="center"/>
            <w:hideMark/>
          </w:tcPr>
          <w:p w:rsidR="00705F07" w:rsidRDefault="00185A37">
            <w:pPr>
              <w:jc w:val="center"/>
              <w:rPr>
                <w:color w:val="000000"/>
                <w:sz w:val="12"/>
                <w:szCs w:val="12"/>
              </w:rPr>
            </w:pPr>
            <w:r>
              <w:rPr>
                <w:color w:val="000000"/>
                <w:sz w:val="12"/>
                <w:szCs w:val="12"/>
              </w:rPr>
              <w:t xml:space="preserve">                        - млн долар США</w:t>
            </w:r>
          </w:p>
        </w:tc>
        <w:tc>
          <w:tcPr>
            <w:tcW w:w="606"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2 549,1</w:t>
            </w:r>
          </w:p>
        </w:tc>
        <w:tc>
          <w:tcPr>
            <w:tcW w:w="60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1 540,6</w:t>
            </w:r>
          </w:p>
        </w:tc>
        <w:tc>
          <w:tcPr>
            <w:tcW w:w="703"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1 813,6</w:t>
            </w:r>
          </w:p>
        </w:tc>
        <w:tc>
          <w:tcPr>
            <w:tcW w:w="64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2 313,4</w:t>
            </w:r>
          </w:p>
        </w:tc>
        <w:tc>
          <w:tcPr>
            <w:tcW w:w="674"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3 083,3</w:t>
            </w:r>
          </w:p>
        </w:tc>
        <w:tc>
          <w:tcPr>
            <w:tcW w:w="67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2 986,4</w:t>
            </w:r>
          </w:p>
        </w:tc>
        <w:tc>
          <w:tcPr>
            <w:tcW w:w="689"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3 317,8</w:t>
            </w:r>
          </w:p>
        </w:tc>
        <w:tc>
          <w:tcPr>
            <w:tcW w:w="732"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2 679,6</w:t>
            </w:r>
          </w:p>
        </w:tc>
        <w:tc>
          <w:tcPr>
            <w:tcW w:w="758"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3 213,8</w:t>
            </w:r>
          </w:p>
        </w:tc>
        <w:tc>
          <w:tcPr>
            <w:tcW w:w="75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w:t>
            </w:r>
            <w:r>
              <w:rPr>
                <w:color w:val="000000"/>
                <w:sz w:val="12"/>
                <w:szCs w:val="12"/>
              </w:rPr>
              <w:t xml:space="preserve"> 429,9</w:t>
            </w:r>
          </w:p>
        </w:tc>
        <w:tc>
          <w:tcPr>
            <w:tcW w:w="782"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2 736,5</w:t>
            </w:r>
          </w:p>
        </w:tc>
        <w:tc>
          <w:tcPr>
            <w:tcW w:w="721"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5 284,4</w:t>
            </w:r>
          </w:p>
        </w:tc>
      </w:tr>
      <w:tr w:rsidR="00705F07">
        <w:trPr>
          <w:trHeight w:val="165"/>
          <w:jc w:val="center"/>
        </w:trPr>
        <w:tc>
          <w:tcPr>
            <w:tcW w:w="1257" w:type="dxa"/>
            <w:tcBorders>
              <w:top w:val="nil"/>
              <w:left w:val="single" w:sz="4" w:space="0" w:color="auto"/>
              <w:bottom w:val="single" w:sz="4" w:space="0" w:color="auto"/>
              <w:right w:val="nil"/>
            </w:tcBorders>
            <w:vAlign w:val="center"/>
            <w:hideMark/>
          </w:tcPr>
          <w:p w:rsidR="00705F07" w:rsidRDefault="00185A37">
            <w:pPr>
              <w:jc w:val="center"/>
              <w:rPr>
                <w:color w:val="000000"/>
                <w:sz w:val="12"/>
                <w:szCs w:val="12"/>
              </w:rPr>
            </w:pPr>
            <w:r>
              <w:rPr>
                <w:color w:val="000000"/>
                <w:sz w:val="12"/>
                <w:szCs w:val="12"/>
              </w:rPr>
              <w:t xml:space="preserve">                        - млн євро</w:t>
            </w:r>
          </w:p>
        </w:tc>
        <w:tc>
          <w:tcPr>
            <w:tcW w:w="606"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60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703"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64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674"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67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689"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732"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758"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75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782"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721"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r>
      <w:tr w:rsidR="00705F07">
        <w:trPr>
          <w:trHeight w:val="165"/>
          <w:jc w:val="center"/>
        </w:trPr>
        <w:tc>
          <w:tcPr>
            <w:tcW w:w="1257" w:type="dxa"/>
            <w:tcBorders>
              <w:top w:val="nil"/>
              <w:left w:val="single" w:sz="4" w:space="0" w:color="auto"/>
              <w:bottom w:val="single" w:sz="4" w:space="0" w:color="auto"/>
              <w:right w:val="nil"/>
            </w:tcBorders>
            <w:vAlign w:val="center"/>
            <w:hideMark/>
          </w:tcPr>
          <w:p w:rsidR="00705F07" w:rsidRDefault="00185A37">
            <w:pPr>
              <w:jc w:val="center"/>
              <w:rPr>
                <w:color w:val="000000"/>
                <w:sz w:val="12"/>
                <w:szCs w:val="12"/>
              </w:rPr>
            </w:pPr>
            <w:r>
              <w:rPr>
                <w:color w:val="000000"/>
                <w:sz w:val="12"/>
                <w:szCs w:val="12"/>
              </w:rPr>
              <w:t xml:space="preserve">                        - млн інших валют в доларовому еквіваленті</w:t>
            </w:r>
          </w:p>
        </w:tc>
        <w:tc>
          <w:tcPr>
            <w:tcW w:w="606"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60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703"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64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674"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67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689"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732"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758"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75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782"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721"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r>
      <w:tr w:rsidR="00705F07">
        <w:trPr>
          <w:trHeight w:val="165"/>
          <w:jc w:val="center"/>
        </w:trPr>
        <w:tc>
          <w:tcPr>
            <w:tcW w:w="1257" w:type="dxa"/>
            <w:tcBorders>
              <w:top w:val="nil"/>
              <w:left w:val="single" w:sz="4" w:space="0" w:color="auto"/>
              <w:bottom w:val="single" w:sz="4" w:space="0" w:color="auto"/>
              <w:right w:val="nil"/>
            </w:tcBorders>
            <w:shd w:val="clear" w:color="000000" w:fill="B6DDE8"/>
            <w:vAlign w:val="center"/>
            <w:hideMark/>
          </w:tcPr>
          <w:p w:rsidR="00705F07" w:rsidRDefault="00185A37">
            <w:pPr>
              <w:jc w:val="center"/>
              <w:rPr>
                <w:color w:val="000000"/>
                <w:sz w:val="12"/>
                <w:szCs w:val="12"/>
              </w:rPr>
            </w:pPr>
            <w:r>
              <w:rPr>
                <w:color w:val="000000"/>
                <w:sz w:val="12"/>
                <w:szCs w:val="12"/>
              </w:rPr>
              <w:t xml:space="preserve">         купівлі (млн. дол США в еквіваленті)</w:t>
            </w:r>
          </w:p>
        </w:tc>
        <w:tc>
          <w:tcPr>
            <w:tcW w:w="606" w:type="dxa"/>
            <w:tcBorders>
              <w:top w:val="nil"/>
              <w:left w:val="single" w:sz="4" w:space="0" w:color="auto"/>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16,0</w:t>
            </w:r>
          </w:p>
        </w:tc>
        <w:tc>
          <w:tcPr>
            <w:tcW w:w="606" w:type="dxa"/>
            <w:tcBorders>
              <w:top w:val="nil"/>
              <w:left w:val="nil"/>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31,9</w:t>
            </w:r>
          </w:p>
        </w:tc>
        <w:tc>
          <w:tcPr>
            <w:tcW w:w="703" w:type="dxa"/>
            <w:tcBorders>
              <w:top w:val="nil"/>
              <w:left w:val="nil"/>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25,9</w:t>
            </w:r>
          </w:p>
        </w:tc>
        <w:tc>
          <w:tcPr>
            <w:tcW w:w="646" w:type="dxa"/>
            <w:tcBorders>
              <w:top w:val="nil"/>
              <w:left w:val="nil"/>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30,9</w:t>
            </w:r>
          </w:p>
        </w:tc>
        <w:tc>
          <w:tcPr>
            <w:tcW w:w="674" w:type="dxa"/>
            <w:tcBorders>
              <w:top w:val="nil"/>
              <w:left w:val="nil"/>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11,1</w:t>
            </w:r>
          </w:p>
        </w:tc>
        <w:tc>
          <w:tcPr>
            <w:tcW w:w="675" w:type="dxa"/>
            <w:tcBorders>
              <w:top w:val="nil"/>
              <w:left w:val="nil"/>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0,9</w:t>
            </w:r>
          </w:p>
        </w:tc>
        <w:tc>
          <w:tcPr>
            <w:tcW w:w="689" w:type="dxa"/>
            <w:tcBorders>
              <w:top w:val="nil"/>
              <w:left w:val="nil"/>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1,8</w:t>
            </w:r>
          </w:p>
        </w:tc>
        <w:tc>
          <w:tcPr>
            <w:tcW w:w="732" w:type="dxa"/>
            <w:tcBorders>
              <w:top w:val="nil"/>
              <w:left w:val="nil"/>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0,3</w:t>
            </w:r>
          </w:p>
        </w:tc>
        <w:tc>
          <w:tcPr>
            <w:tcW w:w="758" w:type="dxa"/>
            <w:tcBorders>
              <w:top w:val="nil"/>
              <w:left w:val="nil"/>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0,6</w:t>
            </w:r>
          </w:p>
        </w:tc>
        <w:tc>
          <w:tcPr>
            <w:tcW w:w="755" w:type="dxa"/>
            <w:tcBorders>
              <w:top w:val="nil"/>
              <w:left w:val="nil"/>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2,0</w:t>
            </w:r>
          </w:p>
        </w:tc>
        <w:tc>
          <w:tcPr>
            <w:tcW w:w="782" w:type="dxa"/>
            <w:tcBorders>
              <w:top w:val="nil"/>
              <w:left w:val="nil"/>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4,4</w:t>
            </w:r>
          </w:p>
        </w:tc>
        <w:tc>
          <w:tcPr>
            <w:tcW w:w="721" w:type="dxa"/>
            <w:tcBorders>
              <w:top w:val="nil"/>
              <w:left w:val="nil"/>
              <w:bottom w:val="single" w:sz="4" w:space="0" w:color="auto"/>
              <w:right w:val="single" w:sz="4" w:space="0" w:color="auto"/>
            </w:tcBorders>
            <w:shd w:val="clear" w:color="000000" w:fill="B6DDE8"/>
            <w:vAlign w:val="center"/>
            <w:hideMark/>
          </w:tcPr>
          <w:p w:rsidR="00705F07" w:rsidRDefault="00185A37">
            <w:pPr>
              <w:jc w:val="center"/>
              <w:rPr>
                <w:color w:val="000000"/>
                <w:sz w:val="12"/>
                <w:szCs w:val="12"/>
              </w:rPr>
            </w:pPr>
            <w:r>
              <w:rPr>
                <w:color w:val="000000"/>
                <w:sz w:val="12"/>
                <w:szCs w:val="12"/>
              </w:rPr>
              <w:t>0,4</w:t>
            </w:r>
          </w:p>
        </w:tc>
      </w:tr>
      <w:tr w:rsidR="00705F07">
        <w:trPr>
          <w:trHeight w:val="165"/>
          <w:jc w:val="center"/>
        </w:trPr>
        <w:tc>
          <w:tcPr>
            <w:tcW w:w="1257" w:type="dxa"/>
            <w:tcBorders>
              <w:top w:val="nil"/>
              <w:left w:val="single" w:sz="4" w:space="0" w:color="auto"/>
              <w:bottom w:val="single" w:sz="4" w:space="0" w:color="auto"/>
              <w:right w:val="nil"/>
            </w:tcBorders>
            <w:vAlign w:val="center"/>
            <w:hideMark/>
          </w:tcPr>
          <w:p w:rsidR="00705F07" w:rsidRDefault="00185A37">
            <w:pPr>
              <w:jc w:val="center"/>
              <w:rPr>
                <w:color w:val="000000"/>
                <w:sz w:val="12"/>
                <w:szCs w:val="12"/>
              </w:rPr>
            </w:pPr>
            <w:r>
              <w:rPr>
                <w:color w:val="000000"/>
                <w:sz w:val="12"/>
                <w:szCs w:val="12"/>
              </w:rPr>
              <w:t xml:space="preserve">                        - млн долар США</w:t>
            </w:r>
          </w:p>
        </w:tc>
        <w:tc>
          <w:tcPr>
            <w:tcW w:w="606"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16,0</w:t>
            </w:r>
          </w:p>
        </w:tc>
        <w:tc>
          <w:tcPr>
            <w:tcW w:w="60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31,9</w:t>
            </w:r>
          </w:p>
        </w:tc>
        <w:tc>
          <w:tcPr>
            <w:tcW w:w="703"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25,9</w:t>
            </w:r>
          </w:p>
        </w:tc>
        <w:tc>
          <w:tcPr>
            <w:tcW w:w="64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30,9</w:t>
            </w:r>
          </w:p>
        </w:tc>
        <w:tc>
          <w:tcPr>
            <w:tcW w:w="674"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11,1</w:t>
            </w:r>
          </w:p>
        </w:tc>
        <w:tc>
          <w:tcPr>
            <w:tcW w:w="67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0,9</w:t>
            </w:r>
          </w:p>
        </w:tc>
        <w:tc>
          <w:tcPr>
            <w:tcW w:w="689"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1,8</w:t>
            </w:r>
          </w:p>
        </w:tc>
        <w:tc>
          <w:tcPr>
            <w:tcW w:w="732"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0,3</w:t>
            </w:r>
          </w:p>
        </w:tc>
        <w:tc>
          <w:tcPr>
            <w:tcW w:w="758"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0,6</w:t>
            </w:r>
          </w:p>
        </w:tc>
        <w:tc>
          <w:tcPr>
            <w:tcW w:w="75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2,0</w:t>
            </w:r>
          </w:p>
        </w:tc>
        <w:tc>
          <w:tcPr>
            <w:tcW w:w="782"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4,4</w:t>
            </w:r>
          </w:p>
        </w:tc>
        <w:tc>
          <w:tcPr>
            <w:tcW w:w="721"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0,4</w:t>
            </w:r>
          </w:p>
        </w:tc>
      </w:tr>
      <w:tr w:rsidR="00705F07">
        <w:trPr>
          <w:trHeight w:val="165"/>
          <w:jc w:val="center"/>
        </w:trPr>
        <w:tc>
          <w:tcPr>
            <w:tcW w:w="1257" w:type="dxa"/>
            <w:tcBorders>
              <w:top w:val="nil"/>
              <w:left w:val="single" w:sz="4" w:space="0" w:color="auto"/>
              <w:bottom w:val="single" w:sz="4" w:space="0" w:color="auto"/>
              <w:right w:val="nil"/>
            </w:tcBorders>
            <w:vAlign w:val="center"/>
            <w:hideMark/>
          </w:tcPr>
          <w:p w:rsidR="00705F07" w:rsidRDefault="00185A37">
            <w:pPr>
              <w:jc w:val="center"/>
              <w:rPr>
                <w:color w:val="000000"/>
                <w:sz w:val="12"/>
                <w:szCs w:val="12"/>
              </w:rPr>
            </w:pPr>
            <w:r>
              <w:rPr>
                <w:color w:val="000000"/>
                <w:sz w:val="12"/>
                <w:szCs w:val="12"/>
              </w:rPr>
              <w:t xml:space="preserve">                        - млн євро</w:t>
            </w:r>
          </w:p>
        </w:tc>
        <w:tc>
          <w:tcPr>
            <w:tcW w:w="606"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60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703"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64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674"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67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689"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732"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758"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75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782"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721"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r>
      <w:tr w:rsidR="00705F07">
        <w:trPr>
          <w:trHeight w:val="165"/>
          <w:jc w:val="center"/>
        </w:trPr>
        <w:tc>
          <w:tcPr>
            <w:tcW w:w="1257" w:type="dxa"/>
            <w:tcBorders>
              <w:top w:val="nil"/>
              <w:left w:val="single" w:sz="4" w:space="0" w:color="auto"/>
              <w:bottom w:val="single" w:sz="4" w:space="0" w:color="auto"/>
              <w:right w:val="nil"/>
            </w:tcBorders>
            <w:vAlign w:val="center"/>
            <w:hideMark/>
          </w:tcPr>
          <w:p w:rsidR="00705F07" w:rsidRDefault="00185A37">
            <w:pPr>
              <w:jc w:val="center"/>
              <w:rPr>
                <w:color w:val="000000"/>
                <w:sz w:val="12"/>
                <w:szCs w:val="12"/>
              </w:rPr>
            </w:pPr>
            <w:r>
              <w:rPr>
                <w:color w:val="000000"/>
                <w:sz w:val="12"/>
                <w:szCs w:val="12"/>
              </w:rPr>
              <w:t xml:space="preserve">                        - млн інших валют в доларовому еквіваленті</w:t>
            </w:r>
          </w:p>
        </w:tc>
        <w:tc>
          <w:tcPr>
            <w:tcW w:w="606"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60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703"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64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674"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67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689"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732"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758"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75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782"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c>
          <w:tcPr>
            <w:tcW w:w="721"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0,0</w:t>
            </w:r>
          </w:p>
        </w:tc>
      </w:tr>
      <w:tr w:rsidR="00705F07">
        <w:trPr>
          <w:trHeight w:val="195"/>
          <w:jc w:val="center"/>
        </w:trPr>
        <w:tc>
          <w:tcPr>
            <w:tcW w:w="1257" w:type="dxa"/>
            <w:tcBorders>
              <w:top w:val="single" w:sz="4" w:space="0" w:color="auto"/>
              <w:left w:val="single" w:sz="4" w:space="0" w:color="auto"/>
              <w:bottom w:val="single" w:sz="4" w:space="0" w:color="auto"/>
              <w:right w:val="nil"/>
            </w:tcBorders>
            <w:shd w:val="clear" w:color="000000" w:fill="D7E4BC"/>
            <w:vAlign w:val="center"/>
            <w:hideMark/>
          </w:tcPr>
          <w:p w:rsidR="00705F07" w:rsidRDefault="00185A37">
            <w:pPr>
              <w:jc w:val="center"/>
              <w:rPr>
                <w:bCs/>
                <w:color w:val="000000"/>
                <w:sz w:val="12"/>
                <w:szCs w:val="12"/>
              </w:rPr>
            </w:pPr>
            <w:r>
              <w:rPr>
                <w:bCs/>
                <w:color w:val="000000"/>
                <w:sz w:val="12"/>
                <w:szCs w:val="12"/>
              </w:rPr>
              <w:t>Обсяг операцій з готівковою іноземною валютою, Усього (млн. дол США в еквіваленті):</w:t>
            </w:r>
          </w:p>
        </w:tc>
        <w:tc>
          <w:tcPr>
            <w:tcW w:w="606" w:type="dxa"/>
            <w:tcBorders>
              <w:top w:val="nil"/>
              <w:left w:val="nil"/>
              <w:bottom w:val="single" w:sz="4" w:space="0" w:color="auto"/>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06"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03"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46"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74"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75"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89"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32"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58"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55"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82"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21" w:type="dxa"/>
            <w:tcBorders>
              <w:top w:val="nil"/>
              <w:left w:val="nil"/>
              <w:bottom w:val="nil"/>
              <w:right w:val="single" w:sz="4" w:space="0" w:color="auto"/>
            </w:tcBorders>
            <w:shd w:val="clear" w:color="000000" w:fill="D7E4BC"/>
            <w:vAlign w:val="center"/>
            <w:hideMark/>
          </w:tcPr>
          <w:p w:rsidR="00705F07" w:rsidRDefault="00185A37">
            <w:pPr>
              <w:jc w:val="center"/>
              <w:rPr>
                <w:color w:val="000000"/>
                <w:sz w:val="12"/>
                <w:szCs w:val="12"/>
              </w:rPr>
            </w:pPr>
            <w:r>
              <w:rPr>
                <w:color w:val="000000"/>
                <w:sz w:val="12"/>
                <w:szCs w:val="12"/>
              </w:rPr>
              <w:t> </w:t>
            </w:r>
          </w:p>
        </w:tc>
      </w:tr>
      <w:tr w:rsidR="00705F07">
        <w:trPr>
          <w:trHeight w:val="165"/>
          <w:jc w:val="center"/>
        </w:trPr>
        <w:tc>
          <w:tcPr>
            <w:tcW w:w="1257" w:type="dxa"/>
            <w:tcBorders>
              <w:top w:val="nil"/>
              <w:left w:val="single" w:sz="4" w:space="0" w:color="auto"/>
              <w:bottom w:val="single" w:sz="4" w:space="0" w:color="auto"/>
              <w:right w:val="nil"/>
            </w:tcBorders>
            <w:vAlign w:val="center"/>
            <w:hideMark/>
          </w:tcPr>
          <w:p w:rsidR="00705F07" w:rsidRDefault="00185A37">
            <w:pPr>
              <w:jc w:val="center"/>
              <w:rPr>
                <w:color w:val="000000"/>
                <w:sz w:val="12"/>
                <w:szCs w:val="12"/>
              </w:rPr>
            </w:pPr>
            <w:r>
              <w:rPr>
                <w:color w:val="000000"/>
                <w:sz w:val="12"/>
                <w:szCs w:val="12"/>
              </w:rPr>
              <w:t xml:space="preserve">         продажу</w:t>
            </w:r>
          </w:p>
        </w:tc>
        <w:tc>
          <w:tcPr>
            <w:tcW w:w="606"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1 890,9</w:t>
            </w:r>
          </w:p>
        </w:tc>
        <w:tc>
          <w:tcPr>
            <w:tcW w:w="606"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1 855,1</w:t>
            </w:r>
          </w:p>
        </w:tc>
        <w:tc>
          <w:tcPr>
            <w:tcW w:w="703"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1 783,6</w:t>
            </w:r>
          </w:p>
        </w:tc>
        <w:tc>
          <w:tcPr>
            <w:tcW w:w="646"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1 945,2</w:t>
            </w:r>
          </w:p>
        </w:tc>
        <w:tc>
          <w:tcPr>
            <w:tcW w:w="674"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2 242,7</w:t>
            </w:r>
          </w:p>
        </w:tc>
        <w:tc>
          <w:tcPr>
            <w:tcW w:w="675"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2 075,5</w:t>
            </w:r>
          </w:p>
        </w:tc>
        <w:tc>
          <w:tcPr>
            <w:tcW w:w="689"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2 355,8</w:t>
            </w:r>
          </w:p>
        </w:tc>
        <w:tc>
          <w:tcPr>
            <w:tcW w:w="732"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2 042,0</w:t>
            </w:r>
          </w:p>
        </w:tc>
        <w:tc>
          <w:tcPr>
            <w:tcW w:w="758"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2 266,4</w:t>
            </w:r>
          </w:p>
        </w:tc>
        <w:tc>
          <w:tcPr>
            <w:tcW w:w="755"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2 603,2</w:t>
            </w:r>
          </w:p>
        </w:tc>
        <w:tc>
          <w:tcPr>
            <w:tcW w:w="782"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2 404,6</w:t>
            </w:r>
          </w:p>
        </w:tc>
        <w:tc>
          <w:tcPr>
            <w:tcW w:w="721" w:type="dxa"/>
            <w:tcBorders>
              <w:top w:val="single" w:sz="4" w:space="0" w:color="auto"/>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2 494,3</w:t>
            </w:r>
          </w:p>
        </w:tc>
      </w:tr>
      <w:tr w:rsidR="00705F07">
        <w:trPr>
          <w:trHeight w:val="165"/>
          <w:jc w:val="center"/>
        </w:trPr>
        <w:tc>
          <w:tcPr>
            <w:tcW w:w="1257" w:type="dxa"/>
            <w:tcBorders>
              <w:top w:val="nil"/>
              <w:left w:val="single" w:sz="4" w:space="0" w:color="auto"/>
              <w:bottom w:val="single" w:sz="4" w:space="0" w:color="auto"/>
              <w:right w:val="nil"/>
            </w:tcBorders>
            <w:vAlign w:val="center"/>
            <w:hideMark/>
          </w:tcPr>
          <w:p w:rsidR="00705F07" w:rsidRDefault="00185A37">
            <w:pPr>
              <w:jc w:val="center"/>
              <w:rPr>
                <w:color w:val="000000"/>
                <w:sz w:val="12"/>
                <w:szCs w:val="12"/>
              </w:rPr>
            </w:pPr>
            <w:r>
              <w:rPr>
                <w:color w:val="000000"/>
                <w:sz w:val="12"/>
                <w:szCs w:val="12"/>
              </w:rPr>
              <w:t xml:space="preserve">         купівлі</w:t>
            </w:r>
          </w:p>
        </w:tc>
        <w:tc>
          <w:tcPr>
            <w:tcW w:w="606" w:type="dxa"/>
            <w:tcBorders>
              <w:top w:val="nil"/>
              <w:left w:val="single" w:sz="4" w:space="0" w:color="auto"/>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1 005,8</w:t>
            </w:r>
          </w:p>
        </w:tc>
        <w:tc>
          <w:tcPr>
            <w:tcW w:w="60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1 122,4</w:t>
            </w:r>
          </w:p>
        </w:tc>
        <w:tc>
          <w:tcPr>
            <w:tcW w:w="703"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1 255,4</w:t>
            </w:r>
          </w:p>
        </w:tc>
        <w:tc>
          <w:tcPr>
            <w:tcW w:w="646"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1 276,2</w:t>
            </w:r>
          </w:p>
        </w:tc>
        <w:tc>
          <w:tcPr>
            <w:tcW w:w="674"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1 271,2</w:t>
            </w:r>
          </w:p>
        </w:tc>
        <w:tc>
          <w:tcPr>
            <w:tcW w:w="67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1 191,4</w:t>
            </w:r>
          </w:p>
        </w:tc>
        <w:tc>
          <w:tcPr>
            <w:tcW w:w="689"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1 331,4</w:t>
            </w:r>
          </w:p>
        </w:tc>
        <w:tc>
          <w:tcPr>
            <w:tcW w:w="732"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1 333,6</w:t>
            </w:r>
          </w:p>
        </w:tc>
        <w:tc>
          <w:tcPr>
            <w:tcW w:w="758"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1 270,4</w:t>
            </w:r>
          </w:p>
        </w:tc>
        <w:tc>
          <w:tcPr>
            <w:tcW w:w="755"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1 320,2</w:t>
            </w:r>
          </w:p>
        </w:tc>
        <w:tc>
          <w:tcPr>
            <w:tcW w:w="782"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1 229,1</w:t>
            </w:r>
          </w:p>
        </w:tc>
        <w:tc>
          <w:tcPr>
            <w:tcW w:w="721" w:type="dxa"/>
            <w:tcBorders>
              <w:top w:val="nil"/>
              <w:left w:val="nil"/>
              <w:bottom w:val="single" w:sz="4" w:space="0" w:color="auto"/>
              <w:right w:val="single" w:sz="4" w:space="0" w:color="auto"/>
            </w:tcBorders>
            <w:vAlign w:val="center"/>
            <w:hideMark/>
          </w:tcPr>
          <w:p w:rsidR="00705F07" w:rsidRDefault="00185A37">
            <w:pPr>
              <w:jc w:val="center"/>
              <w:rPr>
                <w:color w:val="000000"/>
                <w:sz w:val="12"/>
                <w:szCs w:val="12"/>
              </w:rPr>
            </w:pPr>
            <w:r>
              <w:rPr>
                <w:color w:val="000000"/>
                <w:sz w:val="12"/>
                <w:szCs w:val="12"/>
              </w:rPr>
              <w:t>1 297,7</w:t>
            </w:r>
          </w:p>
        </w:tc>
      </w:tr>
    </w:tbl>
    <w:p w:rsidR="00705F07" w:rsidRDefault="00185A37">
      <w:pPr>
        <w:spacing w:line="360" w:lineRule="auto"/>
        <w:ind w:firstLine="709"/>
        <w:jc w:val="right"/>
        <w:rPr>
          <w:color w:val="000000"/>
          <w:sz w:val="28"/>
          <w:szCs w:val="28"/>
          <w:lang w:val="uk-UA"/>
        </w:rPr>
      </w:pPr>
      <w:r>
        <w:rPr>
          <w:color w:val="000000"/>
          <w:sz w:val="28"/>
          <w:szCs w:val="28"/>
          <w:lang w:val="uk-UA"/>
        </w:rPr>
        <w:t>Продовження додатку В</w:t>
      </w:r>
    </w:p>
    <w:p w:rsidR="00705F07" w:rsidRDefault="00185A37">
      <w:pPr>
        <w:spacing w:line="360" w:lineRule="auto"/>
        <w:ind w:firstLine="709"/>
        <w:jc w:val="right"/>
        <w:rPr>
          <w:color w:val="000000"/>
          <w:sz w:val="28"/>
          <w:szCs w:val="28"/>
          <w:lang w:val="uk-UA"/>
        </w:rPr>
      </w:pPr>
      <w:r>
        <w:rPr>
          <w:color w:val="000000"/>
          <w:sz w:val="28"/>
          <w:szCs w:val="28"/>
          <w:lang w:val="uk-UA"/>
        </w:rPr>
        <w:t>Продовження табл. В.1</w:t>
      </w:r>
    </w:p>
    <w:tbl>
      <w:tblPr>
        <w:tblW w:w="96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7"/>
        <w:gridCol w:w="606"/>
        <w:gridCol w:w="606"/>
        <w:gridCol w:w="703"/>
        <w:gridCol w:w="646"/>
        <w:gridCol w:w="674"/>
        <w:gridCol w:w="675"/>
        <w:gridCol w:w="689"/>
        <w:gridCol w:w="732"/>
        <w:gridCol w:w="758"/>
        <w:gridCol w:w="755"/>
        <w:gridCol w:w="782"/>
        <w:gridCol w:w="721"/>
      </w:tblGrid>
      <w:tr w:rsidR="00705F07">
        <w:trPr>
          <w:trHeight w:val="165"/>
          <w:jc w:val="center"/>
        </w:trPr>
        <w:tc>
          <w:tcPr>
            <w:tcW w:w="1257" w:type="dxa"/>
            <w:shd w:val="clear" w:color="000000" w:fill="B6DDE8"/>
            <w:vAlign w:val="center"/>
            <w:hideMark/>
          </w:tcPr>
          <w:p w:rsidR="00705F07" w:rsidRDefault="00185A37">
            <w:pPr>
              <w:jc w:val="center"/>
              <w:rPr>
                <w:color w:val="000000"/>
                <w:sz w:val="12"/>
                <w:szCs w:val="12"/>
              </w:rPr>
            </w:pPr>
            <w:r>
              <w:rPr>
                <w:color w:val="000000"/>
                <w:sz w:val="12"/>
                <w:szCs w:val="12"/>
              </w:rPr>
              <w:t>Сальдо (продаж мінус купівля, млн. дол США в еквіваленті)</w:t>
            </w:r>
          </w:p>
        </w:tc>
        <w:tc>
          <w:tcPr>
            <w:tcW w:w="606" w:type="dxa"/>
            <w:shd w:val="clear" w:color="000000" w:fill="B6DDE8"/>
            <w:vAlign w:val="center"/>
            <w:hideMark/>
          </w:tcPr>
          <w:p w:rsidR="00705F07" w:rsidRDefault="00185A37">
            <w:pPr>
              <w:jc w:val="center"/>
              <w:rPr>
                <w:color w:val="000000"/>
                <w:sz w:val="12"/>
                <w:szCs w:val="12"/>
              </w:rPr>
            </w:pPr>
            <w:r>
              <w:rPr>
                <w:color w:val="000000"/>
                <w:sz w:val="12"/>
                <w:szCs w:val="12"/>
              </w:rPr>
              <w:t>885,2</w:t>
            </w:r>
          </w:p>
        </w:tc>
        <w:tc>
          <w:tcPr>
            <w:tcW w:w="606" w:type="dxa"/>
            <w:shd w:val="clear" w:color="000000" w:fill="B6DDE8"/>
            <w:vAlign w:val="center"/>
            <w:hideMark/>
          </w:tcPr>
          <w:p w:rsidR="00705F07" w:rsidRDefault="00185A37">
            <w:pPr>
              <w:jc w:val="center"/>
              <w:rPr>
                <w:color w:val="000000"/>
                <w:sz w:val="12"/>
                <w:szCs w:val="12"/>
              </w:rPr>
            </w:pPr>
            <w:r>
              <w:rPr>
                <w:color w:val="000000"/>
                <w:sz w:val="12"/>
                <w:szCs w:val="12"/>
              </w:rPr>
              <w:t>732,7</w:t>
            </w:r>
          </w:p>
        </w:tc>
        <w:tc>
          <w:tcPr>
            <w:tcW w:w="703" w:type="dxa"/>
            <w:shd w:val="clear" w:color="000000" w:fill="B6DDE8"/>
            <w:vAlign w:val="center"/>
            <w:hideMark/>
          </w:tcPr>
          <w:p w:rsidR="00705F07" w:rsidRDefault="00185A37">
            <w:pPr>
              <w:jc w:val="center"/>
              <w:rPr>
                <w:color w:val="000000"/>
                <w:sz w:val="12"/>
                <w:szCs w:val="12"/>
              </w:rPr>
            </w:pPr>
            <w:r>
              <w:rPr>
                <w:color w:val="000000"/>
                <w:sz w:val="12"/>
                <w:szCs w:val="12"/>
              </w:rPr>
              <w:t>528,1</w:t>
            </w:r>
          </w:p>
        </w:tc>
        <w:tc>
          <w:tcPr>
            <w:tcW w:w="646" w:type="dxa"/>
            <w:shd w:val="clear" w:color="000000" w:fill="B6DDE8"/>
            <w:vAlign w:val="center"/>
            <w:hideMark/>
          </w:tcPr>
          <w:p w:rsidR="00705F07" w:rsidRDefault="00185A37">
            <w:pPr>
              <w:jc w:val="center"/>
              <w:rPr>
                <w:color w:val="000000"/>
                <w:sz w:val="12"/>
                <w:szCs w:val="12"/>
              </w:rPr>
            </w:pPr>
            <w:r>
              <w:rPr>
                <w:color w:val="000000"/>
                <w:sz w:val="12"/>
                <w:szCs w:val="12"/>
              </w:rPr>
              <w:t>669,0</w:t>
            </w:r>
          </w:p>
        </w:tc>
        <w:tc>
          <w:tcPr>
            <w:tcW w:w="674" w:type="dxa"/>
            <w:shd w:val="clear" w:color="000000" w:fill="B6DDE8"/>
            <w:vAlign w:val="center"/>
            <w:hideMark/>
          </w:tcPr>
          <w:p w:rsidR="00705F07" w:rsidRDefault="00185A37">
            <w:pPr>
              <w:jc w:val="center"/>
              <w:rPr>
                <w:color w:val="000000"/>
                <w:sz w:val="12"/>
                <w:szCs w:val="12"/>
              </w:rPr>
            </w:pPr>
            <w:r>
              <w:rPr>
                <w:color w:val="000000"/>
                <w:sz w:val="12"/>
                <w:szCs w:val="12"/>
              </w:rPr>
              <w:t>971,5</w:t>
            </w:r>
          </w:p>
        </w:tc>
        <w:tc>
          <w:tcPr>
            <w:tcW w:w="675" w:type="dxa"/>
            <w:shd w:val="clear" w:color="000000" w:fill="B6DDE8"/>
            <w:vAlign w:val="center"/>
            <w:hideMark/>
          </w:tcPr>
          <w:p w:rsidR="00705F07" w:rsidRDefault="00185A37">
            <w:pPr>
              <w:jc w:val="center"/>
              <w:rPr>
                <w:color w:val="000000"/>
                <w:sz w:val="12"/>
                <w:szCs w:val="12"/>
              </w:rPr>
            </w:pPr>
            <w:r>
              <w:rPr>
                <w:color w:val="000000"/>
                <w:sz w:val="12"/>
                <w:szCs w:val="12"/>
              </w:rPr>
              <w:t>884,1</w:t>
            </w:r>
          </w:p>
        </w:tc>
        <w:tc>
          <w:tcPr>
            <w:tcW w:w="689" w:type="dxa"/>
            <w:shd w:val="clear" w:color="000000" w:fill="B6DDE8"/>
            <w:vAlign w:val="center"/>
            <w:hideMark/>
          </w:tcPr>
          <w:p w:rsidR="00705F07" w:rsidRDefault="00185A37">
            <w:pPr>
              <w:jc w:val="center"/>
              <w:rPr>
                <w:color w:val="000000"/>
                <w:sz w:val="12"/>
                <w:szCs w:val="12"/>
              </w:rPr>
            </w:pPr>
            <w:r>
              <w:rPr>
                <w:color w:val="000000"/>
                <w:sz w:val="12"/>
                <w:szCs w:val="12"/>
              </w:rPr>
              <w:t>1 024,4</w:t>
            </w:r>
          </w:p>
        </w:tc>
        <w:tc>
          <w:tcPr>
            <w:tcW w:w="732" w:type="dxa"/>
            <w:shd w:val="clear" w:color="000000" w:fill="B6DDE8"/>
            <w:vAlign w:val="center"/>
            <w:hideMark/>
          </w:tcPr>
          <w:p w:rsidR="00705F07" w:rsidRDefault="00185A37">
            <w:pPr>
              <w:jc w:val="center"/>
              <w:rPr>
                <w:color w:val="000000"/>
                <w:sz w:val="12"/>
                <w:szCs w:val="12"/>
              </w:rPr>
            </w:pPr>
            <w:r>
              <w:rPr>
                <w:color w:val="000000"/>
                <w:sz w:val="12"/>
                <w:szCs w:val="12"/>
              </w:rPr>
              <w:t>708,4</w:t>
            </w:r>
          </w:p>
        </w:tc>
        <w:tc>
          <w:tcPr>
            <w:tcW w:w="758" w:type="dxa"/>
            <w:shd w:val="clear" w:color="000000" w:fill="B6DDE8"/>
            <w:vAlign w:val="center"/>
            <w:hideMark/>
          </w:tcPr>
          <w:p w:rsidR="00705F07" w:rsidRDefault="00185A37">
            <w:pPr>
              <w:jc w:val="center"/>
              <w:rPr>
                <w:color w:val="000000"/>
                <w:sz w:val="12"/>
                <w:szCs w:val="12"/>
              </w:rPr>
            </w:pPr>
            <w:r>
              <w:rPr>
                <w:color w:val="000000"/>
                <w:sz w:val="12"/>
                <w:szCs w:val="12"/>
              </w:rPr>
              <w:t>996,1</w:t>
            </w:r>
          </w:p>
        </w:tc>
        <w:tc>
          <w:tcPr>
            <w:tcW w:w="755" w:type="dxa"/>
            <w:shd w:val="clear" w:color="000000" w:fill="B6DDE8"/>
            <w:vAlign w:val="center"/>
            <w:hideMark/>
          </w:tcPr>
          <w:p w:rsidR="00705F07" w:rsidRDefault="00185A37">
            <w:pPr>
              <w:jc w:val="center"/>
              <w:rPr>
                <w:color w:val="000000"/>
                <w:sz w:val="12"/>
                <w:szCs w:val="12"/>
              </w:rPr>
            </w:pPr>
            <w:r>
              <w:rPr>
                <w:color w:val="000000"/>
                <w:sz w:val="12"/>
                <w:szCs w:val="12"/>
              </w:rPr>
              <w:t>1 283,0</w:t>
            </w:r>
          </w:p>
        </w:tc>
        <w:tc>
          <w:tcPr>
            <w:tcW w:w="782" w:type="dxa"/>
            <w:shd w:val="clear" w:color="000000" w:fill="B6DDE8"/>
            <w:vAlign w:val="center"/>
            <w:hideMark/>
          </w:tcPr>
          <w:p w:rsidR="00705F07" w:rsidRDefault="00185A37">
            <w:pPr>
              <w:jc w:val="center"/>
              <w:rPr>
                <w:color w:val="000000"/>
                <w:sz w:val="12"/>
                <w:szCs w:val="12"/>
              </w:rPr>
            </w:pPr>
            <w:r>
              <w:rPr>
                <w:color w:val="000000"/>
                <w:sz w:val="12"/>
                <w:szCs w:val="12"/>
              </w:rPr>
              <w:t>1 175,6</w:t>
            </w:r>
          </w:p>
        </w:tc>
        <w:tc>
          <w:tcPr>
            <w:tcW w:w="721" w:type="dxa"/>
            <w:shd w:val="clear" w:color="000000" w:fill="B6DDE8"/>
            <w:vAlign w:val="center"/>
            <w:hideMark/>
          </w:tcPr>
          <w:p w:rsidR="00705F07" w:rsidRDefault="00185A37">
            <w:pPr>
              <w:jc w:val="center"/>
              <w:rPr>
                <w:color w:val="000000"/>
                <w:sz w:val="12"/>
                <w:szCs w:val="12"/>
              </w:rPr>
            </w:pPr>
            <w:r>
              <w:rPr>
                <w:color w:val="000000"/>
                <w:sz w:val="12"/>
                <w:szCs w:val="12"/>
              </w:rPr>
              <w:t>1 196,5</w:t>
            </w:r>
          </w:p>
        </w:tc>
      </w:tr>
      <w:tr w:rsidR="00705F07">
        <w:trPr>
          <w:trHeight w:val="165"/>
          <w:jc w:val="center"/>
        </w:trPr>
        <w:tc>
          <w:tcPr>
            <w:tcW w:w="1257" w:type="dxa"/>
            <w:vAlign w:val="center"/>
            <w:hideMark/>
          </w:tcPr>
          <w:p w:rsidR="00705F07" w:rsidRDefault="00185A37">
            <w:pPr>
              <w:jc w:val="center"/>
              <w:rPr>
                <w:color w:val="000000"/>
                <w:sz w:val="12"/>
                <w:szCs w:val="12"/>
              </w:rPr>
            </w:pPr>
            <w:r>
              <w:rPr>
                <w:color w:val="000000"/>
                <w:sz w:val="12"/>
                <w:szCs w:val="12"/>
              </w:rPr>
              <w:t xml:space="preserve">         продажу (млн. дол США)</w:t>
            </w:r>
          </w:p>
        </w:tc>
        <w:tc>
          <w:tcPr>
            <w:tcW w:w="606" w:type="dxa"/>
            <w:vAlign w:val="center"/>
            <w:hideMark/>
          </w:tcPr>
          <w:p w:rsidR="00705F07" w:rsidRDefault="00185A37">
            <w:pPr>
              <w:jc w:val="center"/>
              <w:rPr>
                <w:color w:val="000000"/>
                <w:sz w:val="12"/>
                <w:szCs w:val="12"/>
              </w:rPr>
            </w:pPr>
            <w:r>
              <w:rPr>
                <w:color w:val="000000"/>
                <w:sz w:val="12"/>
                <w:szCs w:val="12"/>
              </w:rPr>
              <w:t>1 481,1</w:t>
            </w:r>
          </w:p>
        </w:tc>
        <w:tc>
          <w:tcPr>
            <w:tcW w:w="606" w:type="dxa"/>
            <w:vAlign w:val="center"/>
            <w:hideMark/>
          </w:tcPr>
          <w:p w:rsidR="00705F07" w:rsidRDefault="00185A37">
            <w:pPr>
              <w:jc w:val="center"/>
              <w:rPr>
                <w:color w:val="000000"/>
                <w:sz w:val="12"/>
                <w:szCs w:val="12"/>
              </w:rPr>
            </w:pPr>
            <w:r>
              <w:rPr>
                <w:color w:val="000000"/>
                <w:sz w:val="12"/>
                <w:szCs w:val="12"/>
              </w:rPr>
              <w:t>1 366,5</w:t>
            </w:r>
          </w:p>
        </w:tc>
        <w:tc>
          <w:tcPr>
            <w:tcW w:w="703" w:type="dxa"/>
            <w:vAlign w:val="center"/>
            <w:hideMark/>
          </w:tcPr>
          <w:p w:rsidR="00705F07" w:rsidRDefault="00185A37">
            <w:pPr>
              <w:jc w:val="center"/>
              <w:rPr>
                <w:color w:val="000000"/>
                <w:sz w:val="12"/>
                <w:szCs w:val="12"/>
              </w:rPr>
            </w:pPr>
            <w:r>
              <w:rPr>
                <w:color w:val="000000"/>
                <w:sz w:val="12"/>
                <w:szCs w:val="12"/>
              </w:rPr>
              <w:t>1 294,0</w:t>
            </w:r>
          </w:p>
        </w:tc>
        <w:tc>
          <w:tcPr>
            <w:tcW w:w="646" w:type="dxa"/>
            <w:vAlign w:val="center"/>
            <w:hideMark/>
          </w:tcPr>
          <w:p w:rsidR="00705F07" w:rsidRDefault="00185A37">
            <w:pPr>
              <w:jc w:val="center"/>
              <w:rPr>
                <w:color w:val="000000"/>
                <w:sz w:val="12"/>
                <w:szCs w:val="12"/>
              </w:rPr>
            </w:pPr>
            <w:r>
              <w:rPr>
                <w:color w:val="000000"/>
                <w:sz w:val="12"/>
                <w:szCs w:val="12"/>
              </w:rPr>
              <w:t>1 314,5</w:t>
            </w:r>
          </w:p>
        </w:tc>
        <w:tc>
          <w:tcPr>
            <w:tcW w:w="674" w:type="dxa"/>
            <w:vAlign w:val="center"/>
            <w:hideMark/>
          </w:tcPr>
          <w:p w:rsidR="00705F07" w:rsidRDefault="00185A37">
            <w:pPr>
              <w:jc w:val="center"/>
              <w:rPr>
                <w:color w:val="000000"/>
                <w:sz w:val="12"/>
                <w:szCs w:val="12"/>
              </w:rPr>
            </w:pPr>
            <w:r>
              <w:rPr>
                <w:color w:val="000000"/>
                <w:sz w:val="12"/>
                <w:szCs w:val="12"/>
              </w:rPr>
              <w:t>1 598,5</w:t>
            </w:r>
          </w:p>
        </w:tc>
        <w:tc>
          <w:tcPr>
            <w:tcW w:w="675" w:type="dxa"/>
            <w:vAlign w:val="center"/>
            <w:hideMark/>
          </w:tcPr>
          <w:p w:rsidR="00705F07" w:rsidRDefault="00185A37">
            <w:pPr>
              <w:jc w:val="center"/>
              <w:rPr>
                <w:color w:val="000000"/>
                <w:sz w:val="12"/>
                <w:szCs w:val="12"/>
              </w:rPr>
            </w:pPr>
            <w:r>
              <w:rPr>
                <w:color w:val="000000"/>
                <w:sz w:val="12"/>
                <w:szCs w:val="12"/>
              </w:rPr>
              <w:t>1 457,8</w:t>
            </w:r>
          </w:p>
        </w:tc>
        <w:tc>
          <w:tcPr>
            <w:tcW w:w="689" w:type="dxa"/>
            <w:vAlign w:val="center"/>
            <w:hideMark/>
          </w:tcPr>
          <w:p w:rsidR="00705F07" w:rsidRDefault="00185A37">
            <w:pPr>
              <w:jc w:val="center"/>
              <w:rPr>
                <w:color w:val="000000"/>
                <w:sz w:val="12"/>
                <w:szCs w:val="12"/>
              </w:rPr>
            </w:pPr>
            <w:r>
              <w:rPr>
                <w:color w:val="000000"/>
                <w:sz w:val="12"/>
                <w:szCs w:val="12"/>
              </w:rPr>
              <w:t>1 691,9</w:t>
            </w:r>
          </w:p>
        </w:tc>
        <w:tc>
          <w:tcPr>
            <w:tcW w:w="732" w:type="dxa"/>
            <w:vAlign w:val="center"/>
            <w:hideMark/>
          </w:tcPr>
          <w:p w:rsidR="00705F07" w:rsidRDefault="00185A37">
            <w:pPr>
              <w:jc w:val="center"/>
              <w:rPr>
                <w:color w:val="000000"/>
                <w:sz w:val="12"/>
                <w:szCs w:val="12"/>
              </w:rPr>
            </w:pPr>
            <w:r>
              <w:rPr>
                <w:color w:val="000000"/>
                <w:sz w:val="12"/>
                <w:szCs w:val="12"/>
              </w:rPr>
              <w:t>1 512,1</w:t>
            </w:r>
          </w:p>
        </w:tc>
        <w:tc>
          <w:tcPr>
            <w:tcW w:w="758" w:type="dxa"/>
            <w:vAlign w:val="center"/>
            <w:hideMark/>
          </w:tcPr>
          <w:p w:rsidR="00705F07" w:rsidRDefault="00185A37">
            <w:pPr>
              <w:jc w:val="center"/>
              <w:rPr>
                <w:color w:val="000000"/>
                <w:sz w:val="12"/>
                <w:szCs w:val="12"/>
              </w:rPr>
            </w:pPr>
            <w:r>
              <w:rPr>
                <w:color w:val="000000"/>
                <w:sz w:val="12"/>
                <w:szCs w:val="12"/>
              </w:rPr>
              <w:t>1 698,2</w:t>
            </w:r>
          </w:p>
        </w:tc>
        <w:tc>
          <w:tcPr>
            <w:tcW w:w="755" w:type="dxa"/>
            <w:vAlign w:val="center"/>
            <w:hideMark/>
          </w:tcPr>
          <w:p w:rsidR="00705F07" w:rsidRDefault="00185A37">
            <w:pPr>
              <w:jc w:val="center"/>
              <w:rPr>
                <w:color w:val="000000"/>
                <w:sz w:val="12"/>
                <w:szCs w:val="12"/>
              </w:rPr>
            </w:pPr>
            <w:r>
              <w:rPr>
                <w:color w:val="000000"/>
                <w:sz w:val="12"/>
                <w:szCs w:val="12"/>
              </w:rPr>
              <w:t>1 864,7</w:t>
            </w:r>
          </w:p>
        </w:tc>
        <w:tc>
          <w:tcPr>
            <w:tcW w:w="782" w:type="dxa"/>
            <w:vAlign w:val="center"/>
            <w:hideMark/>
          </w:tcPr>
          <w:p w:rsidR="00705F07" w:rsidRDefault="00185A37">
            <w:pPr>
              <w:jc w:val="center"/>
              <w:rPr>
                <w:color w:val="000000"/>
                <w:sz w:val="12"/>
                <w:szCs w:val="12"/>
              </w:rPr>
            </w:pPr>
            <w:r>
              <w:rPr>
                <w:color w:val="000000"/>
                <w:sz w:val="12"/>
                <w:szCs w:val="12"/>
              </w:rPr>
              <w:t>1 756,0</w:t>
            </w:r>
          </w:p>
        </w:tc>
        <w:tc>
          <w:tcPr>
            <w:tcW w:w="721" w:type="dxa"/>
            <w:vAlign w:val="center"/>
            <w:hideMark/>
          </w:tcPr>
          <w:p w:rsidR="00705F07" w:rsidRDefault="00185A37">
            <w:pPr>
              <w:jc w:val="center"/>
              <w:rPr>
                <w:color w:val="000000"/>
                <w:sz w:val="12"/>
                <w:szCs w:val="12"/>
              </w:rPr>
            </w:pPr>
            <w:r>
              <w:rPr>
                <w:color w:val="000000"/>
                <w:sz w:val="12"/>
                <w:szCs w:val="12"/>
              </w:rPr>
              <w:t>1 827,1</w:t>
            </w:r>
          </w:p>
        </w:tc>
      </w:tr>
      <w:tr w:rsidR="00705F07">
        <w:trPr>
          <w:trHeight w:val="165"/>
          <w:jc w:val="center"/>
        </w:trPr>
        <w:tc>
          <w:tcPr>
            <w:tcW w:w="1257" w:type="dxa"/>
            <w:vAlign w:val="center"/>
            <w:hideMark/>
          </w:tcPr>
          <w:p w:rsidR="00705F07" w:rsidRDefault="00185A37">
            <w:pPr>
              <w:jc w:val="center"/>
              <w:rPr>
                <w:color w:val="000000"/>
                <w:sz w:val="12"/>
                <w:szCs w:val="12"/>
              </w:rPr>
            </w:pPr>
            <w:r>
              <w:rPr>
                <w:color w:val="000000"/>
                <w:sz w:val="12"/>
                <w:szCs w:val="12"/>
              </w:rPr>
              <w:t xml:space="preserve">         купівлі (млн. дол США)</w:t>
            </w:r>
          </w:p>
        </w:tc>
        <w:tc>
          <w:tcPr>
            <w:tcW w:w="606" w:type="dxa"/>
            <w:vAlign w:val="center"/>
            <w:hideMark/>
          </w:tcPr>
          <w:p w:rsidR="00705F07" w:rsidRDefault="00185A37">
            <w:pPr>
              <w:jc w:val="center"/>
              <w:rPr>
                <w:color w:val="000000"/>
                <w:sz w:val="12"/>
                <w:szCs w:val="12"/>
              </w:rPr>
            </w:pPr>
            <w:r>
              <w:rPr>
                <w:color w:val="000000"/>
                <w:sz w:val="12"/>
                <w:szCs w:val="12"/>
              </w:rPr>
              <w:t>747,0</w:t>
            </w:r>
          </w:p>
        </w:tc>
        <w:tc>
          <w:tcPr>
            <w:tcW w:w="606" w:type="dxa"/>
            <w:vAlign w:val="center"/>
            <w:hideMark/>
          </w:tcPr>
          <w:p w:rsidR="00705F07" w:rsidRDefault="00185A37">
            <w:pPr>
              <w:jc w:val="center"/>
              <w:rPr>
                <w:color w:val="000000"/>
                <w:sz w:val="12"/>
                <w:szCs w:val="12"/>
              </w:rPr>
            </w:pPr>
            <w:r>
              <w:rPr>
                <w:color w:val="000000"/>
                <w:sz w:val="12"/>
                <w:szCs w:val="12"/>
              </w:rPr>
              <w:t>849,0</w:t>
            </w:r>
          </w:p>
        </w:tc>
        <w:tc>
          <w:tcPr>
            <w:tcW w:w="703" w:type="dxa"/>
            <w:vAlign w:val="center"/>
            <w:hideMark/>
          </w:tcPr>
          <w:p w:rsidR="00705F07" w:rsidRDefault="00185A37">
            <w:pPr>
              <w:jc w:val="center"/>
              <w:rPr>
                <w:color w:val="000000"/>
                <w:sz w:val="12"/>
                <w:szCs w:val="12"/>
              </w:rPr>
            </w:pPr>
            <w:r>
              <w:rPr>
                <w:color w:val="000000"/>
                <w:sz w:val="12"/>
                <w:szCs w:val="12"/>
              </w:rPr>
              <w:t>949,3</w:t>
            </w:r>
          </w:p>
        </w:tc>
        <w:tc>
          <w:tcPr>
            <w:tcW w:w="646" w:type="dxa"/>
            <w:vAlign w:val="center"/>
            <w:hideMark/>
          </w:tcPr>
          <w:p w:rsidR="00705F07" w:rsidRDefault="00185A37">
            <w:pPr>
              <w:jc w:val="center"/>
              <w:rPr>
                <w:color w:val="000000"/>
                <w:sz w:val="12"/>
                <w:szCs w:val="12"/>
              </w:rPr>
            </w:pPr>
            <w:r>
              <w:rPr>
                <w:color w:val="000000"/>
                <w:sz w:val="12"/>
                <w:szCs w:val="12"/>
              </w:rPr>
              <w:t>955,3</w:t>
            </w:r>
          </w:p>
        </w:tc>
        <w:tc>
          <w:tcPr>
            <w:tcW w:w="674" w:type="dxa"/>
            <w:vAlign w:val="center"/>
            <w:hideMark/>
          </w:tcPr>
          <w:p w:rsidR="00705F07" w:rsidRDefault="00185A37">
            <w:pPr>
              <w:jc w:val="center"/>
              <w:rPr>
                <w:color w:val="000000"/>
                <w:sz w:val="12"/>
                <w:szCs w:val="12"/>
              </w:rPr>
            </w:pPr>
            <w:r>
              <w:rPr>
                <w:color w:val="000000"/>
                <w:sz w:val="12"/>
                <w:szCs w:val="12"/>
              </w:rPr>
              <w:t>943,6</w:t>
            </w:r>
          </w:p>
        </w:tc>
        <w:tc>
          <w:tcPr>
            <w:tcW w:w="675" w:type="dxa"/>
            <w:vAlign w:val="center"/>
            <w:hideMark/>
          </w:tcPr>
          <w:p w:rsidR="00705F07" w:rsidRDefault="00185A37">
            <w:pPr>
              <w:jc w:val="center"/>
              <w:rPr>
                <w:color w:val="000000"/>
                <w:sz w:val="12"/>
                <w:szCs w:val="12"/>
              </w:rPr>
            </w:pPr>
            <w:r>
              <w:rPr>
                <w:color w:val="000000"/>
                <w:sz w:val="12"/>
                <w:szCs w:val="12"/>
              </w:rPr>
              <w:t>892,1</w:t>
            </w:r>
          </w:p>
        </w:tc>
        <w:tc>
          <w:tcPr>
            <w:tcW w:w="689" w:type="dxa"/>
            <w:vAlign w:val="center"/>
            <w:hideMark/>
          </w:tcPr>
          <w:p w:rsidR="00705F07" w:rsidRDefault="00185A37">
            <w:pPr>
              <w:jc w:val="center"/>
              <w:rPr>
                <w:color w:val="000000"/>
                <w:sz w:val="12"/>
                <w:szCs w:val="12"/>
              </w:rPr>
            </w:pPr>
            <w:r>
              <w:rPr>
                <w:color w:val="000000"/>
                <w:sz w:val="12"/>
                <w:szCs w:val="12"/>
              </w:rPr>
              <w:t>980,7</w:t>
            </w:r>
          </w:p>
        </w:tc>
        <w:tc>
          <w:tcPr>
            <w:tcW w:w="732" w:type="dxa"/>
            <w:vAlign w:val="center"/>
            <w:hideMark/>
          </w:tcPr>
          <w:p w:rsidR="00705F07" w:rsidRDefault="00185A37">
            <w:pPr>
              <w:jc w:val="center"/>
              <w:rPr>
                <w:color w:val="000000"/>
                <w:sz w:val="12"/>
                <w:szCs w:val="12"/>
              </w:rPr>
            </w:pPr>
            <w:r>
              <w:rPr>
                <w:color w:val="000000"/>
                <w:sz w:val="12"/>
                <w:szCs w:val="12"/>
              </w:rPr>
              <w:t>957,3</w:t>
            </w:r>
          </w:p>
        </w:tc>
        <w:tc>
          <w:tcPr>
            <w:tcW w:w="758" w:type="dxa"/>
            <w:vAlign w:val="center"/>
            <w:hideMark/>
          </w:tcPr>
          <w:p w:rsidR="00705F07" w:rsidRDefault="00185A37">
            <w:pPr>
              <w:jc w:val="center"/>
              <w:rPr>
                <w:color w:val="000000"/>
                <w:sz w:val="12"/>
                <w:szCs w:val="12"/>
              </w:rPr>
            </w:pPr>
            <w:r>
              <w:rPr>
                <w:color w:val="000000"/>
                <w:sz w:val="12"/>
                <w:szCs w:val="12"/>
              </w:rPr>
              <w:t>949,6</w:t>
            </w:r>
          </w:p>
        </w:tc>
        <w:tc>
          <w:tcPr>
            <w:tcW w:w="755" w:type="dxa"/>
            <w:vAlign w:val="center"/>
            <w:hideMark/>
          </w:tcPr>
          <w:p w:rsidR="00705F07" w:rsidRDefault="00185A37">
            <w:pPr>
              <w:jc w:val="center"/>
              <w:rPr>
                <w:color w:val="000000"/>
                <w:sz w:val="12"/>
                <w:szCs w:val="12"/>
              </w:rPr>
            </w:pPr>
            <w:r>
              <w:rPr>
                <w:color w:val="000000"/>
                <w:sz w:val="12"/>
                <w:szCs w:val="12"/>
              </w:rPr>
              <w:t>999,7</w:t>
            </w:r>
          </w:p>
        </w:tc>
        <w:tc>
          <w:tcPr>
            <w:tcW w:w="782" w:type="dxa"/>
            <w:vAlign w:val="center"/>
            <w:hideMark/>
          </w:tcPr>
          <w:p w:rsidR="00705F07" w:rsidRDefault="00185A37">
            <w:pPr>
              <w:jc w:val="center"/>
              <w:rPr>
                <w:color w:val="000000"/>
                <w:sz w:val="12"/>
                <w:szCs w:val="12"/>
              </w:rPr>
            </w:pPr>
            <w:r>
              <w:rPr>
                <w:color w:val="000000"/>
                <w:sz w:val="12"/>
                <w:szCs w:val="12"/>
              </w:rPr>
              <w:t>938,5</w:t>
            </w:r>
          </w:p>
        </w:tc>
        <w:tc>
          <w:tcPr>
            <w:tcW w:w="721" w:type="dxa"/>
            <w:vAlign w:val="center"/>
            <w:hideMark/>
          </w:tcPr>
          <w:p w:rsidR="00705F07" w:rsidRDefault="00185A37">
            <w:pPr>
              <w:jc w:val="center"/>
              <w:rPr>
                <w:color w:val="000000"/>
                <w:sz w:val="12"/>
                <w:szCs w:val="12"/>
              </w:rPr>
            </w:pPr>
            <w:r>
              <w:rPr>
                <w:color w:val="000000"/>
                <w:sz w:val="12"/>
                <w:szCs w:val="12"/>
              </w:rPr>
              <w:t>989,2</w:t>
            </w:r>
          </w:p>
        </w:tc>
      </w:tr>
      <w:tr w:rsidR="00705F07">
        <w:trPr>
          <w:trHeight w:val="165"/>
          <w:jc w:val="center"/>
        </w:trPr>
        <w:tc>
          <w:tcPr>
            <w:tcW w:w="1257" w:type="dxa"/>
            <w:shd w:val="clear" w:color="000000" w:fill="B6DDE8"/>
            <w:vAlign w:val="center"/>
            <w:hideMark/>
          </w:tcPr>
          <w:p w:rsidR="00705F07" w:rsidRDefault="00185A37">
            <w:pPr>
              <w:jc w:val="center"/>
              <w:rPr>
                <w:color w:val="000000"/>
                <w:sz w:val="12"/>
                <w:szCs w:val="12"/>
              </w:rPr>
            </w:pPr>
            <w:r>
              <w:rPr>
                <w:color w:val="000000"/>
                <w:sz w:val="12"/>
                <w:szCs w:val="12"/>
              </w:rPr>
              <w:t>Сальдо (продаж мінус купівля, млн. дол США)</w:t>
            </w:r>
          </w:p>
        </w:tc>
        <w:tc>
          <w:tcPr>
            <w:tcW w:w="606" w:type="dxa"/>
            <w:shd w:val="clear" w:color="000000" w:fill="B6DDE8"/>
            <w:vAlign w:val="center"/>
            <w:hideMark/>
          </w:tcPr>
          <w:p w:rsidR="00705F07" w:rsidRDefault="00185A37">
            <w:pPr>
              <w:jc w:val="center"/>
              <w:rPr>
                <w:color w:val="000000"/>
                <w:sz w:val="12"/>
                <w:szCs w:val="12"/>
              </w:rPr>
            </w:pPr>
            <w:r>
              <w:rPr>
                <w:color w:val="000000"/>
                <w:sz w:val="12"/>
                <w:szCs w:val="12"/>
              </w:rPr>
              <w:t>734,1</w:t>
            </w:r>
          </w:p>
        </w:tc>
        <w:tc>
          <w:tcPr>
            <w:tcW w:w="606" w:type="dxa"/>
            <w:shd w:val="clear" w:color="000000" w:fill="B6DDE8"/>
            <w:vAlign w:val="center"/>
            <w:hideMark/>
          </w:tcPr>
          <w:p w:rsidR="00705F07" w:rsidRDefault="00185A37">
            <w:pPr>
              <w:jc w:val="center"/>
              <w:rPr>
                <w:color w:val="000000"/>
                <w:sz w:val="12"/>
                <w:szCs w:val="12"/>
              </w:rPr>
            </w:pPr>
            <w:r>
              <w:rPr>
                <w:color w:val="000000"/>
                <w:sz w:val="12"/>
                <w:szCs w:val="12"/>
              </w:rPr>
              <w:t>517,6</w:t>
            </w:r>
          </w:p>
        </w:tc>
        <w:tc>
          <w:tcPr>
            <w:tcW w:w="703" w:type="dxa"/>
            <w:shd w:val="clear" w:color="000000" w:fill="B6DDE8"/>
            <w:vAlign w:val="center"/>
            <w:hideMark/>
          </w:tcPr>
          <w:p w:rsidR="00705F07" w:rsidRDefault="00185A37">
            <w:pPr>
              <w:jc w:val="center"/>
              <w:rPr>
                <w:color w:val="000000"/>
                <w:sz w:val="12"/>
                <w:szCs w:val="12"/>
              </w:rPr>
            </w:pPr>
            <w:r>
              <w:rPr>
                <w:color w:val="000000"/>
                <w:sz w:val="12"/>
                <w:szCs w:val="12"/>
              </w:rPr>
              <w:t>344,7</w:t>
            </w:r>
          </w:p>
        </w:tc>
        <w:tc>
          <w:tcPr>
            <w:tcW w:w="646" w:type="dxa"/>
            <w:shd w:val="clear" w:color="000000" w:fill="B6DDE8"/>
            <w:vAlign w:val="center"/>
            <w:hideMark/>
          </w:tcPr>
          <w:p w:rsidR="00705F07" w:rsidRDefault="00185A37">
            <w:pPr>
              <w:jc w:val="center"/>
              <w:rPr>
                <w:color w:val="000000"/>
                <w:sz w:val="12"/>
                <w:szCs w:val="12"/>
              </w:rPr>
            </w:pPr>
            <w:r>
              <w:rPr>
                <w:color w:val="000000"/>
                <w:sz w:val="12"/>
                <w:szCs w:val="12"/>
              </w:rPr>
              <w:t>359,2</w:t>
            </w:r>
          </w:p>
        </w:tc>
        <w:tc>
          <w:tcPr>
            <w:tcW w:w="674" w:type="dxa"/>
            <w:shd w:val="clear" w:color="000000" w:fill="B6DDE8"/>
            <w:vAlign w:val="center"/>
            <w:hideMark/>
          </w:tcPr>
          <w:p w:rsidR="00705F07" w:rsidRDefault="00185A37">
            <w:pPr>
              <w:jc w:val="center"/>
              <w:rPr>
                <w:color w:val="000000"/>
                <w:sz w:val="12"/>
                <w:szCs w:val="12"/>
              </w:rPr>
            </w:pPr>
            <w:r>
              <w:rPr>
                <w:color w:val="000000"/>
                <w:sz w:val="12"/>
                <w:szCs w:val="12"/>
              </w:rPr>
              <w:t>654,9</w:t>
            </w:r>
          </w:p>
        </w:tc>
        <w:tc>
          <w:tcPr>
            <w:tcW w:w="675" w:type="dxa"/>
            <w:shd w:val="clear" w:color="000000" w:fill="B6DDE8"/>
            <w:vAlign w:val="center"/>
            <w:hideMark/>
          </w:tcPr>
          <w:p w:rsidR="00705F07" w:rsidRDefault="00185A37">
            <w:pPr>
              <w:jc w:val="center"/>
              <w:rPr>
                <w:color w:val="000000"/>
                <w:sz w:val="12"/>
                <w:szCs w:val="12"/>
              </w:rPr>
            </w:pPr>
            <w:r>
              <w:rPr>
                <w:color w:val="000000"/>
                <w:sz w:val="12"/>
                <w:szCs w:val="12"/>
              </w:rPr>
              <w:t>565,6</w:t>
            </w:r>
          </w:p>
        </w:tc>
        <w:tc>
          <w:tcPr>
            <w:tcW w:w="689" w:type="dxa"/>
            <w:shd w:val="clear" w:color="000000" w:fill="B6DDE8"/>
            <w:vAlign w:val="center"/>
            <w:hideMark/>
          </w:tcPr>
          <w:p w:rsidR="00705F07" w:rsidRDefault="00185A37">
            <w:pPr>
              <w:jc w:val="center"/>
              <w:rPr>
                <w:color w:val="000000"/>
                <w:sz w:val="12"/>
                <w:szCs w:val="12"/>
              </w:rPr>
            </w:pPr>
            <w:r>
              <w:rPr>
                <w:color w:val="000000"/>
                <w:sz w:val="12"/>
                <w:szCs w:val="12"/>
              </w:rPr>
              <w:t>711,3</w:t>
            </w:r>
          </w:p>
        </w:tc>
        <w:tc>
          <w:tcPr>
            <w:tcW w:w="732" w:type="dxa"/>
            <w:shd w:val="clear" w:color="000000" w:fill="B6DDE8"/>
            <w:vAlign w:val="center"/>
            <w:hideMark/>
          </w:tcPr>
          <w:p w:rsidR="00705F07" w:rsidRDefault="00185A37">
            <w:pPr>
              <w:jc w:val="center"/>
              <w:rPr>
                <w:color w:val="000000"/>
                <w:sz w:val="12"/>
                <w:szCs w:val="12"/>
              </w:rPr>
            </w:pPr>
            <w:r>
              <w:rPr>
                <w:color w:val="000000"/>
                <w:sz w:val="12"/>
                <w:szCs w:val="12"/>
              </w:rPr>
              <w:t>554,8</w:t>
            </w:r>
          </w:p>
        </w:tc>
        <w:tc>
          <w:tcPr>
            <w:tcW w:w="758" w:type="dxa"/>
            <w:shd w:val="clear" w:color="000000" w:fill="B6DDE8"/>
            <w:vAlign w:val="center"/>
            <w:hideMark/>
          </w:tcPr>
          <w:p w:rsidR="00705F07" w:rsidRDefault="00185A37">
            <w:pPr>
              <w:jc w:val="center"/>
              <w:rPr>
                <w:color w:val="000000"/>
                <w:sz w:val="12"/>
                <w:szCs w:val="12"/>
              </w:rPr>
            </w:pPr>
            <w:r>
              <w:rPr>
                <w:color w:val="000000"/>
                <w:sz w:val="12"/>
                <w:szCs w:val="12"/>
              </w:rPr>
              <w:t>748,6</w:t>
            </w:r>
          </w:p>
        </w:tc>
        <w:tc>
          <w:tcPr>
            <w:tcW w:w="755" w:type="dxa"/>
            <w:shd w:val="clear" w:color="000000" w:fill="B6DDE8"/>
            <w:vAlign w:val="center"/>
            <w:hideMark/>
          </w:tcPr>
          <w:p w:rsidR="00705F07" w:rsidRDefault="00185A37">
            <w:pPr>
              <w:jc w:val="center"/>
              <w:rPr>
                <w:color w:val="000000"/>
                <w:sz w:val="12"/>
                <w:szCs w:val="12"/>
              </w:rPr>
            </w:pPr>
            <w:r>
              <w:rPr>
                <w:color w:val="000000"/>
                <w:sz w:val="12"/>
                <w:szCs w:val="12"/>
              </w:rPr>
              <w:t>865,0</w:t>
            </w:r>
          </w:p>
        </w:tc>
        <w:tc>
          <w:tcPr>
            <w:tcW w:w="782" w:type="dxa"/>
            <w:shd w:val="clear" w:color="000000" w:fill="B6DDE8"/>
            <w:vAlign w:val="center"/>
            <w:hideMark/>
          </w:tcPr>
          <w:p w:rsidR="00705F07" w:rsidRDefault="00185A37">
            <w:pPr>
              <w:jc w:val="center"/>
              <w:rPr>
                <w:color w:val="000000"/>
                <w:sz w:val="12"/>
                <w:szCs w:val="12"/>
              </w:rPr>
            </w:pPr>
            <w:r>
              <w:rPr>
                <w:color w:val="000000"/>
                <w:sz w:val="12"/>
                <w:szCs w:val="12"/>
              </w:rPr>
              <w:t>817,6</w:t>
            </w:r>
          </w:p>
        </w:tc>
        <w:tc>
          <w:tcPr>
            <w:tcW w:w="721" w:type="dxa"/>
            <w:shd w:val="clear" w:color="000000" w:fill="B6DDE8"/>
            <w:vAlign w:val="center"/>
            <w:hideMark/>
          </w:tcPr>
          <w:p w:rsidR="00705F07" w:rsidRDefault="00185A37">
            <w:pPr>
              <w:jc w:val="center"/>
              <w:rPr>
                <w:color w:val="000000"/>
                <w:sz w:val="12"/>
                <w:szCs w:val="12"/>
              </w:rPr>
            </w:pPr>
            <w:r>
              <w:rPr>
                <w:color w:val="000000"/>
                <w:sz w:val="12"/>
                <w:szCs w:val="12"/>
              </w:rPr>
              <w:t>837,9</w:t>
            </w:r>
          </w:p>
        </w:tc>
      </w:tr>
      <w:tr w:rsidR="00705F07">
        <w:trPr>
          <w:trHeight w:val="165"/>
          <w:jc w:val="center"/>
        </w:trPr>
        <w:tc>
          <w:tcPr>
            <w:tcW w:w="1257" w:type="dxa"/>
            <w:vAlign w:val="center"/>
            <w:hideMark/>
          </w:tcPr>
          <w:p w:rsidR="00705F07" w:rsidRDefault="00185A37">
            <w:pPr>
              <w:jc w:val="center"/>
              <w:rPr>
                <w:color w:val="000000"/>
                <w:sz w:val="12"/>
                <w:szCs w:val="12"/>
              </w:rPr>
            </w:pPr>
            <w:r>
              <w:rPr>
                <w:color w:val="000000"/>
                <w:sz w:val="12"/>
                <w:szCs w:val="12"/>
              </w:rPr>
              <w:t xml:space="preserve">         продажу (млн. євро в доларовому еквіваленті)</w:t>
            </w:r>
          </w:p>
        </w:tc>
        <w:tc>
          <w:tcPr>
            <w:tcW w:w="606" w:type="dxa"/>
            <w:vAlign w:val="center"/>
            <w:hideMark/>
          </w:tcPr>
          <w:p w:rsidR="00705F07" w:rsidRDefault="00185A37">
            <w:pPr>
              <w:jc w:val="center"/>
              <w:rPr>
                <w:color w:val="000000"/>
                <w:sz w:val="12"/>
                <w:szCs w:val="12"/>
              </w:rPr>
            </w:pPr>
            <w:r>
              <w:rPr>
                <w:color w:val="000000"/>
                <w:sz w:val="12"/>
                <w:szCs w:val="12"/>
              </w:rPr>
              <w:t>366,5</w:t>
            </w:r>
          </w:p>
        </w:tc>
        <w:tc>
          <w:tcPr>
            <w:tcW w:w="606" w:type="dxa"/>
            <w:vAlign w:val="center"/>
            <w:hideMark/>
          </w:tcPr>
          <w:p w:rsidR="00705F07" w:rsidRDefault="00185A37">
            <w:pPr>
              <w:jc w:val="center"/>
              <w:rPr>
                <w:color w:val="000000"/>
                <w:sz w:val="12"/>
                <w:szCs w:val="12"/>
              </w:rPr>
            </w:pPr>
            <w:r>
              <w:rPr>
                <w:color w:val="000000"/>
                <w:sz w:val="12"/>
                <w:szCs w:val="12"/>
              </w:rPr>
              <w:t>446,9</w:t>
            </w:r>
          </w:p>
        </w:tc>
        <w:tc>
          <w:tcPr>
            <w:tcW w:w="703" w:type="dxa"/>
            <w:vAlign w:val="center"/>
            <w:hideMark/>
          </w:tcPr>
          <w:p w:rsidR="00705F07" w:rsidRDefault="00185A37">
            <w:pPr>
              <w:jc w:val="center"/>
              <w:rPr>
                <w:color w:val="000000"/>
                <w:sz w:val="12"/>
                <w:szCs w:val="12"/>
              </w:rPr>
            </w:pPr>
            <w:r>
              <w:rPr>
                <w:color w:val="000000"/>
                <w:sz w:val="12"/>
                <w:szCs w:val="12"/>
              </w:rPr>
              <w:t>440,4</w:t>
            </w:r>
          </w:p>
        </w:tc>
        <w:tc>
          <w:tcPr>
            <w:tcW w:w="646" w:type="dxa"/>
            <w:vAlign w:val="center"/>
            <w:hideMark/>
          </w:tcPr>
          <w:p w:rsidR="00705F07" w:rsidRDefault="00185A37">
            <w:pPr>
              <w:jc w:val="center"/>
              <w:rPr>
                <w:color w:val="000000"/>
                <w:sz w:val="12"/>
                <w:szCs w:val="12"/>
              </w:rPr>
            </w:pPr>
            <w:r>
              <w:rPr>
                <w:color w:val="000000"/>
                <w:sz w:val="12"/>
                <w:szCs w:val="12"/>
              </w:rPr>
              <w:t>577,7</w:t>
            </w:r>
          </w:p>
        </w:tc>
        <w:tc>
          <w:tcPr>
            <w:tcW w:w="674" w:type="dxa"/>
            <w:vAlign w:val="center"/>
            <w:hideMark/>
          </w:tcPr>
          <w:p w:rsidR="00705F07" w:rsidRDefault="00185A37">
            <w:pPr>
              <w:jc w:val="center"/>
              <w:rPr>
                <w:color w:val="000000"/>
                <w:sz w:val="12"/>
                <w:szCs w:val="12"/>
              </w:rPr>
            </w:pPr>
            <w:r>
              <w:rPr>
                <w:color w:val="000000"/>
                <w:sz w:val="12"/>
                <w:szCs w:val="12"/>
              </w:rPr>
              <w:t>588,8</w:t>
            </w:r>
          </w:p>
        </w:tc>
        <w:tc>
          <w:tcPr>
            <w:tcW w:w="675" w:type="dxa"/>
            <w:vAlign w:val="center"/>
            <w:hideMark/>
          </w:tcPr>
          <w:p w:rsidR="00705F07" w:rsidRDefault="00185A37">
            <w:pPr>
              <w:jc w:val="center"/>
              <w:rPr>
                <w:color w:val="000000"/>
                <w:sz w:val="12"/>
                <w:szCs w:val="12"/>
              </w:rPr>
            </w:pPr>
            <w:r>
              <w:rPr>
                <w:color w:val="000000"/>
                <w:sz w:val="12"/>
                <w:szCs w:val="12"/>
              </w:rPr>
              <w:t>569,0</w:t>
            </w:r>
          </w:p>
        </w:tc>
        <w:tc>
          <w:tcPr>
            <w:tcW w:w="689" w:type="dxa"/>
            <w:vAlign w:val="center"/>
            <w:hideMark/>
          </w:tcPr>
          <w:p w:rsidR="00705F07" w:rsidRDefault="00185A37">
            <w:pPr>
              <w:jc w:val="center"/>
              <w:rPr>
                <w:color w:val="000000"/>
                <w:sz w:val="12"/>
                <w:szCs w:val="12"/>
              </w:rPr>
            </w:pPr>
            <w:r>
              <w:rPr>
                <w:color w:val="000000"/>
                <w:sz w:val="12"/>
                <w:szCs w:val="12"/>
              </w:rPr>
              <w:t>605,5</w:t>
            </w:r>
          </w:p>
        </w:tc>
        <w:tc>
          <w:tcPr>
            <w:tcW w:w="732" w:type="dxa"/>
            <w:vAlign w:val="center"/>
            <w:hideMark/>
          </w:tcPr>
          <w:p w:rsidR="00705F07" w:rsidRDefault="00185A37">
            <w:pPr>
              <w:jc w:val="center"/>
              <w:rPr>
                <w:color w:val="000000"/>
                <w:sz w:val="12"/>
                <w:szCs w:val="12"/>
              </w:rPr>
            </w:pPr>
            <w:r>
              <w:rPr>
                <w:color w:val="000000"/>
                <w:sz w:val="12"/>
                <w:szCs w:val="12"/>
              </w:rPr>
              <w:t>464,4</w:t>
            </w:r>
          </w:p>
        </w:tc>
        <w:tc>
          <w:tcPr>
            <w:tcW w:w="758" w:type="dxa"/>
            <w:vAlign w:val="center"/>
            <w:hideMark/>
          </w:tcPr>
          <w:p w:rsidR="00705F07" w:rsidRDefault="00185A37">
            <w:pPr>
              <w:jc w:val="center"/>
              <w:rPr>
                <w:color w:val="000000"/>
                <w:sz w:val="12"/>
                <w:szCs w:val="12"/>
              </w:rPr>
            </w:pPr>
            <w:r>
              <w:rPr>
                <w:color w:val="000000"/>
                <w:sz w:val="12"/>
                <w:szCs w:val="12"/>
              </w:rPr>
              <w:t>512,7</w:t>
            </w:r>
          </w:p>
        </w:tc>
        <w:tc>
          <w:tcPr>
            <w:tcW w:w="755" w:type="dxa"/>
            <w:vAlign w:val="center"/>
            <w:hideMark/>
          </w:tcPr>
          <w:p w:rsidR="00705F07" w:rsidRDefault="00185A37">
            <w:pPr>
              <w:jc w:val="center"/>
              <w:rPr>
                <w:color w:val="000000"/>
                <w:sz w:val="12"/>
                <w:szCs w:val="12"/>
              </w:rPr>
            </w:pPr>
            <w:r>
              <w:rPr>
                <w:color w:val="000000"/>
                <w:sz w:val="12"/>
                <w:szCs w:val="12"/>
              </w:rPr>
              <w:t>683,7</w:t>
            </w:r>
          </w:p>
        </w:tc>
        <w:tc>
          <w:tcPr>
            <w:tcW w:w="782" w:type="dxa"/>
            <w:vAlign w:val="center"/>
            <w:hideMark/>
          </w:tcPr>
          <w:p w:rsidR="00705F07" w:rsidRDefault="00185A37">
            <w:pPr>
              <w:jc w:val="center"/>
              <w:rPr>
                <w:color w:val="000000"/>
                <w:sz w:val="12"/>
                <w:szCs w:val="12"/>
              </w:rPr>
            </w:pPr>
            <w:r>
              <w:rPr>
                <w:color w:val="000000"/>
                <w:sz w:val="12"/>
                <w:szCs w:val="12"/>
              </w:rPr>
              <w:t>598,5</w:t>
            </w:r>
          </w:p>
        </w:tc>
        <w:tc>
          <w:tcPr>
            <w:tcW w:w="721" w:type="dxa"/>
            <w:vAlign w:val="center"/>
            <w:hideMark/>
          </w:tcPr>
          <w:p w:rsidR="00705F07" w:rsidRDefault="00185A37">
            <w:pPr>
              <w:jc w:val="center"/>
              <w:rPr>
                <w:color w:val="000000"/>
                <w:sz w:val="12"/>
                <w:szCs w:val="12"/>
              </w:rPr>
            </w:pPr>
            <w:r>
              <w:rPr>
                <w:color w:val="000000"/>
                <w:sz w:val="12"/>
                <w:szCs w:val="12"/>
              </w:rPr>
              <w:t>612,7</w:t>
            </w:r>
          </w:p>
        </w:tc>
      </w:tr>
      <w:tr w:rsidR="00705F07">
        <w:trPr>
          <w:trHeight w:val="165"/>
          <w:jc w:val="center"/>
        </w:trPr>
        <w:tc>
          <w:tcPr>
            <w:tcW w:w="1257" w:type="dxa"/>
            <w:vAlign w:val="center"/>
            <w:hideMark/>
          </w:tcPr>
          <w:p w:rsidR="00705F07" w:rsidRDefault="00185A37">
            <w:pPr>
              <w:jc w:val="center"/>
              <w:rPr>
                <w:color w:val="000000"/>
                <w:sz w:val="12"/>
                <w:szCs w:val="12"/>
              </w:rPr>
            </w:pPr>
            <w:r>
              <w:rPr>
                <w:color w:val="000000"/>
                <w:sz w:val="12"/>
                <w:szCs w:val="12"/>
              </w:rPr>
              <w:t xml:space="preserve">         купівлі (млн. євро в доларовому еквіваленті)</w:t>
            </w:r>
          </w:p>
        </w:tc>
        <w:tc>
          <w:tcPr>
            <w:tcW w:w="606" w:type="dxa"/>
            <w:vAlign w:val="center"/>
            <w:hideMark/>
          </w:tcPr>
          <w:p w:rsidR="00705F07" w:rsidRDefault="00185A37">
            <w:pPr>
              <w:jc w:val="center"/>
              <w:rPr>
                <w:color w:val="000000"/>
                <w:sz w:val="12"/>
                <w:szCs w:val="12"/>
              </w:rPr>
            </w:pPr>
            <w:r>
              <w:rPr>
                <w:color w:val="000000"/>
                <w:sz w:val="12"/>
                <w:szCs w:val="12"/>
              </w:rPr>
              <w:t>216,7</w:t>
            </w:r>
          </w:p>
        </w:tc>
        <w:tc>
          <w:tcPr>
            <w:tcW w:w="606" w:type="dxa"/>
            <w:vAlign w:val="center"/>
            <w:hideMark/>
          </w:tcPr>
          <w:p w:rsidR="00705F07" w:rsidRDefault="00185A37">
            <w:pPr>
              <w:jc w:val="center"/>
              <w:rPr>
                <w:color w:val="000000"/>
                <w:sz w:val="12"/>
                <w:szCs w:val="12"/>
              </w:rPr>
            </w:pPr>
            <w:r>
              <w:rPr>
                <w:color w:val="000000"/>
                <w:sz w:val="12"/>
                <w:szCs w:val="12"/>
              </w:rPr>
              <w:t>232,6</w:t>
            </w:r>
          </w:p>
        </w:tc>
        <w:tc>
          <w:tcPr>
            <w:tcW w:w="703" w:type="dxa"/>
            <w:vAlign w:val="center"/>
            <w:hideMark/>
          </w:tcPr>
          <w:p w:rsidR="00705F07" w:rsidRDefault="00185A37">
            <w:pPr>
              <w:jc w:val="center"/>
              <w:rPr>
                <w:color w:val="000000"/>
                <w:sz w:val="12"/>
                <w:szCs w:val="12"/>
              </w:rPr>
            </w:pPr>
            <w:r>
              <w:rPr>
                <w:color w:val="000000"/>
                <w:sz w:val="12"/>
                <w:szCs w:val="12"/>
              </w:rPr>
              <w:t>257,1</w:t>
            </w:r>
          </w:p>
        </w:tc>
        <w:tc>
          <w:tcPr>
            <w:tcW w:w="646" w:type="dxa"/>
            <w:vAlign w:val="center"/>
            <w:hideMark/>
          </w:tcPr>
          <w:p w:rsidR="00705F07" w:rsidRDefault="00185A37">
            <w:pPr>
              <w:jc w:val="center"/>
              <w:rPr>
                <w:color w:val="000000"/>
                <w:sz w:val="12"/>
                <w:szCs w:val="12"/>
              </w:rPr>
            </w:pPr>
            <w:r>
              <w:rPr>
                <w:color w:val="000000"/>
                <w:sz w:val="12"/>
                <w:szCs w:val="12"/>
              </w:rPr>
              <w:t>267,5</w:t>
            </w:r>
          </w:p>
        </w:tc>
        <w:tc>
          <w:tcPr>
            <w:tcW w:w="674" w:type="dxa"/>
            <w:vAlign w:val="center"/>
            <w:hideMark/>
          </w:tcPr>
          <w:p w:rsidR="00705F07" w:rsidRDefault="00185A37">
            <w:pPr>
              <w:jc w:val="center"/>
              <w:rPr>
                <w:color w:val="000000"/>
                <w:sz w:val="12"/>
                <w:szCs w:val="12"/>
              </w:rPr>
            </w:pPr>
            <w:r>
              <w:rPr>
                <w:color w:val="000000"/>
                <w:sz w:val="12"/>
                <w:szCs w:val="12"/>
              </w:rPr>
              <w:t>272,2</w:t>
            </w:r>
          </w:p>
        </w:tc>
        <w:tc>
          <w:tcPr>
            <w:tcW w:w="675" w:type="dxa"/>
            <w:vAlign w:val="center"/>
            <w:hideMark/>
          </w:tcPr>
          <w:p w:rsidR="00705F07" w:rsidRDefault="00185A37">
            <w:pPr>
              <w:jc w:val="center"/>
              <w:rPr>
                <w:color w:val="000000"/>
                <w:sz w:val="12"/>
                <w:szCs w:val="12"/>
              </w:rPr>
            </w:pPr>
            <w:r>
              <w:rPr>
                <w:color w:val="000000"/>
                <w:sz w:val="12"/>
                <w:szCs w:val="12"/>
              </w:rPr>
              <w:t>250,8</w:t>
            </w:r>
          </w:p>
        </w:tc>
        <w:tc>
          <w:tcPr>
            <w:tcW w:w="689" w:type="dxa"/>
            <w:vAlign w:val="center"/>
            <w:hideMark/>
          </w:tcPr>
          <w:p w:rsidR="00705F07" w:rsidRDefault="00185A37">
            <w:pPr>
              <w:jc w:val="center"/>
              <w:rPr>
                <w:color w:val="000000"/>
                <w:sz w:val="12"/>
                <w:szCs w:val="12"/>
              </w:rPr>
            </w:pPr>
            <w:r>
              <w:rPr>
                <w:color w:val="000000"/>
                <w:sz w:val="12"/>
                <w:szCs w:val="12"/>
              </w:rPr>
              <w:t>292,4</w:t>
            </w:r>
          </w:p>
        </w:tc>
        <w:tc>
          <w:tcPr>
            <w:tcW w:w="732" w:type="dxa"/>
            <w:vAlign w:val="center"/>
            <w:hideMark/>
          </w:tcPr>
          <w:p w:rsidR="00705F07" w:rsidRDefault="00185A37">
            <w:pPr>
              <w:jc w:val="center"/>
              <w:rPr>
                <w:color w:val="000000"/>
                <w:sz w:val="12"/>
                <w:szCs w:val="12"/>
              </w:rPr>
            </w:pPr>
            <w:r>
              <w:rPr>
                <w:color w:val="000000"/>
                <w:sz w:val="12"/>
                <w:szCs w:val="12"/>
              </w:rPr>
              <w:t>308,6</w:t>
            </w:r>
          </w:p>
        </w:tc>
        <w:tc>
          <w:tcPr>
            <w:tcW w:w="758" w:type="dxa"/>
            <w:vAlign w:val="center"/>
            <w:hideMark/>
          </w:tcPr>
          <w:p w:rsidR="00705F07" w:rsidRDefault="00185A37">
            <w:pPr>
              <w:jc w:val="center"/>
              <w:rPr>
                <w:color w:val="000000"/>
                <w:sz w:val="12"/>
                <w:szCs w:val="12"/>
              </w:rPr>
            </w:pPr>
            <w:r>
              <w:rPr>
                <w:color w:val="000000"/>
                <w:sz w:val="12"/>
                <w:szCs w:val="12"/>
              </w:rPr>
              <w:t>265,7</w:t>
            </w:r>
          </w:p>
        </w:tc>
        <w:tc>
          <w:tcPr>
            <w:tcW w:w="755" w:type="dxa"/>
            <w:vAlign w:val="center"/>
            <w:hideMark/>
          </w:tcPr>
          <w:p w:rsidR="00705F07" w:rsidRDefault="00185A37">
            <w:pPr>
              <w:jc w:val="center"/>
              <w:rPr>
                <w:color w:val="000000"/>
                <w:sz w:val="12"/>
                <w:szCs w:val="12"/>
              </w:rPr>
            </w:pPr>
            <w:r>
              <w:rPr>
                <w:color w:val="000000"/>
                <w:sz w:val="12"/>
                <w:szCs w:val="12"/>
              </w:rPr>
              <w:t>267,9</w:t>
            </w:r>
          </w:p>
        </w:tc>
        <w:tc>
          <w:tcPr>
            <w:tcW w:w="782" w:type="dxa"/>
            <w:vAlign w:val="center"/>
            <w:hideMark/>
          </w:tcPr>
          <w:p w:rsidR="00705F07" w:rsidRDefault="00185A37">
            <w:pPr>
              <w:jc w:val="center"/>
              <w:rPr>
                <w:color w:val="000000"/>
                <w:sz w:val="12"/>
                <w:szCs w:val="12"/>
              </w:rPr>
            </w:pPr>
            <w:r>
              <w:rPr>
                <w:color w:val="000000"/>
                <w:sz w:val="12"/>
                <w:szCs w:val="12"/>
              </w:rPr>
              <w:t>243,4</w:t>
            </w:r>
          </w:p>
        </w:tc>
        <w:tc>
          <w:tcPr>
            <w:tcW w:w="721" w:type="dxa"/>
            <w:vAlign w:val="center"/>
            <w:hideMark/>
          </w:tcPr>
          <w:p w:rsidR="00705F07" w:rsidRDefault="00185A37">
            <w:pPr>
              <w:jc w:val="center"/>
              <w:rPr>
                <w:color w:val="000000"/>
                <w:sz w:val="12"/>
                <w:szCs w:val="12"/>
              </w:rPr>
            </w:pPr>
            <w:r>
              <w:rPr>
                <w:color w:val="000000"/>
                <w:sz w:val="12"/>
                <w:szCs w:val="12"/>
              </w:rPr>
              <w:t>254,7</w:t>
            </w:r>
          </w:p>
        </w:tc>
      </w:tr>
      <w:tr w:rsidR="00705F07">
        <w:trPr>
          <w:trHeight w:val="165"/>
          <w:jc w:val="center"/>
        </w:trPr>
        <w:tc>
          <w:tcPr>
            <w:tcW w:w="1257" w:type="dxa"/>
            <w:shd w:val="clear" w:color="000000" w:fill="B6DDE8"/>
            <w:vAlign w:val="center"/>
            <w:hideMark/>
          </w:tcPr>
          <w:p w:rsidR="00705F07" w:rsidRDefault="00185A37">
            <w:pPr>
              <w:jc w:val="center"/>
              <w:rPr>
                <w:color w:val="000000"/>
                <w:sz w:val="12"/>
                <w:szCs w:val="12"/>
              </w:rPr>
            </w:pPr>
            <w:r>
              <w:rPr>
                <w:color w:val="000000"/>
                <w:sz w:val="12"/>
                <w:szCs w:val="12"/>
              </w:rPr>
              <w:t>Сальдо (продаж мінус купівля, млн. євро в доларовому еквів.)</w:t>
            </w:r>
          </w:p>
        </w:tc>
        <w:tc>
          <w:tcPr>
            <w:tcW w:w="606" w:type="dxa"/>
            <w:shd w:val="clear" w:color="000000" w:fill="B6DDE8"/>
            <w:vAlign w:val="center"/>
            <w:hideMark/>
          </w:tcPr>
          <w:p w:rsidR="00705F07" w:rsidRDefault="00185A37">
            <w:pPr>
              <w:jc w:val="center"/>
              <w:rPr>
                <w:color w:val="000000"/>
                <w:sz w:val="12"/>
                <w:szCs w:val="12"/>
              </w:rPr>
            </w:pPr>
            <w:r>
              <w:rPr>
                <w:color w:val="000000"/>
                <w:sz w:val="12"/>
                <w:szCs w:val="12"/>
              </w:rPr>
              <w:t>149,8</w:t>
            </w:r>
          </w:p>
        </w:tc>
        <w:tc>
          <w:tcPr>
            <w:tcW w:w="606" w:type="dxa"/>
            <w:shd w:val="clear" w:color="000000" w:fill="B6DDE8"/>
            <w:vAlign w:val="center"/>
            <w:hideMark/>
          </w:tcPr>
          <w:p w:rsidR="00705F07" w:rsidRDefault="00185A37">
            <w:pPr>
              <w:jc w:val="center"/>
              <w:rPr>
                <w:color w:val="000000"/>
                <w:sz w:val="12"/>
                <w:szCs w:val="12"/>
              </w:rPr>
            </w:pPr>
            <w:r>
              <w:rPr>
                <w:color w:val="000000"/>
                <w:sz w:val="12"/>
                <w:szCs w:val="12"/>
              </w:rPr>
              <w:t>214,3</w:t>
            </w:r>
          </w:p>
        </w:tc>
        <w:tc>
          <w:tcPr>
            <w:tcW w:w="703" w:type="dxa"/>
            <w:shd w:val="clear" w:color="000000" w:fill="B6DDE8"/>
            <w:vAlign w:val="center"/>
            <w:hideMark/>
          </w:tcPr>
          <w:p w:rsidR="00705F07" w:rsidRDefault="00185A37">
            <w:pPr>
              <w:jc w:val="center"/>
              <w:rPr>
                <w:color w:val="000000"/>
                <w:sz w:val="12"/>
                <w:szCs w:val="12"/>
              </w:rPr>
            </w:pPr>
            <w:r>
              <w:rPr>
                <w:color w:val="000000"/>
                <w:sz w:val="12"/>
                <w:szCs w:val="12"/>
              </w:rPr>
              <w:t>183,3</w:t>
            </w:r>
          </w:p>
        </w:tc>
        <w:tc>
          <w:tcPr>
            <w:tcW w:w="646" w:type="dxa"/>
            <w:shd w:val="clear" w:color="000000" w:fill="B6DDE8"/>
            <w:vAlign w:val="center"/>
            <w:hideMark/>
          </w:tcPr>
          <w:p w:rsidR="00705F07" w:rsidRDefault="00185A37">
            <w:pPr>
              <w:jc w:val="center"/>
              <w:rPr>
                <w:color w:val="000000"/>
                <w:sz w:val="12"/>
                <w:szCs w:val="12"/>
              </w:rPr>
            </w:pPr>
            <w:r>
              <w:rPr>
                <w:color w:val="000000"/>
                <w:sz w:val="12"/>
                <w:szCs w:val="12"/>
              </w:rPr>
              <w:t>310,2</w:t>
            </w:r>
          </w:p>
        </w:tc>
        <w:tc>
          <w:tcPr>
            <w:tcW w:w="674" w:type="dxa"/>
            <w:shd w:val="clear" w:color="000000" w:fill="B6DDE8"/>
            <w:vAlign w:val="center"/>
            <w:hideMark/>
          </w:tcPr>
          <w:p w:rsidR="00705F07" w:rsidRDefault="00185A37">
            <w:pPr>
              <w:jc w:val="center"/>
              <w:rPr>
                <w:color w:val="000000"/>
                <w:sz w:val="12"/>
                <w:szCs w:val="12"/>
              </w:rPr>
            </w:pPr>
            <w:r>
              <w:rPr>
                <w:color w:val="000000"/>
                <w:sz w:val="12"/>
                <w:szCs w:val="12"/>
              </w:rPr>
              <w:t>316,6</w:t>
            </w:r>
          </w:p>
        </w:tc>
        <w:tc>
          <w:tcPr>
            <w:tcW w:w="675" w:type="dxa"/>
            <w:shd w:val="clear" w:color="000000" w:fill="B6DDE8"/>
            <w:vAlign w:val="center"/>
            <w:hideMark/>
          </w:tcPr>
          <w:p w:rsidR="00705F07" w:rsidRDefault="00185A37">
            <w:pPr>
              <w:jc w:val="center"/>
              <w:rPr>
                <w:color w:val="000000"/>
                <w:sz w:val="12"/>
                <w:szCs w:val="12"/>
              </w:rPr>
            </w:pPr>
            <w:r>
              <w:rPr>
                <w:color w:val="000000"/>
                <w:sz w:val="12"/>
                <w:szCs w:val="12"/>
              </w:rPr>
              <w:t>318,2</w:t>
            </w:r>
          </w:p>
        </w:tc>
        <w:tc>
          <w:tcPr>
            <w:tcW w:w="689" w:type="dxa"/>
            <w:shd w:val="clear" w:color="000000" w:fill="B6DDE8"/>
            <w:vAlign w:val="center"/>
            <w:hideMark/>
          </w:tcPr>
          <w:p w:rsidR="00705F07" w:rsidRDefault="00185A37">
            <w:pPr>
              <w:jc w:val="center"/>
              <w:rPr>
                <w:color w:val="000000"/>
                <w:sz w:val="12"/>
                <w:szCs w:val="12"/>
              </w:rPr>
            </w:pPr>
            <w:r>
              <w:rPr>
                <w:color w:val="000000"/>
                <w:sz w:val="12"/>
                <w:szCs w:val="12"/>
              </w:rPr>
              <w:t>313,1</w:t>
            </w:r>
          </w:p>
        </w:tc>
        <w:tc>
          <w:tcPr>
            <w:tcW w:w="732" w:type="dxa"/>
            <w:shd w:val="clear" w:color="000000" w:fill="B6DDE8"/>
            <w:vAlign w:val="center"/>
            <w:hideMark/>
          </w:tcPr>
          <w:p w:rsidR="00705F07" w:rsidRDefault="00185A37">
            <w:pPr>
              <w:jc w:val="center"/>
              <w:rPr>
                <w:color w:val="000000"/>
                <w:sz w:val="12"/>
                <w:szCs w:val="12"/>
              </w:rPr>
            </w:pPr>
            <w:r>
              <w:rPr>
                <w:color w:val="000000"/>
                <w:sz w:val="12"/>
                <w:szCs w:val="12"/>
              </w:rPr>
              <w:t>155,8</w:t>
            </w:r>
          </w:p>
        </w:tc>
        <w:tc>
          <w:tcPr>
            <w:tcW w:w="758" w:type="dxa"/>
            <w:shd w:val="clear" w:color="000000" w:fill="B6DDE8"/>
            <w:vAlign w:val="center"/>
            <w:hideMark/>
          </w:tcPr>
          <w:p w:rsidR="00705F07" w:rsidRDefault="00185A37">
            <w:pPr>
              <w:jc w:val="center"/>
              <w:rPr>
                <w:color w:val="000000"/>
                <w:sz w:val="12"/>
                <w:szCs w:val="12"/>
              </w:rPr>
            </w:pPr>
            <w:r>
              <w:rPr>
                <w:color w:val="000000"/>
                <w:sz w:val="12"/>
                <w:szCs w:val="12"/>
              </w:rPr>
              <w:t>247,0</w:t>
            </w:r>
          </w:p>
        </w:tc>
        <w:tc>
          <w:tcPr>
            <w:tcW w:w="755" w:type="dxa"/>
            <w:shd w:val="clear" w:color="000000" w:fill="B6DDE8"/>
            <w:vAlign w:val="center"/>
            <w:hideMark/>
          </w:tcPr>
          <w:p w:rsidR="00705F07" w:rsidRDefault="00185A37">
            <w:pPr>
              <w:jc w:val="center"/>
              <w:rPr>
                <w:color w:val="000000"/>
                <w:sz w:val="12"/>
                <w:szCs w:val="12"/>
              </w:rPr>
            </w:pPr>
            <w:r>
              <w:rPr>
                <w:color w:val="000000"/>
                <w:sz w:val="12"/>
                <w:szCs w:val="12"/>
              </w:rPr>
              <w:t>415,8</w:t>
            </w:r>
          </w:p>
        </w:tc>
        <w:tc>
          <w:tcPr>
            <w:tcW w:w="782" w:type="dxa"/>
            <w:shd w:val="clear" w:color="000000" w:fill="B6DDE8"/>
            <w:vAlign w:val="center"/>
            <w:hideMark/>
          </w:tcPr>
          <w:p w:rsidR="00705F07" w:rsidRDefault="00185A37">
            <w:pPr>
              <w:jc w:val="center"/>
              <w:rPr>
                <w:color w:val="000000"/>
                <w:sz w:val="12"/>
                <w:szCs w:val="12"/>
              </w:rPr>
            </w:pPr>
            <w:r>
              <w:rPr>
                <w:color w:val="000000"/>
                <w:sz w:val="12"/>
                <w:szCs w:val="12"/>
              </w:rPr>
              <w:t>355,1</w:t>
            </w:r>
          </w:p>
        </w:tc>
        <w:tc>
          <w:tcPr>
            <w:tcW w:w="721" w:type="dxa"/>
            <w:shd w:val="clear" w:color="000000" w:fill="B6DDE8"/>
            <w:vAlign w:val="center"/>
            <w:hideMark/>
          </w:tcPr>
          <w:p w:rsidR="00705F07" w:rsidRDefault="00185A37">
            <w:pPr>
              <w:jc w:val="center"/>
              <w:rPr>
                <w:color w:val="000000"/>
                <w:sz w:val="12"/>
                <w:szCs w:val="12"/>
              </w:rPr>
            </w:pPr>
            <w:r>
              <w:rPr>
                <w:color w:val="000000"/>
                <w:sz w:val="12"/>
                <w:szCs w:val="12"/>
              </w:rPr>
              <w:t>358,0</w:t>
            </w:r>
          </w:p>
        </w:tc>
      </w:tr>
      <w:tr w:rsidR="00705F07">
        <w:trPr>
          <w:trHeight w:val="390"/>
          <w:jc w:val="center"/>
        </w:trPr>
        <w:tc>
          <w:tcPr>
            <w:tcW w:w="1257" w:type="dxa"/>
            <w:shd w:val="clear" w:color="000000" w:fill="D7E4BC"/>
            <w:vAlign w:val="center"/>
            <w:hideMark/>
          </w:tcPr>
          <w:p w:rsidR="00705F07" w:rsidRDefault="00185A37">
            <w:pPr>
              <w:jc w:val="center"/>
              <w:rPr>
                <w:bCs/>
                <w:color w:val="000000"/>
                <w:sz w:val="12"/>
                <w:szCs w:val="12"/>
              </w:rPr>
            </w:pPr>
            <w:r>
              <w:rPr>
                <w:bCs/>
                <w:color w:val="000000"/>
                <w:sz w:val="12"/>
                <w:szCs w:val="12"/>
              </w:rPr>
              <w:t>у тому числі обсяг операцій з готівковою іноземною валютою небанківських фінансових установ (млн. дол США в еквіваленті):</w:t>
            </w:r>
          </w:p>
        </w:tc>
        <w:tc>
          <w:tcPr>
            <w:tcW w:w="606" w:type="dxa"/>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06" w:type="dxa"/>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03" w:type="dxa"/>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46" w:type="dxa"/>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74" w:type="dxa"/>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75" w:type="dxa"/>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89" w:type="dxa"/>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32" w:type="dxa"/>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58" w:type="dxa"/>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55" w:type="dxa"/>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82" w:type="dxa"/>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21" w:type="dxa"/>
            <w:shd w:val="clear" w:color="000000" w:fill="D7E4BC"/>
            <w:vAlign w:val="center"/>
            <w:hideMark/>
          </w:tcPr>
          <w:p w:rsidR="00705F07" w:rsidRDefault="00185A37">
            <w:pPr>
              <w:jc w:val="center"/>
              <w:rPr>
                <w:color w:val="000000"/>
                <w:sz w:val="12"/>
                <w:szCs w:val="12"/>
              </w:rPr>
            </w:pPr>
            <w:r>
              <w:rPr>
                <w:color w:val="000000"/>
                <w:sz w:val="12"/>
                <w:szCs w:val="12"/>
              </w:rPr>
              <w:t> </w:t>
            </w:r>
          </w:p>
        </w:tc>
      </w:tr>
      <w:tr w:rsidR="00705F07">
        <w:trPr>
          <w:trHeight w:val="165"/>
          <w:jc w:val="center"/>
        </w:trPr>
        <w:tc>
          <w:tcPr>
            <w:tcW w:w="1257" w:type="dxa"/>
            <w:vAlign w:val="center"/>
            <w:hideMark/>
          </w:tcPr>
          <w:p w:rsidR="00705F07" w:rsidRDefault="00185A37">
            <w:pPr>
              <w:jc w:val="center"/>
              <w:rPr>
                <w:color w:val="000000"/>
                <w:sz w:val="12"/>
                <w:szCs w:val="12"/>
              </w:rPr>
            </w:pPr>
            <w:r>
              <w:rPr>
                <w:color w:val="000000"/>
                <w:sz w:val="12"/>
                <w:szCs w:val="12"/>
              </w:rPr>
              <w:t xml:space="preserve">         продажу</w:t>
            </w:r>
          </w:p>
        </w:tc>
        <w:tc>
          <w:tcPr>
            <w:tcW w:w="606" w:type="dxa"/>
            <w:vAlign w:val="center"/>
            <w:hideMark/>
          </w:tcPr>
          <w:p w:rsidR="00705F07" w:rsidRDefault="00185A37">
            <w:pPr>
              <w:jc w:val="center"/>
              <w:rPr>
                <w:color w:val="000000"/>
                <w:sz w:val="12"/>
                <w:szCs w:val="12"/>
              </w:rPr>
            </w:pPr>
            <w:r>
              <w:rPr>
                <w:color w:val="000000"/>
                <w:sz w:val="12"/>
                <w:szCs w:val="12"/>
              </w:rPr>
              <w:t>848,1</w:t>
            </w:r>
          </w:p>
        </w:tc>
        <w:tc>
          <w:tcPr>
            <w:tcW w:w="606" w:type="dxa"/>
            <w:vAlign w:val="center"/>
            <w:hideMark/>
          </w:tcPr>
          <w:p w:rsidR="00705F07" w:rsidRDefault="00185A37">
            <w:pPr>
              <w:jc w:val="center"/>
              <w:rPr>
                <w:color w:val="000000"/>
                <w:sz w:val="12"/>
                <w:szCs w:val="12"/>
              </w:rPr>
            </w:pPr>
            <w:r>
              <w:rPr>
                <w:color w:val="000000"/>
                <w:sz w:val="12"/>
                <w:szCs w:val="12"/>
              </w:rPr>
              <w:t>940,2</w:t>
            </w:r>
          </w:p>
        </w:tc>
        <w:tc>
          <w:tcPr>
            <w:tcW w:w="703" w:type="dxa"/>
            <w:vAlign w:val="center"/>
            <w:hideMark/>
          </w:tcPr>
          <w:p w:rsidR="00705F07" w:rsidRDefault="00185A37">
            <w:pPr>
              <w:jc w:val="center"/>
              <w:rPr>
                <w:color w:val="000000"/>
                <w:sz w:val="12"/>
                <w:szCs w:val="12"/>
              </w:rPr>
            </w:pPr>
            <w:r>
              <w:rPr>
                <w:color w:val="000000"/>
                <w:sz w:val="12"/>
                <w:szCs w:val="12"/>
              </w:rPr>
              <w:t>1 039,7</w:t>
            </w:r>
          </w:p>
        </w:tc>
        <w:tc>
          <w:tcPr>
            <w:tcW w:w="646" w:type="dxa"/>
            <w:vAlign w:val="center"/>
            <w:hideMark/>
          </w:tcPr>
          <w:p w:rsidR="00705F07" w:rsidRDefault="00185A37">
            <w:pPr>
              <w:jc w:val="center"/>
              <w:rPr>
                <w:color w:val="000000"/>
                <w:sz w:val="12"/>
                <w:szCs w:val="12"/>
              </w:rPr>
            </w:pPr>
            <w:r>
              <w:rPr>
                <w:color w:val="000000"/>
                <w:sz w:val="12"/>
                <w:szCs w:val="12"/>
              </w:rPr>
              <w:t>1 052,6</w:t>
            </w:r>
          </w:p>
        </w:tc>
        <w:tc>
          <w:tcPr>
            <w:tcW w:w="674" w:type="dxa"/>
            <w:vAlign w:val="center"/>
            <w:hideMark/>
          </w:tcPr>
          <w:p w:rsidR="00705F07" w:rsidRDefault="00185A37">
            <w:pPr>
              <w:jc w:val="center"/>
              <w:rPr>
                <w:color w:val="000000"/>
                <w:sz w:val="12"/>
                <w:szCs w:val="12"/>
              </w:rPr>
            </w:pPr>
            <w:r>
              <w:rPr>
                <w:color w:val="000000"/>
                <w:sz w:val="12"/>
                <w:szCs w:val="12"/>
              </w:rPr>
              <w:t>1 072,2</w:t>
            </w:r>
          </w:p>
        </w:tc>
        <w:tc>
          <w:tcPr>
            <w:tcW w:w="675" w:type="dxa"/>
            <w:vAlign w:val="center"/>
            <w:hideMark/>
          </w:tcPr>
          <w:p w:rsidR="00705F07" w:rsidRDefault="00185A37">
            <w:pPr>
              <w:jc w:val="center"/>
              <w:rPr>
                <w:color w:val="000000"/>
                <w:sz w:val="12"/>
                <w:szCs w:val="12"/>
              </w:rPr>
            </w:pPr>
            <w:r>
              <w:rPr>
                <w:color w:val="000000"/>
                <w:sz w:val="12"/>
                <w:szCs w:val="12"/>
              </w:rPr>
              <w:t>1 003,3</w:t>
            </w:r>
          </w:p>
        </w:tc>
        <w:tc>
          <w:tcPr>
            <w:tcW w:w="689" w:type="dxa"/>
            <w:vAlign w:val="center"/>
            <w:hideMark/>
          </w:tcPr>
          <w:p w:rsidR="00705F07" w:rsidRDefault="00185A37">
            <w:pPr>
              <w:jc w:val="center"/>
              <w:rPr>
                <w:color w:val="000000"/>
                <w:sz w:val="12"/>
                <w:szCs w:val="12"/>
              </w:rPr>
            </w:pPr>
            <w:r>
              <w:rPr>
                <w:color w:val="000000"/>
                <w:sz w:val="12"/>
                <w:szCs w:val="12"/>
              </w:rPr>
              <w:t>1 106,6</w:t>
            </w:r>
          </w:p>
        </w:tc>
        <w:tc>
          <w:tcPr>
            <w:tcW w:w="732" w:type="dxa"/>
            <w:vAlign w:val="center"/>
            <w:hideMark/>
          </w:tcPr>
          <w:p w:rsidR="00705F07" w:rsidRDefault="00185A37">
            <w:pPr>
              <w:jc w:val="center"/>
              <w:rPr>
                <w:color w:val="000000"/>
                <w:sz w:val="12"/>
                <w:szCs w:val="12"/>
              </w:rPr>
            </w:pPr>
            <w:r>
              <w:rPr>
                <w:color w:val="000000"/>
                <w:sz w:val="12"/>
                <w:szCs w:val="12"/>
              </w:rPr>
              <w:t>1 079,1</w:t>
            </w:r>
          </w:p>
        </w:tc>
        <w:tc>
          <w:tcPr>
            <w:tcW w:w="758" w:type="dxa"/>
            <w:vAlign w:val="center"/>
            <w:hideMark/>
          </w:tcPr>
          <w:p w:rsidR="00705F07" w:rsidRDefault="00185A37">
            <w:pPr>
              <w:jc w:val="center"/>
              <w:rPr>
                <w:color w:val="000000"/>
                <w:sz w:val="12"/>
                <w:szCs w:val="12"/>
              </w:rPr>
            </w:pPr>
            <w:r>
              <w:rPr>
                <w:color w:val="000000"/>
                <w:sz w:val="12"/>
                <w:szCs w:val="12"/>
              </w:rPr>
              <w:t>1 055,4</w:t>
            </w:r>
          </w:p>
        </w:tc>
        <w:tc>
          <w:tcPr>
            <w:tcW w:w="755" w:type="dxa"/>
            <w:vAlign w:val="center"/>
            <w:hideMark/>
          </w:tcPr>
          <w:p w:rsidR="00705F07" w:rsidRDefault="00185A37">
            <w:pPr>
              <w:jc w:val="center"/>
              <w:rPr>
                <w:color w:val="000000"/>
                <w:sz w:val="12"/>
                <w:szCs w:val="12"/>
              </w:rPr>
            </w:pPr>
            <w:r>
              <w:rPr>
                <w:color w:val="000000"/>
                <w:sz w:val="12"/>
                <w:szCs w:val="12"/>
              </w:rPr>
              <w:t>1 103,0</w:t>
            </w:r>
          </w:p>
        </w:tc>
        <w:tc>
          <w:tcPr>
            <w:tcW w:w="782" w:type="dxa"/>
            <w:vAlign w:val="center"/>
            <w:hideMark/>
          </w:tcPr>
          <w:p w:rsidR="00705F07" w:rsidRDefault="00185A37">
            <w:pPr>
              <w:jc w:val="center"/>
              <w:rPr>
                <w:color w:val="000000"/>
                <w:sz w:val="12"/>
                <w:szCs w:val="12"/>
              </w:rPr>
            </w:pPr>
            <w:r>
              <w:rPr>
                <w:color w:val="000000"/>
                <w:sz w:val="12"/>
                <w:szCs w:val="12"/>
              </w:rPr>
              <w:t>1 034,8</w:t>
            </w:r>
          </w:p>
        </w:tc>
        <w:tc>
          <w:tcPr>
            <w:tcW w:w="721" w:type="dxa"/>
            <w:vAlign w:val="center"/>
            <w:hideMark/>
          </w:tcPr>
          <w:p w:rsidR="00705F07" w:rsidRDefault="00185A37">
            <w:pPr>
              <w:jc w:val="center"/>
              <w:rPr>
                <w:color w:val="000000"/>
                <w:sz w:val="12"/>
                <w:szCs w:val="12"/>
              </w:rPr>
            </w:pPr>
            <w:r>
              <w:rPr>
                <w:color w:val="000000"/>
                <w:sz w:val="12"/>
                <w:szCs w:val="12"/>
              </w:rPr>
              <w:t>1 093,0</w:t>
            </w:r>
          </w:p>
        </w:tc>
      </w:tr>
      <w:tr w:rsidR="00705F07">
        <w:trPr>
          <w:trHeight w:val="165"/>
          <w:jc w:val="center"/>
        </w:trPr>
        <w:tc>
          <w:tcPr>
            <w:tcW w:w="1257" w:type="dxa"/>
            <w:vAlign w:val="center"/>
            <w:hideMark/>
          </w:tcPr>
          <w:p w:rsidR="00705F07" w:rsidRDefault="00185A37">
            <w:pPr>
              <w:jc w:val="center"/>
              <w:rPr>
                <w:color w:val="000000"/>
                <w:sz w:val="12"/>
                <w:szCs w:val="12"/>
              </w:rPr>
            </w:pPr>
            <w:r>
              <w:rPr>
                <w:color w:val="000000"/>
                <w:sz w:val="12"/>
                <w:szCs w:val="12"/>
              </w:rPr>
              <w:t xml:space="preserve">         купівлі</w:t>
            </w:r>
          </w:p>
        </w:tc>
        <w:tc>
          <w:tcPr>
            <w:tcW w:w="606" w:type="dxa"/>
            <w:vAlign w:val="center"/>
            <w:hideMark/>
          </w:tcPr>
          <w:p w:rsidR="00705F07" w:rsidRDefault="00185A37">
            <w:pPr>
              <w:jc w:val="center"/>
              <w:rPr>
                <w:color w:val="000000"/>
                <w:sz w:val="12"/>
                <w:szCs w:val="12"/>
              </w:rPr>
            </w:pPr>
            <w:r>
              <w:rPr>
                <w:color w:val="000000"/>
                <w:sz w:val="12"/>
                <w:szCs w:val="12"/>
              </w:rPr>
              <w:t>852,7</w:t>
            </w:r>
          </w:p>
        </w:tc>
        <w:tc>
          <w:tcPr>
            <w:tcW w:w="606" w:type="dxa"/>
            <w:vAlign w:val="center"/>
            <w:hideMark/>
          </w:tcPr>
          <w:p w:rsidR="00705F07" w:rsidRDefault="00185A37">
            <w:pPr>
              <w:jc w:val="center"/>
              <w:rPr>
                <w:color w:val="000000"/>
                <w:sz w:val="12"/>
                <w:szCs w:val="12"/>
              </w:rPr>
            </w:pPr>
            <w:r>
              <w:rPr>
                <w:color w:val="000000"/>
                <w:sz w:val="12"/>
                <w:szCs w:val="12"/>
              </w:rPr>
              <w:t>944,6</w:t>
            </w:r>
          </w:p>
        </w:tc>
        <w:tc>
          <w:tcPr>
            <w:tcW w:w="703" w:type="dxa"/>
            <w:vAlign w:val="center"/>
            <w:hideMark/>
          </w:tcPr>
          <w:p w:rsidR="00705F07" w:rsidRDefault="00185A37">
            <w:pPr>
              <w:jc w:val="center"/>
              <w:rPr>
                <w:color w:val="000000"/>
                <w:sz w:val="12"/>
                <w:szCs w:val="12"/>
              </w:rPr>
            </w:pPr>
            <w:r>
              <w:rPr>
                <w:color w:val="000000"/>
                <w:sz w:val="12"/>
                <w:szCs w:val="12"/>
              </w:rPr>
              <w:t>1 040,3</w:t>
            </w:r>
          </w:p>
        </w:tc>
        <w:tc>
          <w:tcPr>
            <w:tcW w:w="646" w:type="dxa"/>
            <w:vAlign w:val="center"/>
            <w:hideMark/>
          </w:tcPr>
          <w:p w:rsidR="00705F07" w:rsidRDefault="00185A37">
            <w:pPr>
              <w:jc w:val="center"/>
              <w:rPr>
                <w:color w:val="000000"/>
                <w:sz w:val="12"/>
                <w:szCs w:val="12"/>
              </w:rPr>
            </w:pPr>
            <w:r>
              <w:rPr>
                <w:color w:val="000000"/>
                <w:sz w:val="12"/>
                <w:szCs w:val="12"/>
              </w:rPr>
              <w:t>1 051,9</w:t>
            </w:r>
          </w:p>
        </w:tc>
        <w:tc>
          <w:tcPr>
            <w:tcW w:w="674" w:type="dxa"/>
            <w:vAlign w:val="center"/>
            <w:hideMark/>
          </w:tcPr>
          <w:p w:rsidR="00705F07" w:rsidRDefault="00185A37">
            <w:pPr>
              <w:jc w:val="center"/>
              <w:rPr>
                <w:color w:val="000000"/>
                <w:sz w:val="12"/>
                <w:szCs w:val="12"/>
              </w:rPr>
            </w:pPr>
            <w:r>
              <w:rPr>
                <w:color w:val="000000"/>
                <w:sz w:val="12"/>
                <w:szCs w:val="12"/>
              </w:rPr>
              <w:t>1 065,4</w:t>
            </w:r>
          </w:p>
        </w:tc>
        <w:tc>
          <w:tcPr>
            <w:tcW w:w="675" w:type="dxa"/>
            <w:vAlign w:val="center"/>
            <w:hideMark/>
          </w:tcPr>
          <w:p w:rsidR="00705F07" w:rsidRDefault="00185A37">
            <w:pPr>
              <w:jc w:val="center"/>
              <w:rPr>
                <w:color w:val="000000"/>
                <w:sz w:val="12"/>
                <w:szCs w:val="12"/>
              </w:rPr>
            </w:pPr>
            <w:r>
              <w:rPr>
                <w:color w:val="000000"/>
                <w:sz w:val="12"/>
                <w:szCs w:val="12"/>
              </w:rPr>
              <w:t>1 005,6</w:t>
            </w:r>
          </w:p>
        </w:tc>
        <w:tc>
          <w:tcPr>
            <w:tcW w:w="689" w:type="dxa"/>
            <w:vAlign w:val="center"/>
            <w:hideMark/>
          </w:tcPr>
          <w:p w:rsidR="00705F07" w:rsidRDefault="00185A37">
            <w:pPr>
              <w:jc w:val="center"/>
              <w:rPr>
                <w:color w:val="000000"/>
                <w:sz w:val="12"/>
                <w:szCs w:val="12"/>
              </w:rPr>
            </w:pPr>
            <w:r>
              <w:rPr>
                <w:color w:val="000000"/>
                <w:sz w:val="12"/>
                <w:szCs w:val="12"/>
              </w:rPr>
              <w:t>1 106,0</w:t>
            </w:r>
          </w:p>
        </w:tc>
        <w:tc>
          <w:tcPr>
            <w:tcW w:w="732" w:type="dxa"/>
            <w:vAlign w:val="center"/>
            <w:hideMark/>
          </w:tcPr>
          <w:p w:rsidR="00705F07" w:rsidRDefault="00185A37">
            <w:pPr>
              <w:jc w:val="center"/>
              <w:rPr>
                <w:color w:val="000000"/>
                <w:sz w:val="12"/>
                <w:szCs w:val="12"/>
              </w:rPr>
            </w:pPr>
            <w:r>
              <w:rPr>
                <w:color w:val="000000"/>
                <w:sz w:val="12"/>
                <w:szCs w:val="12"/>
              </w:rPr>
              <w:t>1 082,4</w:t>
            </w:r>
          </w:p>
        </w:tc>
        <w:tc>
          <w:tcPr>
            <w:tcW w:w="758" w:type="dxa"/>
            <w:vAlign w:val="center"/>
            <w:hideMark/>
          </w:tcPr>
          <w:p w:rsidR="00705F07" w:rsidRDefault="00185A37">
            <w:pPr>
              <w:jc w:val="center"/>
              <w:rPr>
                <w:color w:val="000000"/>
                <w:sz w:val="12"/>
                <w:szCs w:val="12"/>
              </w:rPr>
            </w:pPr>
            <w:r>
              <w:rPr>
                <w:color w:val="000000"/>
                <w:sz w:val="12"/>
                <w:szCs w:val="12"/>
              </w:rPr>
              <w:t>1 057,3</w:t>
            </w:r>
          </w:p>
        </w:tc>
        <w:tc>
          <w:tcPr>
            <w:tcW w:w="755" w:type="dxa"/>
            <w:vAlign w:val="center"/>
            <w:hideMark/>
          </w:tcPr>
          <w:p w:rsidR="00705F07" w:rsidRDefault="00185A37">
            <w:pPr>
              <w:jc w:val="center"/>
              <w:rPr>
                <w:color w:val="000000"/>
                <w:sz w:val="12"/>
                <w:szCs w:val="12"/>
              </w:rPr>
            </w:pPr>
            <w:r>
              <w:rPr>
                <w:color w:val="000000"/>
                <w:sz w:val="12"/>
                <w:szCs w:val="12"/>
              </w:rPr>
              <w:t>1 104,1</w:t>
            </w:r>
          </w:p>
        </w:tc>
        <w:tc>
          <w:tcPr>
            <w:tcW w:w="782" w:type="dxa"/>
            <w:vAlign w:val="center"/>
            <w:hideMark/>
          </w:tcPr>
          <w:p w:rsidR="00705F07" w:rsidRDefault="00185A37">
            <w:pPr>
              <w:jc w:val="center"/>
              <w:rPr>
                <w:color w:val="000000"/>
                <w:sz w:val="12"/>
                <w:szCs w:val="12"/>
              </w:rPr>
            </w:pPr>
            <w:r>
              <w:rPr>
                <w:color w:val="000000"/>
                <w:sz w:val="12"/>
                <w:szCs w:val="12"/>
              </w:rPr>
              <w:t>1 035,8</w:t>
            </w:r>
          </w:p>
        </w:tc>
        <w:tc>
          <w:tcPr>
            <w:tcW w:w="721" w:type="dxa"/>
            <w:vAlign w:val="center"/>
            <w:hideMark/>
          </w:tcPr>
          <w:p w:rsidR="00705F07" w:rsidRDefault="00185A37">
            <w:pPr>
              <w:jc w:val="center"/>
              <w:rPr>
                <w:color w:val="000000"/>
                <w:sz w:val="12"/>
                <w:szCs w:val="12"/>
              </w:rPr>
            </w:pPr>
            <w:r>
              <w:rPr>
                <w:color w:val="000000"/>
                <w:sz w:val="12"/>
                <w:szCs w:val="12"/>
              </w:rPr>
              <w:t>1 090,2</w:t>
            </w:r>
          </w:p>
        </w:tc>
      </w:tr>
      <w:tr w:rsidR="00705F07">
        <w:trPr>
          <w:trHeight w:val="165"/>
          <w:jc w:val="center"/>
        </w:trPr>
        <w:tc>
          <w:tcPr>
            <w:tcW w:w="1257" w:type="dxa"/>
            <w:shd w:val="clear" w:color="000000" w:fill="B6DDE8"/>
            <w:vAlign w:val="center"/>
            <w:hideMark/>
          </w:tcPr>
          <w:p w:rsidR="00705F07" w:rsidRDefault="00185A37">
            <w:pPr>
              <w:jc w:val="center"/>
              <w:rPr>
                <w:color w:val="000000"/>
                <w:sz w:val="12"/>
                <w:szCs w:val="12"/>
              </w:rPr>
            </w:pPr>
            <w:r>
              <w:rPr>
                <w:color w:val="000000"/>
                <w:sz w:val="12"/>
                <w:szCs w:val="12"/>
              </w:rPr>
              <w:t xml:space="preserve">Сальдо </w:t>
            </w:r>
            <w:r>
              <w:rPr>
                <w:color w:val="000000"/>
                <w:sz w:val="12"/>
                <w:szCs w:val="12"/>
              </w:rPr>
              <w:t>(продаж мінус купівля, млн. дол США в еквіваленті)</w:t>
            </w:r>
          </w:p>
        </w:tc>
        <w:tc>
          <w:tcPr>
            <w:tcW w:w="606" w:type="dxa"/>
            <w:shd w:val="clear" w:color="000000" w:fill="B6DDE8"/>
            <w:vAlign w:val="center"/>
            <w:hideMark/>
          </w:tcPr>
          <w:p w:rsidR="00705F07" w:rsidRDefault="00185A37">
            <w:pPr>
              <w:jc w:val="center"/>
              <w:rPr>
                <w:color w:val="000000"/>
                <w:sz w:val="12"/>
                <w:szCs w:val="12"/>
              </w:rPr>
            </w:pPr>
            <w:r>
              <w:rPr>
                <w:color w:val="000000"/>
                <w:sz w:val="12"/>
                <w:szCs w:val="12"/>
              </w:rPr>
              <w:t>-4,6</w:t>
            </w:r>
          </w:p>
        </w:tc>
        <w:tc>
          <w:tcPr>
            <w:tcW w:w="606" w:type="dxa"/>
            <w:shd w:val="clear" w:color="000000" w:fill="B6DDE8"/>
            <w:vAlign w:val="center"/>
            <w:hideMark/>
          </w:tcPr>
          <w:p w:rsidR="00705F07" w:rsidRDefault="00185A37">
            <w:pPr>
              <w:jc w:val="center"/>
              <w:rPr>
                <w:color w:val="000000"/>
                <w:sz w:val="12"/>
                <w:szCs w:val="12"/>
              </w:rPr>
            </w:pPr>
            <w:r>
              <w:rPr>
                <w:color w:val="000000"/>
                <w:sz w:val="12"/>
                <w:szCs w:val="12"/>
              </w:rPr>
              <w:t>-4,4</w:t>
            </w:r>
          </w:p>
        </w:tc>
        <w:tc>
          <w:tcPr>
            <w:tcW w:w="703" w:type="dxa"/>
            <w:shd w:val="clear" w:color="000000" w:fill="B6DDE8"/>
            <w:vAlign w:val="center"/>
            <w:hideMark/>
          </w:tcPr>
          <w:p w:rsidR="00705F07" w:rsidRDefault="00185A37">
            <w:pPr>
              <w:jc w:val="center"/>
              <w:rPr>
                <w:color w:val="000000"/>
                <w:sz w:val="12"/>
                <w:szCs w:val="12"/>
              </w:rPr>
            </w:pPr>
            <w:r>
              <w:rPr>
                <w:color w:val="000000"/>
                <w:sz w:val="12"/>
                <w:szCs w:val="12"/>
              </w:rPr>
              <w:t>-0,5</w:t>
            </w:r>
          </w:p>
        </w:tc>
        <w:tc>
          <w:tcPr>
            <w:tcW w:w="646" w:type="dxa"/>
            <w:shd w:val="clear" w:color="000000" w:fill="B6DDE8"/>
            <w:vAlign w:val="center"/>
            <w:hideMark/>
          </w:tcPr>
          <w:p w:rsidR="00705F07" w:rsidRDefault="00185A37">
            <w:pPr>
              <w:jc w:val="center"/>
              <w:rPr>
                <w:color w:val="000000"/>
                <w:sz w:val="12"/>
                <w:szCs w:val="12"/>
              </w:rPr>
            </w:pPr>
            <w:r>
              <w:rPr>
                <w:color w:val="000000"/>
                <w:sz w:val="12"/>
                <w:szCs w:val="12"/>
              </w:rPr>
              <w:t>0,7</w:t>
            </w:r>
          </w:p>
        </w:tc>
        <w:tc>
          <w:tcPr>
            <w:tcW w:w="674" w:type="dxa"/>
            <w:shd w:val="clear" w:color="000000" w:fill="B6DDE8"/>
            <w:vAlign w:val="center"/>
            <w:hideMark/>
          </w:tcPr>
          <w:p w:rsidR="00705F07" w:rsidRDefault="00185A37">
            <w:pPr>
              <w:jc w:val="center"/>
              <w:rPr>
                <w:color w:val="000000"/>
                <w:sz w:val="12"/>
                <w:szCs w:val="12"/>
              </w:rPr>
            </w:pPr>
            <w:r>
              <w:rPr>
                <w:color w:val="000000"/>
                <w:sz w:val="12"/>
                <w:szCs w:val="12"/>
              </w:rPr>
              <w:t>6,8</w:t>
            </w:r>
          </w:p>
        </w:tc>
        <w:tc>
          <w:tcPr>
            <w:tcW w:w="675" w:type="dxa"/>
            <w:shd w:val="clear" w:color="000000" w:fill="B6DDE8"/>
            <w:vAlign w:val="center"/>
            <w:hideMark/>
          </w:tcPr>
          <w:p w:rsidR="00705F07" w:rsidRDefault="00185A37">
            <w:pPr>
              <w:jc w:val="center"/>
              <w:rPr>
                <w:color w:val="000000"/>
                <w:sz w:val="12"/>
                <w:szCs w:val="12"/>
              </w:rPr>
            </w:pPr>
            <w:r>
              <w:rPr>
                <w:color w:val="000000"/>
                <w:sz w:val="12"/>
                <w:szCs w:val="12"/>
              </w:rPr>
              <w:t>-2,3</w:t>
            </w:r>
          </w:p>
        </w:tc>
        <w:tc>
          <w:tcPr>
            <w:tcW w:w="689" w:type="dxa"/>
            <w:shd w:val="clear" w:color="000000" w:fill="B6DDE8"/>
            <w:vAlign w:val="center"/>
            <w:hideMark/>
          </w:tcPr>
          <w:p w:rsidR="00705F07" w:rsidRDefault="00185A37">
            <w:pPr>
              <w:jc w:val="center"/>
              <w:rPr>
                <w:color w:val="000000"/>
                <w:sz w:val="12"/>
                <w:szCs w:val="12"/>
              </w:rPr>
            </w:pPr>
            <w:r>
              <w:rPr>
                <w:color w:val="000000"/>
                <w:sz w:val="12"/>
                <w:szCs w:val="12"/>
              </w:rPr>
              <w:t>0,7</w:t>
            </w:r>
          </w:p>
        </w:tc>
        <w:tc>
          <w:tcPr>
            <w:tcW w:w="732" w:type="dxa"/>
            <w:shd w:val="clear" w:color="000000" w:fill="B6DDE8"/>
            <w:vAlign w:val="center"/>
            <w:hideMark/>
          </w:tcPr>
          <w:p w:rsidR="00705F07" w:rsidRDefault="00185A37">
            <w:pPr>
              <w:jc w:val="center"/>
              <w:rPr>
                <w:color w:val="000000"/>
                <w:sz w:val="12"/>
                <w:szCs w:val="12"/>
              </w:rPr>
            </w:pPr>
            <w:r>
              <w:rPr>
                <w:color w:val="000000"/>
                <w:sz w:val="12"/>
                <w:szCs w:val="12"/>
              </w:rPr>
              <w:t>-3,3</w:t>
            </w:r>
          </w:p>
        </w:tc>
        <w:tc>
          <w:tcPr>
            <w:tcW w:w="758" w:type="dxa"/>
            <w:shd w:val="clear" w:color="000000" w:fill="B6DDE8"/>
            <w:vAlign w:val="center"/>
            <w:hideMark/>
          </w:tcPr>
          <w:p w:rsidR="00705F07" w:rsidRDefault="00185A37">
            <w:pPr>
              <w:jc w:val="center"/>
              <w:rPr>
                <w:color w:val="000000"/>
                <w:sz w:val="12"/>
                <w:szCs w:val="12"/>
              </w:rPr>
            </w:pPr>
            <w:r>
              <w:rPr>
                <w:color w:val="000000"/>
                <w:sz w:val="12"/>
                <w:szCs w:val="12"/>
              </w:rPr>
              <w:t>-1,9</w:t>
            </w:r>
          </w:p>
        </w:tc>
        <w:tc>
          <w:tcPr>
            <w:tcW w:w="755" w:type="dxa"/>
            <w:shd w:val="clear" w:color="000000" w:fill="B6DDE8"/>
            <w:vAlign w:val="center"/>
            <w:hideMark/>
          </w:tcPr>
          <w:p w:rsidR="00705F07" w:rsidRDefault="00185A37">
            <w:pPr>
              <w:jc w:val="center"/>
              <w:rPr>
                <w:color w:val="000000"/>
                <w:sz w:val="12"/>
                <w:szCs w:val="12"/>
              </w:rPr>
            </w:pPr>
            <w:r>
              <w:rPr>
                <w:color w:val="000000"/>
                <w:sz w:val="12"/>
                <w:szCs w:val="12"/>
              </w:rPr>
              <w:t>-1,1</w:t>
            </w:r>
          </w:p>
        </w:tc>
        <w:tc>
          <w:tcPr>
            <w:tcW w:w="782" w:type="dxa"/>
            <w:shd w:val="clear" w:color="000000" w:fill="B6DDE8"/>
            <w:vAlign w:val="center"/>
            <w:hideMark/>
          </w:tcPr>
          <w:p w:rsidR="00705F07" w:rsidRDefault="00185A37">
            <w:pPr>
              <w:jc w:val="center"/>
              <w:rPr>
                <w:color w:val="000000"/>
                <w:sz w:val="12"/>
                <w:szCs w:val="12"/>
              </w:rPr>
            </w:pPr>
            <w:r>
              <w:rPr>
                <w:color w:val="000000"/>
                <w:sz w:val="12"/>
                <w:szCs w:val="12"/>
              </w:rPr>
              <w:t>-1,0</w:t>
            </w:r>
          </w:p>
        </w:tc>
        <w:tc>
          <w:tcPr>
            <w:tcW w:w="721" w:type="dxa"/>
            <w:shd w:val="clear" w:color="000000" w:fill="B6DDE8"/>
            <w:vAlign w:val="center"/>
            <w:hideMark/>
          </w:tcPr>
          <w:p w:rsidR="00705F07" w:rsidRDefault="00185A37">
            <w:pPr>
              <w:jc w:val="center"/>
              <w:rPr>
                <w:color w:val="000000"/>
                <w:sz w:val="12"/>
                <w:szCs w:val="12"/>
              </w:rPr>
            </w:pPr>
            <w:r>
              <w:rPr>
                <w:color w:val="000000"/>
                <w:sz w:val="12"/>
                <w:szCs w:val="12"/>
              </w:rPr>
              <w:t>2,8</w:t>
            </w:r>
          </w:p>
        </w:tc>
      </w:tr>
      <w:tr w:rsidR="00705F07">
        <w:trPr>
          <w:trHeight w:val="165"/>
          <w:jc w:val="center"/>
        </w:trPr>
        <w:tc>
          <w:tcPr>
            <w:tcW w:w="1257" w:type="dxa"/>
            <w:vAlign w:val="center"/>
            <w:hideMark/>
          </w:tcPr>
          <w:p w:rsidR="00705F07" w:rsidRDefault="00185A37">
            <w:pPr>
              <w:jc w:val="center"/>
              <w:rPr>
                <w:color w:val="000000"/>
                <w:sz w:val="12"/>
                <w:szCs w:val="12"/>
              </w:rPr>
            </w:pPr>
            <w:r>
              <w:rPr>
                <w:color w:val="000000"/>
                <w:sz w:val="12"/>
                <w:szCs w:val="12"/>
              </w:rPr>
              <w:t xml:space="preserve">         продажу (млн. дол США)</w:t>
            </w:r>
          </w:p>
        </w:tc>
        <w:tc>
          <w:tcPr>
            <w:tcW w:w="606" w:type="dxa"/>
            <w:vAlign w:val="center"/>
            <w:hideMark/>
          </w:tcPr>
          <w:p w:rsidR="00705F07" w:rsidRDefault="00185A37">
            <w:pPr>
              <w:jc w:val="center"/>
              <w:rPr>
                <w:color w:val="000000"/>
                <w:sz w:val="12"/>
                <w:szCs w:val="12"/>
              </w:rPr>
            </w:pPr>
            <w:r>
              <w:rPr>
                <w:color w:val="000000"/>
                <w:sz w:val="12"/>
                <w:szCs w:val="12"/>
              </w:rPr>
              <w:t>628,9</w:t>
            </w:r>
          </w:p>
        </w:tc>
        <w:tc>
          <w:tcPr>
            <w:tcW w:w="606" w:type="dxa"/>
            <w:vAlign w:val="center"/>
            <w:hideMark/>
          </w:tcPr>
          <w:p w:rsidR="00705F07" w:rsidRDefault="00185A37">
            <w:pPr>
              <w:jc w:val="center"/>
              <w:rPr>
                <w:color w:val="000000"/>
                <w:sz w:val="12"/>
                <w:szCs w:val="12"/>
              </w:rPr>
            </w:pPr>
            <w:r>
              <w:rPr>
                <w:color w:val="000000"/>
                <w:sz w:val="12"/>
                <w:szCs w:val="12"/>
              </w:rPr>
              <w:t>704,5</w:t>
            </w:r>
          </w:p>
        </w:tc>
        <w:tc>
          <w:tcPr>
            <w:tcW w:w="703" w:type="dxa"/>
            <w:vAlign w:val="center"/>
            <w:hideMark/>
          </w:tcPr>
          <w:p w:rsidR="00705F07" w:rsidRDefault="00185A37">
            <w:pPr>
              <w:jc w:val="center"/>
              <w:rPr>
                <w:color w:val="000000"/>
                <w:sz w:val="12"/>
                <w:szCs w:val="12"/>
              </w:rPr>
            </w:pPr>
            <w:r>
              <w:rPr>
                <w:color w:val="000000"/>
                <w:sz w:val="12"/>
                <w:szCs w:val="12"/>
              </w:rPr>
              <w:t>778,1</w:t>
            </w:r>
          </w:p>
        </w:tc>
        <w:tc>
          <w:tcPr>
            <w:tcW w:w="646" w:type="dxa"/>
            <w:vAlign w:val="center"/>
            <w:hideMark/>
          </w:tcPr>
          <w:p w:rsidR="00705F07" w:rsidRDefault="00185A37">
            <w:pPr>
              <w:jc w:val="center"/>
              <w:rPr>
                <w:color w:val="000000"/>
                <w:sz w:val="12"/>
                <w:szCs w:val="12"/>
              </w:rPr>
            </w:pPr>
            <w:r>
              <w:rPr>
                <w:color w:val="000000"/>
                <w:sz w:val="12"/>
                <w:szCs w:val="12"/>
              </w:rPr>
              <w:t>777,3</w:t>
            </w:r>
          </w:p>
        </w:tc>
        <w:tc>
          <w:tcPr>
            <w:tcW w:w="674" w:type="dxa"/>
            <w:vAlign w:val="center"/>
            <w:hideMark/>
          </w:tcPr>
          <w:p w:rsidR="00705F07" w:rsidRDefault="00185A37">
            <w:pPr>
              <w:jc w:val="center"/>
              <w:rPr>
                <w:color w:val="000000"/>
                <w:sz w:val="12"/>
                <w:szCs w:val="12"/>
              </w:rPr>
            </w:pPr>
            <w:r>
              <w:rPr>
                <w:color w:val="000000"/>
                <w:sz w:val="12"/>
                <w:szCs w:val="12"/>
              </w:rPr>
              <w:t>787,7</w:t>
            </w:r>
          </w:p>
        </w:tc>
        <w:tc>
          <w:tcPr>
            <w:tcW w:w="675" w:type="dxa"/>
            <w:vAlign w:val="center"/>
            <w:hideMark/>
          </w:tcPr>
          <w:p w:rsidR="00705F07" w:rsidRDefault="00185A37">
            <w:pPr>
              <w:jc w:val="center"/>
              <w:rPr>
                <w:color w:val="000000"/>
                <w:sz w:val="12"/>
                <w:szCs w:val="12"/>
              </w:rPr>
            </w:pPr>
            <w:r>
              <w:rPr>
                <w:color w:val="000000"/>
                <w:sz w:val="12"/>
                <w:szCs w:val="12"/>
              </w:rPr>
              <w:t>742,9</w:t>
            </w:r>
          </w:p>
        </w:tc>
        <w:tc>
          <w:tcPr>
            <w:tcW w:w="689" w:type="dxa"/>
            <w:vAlign w:val="center"/>
            <w:hideMark/>
          </w:tcPr>
          <w:p w:rsidR="00705F07" w:rsidRDefault="00185A37">
            <w:pPr>
              <w:jc w:val="center"/>
              <w:rPr>
                <w:color w:val="000000"/>
                <w:sz w:val="12"/>
                <w:szCs w:val="12"/>
              </w:rPr>
            </w:pPr>
            <w:r>
              <w:rPr>
                <w:color w:val="000000"/>
                <w:sz w:val="12"/>
                <w:szCs w:val="12"/>
              </w:rPr>
              <w:t>809,0</w:t>
            </w:r>
          </w:p>
        </w:tc>
        <w:tc>
          <w:tcPr>
            <w:tcW w:w="732" w:type="dxa"/>
            <w:vAlign w:val="center"/>
            <w:hideMark/>
          </w:tcPr>
          <w:p w:rsidR="00705F07" w:rsidRDefault="00185A37">
            <w:pPr>
              <w:jc w:val="center"/>
              <w:rPr>
                <w:color w:val="000000"/>
                <w:sz w:val="12"/>
                <w:szCs w:val="12"/>
              </w:rPr>
            </w:pPr>
            <w:r>
              <w:rPr>
                <w:color w:val="000000"/>
                <w:sz w:val="12"/>
                <w:szCs w:val="12"/>
              </w:rPr>
              <w:t>772,6</w:t>
            </w:r>
          </w:p>
        </w:tc>
        <w:tc>
          <w:tcPr>
            <w:tcW w:w="758" w:type="dxa"/>
            <w:vAlign w:val="center"/>
            <w:hideMark/>
          </w:tcPr>
          <w:p w:rsidR="00705F07" w:rsidRDefault="00185A37">
            <w:pPr>
              <w:jc w:val="center"/>
              <w:rPr>
                <w:color w:val="000000"/>
                <w:sz w:val="12"/>
                <w:szCs w:val="12"/>
              </w:rPr>
            </w:pPr>
            <w:r>
              <w:rPr>
                <w:color w:val="000000"/>
                <w:sz w:val="12"/>
                <w:szCs w:val="12"/>
              </w:rPr>
              <w:t>782,8</w:t>
            </w:r>
          </w:p>
        </w:tc>
        <w:tc>
          <w:tcPr>
            <w:tcW w:w="755" w:type="dxa"/>
            <w:vAlign w:val="center"/>
            <w:hideMark/>
          </w:tcPr>
          <w:p w:rsidR="00705F07" w:rsidRDefault="00185A37">
            <w:pPr>
              <w:jc w:val="center"/>
              <w:rPr>
                <w:color w:val="000000"/>
                <w:sz w:val="12"/>
                <w:szCs w:val="12"/>
              </w:rPr>
            </w:pPr>
            <w:r>
              <w:rPr>
                <w:color w:val="000000"/>
                <w:sz w:val="12"/>
                <w:szCs w:val="12"/>
              </w:rPr>
              <w:t>824,7</w:t>
            </w:r>
          </w:p>
        </w:tc>
        <w:tc>
          <w:tcPr>
            <w:tcW w:w="782" w:type="dxa"/>
            <w:vAlign w:val="center"/>
            <w:hideMark/>
          </w:tcPr>
          <w:p w:rsidR="00705F07" w:rsidRDefault="00185A37">
            <w:pPr>
              <w:jc w:val="center"/>
              <w:rPr>
                <w:color w:val="000000"/>
                <w:sz w:val="12"/>
                <w:szCs w:val="12"/>
              </w:rPr>
            </w:pPr>
            <w:r>
              <w:rPr>
                <w:color w:val="000000"/>
                <w:sz w:val="12"/>
                <w:szCs w:val="12"/>
              </w:rPr>
              <w:t>781,7</w:t>
            </w:r>
          </w:p>
        </w:tc>
        <w:tc>
          <w:tcPr>
            <w:tcW w:w="721" w:type="dxa"/>
            <w:vAlign w:val="center"/>
            <w:hideMark/>
          </w:tcPr>
          <w:p w:rsidR="00705F07" w:rsidRDefault="00185A37">
            <w:pPr>
              <w:jc w:val="center"/>
              <w:rPr>
                <w:color w:val="000000"/>
                <w:sz w:val="12"/>
                <w:szCs w:val="12"/>
              </w:rPr>
            </w:pPr>
            <w:r>
              <w:rPr>
                <w:color w:val="000000"/>
                <w:sz w:val="12"/>
                <w:szCs w:val="12"/>
              </w:rPr>
              <w:t>826,5</w:t>
            </w:r>
          </w:p>
        </w:tc>
      </w:tr>
      <w:tr w:rsidR="00705F07">
        <w:trPr>
          <w:trHeight w:val="165"/>
          <w:jc w:val="center"/>
        </w:trPr>
        <w:tc>
          <w:tcPr>
            <w:tcW w:w="1257" w:type="dxa"/>
            <w:vAlign w:val="center"/>
            <w:hideMark/>
          </w:tcPr>
          <w:p w:rsidR="00705F07" w:rsidRDefault="00185A37">
            <w:pPr>
              <w:jc w:val="center"/>
              <w:rPr>
                <w:color w:val="000000"/>
                <w:sz w:val="12"/>
                <w:szCs w:val="12"/>
              </w:rPr>
            </w:pPr>
            <w:r>
              <w:rPr>
                <w:color w:val="000000"/>
                <w:sz w:val="12"/>
                <w:szCs w:val="12"/>
              </w:rPr>
              <w:t xml:space="preserve">         купівлі (млн. дол США)</w:t>
            </w:r>
          </w:p>
        </w:tc>
        <w:tc>
          <w:tcPr>
            <w:tcW w:w="606" w:type="dxa"/>
            <w:vAlign w:val="center"/>
            <w:hideMark/>
          </w:tcPr>
          <w:p w:rsidR="00705F07" w:rsidRDefault="00185A37">
            <w:pPr>
              <w:jc w:val="center"/>
              <w:rPr>
                <w:color w:val="000000"/>
                <w:sz w:val="12"/>
                <w:szCs w:val="12"/>
              </w:rPr>
            </w:pPr>
            <w:r>
              <w:rPr>
                <w:color w:val="000000"/>
                <w:sz w:val="12"/>
                <w:szCs w:val="12"/>
              </w:rPr>
              <w:t>633,2</w:t>
            </w:r>
          </w:p>
        </w:tc>
        <w:tc>
          <w:tcPr>
            <w:tcW w:w="606" w:type="dxa"/>
            <w:vAlign w:val="center"/>
            <w:hideMark/>
          </w:tcPr>
          <w:p w:rsidR="00705F07" w:rsidRDefault="00185A37">
            <w:pPr>
              <w:jc w:val="center"/>
              <w:rPr>
                <w:color w:val="000000"/>
                <w:sz w:val="12"/>
                <w:szCs w:val="12"/>
              </w:rPr>
            </w:pPr>
            <w:r>
              <w:rPr>
                <w:color w:val="000000"/>
                <w:sz w:val="12"/>
                <w:szCs w:val="12"/>
              </w:rPr>
              <w:t>708,0</w:t>
            </w:r>
          </w:p>
        </w:tc>
        <w:tc>
          <w:tcPr>
            <w:tcW w:w="703" w:type="dxa"/>
            <w:vAlign w:val="center"/>
            <w:hideMark/>
          </w:tcPr>
          <w:p w:rsidR="00705F07" w:rsidRDefault="00185A37">
            <w:pPr>
              <w:jc w:val="center"/>
              <w:rPr>
                <w:color w:val="000000"/>
                <w:sz w:val="12"/>
                <w:szCs w:val="12"/>
              </w:rPr>
            </w:pPr>
            <w:r>
              <w:rPr>
                <w:color w:val="000000"/>
                <w:sz w:val="12"/>
                <w:szCs w:val="12"/>
              </w:rPr>
              <w:t>778,1</w:t>
            </w:r>
          </w:p>
        </w:tc>
        <w:tc>
          <w:tcPr>
            <w:tcW w:w="646" w:type="dxa"/>
            <w:vAlign w:val="center"/>
            <w:hideMark/>
          </w:tcPr>
          <w:p w:rsidR="00705F07" w:rsidRDefault="00185A37">
            <w:pPr>
              <w:jc w:val="center"/>
              <w:rPr>
                <w:color w:val="000000"/>
                <w:sz w:val="12"/>
                <w:szCs w:val="12"/>
              </w:rPr>
            </w:pPr>
            <w:r>
              <w:rPr>
                <w:color w:val="000000"/>
                <w:sz w:val="12"/>
                <w:szCs w:val="12"/>
              </w:rPr>
              <w:t>775,1</w:t>
            </w:r>
          </w:p>
        </w:tc>
        <w:tc>
          <w:tcPr>
            <w:tcW w:w="674" w:type="dxa"/>
            <w:vAlign w:val="center"/>
            <w:hideMark/>
          </w:tcPr>
          <w:p w:rsidR="00705F07" w:rsidRDefault="00185A37">
            <w:pPr>
              <w:jc w:val="center"/>
              <w:rPr>
                <w:color w:val="000000"/>
                <w:sz w:val="12"/>
                <w:szCs w:val="12"/>
              </w:rPr>
            </w:pPr>
            <w:r>
              <w:rPr>
                <w:color w:val="000000"/>
                <w:sz w:val="12"/>
                <w:szCs w:val="12"/>
              </w:rPr>
              <w:t>784,4</w:t>
            </w:r>
          </w:p>
        </w:tc>
        <w:tc>
          <w:tcPr>
            <w:tcW w:w="675" w:type="dxa"/>
            <w:vAlign w:val="center"/>
            <w:hideMark/>
          </w:tcPr>
          <w:p w:rsidR="00705F07" w:rsidRDefault="00185A37">
            <w:pPr>
              <w:jc w:val="center"/>
              <w:rPr>
                <w:color w:val="000000"/>
                <w:sz w:val="12"/>
                <w:szCs w:val="12"/>
              </w:rPr>
            </w:pPr>
            <w:r>
              <w:rPr>
                <w:color w:val="000000"/>
                <w:sz w:val="12"/>
                <w:szCs w:val="12"/>
              </w:rPr>
              <w:t>744,2</w:t>
            </w:r>
          </w:p>
        </w:tc>
        <w:tc>
          <w:tcPr>
            <w:tcW w:w="689" w:type="dxa"/>
            <w:vAlign w:val="center"/>
            <w:hideMark/>
          </w:tcPr>
          <w:p w:rsidR="00705F07" w:rsidRDefault="00185A37">
            <w:pPr>
              <w:jc w:val="center"/>
              <w:rPr>
                <w:color w:val="000000"/>
                <w:sz w:val="12"/>
                <w:szCs w:val="12"/>
              </w:rPr>
            </w:pPr>
            <w:r>
              <w:rPr>
                <w:color w:val="000000"/>
                <w:sz w:val="12"/>
                <w:szCs w:val="12"/>
              </w:rPr>
              <w:t>806,8</w:t>
            </w:r>
          </w:p>
        </w:tc>
        <w:tc>
          <w:tcPr>
            <w:tcW w:w="732" w:type="dxa"/>
            <w:vAlign w:val="center"/>
            <w:hideMark/>
          </w:tcPr>
          <w:p w:rsidR="00705F07" w:rsidRDefault="00185A37">
            <w:pPr>
              <w:jc w:val="center"/>
              <w:rPr>
                <w:color w:val="000000"/>
                <w:sz w:val="12"/>
                <w:szCs w:val="12"/>
              </w:rPr>
            </w:pPr>
            <w:r>
              <w:rPr>
                <w:color w:val="000000"/>
                <w:sz w:val="12"/>
                <w:szCs w:val="12"/>
              </w:rPr>
              <w:t>775,3</w:t>
            </w:r>
          </w:p>
        </w:tc>
        <w:tc>
          <w:tcPr>
            <w:tcW w:w="758" w:type="dxa"/>
            <w:vAlign w:val="center"/>
            <w:hideMark/>
          </w:tcPr>
          <w:p w:rsidR="00705F07" w:rsidRDefault="00185A37">
            <w:pPr>
              <w:jc w:val="center"/>
              <w:rPr>
                <w:color w:val="000000"/>
                <w:sz w:val="12"/>
                <w:szCs w:val="12"/>
              </w:rPr>
            </w:pPr>
            <w:r>
              <w:rPr>
                <w:color w:val="000000"/>
                <w:sz w:val="12"/>
                <w:szCs w:val="12"/>
              </w:rPr>
              <w:t>784,4</w:t>
            </w:r>
          </w:p>
        </w:tc>
        <w:tc>
          <w:tcPr>
            <w:tcW w:w="755" w:type="dxa"/>
            <w:vAlign w:val="center"/>
            <w:hideMark/>
          </w:tcPr>
          <w:p w:rsidR="00705F07" w:rsidRDefault="00185A37">
            <w:pPr>
              <w:jc w:val="center"/>
              <w:rPr>
                <w:color w:val="000000"/>
                <w:sz w:val="12"/>
                <w:szCs w:val="12"/>
              </w:rPr>
            </w:pPr>
            <w:r>
              <w:rPr>
                <w:color w:val="000000"/>
                <w:sz w:val="12"/>
                <w:szCs w:val="12"/>
              </w:rPr>
              <w:t>825,2</w:t>
            </w:r>
          </w:p>
        </w:tc>
        <w:tc>
          <w:tcPr>
            <w:tcW w:w="782" w:type="dxa"/>
            <w:vAlign w:val="center"/>
            <w:hideMark/>
          </w:tcPr>
          <w:p w:rsidR="00705F07" w:rsidRDefault="00185A37">
            <w:pPr>
              <w:jc w:val="center"/>
              <w:rPr>
                <w:color w:val="000000"/>
                <w:sz w:val="12"/>
                <w:szCs w:val="12"/>
              </w:rPr>
            </w:pPr>
            <w:r>
              <w:rPr>
                <w:color w:val="000000"/>
                <w:sz w:val="12"/>
                <w:szCs w:val="12"/>
              </w:rPr>
              <w:t>783,6</w:t>
            </w:r>
          </w:p>
        </w:tc>
        <w:tc>
          <w:tcPr>
            <w:tcW w:w="721" w:type="dxa"/>
            <w:vAlign w:val="center"/>
            <w:hideMark/>
          </w:tcPr>
          <w:p w:rsidR="00705F07" w:rsidRDefault="00185A37">
            <w:pPr>
              <w:jc w:val="center"/>
              <w:rPr>
                <w:color w:val="000000"/>
                <w:sz w:val="12"/>
                <w:szCs w:val="12"/>
              </w:rPr>
            </w:pPr>
            <w:r>
              <w:rPr>
                <w:color w:val="000000"/>
                <w:sz w:val="12"/>
                <w:szCs w:val="12"/>
              </w:rPr>
              <w:t>822,4</w:t>
            </w:r>
          </w:p>
        </w:tc>
      </w:tr>
      <w:tr w:rsidR="00705F07">
        <w:trPr>
          <w:trHeight w:val="165"/>
          <w:jc w:val="center"/>
        </w:trPr>
        <w:tc>
          <w:tcPr>
            <w:tcW w:w="1257" w:type="dxa"/>
            <w:shd w:val="clear" w:color="000000" w:fill="B6DDE8"/>
            <w:vAlign w:val="center"/>
            <w:hideMark/>
          </w:tcPr>
          <w:p w:rsidR="00705F07" w:rsidRDefault="00185A37">
            <w:pPr>
              <w:jc w:val="center"/>
              <w:rPr>
                <w:color w:val="000000"/>
                <w:sz w:val="12"/>
                <w:szCs w:val="12"/>
              </w:rPr>
            </w:pPr>
            <w:r>
              <w:rPr>
                <w:color w:val="000000"/>
                <w:sz w:val="12"/>
                <w:szCs w:val="12"/>
              </w:rPr>
              <w:t>Сальдо (продаж мінус купівля, млн. дол США)</w:t>
            </w:r>
          </w:p>
        </w:tc>
        <w:tc>
          <w:tcPr>
            <w:tcW w:w="606" w:type="dxa"/>
            <w:shd w:val="clear" w:color="000000" w:fill="B6DDE8"/>
            <w:vAlign w:val="center"/>
            <w:hideMark/>
          </w:tcPr>
          <w:p w:rsidR="00705F07" w:rsidRDefault="00185A37">
            <w:pPr>
              <w:jc w:val="center"/>
              <w:rPr>
                <w:color w:val="000000"/>
                <w:sz w:val="12"/>
                <w:szCs w:val="12"/>
              </w:rPr>
            </w:pPr>
            <w:r>
              <w:rPr>
                <w:color w:val="000000"/>
                <w:sz w:val="12"/>
                <w:szCs w:val="12"/>
              </w:rPr>
              <w:t>-4,4</w:t>
            </w:r>
          </w:p>
        </w:tc>
        <w:tc>
          <w:tcPr>
            <w:tcW w:w="606" w:type="dxa"/>
            <w:shd w:val="clear" w:color="000000" w:fill="B6DDE8"/>
            <w:vAlign w:val="center"/>
            <w:hideMark/>
          </w:tcPr>
          <w:p w:rsidR="00705F07" w:rsidRDefault="00185A37">
            <w:pPr>
              <w:jc w:val="center"/>
              <w:rPr>
                <w:color w:val="000000"/>
                <w:sz w:val="12"/>
                <w:szCs w:val="12"/>
              </w:rPr>
            </w:pPr>
            <w:r>
              <w:rPr>
                <w:color w:val="000000"/>
                <w:sz w:val="12"/>
                <w:szCs w:val="12"/>
              </w:rPr>
              <w:t>-3,5</w:t>
            </w:r>
          </w:p>
        </w:tc>
        <w:tc>
          <w:tcPr>
            <w:tcW w:w="703" w:type="dxa"/>
            <w:shd w:val="clear" w:color="000000" w:fill="B6DDE8"/>
            <w:vAlign w:val="center"/>
            <w:hideMark/>
          </w:tcPr>
          <w:p w:rsidR="00705F07" w:rsidRDefault="00185A37">
            <w:pPr>
              <w:jc w:val="center"/>
              <w:rPr>
                <w:color w:val="000000"/>
                <w:sz w:val="12"/>
                <w:szCs w:val="12"/>
              </w:rPr>
            </w:pPr>
            <w:r>
              <w:rPr>
                <w:color w:val="000000"/>
                <w:sz w:val="12"/>
                <w:szCs w:val="12"/>
              </w:rPr>
              <w:t>0,0</w:t>
            </w:r>
          </w:p>
        </w:tc>
        <w:tc>
          <w:tcPr>
            <w:tcW w:w="646" w:type="dxa"/>
            <w:shd w:val="clear" w:color="000000" w:fill="B6DDE8"/>
            <w:vAlign w:val="center"/>
            <w:hideMark/>
          </w:tcPr>
          <w:p w:rsidR="00705F07" w:rsidRDefault="00185A37">
            <w:pPr>
              <w:jc w:val="center"/>
              <w:rPr>
                <w:color w:val="000000"/>
                <w:sz w:val="12"/>
                <w:szCs w:val="12"/>
              </w:rPr>
            </w:pPr>
            <w:r>
              <w:rPr>
                <w:color w:val="000000"/>
                <w:sz w:val="12"/>
                <w:szCs w:val="12"/>
              </w:rPr>
              <w:t>2,2</w:t>
            </w:r>
          </w:p>
        </w:tc>
        <w:tc>
          <w:tcPr>
            <w:tcW w:w="674" w:type="dxa"/>
            <w:shd w:val="clear" w:color="000000" w:fill="B6DDE8"/>
            <w:vAlign w:val="center"/>
            <w:hideMark/>
          </w:tcPr>
          <w:p w:rsidR="00705F07" w:rsidRDefault="00185A37">
            <w:pPr>
              <w:jc w:val="center"/>
              <w:rPr>
                <w:color w:val="000000"/>
                <w:sz w:val="12"/>
                <w:szCs w:val="12"/>
              </w:rPr>
            </w:pPr>
            <w:r>
              <w:rPr>
                <w:color w:val="000000"/>
                <w:sz w:val="12"/>
                <w:szCs w:val="12"/>
              </w:rPr>
              <w:t>3,3</w:t>
            </w:r>
          </w:p>
        </w:tc>
        <w:tc>
          <w:tcPr>
            <w:tcW w:w="675" w:type="dxa"/>
            <w:shd w:val="clear" w:color="000000" w:fill="B6DDE8"/>
            <w:vAlign w:val="center"/>
            <w:hideMark/>
          </w:tcPr>
          <w:p w:rsidR="00705F07" w:rsidRDefault="00185A37">
            <w:pPr>
              <w:jc w:val="center"/>
              <w:rPr>
                <w:color w:val="000000"/>
                <w:sz w:val="12"/>
                <w:szCs w:val="12"/>
              </w:rPr>
            </w:pPr>
            <w:r>
              <w:rPr>
                <w:color w:val="000000"/>
                <w:sz w:val="12"/>
                <w:szCs w:val="12"/>
              </w:rPr>
              <w:t>-1,4</w:t>
            </w:r>
          </w:p>
        </w:tc>
        <w:tc>
          <w:tcPr>
            <w:tcW w:w="689" w:type="dxa"/>
            <w:shd w:val="clear" w:color="000000" w:fill="B6DDE8"/>
            <w:vAlign w:val="center"/>
            <w:hideMark/>
          </w:tcPr>
          <w:p w:rsidR="00705F07" w:rsidRDefault="00185A37">
            <w:pPr>
              <w:jc w:val="center"/>
              <w:rPr>
                <w:color w:val="000000"/>
                <w:sz w:val="12"/>
                <w:szCs w:val="12"/>
              </w:rPr>
            </w:pPr>
            <w:r>
              <w:rPr>
                <w:color w:val="000000"/>
                <w:sz w:val="12"/>
                <w:szCs w:val="12"/>
              </w:rPr>
              <w:t>2,2</w:t>
            </w:r>
          </w:p>
        </w:tc>
        <w:tc>
          <w:tcPr>
            <w:tcW w:w="732" w:type="dxa"/>
            <w:shd w:val="clear" w:color="000000" w:fill="B6DDE8"/>
            <w:vAlign w:val="center"/>
            <w:hideMark/>
          </w:tcPr>
          <w:p w:rsidR="00705F07" w:rsidRDefault="00185A37">
            <w:pPr>
              <w:jc w:val="center"/>
              <w:rPr>
                <w:color w:val="000000"/>
                <w:sz w:val="12"/>
                <w:szCs w:val="12"/>
              </w:rPr>
            </w:pPr>
            <w:r>
              <w:rPr>
                <w:color w:val="000000"/>
                <w:sz w:val="12"/>
                <w:szCs w:val="12"/>
              </w:rPr>
              <w:t>-2,7</w:t>
            </w:r>
          </w:p>
        </w:tc>
        <w:tc>
          <w:tcPr>
            <w:tcW w:w="758" w:type="dxa"/>
            <w:shd w:val="clear" w:color="000000" w:fill="B6DDE8"/>
            <w:vAlign w:val="center"/>
            <w:hideMark/>
          </w:tcPr>
          <w:p w:rsidR="00705F07" w:rsidRDefault="00185A37">
            <w:pPr>
              <w:jc w:val="center"/>
              <w:rPr>
                <w:color w:val="000000"/>
                <w:sz w:val="12"/>
                <w:szCs w:val="12"/>
              </w:rPr>
            </w:pPr>
            <w:r>
              <w:rPr>
                <w:color w:val="000000"/>
                <w:sz w:val="12"/>
                <w:szCs w:val="12"/>
              </w:rPr>
              <w:t>-1,6</w:t>
            </w:r>
          </w:p>
        </w:tc>
        <w:tc>
          <w:tcPr>
            <w:tcW w:w="755" w:type="dxa"/>
            <w:shd w:val="clear" w:color="000000" w:fill="B6DDE8"/>
            <w:vAlign w:val="center"/>
            <w:hideMark/>
          </w:tcPr>
          <w:p w:rsidR="00705F07" w:rsidRDefault="00185A37">
            <w:pPr>
              <w:jc w:val="center"/>
              <w:rPr>
                <w:color w:val="000000"/>
                <w:sz w:val="12"/>
                <w:szCs w:val="12"/>
              </w:rPr>
            </w:pPr>
            <w:r>
              <w:rPr>
                <w:color w:val="000000"/>
                <w:sz w:val="12"/>
                <w:szCs w:val="12"/>
              </w:rPr>
              <w:t>-0,4</w:t>
            </w:r>
          </w:p>
        </w:tc>
        <w:tc>
          <w:tcPr>
            <w:tcW w:w="782" w:type="dxa"/>
            <w:shd w:val="clear" w:color="000000" w:fill="B6DDE8"/>
            <w:vAlign w:val="center"/>
            <w:hideMark/>
          </w:tcPr>
          <w:p w:rsidR="00705F07" w:rsidRDefault="00185A37">
            <w:pPr>
              <w:jc w:val="center"/>
              <w:rPr>
                <w:color w:val="000000"/>
                <w:sz w:val="12"/>
                <w:szCs w:val="12"/>
              </w:rPr>
            </w:pPr>
            <w:r>
              <w:rPr>
                <w:color w:val="000000"/>
                <w:sz w:val="12"/>
                <w:szCs w:val="12"/>
              </w:rPr>
              <w:t>-1,9</w:t>
            </w:r>
          </w:p>
        </w:tc>
        <w:tc>
          <w:tcPr>
            <w:tcW w:w="721" w:type="dxa"/>
            <w:shd w:val="clear" w:color="000000" w:fill="B6DDE8"/>
            <w:vAlign w:val="center"/>
            <w:hideMark/>
          </w:tcPr>
          <w:p w:rsidR="00705F07" w:rsidRDefault="00185A37">
            <w:pPr>
              <w:jc w:val="center"/>
              <w:rPr>
                <w:color w:val="000000"/>
                <w:sz w:val="12"/>
                <w:szCs w:val="12"/>
              </w:rPr>
            </w:pPr>
            <w:r>
              <w:rPr>
                <w:color w:val="000000"/>
                <w:sz w:val="12"/>
                <w:szCs w:val="12"/>
              </w:rPr>
              <w:t>4,1</w:t>
            </w:r>
          </w:p>
        </w:tc>
      </w:tr>
      <w:tr w:rsidR="00705F07">
        <w:trPr>
          <w:trHeight w:val="165"/>
          <w:jc w:val="center"/>
        </w:trPr>
        <w:tc>
          <w:tcPr>
            <w:tcW w:w="1257" w:type="dxa"/>
            <w:vAlign w:val="center"/>
            <w:hideMark/>
          </w:tcPr>
          <w:p w:rsidR="00705F07" w:rsidRDefault="00185A37">
            <w:pPr>
              <w:jc w:val="center"/>
              <w:rPr>
                <w:color w:val="000000"/>
                <w:sz w:val="12"/>
                <w:szCs w:val="12"/>
              </w:rPr>
            </w:pPr>
            <w:r>
              <w:rPr>
                <w:color w:val="000000"/>
                <w:sz w:val="12"/>
                <w:szCs w:val="12"/>
              </w:rPr>
              <w:t xml:space="preserve">         продажу (млн. євро в доларовому еквіваленті)</w:t>
            </w:r>
          </w:p>
        </w:tc>
        <w:tc>
          <w:tcPr>
            <w:tcW w:w="606" w:type="dxa"/>
            <w:vAlign w:val="center"/>
            <w:hideMark/>
          </w:tcPr>
          <w:p w:rsidR="00705F07" w:rsidRDefault="00185A37">
            <w:pPr>
              <w:jc w:val="center"/>
              <w:rPr>
                <w:color w:val="000000"/>
                <w:sz w:val="12"/>
                <w:szCs w:val="12"/>
              </w:rPr>
            </w:pPr>
            <w:r>
              <w:rPr>
                <w:color w:val="000000"/>
                <w:sz w:val="12"/>
                <w:szCs w:val="12"/>
              </w:rPr>
              <w:t>180,8</w:t>
            </w:r>
          </w:p>
        </w:tc>
        <w:tc>
          <w:tcPr>
            <w:tcW w:w="606" w:type="dxa"/>
            <w:vAlign w:val="center"/>
            <w:hideMark/>
          </w:tcPr>
          <w:p w:rsidR="00705F07" w:rsidRDefault="00185A37">
            <w:pPr>
              <w:jc w:val="center"/>
              <w:rPr>
                <w:color w:val="000000"/>
                <w:sz w:val="12"/>
                <w:szCs w:val="12"/>
              </w:rPr>
            </w:pPr>
            <w:r>
              <w:rPr>
                <w:color w:val="000000"/>
                <w:sz w:val="12"/>
                <w:szCs w:val="12"/>
              </w:rPr>
              <w:t>198,7</w:t>
            </w:r>
          </w:p>
        </w:tc>
        <w:tc>
          <w:tcPr>
            <w:tcW w:w="703" w:type="dxa"/>
            <w:vAlign w:val="center"/>
            <w:hideMark/>
          </w:tcPr>
          <w:p w:rsidR="00705F07" w:rsidRDefault="00185A37">
            <w:pPr>
              <w:jc w:val="center"/>
              <w:rPr>
                <w:color w:val="000000"/>
                <w:sz w:val="12"/>
                <w:szCs w:val="12"/>
              </w:rPr>
            </w:pPr>
            <w:r>
              <w:rPr>
                <w:color w:val="000000"/>
                <w:sz w:val="12"/>
                <w:szCs w:val="12"/>
              </w:rPr>
              <w:t>217,6</w:t>
            </w:r>
          </w:p>
        </w:tc>
        <w:tc>
          <w:tcPr>
            <w:tcW w:w="646" w:type="dxa"/>
            <w:vAlign w:val="center"/>
            <w:hideMark/>
          </w:tcPr>
          <w:p w:rsidR="00705F07" w:rsidRDefault="00185A37">
            <w:pPr>
              <w:jc w:val="center"/>
              <w:rPr>
                <w:color w:val="000000"/>
                <w:sz w:val="12"/>
                <w:szCs w:val="12"/>
              </w:rPr>
            </w:pPr>
            <w:r>
              <w:rPr>
                <w:color w:val="000000"/>
                <w:sz w:val="12"/>
                <w:szCs w:val="12"/>
              </w:rPr>
              <w:t>227,8</w:t>
            </w:r>
          </w:p>
        </w:tc>
        <w:tc>
          <w:tcPr>
            <w:tcW w:w="674" w:type="dxa"/>
            <w:vAlign w:val="center"/>
            <w:hideMark/>
          </w:tcPr>
          <w:p w:rsidR="00705F07" w:rsidRDefault="00185A37">
            <w:pPr>
              <w:jc w:val="center"/>
              <w:rPr>
                <w:color w:val="000000"/>
                <w:sz w:val="12"/>
                <w:szCs w:val="12"/>
              </w:rPr>
            </w:pPr>
            <w:r>
              <w:rPr>
                <w:color w:val="000000"/>
                <w:sz w:val="12"/>
                <w:szCs w:val="12"/>
              </w:rPr>
              <w:t>234,7</w:t>
            </w:r>
          </w:p>
        </w:tc>
        <w:tc>
          <w:tcPr>
            <w:tcW w:w="675" w:type="dxa"/>
            <w:vAlign w:val="center"/>
            <w:hideMark/>
          </w:tcPr>
          <w:p w:rsidR="00705F07" w:rsidRDefault="00185A37">
            <w:pPr>
              <w:jc w:val="center"/>
              <w:rPr>
                <w:color w:val="000000"/>
                <w:sz w:val="12"/>
                <w:szCs w:val="12"/>
              </w:rPr>
            </w:pPr>
            <w:r>
              <w:rPr>
                <w:color w:val="000000"/>
                <w:sz w:val="12"/>
                <w:szCs w:val="12"/>
              </w:rPr>
              <w:t>217,2</w:t>
            </w:r>
          </w:p>
        </w:tc>
        <w:tc>
          <w:tcPr>
            <w:tcW w:w="689" w:type="dxa"/>
            <w:vAlign w:val="center"/>
            <w:hideMark/>
          </w:tcPr>
          <w:p w:rsidR="00705F07" w:rsidRDefault="00185A37">
            <w:pPr>
              <w:jc w:val="center"/>
              <w:rPr>
                <w:color w:val="000000"/>
                <w:sz w:val="12"/>
                <w:szCs w:val="12"/>
              </w:rPr>
            </w:pPr>
            <w:r>
              <w:rPr>
                <w:color w:val="000000"/>
                <w:sz w:val="12"/>
                <w:szCs w:val="12"/>
              </w:rPr>
              <w:t>246,3</w:t>
            </w:r>
          </w:p>
        </w:tc>
        <w:tc>
          <w:tcPr>
            <w:tcW w:w="732" w:type="dxa"/>
            <w:vAlign w:val="center"/>
            <w:hideMark/>
          </w:tcPr>
          <w:p w:rsidR="00705F07" w:rsidRDefault="00185A37">
            <w:pPr>
              <w:jc w:val="center"/>
              <w:rPr>
                <w:color w:val="000000"/>
                <w:sz w:val="12"/>
                <w:szCs w:val="12"/>
              </w:rPr>
            </w:pPr>
            <w:r>
              <w:rPr>
                <w:color w:val="000000"/>
                <w:sz w:val="12"/>
                <w:szCs w:val="12"/>
              </w:rPr>
              <w:t>248,5</w:t>
            </w:r>
          </w:p>
        </w:tc>
        <w:tc>
          <w:tcPr>
            <w:tcW w:w="758" w:type="dxa"/>
            <w:vAlign w:val="center"/>
            <w:hideMark/>
          </w:tcPr>
          <w:p w:rsidR="00705F07" w:rsidRDefault="00185A37">
            <w:pPr>
              <w:jc w:val="center"/>
              <w:rPr>
                <w:color w:val="000000"/>
                <w:sz w:val="12"/>
                <w:szCs w:val="12"/>
              </w:rPr>
            </w:pPr>
            <w:r>
              <w:rPr>
                <w:color w:val="000000"/>
                <w:sz w:val="12"/>
                <w:szCs w:val="12"/>
              </w:rPr>
              <w:t>223,9</w:t>
            </w:r>
          </w:p>
        </w:tc>
        <w:tc>
          <w:tcPr>
            <w:tcW w:w="755" w:type="dxa"/>
            <w:vAlign w:val="center"/>
            <w:hideMark/>
          </w:tcPr>
          <w:p w:rsidR="00705F07" w:rsidRDefault="00185A37">
            <w:pPr>
              <w:jc w:val="center"/>
              <w:rPr>
                <w:color w:val="000000"/>
                <w:sz w:val="12"/>
                <w:szCs w:val="12"/>
              </w:rPr>
            </w:pPr>
            <w:r>
              <w:rPr>
                <w:color w:val="000000"/>
                <w:sz w:val="12"/>
                <w:szCs w:val="12"/>
              </w:rPr>
              <w:t>231,2</w:t>
            </w:r>
          </w:p>
        </w:tc>
        <w:tc>
          <w:tcPr>
            <w:tcW w:w="782" w:type="dxa"/>
            <w:vAlign w:val="center"/>
            <w:hideMark/>
          </w:tcPr>
          <w:p w:rsidR="00705F07" w:rsidRDefault="00185A37">
            <w:pPr>
              <w:jc w:val="center"/>
              <w:rPr>
                <w:color w:val="000000"/>
                <w:sz w:val="12"/>
                <w:szCs w:val="12"/>
              </w:rPr>
            </w:pPr>
            <w:r>
              <w:rPr>
                <w:color w:val="000000"/>
                <w:sz w:val="12"/>
                <w:szCs w:val="12"/>
              </w:rPr>
              <w:t>210,0</w:t>
            </w:r>
          </w:p>
        </w:tc>
        <w:tc>
          <w:tcPr>
            <w:tcW w:w="721" w:type="dxa"/>
            <w:vAlign w:val="center"/>
            <w:hideMark/>
          </w:tcPr>
          <w:p w:rsidR="00705F07" w:rsidRDefault="00185A37">
            <w:pPr>
              <w:jc w:val="center"/>
              <w:rPr>
                <w:color w:val="000000"/>
                <w:sz w:val="12"/>
                <w:szCs w:val="12"/>
              </w:rPr>
            </w:pPr>
            <w:r>
              <w:rPr>
                <w:color w:val="000000"/>
                <w:sz w:val="12"/>
                <w:szCs w:val="12"/>
              </w:rPr>
              <w:t>218,6</w:t>
            </w:r>
          </w:p>
        </w:tc>
      </w:tr>
      <w:tr w:rsidR="00705F07">
        <w:trPr>
          <w:trHeight w:val="165"/>
          <w:jc w:val="center"/>
        </w:trPr>
        <w:tc>
          <w:tcPr>
            <w:tcW w:w="1257" w:type="dxa"/>
            <w:vAlign w:val="center"/>
            <w:hideMark/>
          </w:tcPr>
          <w:p w:rsidR="00705F07" w:rsidRDefault="00185A37">
            <w:pPr>
              <w:jc w:val="center"/>
              <w:rPr>
                <w:color w:val="000000"/>
                <w:sz w:val="12"/>
                <w:szCs w:val="12"/>
              </w:rPr>
            </w:pPr>
            <w:r>
              <w:rPr>
                <w:color w:val="000000"/>
                <w:sz w:val="12"/>
                <w:szCs w:val="12"/>
              </w:rPr>
              <w:t xml:space="preserve">         купівлі (млн. євро в доларовому еквіваленті)</w:t>
            </w:r>
          </w:p>
        </w:tc>
        <w:tc>
          <w:tcPr>
            <w:tcW w:w="606" w:type="dxa"/>
            <w:vAlign w:val="center"/>
            <w:hideMark/>
          </w:tcPr>
          <w:p w:rsidR="00705F07" w:rsidRDefault="00185A37">
            <w:pPr>
              <w:jc w:val="center"/>
              <w:rPr>
                <w:color w:val="000000"/>
                <w:sz w:val="12"/>
                <w:szCs w:val="12"/>
              </w:rPr>
            </w:pPr>
            <w:r>
              <w:rPr>
                <w:color w:val="000000"/>
                <w:sz w:val="12"/>
                <w:szCs w:val="12"/>
              </w:rPr>
              <w:t>181,6</w:t>
            </w:r>
          </w:p>
        </w:tc>
        <w:tc>
          <w:tcPr>
            <w:tcW w:w="606" w:type="dxa"/>
            <w:vAlign w:val="center"/>
            <w:hideMark/>
          </w:tcPr>
          <w:p w:rsidR="00705F07" w:rsidRDefault="00185A37">
            <w:pPr>
              <w:jc w:val="center"/>
              <w:rPr>
                <w:color w:val="000000"/>
                <w:sz w:val="12"/>
                <w:szCs w:val="12"/>
              </w:rPr>
            </w:pPr>
            <w:r>
              <w:rPr>
                <w:color w:val="000000"/>
                <w:sz w:val="12"/>
                <w:szCs w:val="12"/>
              </w:rPr>
              <w:t>199,6</w:t>
            </w:r>
          </w:p>
        </w:tc>
        <w:tc>
          <w:tcPr>
            <w:tcW w:w="703" w:type="dxa"/>
            <w:vAlign w:val="center"/>
            <w:hideMark/>
          </w:tcPr>
          <w:p w:rsidR="00705F07" w:rsidRDefault="00185A37">
            <w:pPr>
              <w:jc w:val="center"/>
              <w:rPr>
                <w:color w:val="000000"/>
                <w:sz w:val="12"/>
                <w:szCs w:val="12"/>
              </w:rPr>
            </w:pPr>
            <w:r>
              <w:rPr>
                <w:color w:val="000000"/>
                <w:sz w:val="12"/>
                <w:szCs w:val="12"/>
              </w:rPr>
              <w:t>218,0</w:t>
            </w:r>
          </w:p>
        </w:tc>
        <w:tc>
          <w:tcPr>
            <w:tcW w:w="646" w:type="dxa"/>
            <w:vAlign w:val="center"/>
            <w:hideMark/>
          </w:tcPr>
          <w:p w:rsidR="00705F07" w:rsidRDefault="00185A37">
            <w:pPr>
              <w:jc w:val="center"/>
              <w:rPr>
                <w:color w:val="000000"/>
                <w:sz w:val="12"/>
                <w:szCs w:val="12"/>
              </w:rPr>
            </w:pPr>
            <w:r>
              <w:rPr>
                <w:color w:val="000000"/>
                <w:sz w:val="12"/>
                <w:szCs w:val="12"/>
              </w:rPr>
              <w:t>228,6</w:t>
            </w:r>
          </w:p>
        </w:tc>
        <w:tc>
          <w:tcPr>
            <w:tcW w:w="674" w:type="dxa"/>
            <w:vAlign w:val="center"/>
            <w:hideMark/>
          </w:tcPr>
          <w:p w:rsidR="00705F07" w:rsidRDefault="00185A37">
            <w:pPr>
              <w:jc w:val="center"/>
              <w:rPr>
                <w:color w:val="000000"/>
                <w:sz w:val="12"/>
                <w:szCs w:val="12"/>
              </w:rPr>
            </w:pPr>
            <w:r>
              <w:rPr>
                <w:color w:val="000000"/>
                <w:sz w:val="12"/>
                <w:szCs w:val="12"/>
              </w:rPr>
              <w:t>232,1</w:t>
            </w:r>
          </w:p>
        </w:tc>
        <w:tc>
          <w:tcPr>
            <w:tcW w:w="675" w:type="dxa"/>
            <w:vAlign w:val="center"/>
            <w:hideMark/>
          </w:tcPr>
          <w:p w:rsidR="00705F07" w:rsidRDefault="00185A37">
            <w:pPr>
              <w:jc w:val="center"/>
              <w:rPr>
                <w:color w:val="000000"/>
                <w:sz w:val="12"/>
                <w:szCs w:val="12"/>
              </w:rPr>
            </w:pPr>
            <w:r>
              <w:rPr>
                <w:color w:val="000000"/>
                <w:sz w:val="12"/>
                <w:szCs w:val="12"/>
              </w:rPr>
              <w:t>217,6</w:t>
            </w:r>
          </w:p>
        </w:tc>
        <w:tc>
          <w:tcPr>
            <w:tcW w:w="689" w:type="dxa"/>
            <w:vAlign w:val="center"/>
            <w:hideMark/>
          </w:tcPr>
          <w:p w:rsidR="00705F07" w:rsidRDefault="00185A37">
            <w:pPr>
              <w:jc w:val="center"/>
              <w:rPr>
                <w:color w:val="000000"/>
                <w:sz w:val="12"/>
                <w:szCs w:val="12"/>
              </w:rPr>
            </w:pPr>
            <w:r>
              <w:rPr>
                <w:color w:val="000000"/>
                <w:sz w:val="12"/>
                <w:szCs w:val="12"/>
              </w:rPr>
              <w:t>247,5</w:t>
            </w:r>
          </w:p>
        </w:tc>
        <w:tc>
          <w:tcPr>
            <w:tcW w:w="732" w:type="dxa"/>
            <w:vAlign w:val="center"/>
            <w:hideMark/>
          </w:tcPr>
          <w:p w:rsidR="00705F07" w:rsidRDefault="00185A37">
            <w:pPr>
              <w:jc w:val="center"/>
              <w:rPr>
                <w:color w:val="000000"/>
                <w:sz w:val="12"/>
                <w:szCs w:val="12"/>
              </w:rPr>
            </w:pPr>
            <w:r>
              <w:rPr>
                <w:color w:val="000000"/>
                <w:sz w:val="12"/>
                <w:szCs w:val="12"/>
              </w:rPr>
              <w:t>249,2</w:t>
            </w:r>
          </w:p>
        </w:tc>
        <w:tc>
          <w:tcPr>
            <w:tcW w:w="758" w:type="dxa"/>
            <w:vAlign w:val="center"/>
            <w:hideMark/>
          </w:tcPr>
          <w:p w:rsidR="00705F07" w:rsidRDefault="00185A37">
            <w:pPr>
              <w:jc w:val="center"/>
              <w:rPr>
                <w:color w:val="000000"/>
                <w:sz w:val="12"/>
                <w:szCs w:val="12"/>
              </w:rPr>
            </w:pPr>
            <w:r>
              <w:rPr>
                <w:color w:val="000000"/>
                <w:sz w:val="12"/>
                <w:szCs w:val="12"/>
              </w:rPr>
              <w:t>224,2</w:t>
            </w:r>
          </w:p>
        </w:tc>
        <w:tc>
          <w:tcPr>
            <w:tcW w:w="755" w:type="dxa"/>
            <w:vAlign w:val="center"/>
            <w:hideMark/>
          </w:tcPr>
          <w:p w:rsidR="00705F07" w:rsidRDefault="00185A37">
            <w:pPr>
              <w:jc w:val="center"/>
              <w:rPr>
                <w:color w:val="000000"/>
                <w:sz w:val="12"/>
                <w:szCs w:val="12"/>
              </w:rPr>
            </w:pPr>
            <w:r>
              <w:rPr>
                <w:color w:val="000000"/>
                <w:sz w:val="12"/>
                <w:szCs w:val="12"/>
              </w:rPr>
              <w:t>231,0</w:t>
            </w:r>
          </w:p>
        </w:tc>
        <w:tc>
          <w:tcPr>
            <w:tcW w:w="782" w:type="dxa"/>
            <w:vAlign w:val="center"/>
            <w:hideMark/>
          </w:tcPr>
          <w:p w:rsidR="00705F07" w:rsidRDefault="00185A37">
            <w:pPr>
              <w:jc w:val="center"/>
              <w:rPr>
                <w:color w:val="000000"/>
                <w:sz w:val="12"/>
                <w:szCs w:val="12"/>
              </w:rPr>
            </w:pPr>
            <w:r>
              <w:rPr>
                <w:color w:val="000000"/>
                <w:sz w:val="12"/>
                <w:szCs w:val="12"/>
              </w:rPr>
              <w:t>209,1</w:t>
            </w:r>
          </w:p>
        </w:tc>
        <w:tc>
          <w:tcPr>
            <w:tcW w:w="721" w:type="dxa"/>
            <w:vAlign w:val="center"/>
            <w:hideMark/>
          </w:tcPr>
          <w:p w:rsidR="00705F07" w:rsidRDefault="00185A37">
            <w:pPr>
              <w:jc w:val="center"/>
              <w:rPr>
                <w:color w:val="000000"/>
                <w:sz w:val="12"/>
                <w:szCs w:val="12"/>
              </w:rPr>
            </w:pPr>
            <w:r>
              <w:rPr>
                <w:color w:val="000000"/>
                <w:sz w:val="12"/>
                <w:szCs w:val="12"/>
              </w:rPr>
              <w:t>219,1</w:t>
            </w:r>
          </w:p>
        </w:tc>
      </w:tr>
      <w:tr w:rsidR="00705F07">
        <w:trPr>
          <w:trHeight w:val="165"/>
          <w:jc w:val="center"/>
        </w:trPr>
        <w:tc>
          <w:tcPr>
            <w:tcW w:w="1257" w:type="dxa"/>
            <w:shd w:val="clear" w:color="000000" w:fill="B6DDE8"/>
            <w:vAlign w:val="center"/>
            <w:hideMark/>
          </w:tcPr>
          <w:p w:rsidR="00705F07" w:rsidRDefault="00185A37">
            <w:pPr>
              <w:jc w:val="center"/>
              <w:rPr>
                <w:color w:val="000000"/>
                <w:sz w:val="12"/>
                <w:szCs w:val="12"/>
              </w:rPr>
            </w:pPr>
            <w:r>
              <w:rPr>
                <w:color w:val="000000"/>
                <w:sz w:val="12"/>
                <w:szCs w:val="12"/>
              </w:rPr>
              <w:t>Сальдо (продаж мінус купівля, млн. євро в доларовому еквів.)</w:t>
            </w:r>
          </w:p>
        </w:tc>
        <w:tc>
          <w:tcPr>
            <w:tcW w:w="606" w:type="dxa"/>
            <w:shd w:val="clear" w:color="000000" w:fill="B6DDE8"/>
            <w:vAlign w:val="center"/>
            <w:hideMark/>
          </w:tcPr>
          <w:p w:rsidR="00705F07" w:rsidRDefault="00185A37">
            <w:pPr>
              <w:jc w:val="center"/>
              <w:rPr>
                <w:color w:val="000000"/>
                <w:sz w:val="12"/>
                <w:szCs w:val="12"/>
              </w:rPr>
            </w:pPr>
            <w:r>
              <w:rPr>
                <w:color w:val="000000"/>
                <w:sz w:val="12"/>
                <w:szCs w:val="12"/>
              </w:rPr>
              <w:t>-0,8</w:t>
            </w:r>
          </w:p>
        </w:tc>
        <w:tc>
          <w:tcPr>
            <w:tcW w:w="606" w:type="dxa"/>
            <w:shd w:val="clear" w:color="000000" w:fill="B6DDE8"/>
            <w:vAlign w:val="center"/>
            <w:hideMark/>
          </w:tcPr>
          <w:p w:rsidR="00705F07" w:rsidRDefault="00185A37">
            <w:pPr>
              <w:jc w:val="center"/>
              <w:rPr>
                <w:color w:val="000000"/>
                <w:sz w:val="12"/>
                <w:szCs w:val="12"/>
              </w:rPr>
            </w:pPr>
            <w:r>
              <w:rPr>
                <w:color w:val="000000"/>
                <w:sz w:val="12"/>
                <w:szCs w:val="12"/>
              </w:rPr>
              <w:t>-0,8</w:t>
            </w:r>
          </w:p>
        </w:tc>
        <w:tc>
          <w:tcPr>
            <w:tcW w:w="703" w:type="dxa"/>
            <w:shd w:val="clear" w:color="000000" w:fill="B6DDE8"/>
            <w:vAlign w:val="center"/>
            <w:hideMark/>
          </w:tcPr>
          <w:p w:rsidR="00705F07" w:rsidRDefault="00185A37">
            <w:pPr>
              <w:jc w:val="center"/>
              <w:rPr>
                <w:color w:val="000000"/>
                <w:sz w:val="12"/>
                <w:szCs w:val="12"/>
              </w:rPr>
            </w:pPr>
            <w:r>
              <w:rPr>
                <w:color w:val="000000"/>
                <w:sz w:val="12"/>
                <w:szCs w:val="12"/>
              </w:rPr>
              <w:t>-0,4</w:t>
            </w:r>
          </w:p>
        </w:tc>
        <w:tc>
          <w:tcPr>
            <w:tcW w:w="646" w:type="dxa"/>
            <w:shd w:val="clear" w:color="000000" w:fill="B6DDE8"/>
            <w:vAlign w:val="center"/>
            <w:hideMark/>
          </w:tcPr>
          <w:p w:rsidR="00705F07" w:rsidRDefault="00185A37">
            <w:pPr>
              <w:jc w:val="center"/>
              <w:rPr>
                <w:color w:val="000000"/>
                <w:sz w:val="12"/>
                <w:szCs w:val="12"/>
              </w:rPr>
            </w:pPr>
            <w:r>
              <w:rPr>
                <w:color w:val="000000"/>
                <w:sz w:val="12"/>
                <w:szCs w:val="12"/>
              </w:rPr>
              <w:t>-0,8</w:t>
            </w:r>
          </w:p>
        </w:tc>
        <w:tc>
          <w:tcPr>
            <w:tcW w:w="674" w:type="dxa"/>
            <w:shd w:val="clear" w:color="000000" w:fill="B6DDE8"/>
            <w:vAlign w:val="center"/>
            <w:hideMark/>
          </w:tcPr>
          <w:p w:rsidR="00705F07" w:rsidRDefault="00185A37">
            <w:pPr>
              <w:jc w:val="center"/>
              <w:rPr>
                <w:color w:val="000000"/>
                <w:sz w:val="12"/>
                <w:szCs w:val="12"/>
              </w:rPr>
            </w:pPr>
            <w:r>
              <w:rPr>
                <w:color w:val="000000"/>
                <w:sz w:val="12"/>
                <w:szCs w:val="12"/>
              </w:rPr>
              <w:t>2,7</w:t>
            </w:r>
          </w:p>
        </w:tc>
        <w:tc>
          <w:tcPr>
            <w:tcW w:w="675" w:type="dxa"/>
            <w:shd w:val="clear" w:color="000000" w:fill="B6DDE8"/>
            <w:vAlign w:val="center"/>
            <w:hideMark/>
          </w:tcPr>
          <w:p w:rsidR="00705F07" w:rsidRDefault="00185A37">
            <w:pPr>
              <w:jc w:val="center"/>
              <w:rPr>
                <w:color w:val="000000"/>
                <w:sz w:val="12"/>
                <w:szCs w:val="12"/>
              </w:rPr>
            </w:pPr>
            <w:r>
              <w:rPr>
                <w:color w:val="000000"/>
                <w:sz w:val="12"/>
                <w:szCs w:val="12"/>
              </w:rPr>
              <w:t>-0,5</w:t>
            </w:r>
          </w:p>
        </w:tc>
        <w:tc>
          <w:tcPr>
            <w:tcW w:w="689" w:type="dxa"/>
            <w:shd w:val="clear" w:color="000000" w:fill="B6DDE8"/>
            <w:vAlign w:val="center"/>
            <w:hideMark/>
          </w:tcPr>
          <w:p w:rsidR="00705F07" w:rsidRDefault="00185A37">
            <w:pPr>
              <w:jc w:val="center"/>
              <w:rPr>
                <w:color w:val="000000"/>
                <w:sz w:val="12"/>
                <w:szCs w:val="12"/>
              </w:rPr>
            </w:pPr>
            <w:r>
              <w:rPr>
                <w:color w:val="000000"/>
                <w:sz w:val="12"/>
                <w:szCs w:val="12"/>
              </w:rPr>
              <w:t>-1,2</w:t>
            </w:r>
          </w:p>
        </w:tc>
        <w:tc>
          <w:tcPr>
            <w:tcW w:w="732" w:type="dxa"/>
            <w:shd w:val="clear" w:color="000000" w:fill="B6DDE8"/>
            <w:vAlign w:val="center"/>
            <w:hideMark/>
          </w:tcPr>
          <w:p w:rsidR="00705F07" w:rsidRDefault="00185A37">
            <w:pPr>
              <w:jc w:val="center"/>
              <w:rPr>
                <w:color w:val="000000"/>
                <w:sz w:val="12"/>
                <w:szCs w:val="12"/>
              </w:rPr>
            </w:pPr>
            <w:r>
              <w:rPr>
                <w:color w:val="000000"/>
                <w:sz w:val="12"/>
                <w:szCs w:val="12"/>
              </w:rPr>
              <w:t>-0,7</w:t>
            </w:r>
          </w:p>
        </w:tc>
        <w:tc>
          <w:tcPr>
            <w:tcW w:w="758" w:type="dxa"/>
            <w:shd w:val="clear" w:color="000000" w:fill="B6DDE8"/>
            <w:vAlign w:val="center"/>
            <w:hideMark/>
          </w:tcPr>
          <w:p w:rsidR="00705F07" w:rsidRDefault="00185A37">
            <w:pPr>
              <w:jc w:val="center"/>
              <w:rPr>
                <w:color w:val="000000"/>
                <w:sz w:val="12"/>
                <w:szCs w:val="12"/>
              </w:rPr>
            </w:pPr>
            <w:r>
              <w:rPr>
                <w:color w:val="000000"/>
                <w:sz w:val="12"/>
                <w:szCs w:val="12"/>
              </w:rPr>
              <w:t>-0,2</w:t>
            </w:r>
          </w:p>
        </w:tc>
        <w:tc>
          <w:tcPr>
            <w:tcW w:w="755" w:type="dxa"/>
            <w:shd w:val="clear" w:color="000000" w:fill="B6DDE8"/>
            <w:vAlign w:val="center"/>
            <w:hideMark/>
          </w:tcPr>
          <w:p w:rsidR="00705F07" w:rsidRDefault="00185A37">
            <w:pPr>
              <w:jc w:val="center"/>
              <w:rPr>
                <w:color w:val="000000"/>
                <w:sz w:val="12"/>
                <w:szCs w:val="12"/>
              </w:rPr>
            </w:pPr>
            <w:r>
              <w:rPr>
                <w:color w:val="000000"/>
                <w:sz w:val="12"/>
                <w:szCs w:val="12"/>
              </w:rPr>
              <w:t>0,1</w:t>
            </w:r>
          </w:p>
        </w:tc>
        <w:tc>
          <w:tcPr>
            <w:tcW w:w="782" w:type="dxa"/>
            <w:shd w:val="clear" w:color="000000" w:fill="B6DDE8"/>
            <w:vAlign w:val="center"/>
            <w:hideMark/>
          </w:tcPr>
          <w:p w:rsidR="00705F07" w:rsidRDefault="00185A37">
            <w:pPr>
              <w:jc w:val="center"/>
              <w:rPr>
                <w:color w:val="000000"/>
                <w:sz w:val="12"/>
                <w:szCs w:val="12"/>
              </w:rPr>
            </w:pPr>
            <w:r>
              <w:rPr>
                <w:color w:val="000000"/>
                <w:sz w:val="12"/>
                <w:szCs w:val="12"/>
              </w:rPr>
              <w:t>0,9</w:t>
            </w:r>
          </w:p>
        </w:tc>
        <w:tc>
          <w:tcPr>
            <w:tcW w:w="721" w:type="dxa"/>
            <w:shd w:val="clear" w:color="000000" w:fill="B6DDE8"/>
            <w:vAlign w:val="center"/>
            <w:hideMark/>
          </w:tcPr>
          <w:p w:rsidR="00705F07" w:rsidRDefault="00185A37">
            <w:pPr>
              <w:jc w:val="center"/>
              <w:rPr>
                <w:color w:val="000000"/>
                <w:sz w:val="12"/>
                <w:szCs w:val="12"/>
              </w:rPr>
            </w:pPr>
            <w:r>
              <w:rPr>
                <w:color w:val="000000"/>
                <w:sz w:val="12"/>
                <w:szCs w:val="12"/>
              </w:rPr>
              <w:t>-0,5</w:t>
            </w:r>
          </w:p>
        </w:tc>
      </w:tr>
      <w:tr w:rsidR="00705F07">
        <w:trPr>
          <w:trHeight w:val="195"/>
          <w:jc w:val="center"/>
        </w:trPr>
        <w:tc>
          <w:tcPr>
            <w:tcW w:w="1257" w:type="dxa"/>
            <w:shd w:val="clear" w:color="000000" w:fill="D7E4BC"/>
            <w:vAlign w:val="center"/>
            <w:hideMark/>
          </w:tcPr>
          <w:p w:rsidR="00705F07" w:rsidRDefault="00185A37">
            <w:pPr>
              <w:jc w:val="center"/>
              <w:rPr>
                <w:bCs/>
                <w:color w:val="000000"/>
                <w:sz w:val="12"/>
                <w:szCs w:val="12"/>
              </w:rPr>
            </w:pPr>
            <w:r>
              <w:rPr>
                <w:bCs/>
                <w:color w:val="000000"/>
                <w:sz w:val="12"/>
                <w:szCs w:val="12"/>
              </w:rPr>
              <w:t>Обсяг операцій клієнтів банків з безготівковою іноземною валютою (млн. дол США в еквіваленті):</w:t>
            </w:r>
          </w:p>
        </w:tc>
        <w:tc>
          <w:tcPr>
            <w:tcW w:w="606" w:type="dxa"/>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06" w:type="dxa"/>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03" w:type="dxa"/>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46" w:type="dxa"/>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74" w:type="dxa"/>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75" w:type="dxa"/>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689" w:type="dxa"/>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32" w:type="dxa"/>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58" w:type="dxa"/>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55" w:type="dxa"/>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82" w:type="dxa"/>
            <w:shd w:val="clear" w:color="000000" w:fill="D7E4BC"/>
            <w:vAlign w:val="center"/>
            <w:hideMark/>
          </w:tcPr>
          <w:p w:rsidR="00705F07" w:rsidRDefault="00185A37">
            <w:pPr>
              <w:jc w:val="center"/>
              <w:rPr>
                <w:color w:val="000000"/>
                <w:sz w:val="12"/>
                <w:szCs w:val="12"/>
              </w:rPr>
            </w:pPr>
            <w:r>
              <w:rPr>
                <w:color w:val="000000"/>
                <w:sz w:val="12"/>
                <w:szCs w:val="12"/>
              </w:rPr>
              <w:t> </w:t>
            </w:r>
          </w:p>
        </w:tc>
        <w:tc>
          <w:tcPr>
            <w:tcW w:w="721" w:type="dxa"/>
            <w:shd w:val="clear" w:color="000000" w:fill="D7E4BC"/>
            <w:vAlign w:val="center"/>
            <w:hideMark/>
          </w:tcPr>
          <w:p w:rsidR="00705F07" w:rsidRDefault="00185A37">
            <w:pPr>
              <w:jc w:val="center"/>
              <w:rPr>
                <w:color w:val="000000"/>
                <w:sz w:val="12"/>
                <w:szCs w:val="12"/>
              </w:rPr>
            </w:pPr>
            <w:r>
              <w:rPr>
                <w:color w:val="000000"/>
                <w:sz w:val="12"/>
                <w:szCs w:val="12"/>
              </w:rPr>
              <w:t> </w:t>
            </w:r>
          </w:p>
        </w:tc>
      </w:tr>
      <w:tr w:rsidR="00705F07">
        <w:trPr>
          <w:trHeight w:val="165"/>
          <w:jc w:val="center"/>
        </w:trPr>
        <w:tc>
          <w:tcPr>
            <w:tcW w:w="1257" w:type="dxa"/>
            <w:vAlign w:val="center"/>
            <w:hideMark/>
          </w:tcPr>
          <w:p w:rsidR="00705F07" w:rsidRDefault="00185A37">
            <w:pPr>
              <w:jc w:val="center"/>
              <w:rPr>
                <w:color w:val="000000"/>
                <w:sz w:val="12"/>
                <w:szCs w:val="12"/>
              </w:rPr>
            </w:pPr>
            <w:r>
              <w:rPr>
                <w:color w:val="000000"/>
                <w:sz w:val="12"/>
                <w:szCs w:val="12"/>
              </w:rPr>
              <w:t xml:space="preserve">         продажу</w:t>
            </w:r>
          </w:p>
        </w:tc>
        <w:tc>
          <w:tcPr>
            <w:tcW w:w="606" w:type="dxa"/>
            <w:vAlign w:val="center"/>
            <w:hideMark/>
          </w:tcPr>
          <w:p w:rsidR="00705F07" w:rsidRDefault="00185A37">
            <w:pPr>
              <w:jc w:val="center"/>
              <w:rPr>
                <w:color w:val="000000"/>
                <w:sz w:val="12"/>
                <w:szCs w:val="12"/>
              </w:rPr>
            </w:pPr>
            <w:r>
              <w:rPr>
                <w:color w:val="000000"/>
                <w:sz w:val="12"/>
                <w:szCs w:val="12"/>
              </w:rPr>
              <w:t>6 773,6</w:t>
            </w:r>
          </w:p>
        </w:tc>
        <w:tc>
          <w:tcPr>
            <w:tcW w:w="606" w:type="dxa"/>
            <w:vAlign w:val="center"/>
            <w:hideMark/>
          </w:tcPr>
          <w:p w:rsidR="00705F07" w:rsidRDefault="00185A37">
            <w:pPr>
              <w:jc w:val="center"/>
              <w:rPr>
                <w:color w:val="000000"/>
                <w:sz w:val="12"/>
                <w:szCs w:val="12"/>
              </w:rPr>
            </w:pPr>
            <w:r>
              <w:rPr>
                <w:color w:val="000000"/>
                <w:sz w:val="12"/>
                <w:szCs w:val="12"/>
              </w:rPr>
              <w:t>6 779,4</w:t>
            </w:r>
          </w:p>
        </w:tc>
        <w:tc>
          <w:tcPr>
            <w:tcW w:w="703" w:type="dxa"/>
            <w:vAlign w:val="center"/>
            <w:hideMark/>
          </w:tcPr>
          <w:p w:rsidR="00705F07" w:rsidRDefault="00185A37">
            <w:pPr>
              <w:jc w:val="center"/>
              <w:rPr>
                <w:color w:val="000000"/>
                <w:sz w:val="12"/>
                <w:szCs w:val="12"/>
              </w:rPr>
            </w:pPr>
            <w:r>
              <w:rPr>
                <w:color w:val="000000"/>
                <w:sz w:val="12"/>
                <w:szCs w:val="12"/>
              </w:rPr>
              <w:t>6 948,1</w:t>
            </w:r>
          </w:p>
        </w:tc>
        <w:tc>
          <w:tcPr>
            <w:tcW w:w="646" w:type="dxa"/>
            <w:vAlign w:val="center"/>
            <w:hideMark/>
          </w:tcPr>
          <w:p w:rsidR="00705F07" w:rsidRDefault="00185A37">
            <w:pPr>
              <w:jc w:val="center"/>
              <w:rPr>
                <w:color w:val="000000"/>
                <w:sz w:val="12"/>
                <w:szCs w:val="12"/>
              </w:rPr>
            </w:pPr>
            <w:r>
              <w:rPr>
                <w:color w:val="000000"/>
                <w:sz w:val="12"/>
                <w:szCs w:val="12"/>
              </w:rPr>
              <w:t>6 968,6</w:t>
            </w:r>
          </w:p>
        </w:tc>
        <w:tc>
          <w:tcPr>
            <w:tcW w:w="674" w:type="dxa"/>
            <w:vAlign w:val="center"/>
            <w:hideMark/>
          </w:tcPr>
          <w:p w:rsidR="00705F07" w:rsidRDefault="00185A37">
            <w:pPr>
              <w:jc w:val="center"/>
              <w:rPr>
                <w:color w:val="000000"/>
                <w:sz w:val="12"/>
                <w:szCs w:val="12"/>
              </w:rPr>
            </w:pPr>
            <w:r>
              <w:rPr>
                <w:color w:val="000000"/>
                <w:sz w:val="12"/>
                <w:szCs w:val="12"/>
              </w:rPr>
              <w:t>7 208,9</w:t>
            </w:r>
          </w:p>
        </w:tc>
        <w:tc>
          <w:tcPr>
            <w:tcW w:w="675" w:type="dxa"/>
            <w:vAlign w:val="center"/>
            <w:hideMark/>
          </w:tcPr>
          <w:p w:rsidR="00705F07" w:rsidRDefault="00185A37">
            <w:pPr>
              <w:jc w:val="center"/>
              <w:rPr>
                <w:color w:val="000000"/>
                <w:sz w:val="12"/>
                <w:szCs w:val="12"/>
              </w:rPr>
            </w:pPr>
            <w:r>
              <w:rPr>
                <w:color w:val="000000"/>
                <w:sz w:val="12"/>
                <w:szCs w:val="12"/>
              </w:rPr>
              <w:t>6 761,0</w:t>
            </w:r>
          </w:p>
        </w:tc>
        <w:tc>
          <w:tcPr>
            <w:tcW w:w="689" w:type="dxa"/>
            <w:vAlign w:val="center"/>
            <w:hideMark/>
          </w:tcPr>
          <w:p w:rsidR="00705F07" w:rsidRDefault="00185A37">
            <w:pPr>
              <w:jc w:val="center"/>
              <w:rPr>
                <w:color w:val="000000"/>
                <w:sz w:val="12"/>
                <w:szCs w:val="12"/>
              </w:rPr>
            </w:pPr>
            <w:r>
              <w:rPr>
                <w:color w:val="000000"/>
                <w:sz w:val="12"/>
                <w:szCs w:val="12"/>
              </w:rPr>
              <w:t>7 167,1</w:t>
            </w:r>
          </w:p>
        </w:tc>
        <w:tc>
          <w:tcPr>
            <w:tcW w:w="732" w:type="dxa"/>
            <w:vAlign w:val="center"/>
            <w:hideMark/>
          </w:tcPr>
          <w:p w:rsidR="00705F07" w:rsidRDefault="00185A37">
            <w:pPr>
              <w:jc w:val="center"/>
              <w:rPr>
                <w:color w:val="000000"/>
                <w:sz w:val="12"/>
                <w:szCs w:val="12"/>
              </w:rPr>
            </w:pPr>
            <w:r>
              <w:rPr>
                <w:color w:val="000000"/>
                <w:sz w:val="12"/>
                <w:szCs w:val="12"/>
              </w:rPr>
              <w:t>6 658,8</w:t>
            </w:r>
          </w:p>
        </w:tc>
        <w:tc>
          <w:tcPr>
            <w:tcW w:w="758" w:type="dxa"/>
            <w:vAlign w:val="center"/>
            <w:hideMark/>
          </w:tcPr>
          <w:p w:rsidR="00705F07" w:rsidRDefault="00185A37">
            <w:pPr>
              <w:jc w:val="center"/>
              <w:rPr>
                <w:color w:val="000000"/>
                <w:sz w:val="12"/>
                <w:szCs w:val="12"/>
              </w:rPr>
            </w:pPr>
            <w:r>
              <w:rPr>
                <w:color w:val="000000"/>
                <w:sz w:val="12"/>
                <w:szCs w:val="12"/>
              </w:rPr>
              <w:t>6 939,2</w:t>
            </w:r>
          </w:p>
        </w:tc>
        <w:tc>
          <w:tcPr>
            <w:tcW w:w="755" w:type="dxa"/>
            <w:vAlign w:val="center"/>
            <w:hideMark/>
          </w:tcPr>
          <w:p w:rsidR="00705F07" w:rsidRDefault="00185A37">
            <w:pPr>
              <w:jc w:val="center"/>
              <w:rPr>
                <w:color w:val="000000"/>
                <w:sz w:val="12"/>
                <w:szCs w:val="12"/>
              </w:rPr>
            </w:pPr>
            <w:r>
              <w:rPr>
                <w:color w:val="000000"/>
                <w:sz w:val="12"/>
                <w:szCs w:val="12"/>
              </w:rPr>
              <w:t>8 442,9</w:t>
            </w:r>
          </w:p>
        </w:tc>
        <w:tc>
          <w:tcPr>
            <w:tcW w:w="782" w:type="dxa"/>
            <w:vAlign w:val="center"/>
            <w:hideMark/>
          </w:tcPr>
          <w:p w:rsidR="00705F07" w:rsidRDefault="00185A37">
            <w:pPr>
              <w:jc w:val="center"/>
              <w:rPr>
                <w:color w:val="000000"/>
                <w:sz w:val="12"/>
                <w:szCs w:val="12"/>
              </w:rPr>
            </w:pPr>
            <w:r>
              <w:rPr>
                <w:color w:val="000000"/>
                <w:sz w:val="12"/>
                <w:szCs w:val="12"/>
              </w:rPr>
              <w:t>7 816,9</w:t>
            </w:r>
          </w:p>
        </w:tc>
        <w:tc>
          <w:tcPr>
            <w:tcW w:w="721" w:type="dxa"/>
            <w:vAlign w:val="center"/>
            <w:hideMark/>
          </w:tcPr>
          <w:p w:rsidR="00705F07" w:rsidRDefault="00185A37">
            <w:pPr>
              <w:jc w:val="center"/>
              <w:rPr>
                <w:color w:val="000000"/>
                <w:sz w:val="12"/>
                <w:szCs w:val="12"/>
              </w:rPr>
            </w:pPr>
            <w:r>
              <w:rPr>
                <w:color w:val="000000"/>
                <w:sz w:val="12"/>
                <w:szCs w:val="12"/>
              </w:rPr>
              <w:t xml:space="preserve">7 </w:t>
            </w:r>
            <w:r>
              <w:rPr>
                <w:color w:val="000000"/>
                <w:sz w:val="12"/>
                <w:szCs w:val="12"/>
              </w:rPr>
              <w:t>270,4</w:t>
            </w:r>
          </w:p>
        </w:tc>
      </w:tr>
      <w:tr w:rsidR="00705F07">
        <w:trPr>
          <w:trHeight w:val="165"/>
          <w:jc w:val="center"/>
        </w:trPr>
        <w:tc>
          <w:tcPr>
            <w:tcW w:w="1257" w:type="dxa"/>
            <w:vAlign w:val="center"/>
            <w:hideMark/>
          </w:tcPr>
          <w:p w:rsidR="00705F07" w:rsidRDefault="00185A37">
            <w:pPr>
              <w:jc w:val="center"/>
              <w:rPr>
                <w:color w:val="000000"/>
                <w:sz w:val="12"/>
                <w:szCs w:val="12"/>
              </w:rPr>
            </w:pPr>
            <w:r>
              <w:rPr>
                <w:color w:val="000000"/>
                <w:sz w:val="12"/>
                <w:szCs w:val="12"/>
              </w:rPr>
              <w:t xml:space="preserve">                          у тому числі на умовах "форвард"</w:t>
            </w:r>
          </w:p>
        </w:tc>
        <w:tc>
          <w:tcPr>
            <w:tcW w:w="606" w:type="dxa"/>
            <w:vAlign w:val="center"/>
            <w:hideMark/>
          </w:tcPr>
          <w:p w:rsidR="00705F07" w:rsidRDefault="00185A37">
            <w:pPr>
              <w:jc w:val="center"/>
              <w:rPr>
                <w:color w:val="000000"/>
                <w:sz w:val="12"/>
                <w:szCs w:val="12"/>
              </w:rPr>
            </w:pPr>
            <w:r>
              <w:rPr>
                <w:color w:val="000000"/>
                <w:sz w:val="12"/>
                <w:szCs w:val="12"/>
              </w:rPr>
              <w:t>0,0</w:t>
            </w:r>
          </w:p>
        </w:tc>
        <w:tc>
          <w:tcPr>
            <w:tcW w:w="606" w:type="dxa"/>
            <w:vAlign w:val="center"/>
            <w:hideMark/>
          </w:tcPr>
          <w:p w:rsidR="00705F07" w:rsidRDefault="00185A37">
            <w:pPr>
              <w:jc w:val="center"/>
              <w:rPr>
                <w:color w:val="000000"/>
                <w:sz w:val="12"/>
                <w:szCs w:val="12"/>
              </w:rPr>
            </w:pPr>
            <w:r>
              <w:rPr>
                <w:color w:val="000000"/>
                <w:sz w:val="12"/>
                <w:szCs w:val="12"/>
              </w:rPr>
              <w:t>0,0</w:t>
            </w:r>
          </w:p>
        </w:tc>
        <w:tc>
          <w:tcPr>
            <w:tcW w:w="703" w:type="dxa"/>
            <w:vAlign w:val="center"/>
            <w:hideMark/>
          </w:tcPr>
          <w:p w:rsidR="00705F07" w:rsidRDefault="00185A37">
            <w:pPr>
              <w:jc w:val="center"/>
              <w:rPr>
                <w:color w:val="000000"/>
                <w:sz w:val="12"/>
                <w:szCs w:val="12"/>
              </w:rPr>
            </w:pPr>
            <w:r>
              <w:rPr>
                <w:color w:val="000000"/>
                <w:sz w:val="12"/>
                <w:szCs w:val="12"/>
              </w:rPr>
              <w:t>0,0</w:t>
            </w:r>
          </w:p>
        </w:tc>
        <w:tc>
          <w:tcPr>
            <w:tcW w:w="646" w:type="dxa"/>
            <w:vAlign w:val="center"/>
            <w:hideMark/>
          </w:tcPr>
          <w:p w:rsidR="00705F07" w:rsidRDefault="00185A37">
            <w:pPr>
              <w:jc w:val="center"/>
              <w:rPr>
                <w:color w:val="000000"/>
                <w:sz w:val="12"/>
                <w:szCs w:val="12"/>
              </w:rPr>
            </w:pPr>
            <w:r>
              <w:rPr>
                <w:color w:val="000000"/>
                <w:sz w:val="12"/>
                <w:szCs w:val="12"/>
              </w:rPr>
              <w:t>0,0</w:t>
            </w:r>
          </w:p>
        </w:tc>
        <w:tc>
          <w:tcPr>
            <w:tcW w:w="674" w:type="dxa"/>
            <w:vAlign w:val="center"/>
            <w:hideMark/>
          </w:tcPr>
          <w:p w:rsidR="00705F07" w:rsidRDefault="00185A37">
            <w:pPr>
              <w:jc w:val="center"/>
              <w:rPr>
                <w:color w:val="000000"/>
                <w:sz w:val="12"/>
                <w:szCs w:val="12"/>
              </w:rPr>
            </w:pPr>
            <w:r>
              <w:rPr>
                <w:color w:val="000000"/>
                <w:sz w:val="12"/>
                <w:szCs w:val="12"/>
              </w:rPr>
              <w:t>0,0</w:t>
            </w:r>
          </w:p>
        </w:tc>
        <w:tc>
          <w:tcPr>
            <w:tcW w:w="675" w:type="dxa"/>
            <w:vAlign w:val="center"/>
            <w:hideMark/>
          </w:tcPr>
          <w:p w:rsidR="00705F07" w:rsidRDefault="00185A37">
            <w:pPr>
              <w:jc w:val="center"/>
              <w:rPr>
                <w:color w:val="000000"/>
                <w:sz w:val="12"/>
                <w:szCs w:val="12"/>
              </w:rPr>
            </w:pPr>
            <w:r>
              <w:rPr>
                <w:color w:val="000000"/>
                <w:sz w:val="12"/>
                <w:szCs w:val="12"/>
              </w:rPr>
              <w:t>0,0</w:t>
            </w:r>
          </w:p>
        </w:tc>
        <w:tc>
          <w:tcPr>
            <w:tcW w:w="689" w:type="dxa"/>
            <w:vAlign w:val="center"/>
            <w:hideMark/>
          </w:tcPr>
          <w:p w:rsidR="00705F07" w:rsidRDefault="00185A37">
            <w:pPr>
              <w:jc w:val="center"/>
              <w:rPr>
                <w:color w:val="000000"/>
                <w:sz w:val="12"/>
                <w:szCs w:val="12"/>
              </w:rPr>
            </w:pPr>
            <w:r>
              <w:rPr>
                <w:color w:val="000000"/>
                <w:sz w:val="12"/>
                <w:szCs w:val="12"/>
              </w:rPr>
              <w:t>0,0</w:t>
            </w:r>
          </w:p>
        </w:tc>
        <w:tc>
          <w:tcPr>
            <w:tcW w:w="732" w:type="dxa"/>
            <w:vAlign w:val="center"/>
            <w:hideMark/>
          </w:tcPr>
          <w:p w:rsidR="00705F07" w:rsidRDefault="00185A37">
            <w:pPr>
              <w:jc w:val="center"/>
              <w:rPr>
                <w:color w:val="000000"/>
                <w:sz w:val="12"/>
                <w:szCs w:val="12"/>
              </w:rPr>
            </w:pPr>
            <w:r>
              <w:rPr>
                <w:color w:val="000000"/>
                <w:sz w:val="12"/>
                <w:szCs w:val="12"/>
              </w:rPr>
              <w:t>0,0</w:t>
            </w:r>
          </w:p>
        </w:tc>
        <w:tc>
          <w:tcPr>
            <w:tcW w:w="758" w:type="dxa"/>
            <w:vAlign w:val="center"/>
            <w:hideMark/>
          </w:tcPr>
          <w:p w:rsidR="00705F07" w:rsidRDefault="00185A37">
            <w:pPr>
              <w:jc w:val="center"/>
              <w:rPr>
                <w:color w:val="000000"/>
                <w:sz w:val="12"/>
                <w:szCs w:val="12"/>
              </w:rPr>
            </w:pPr>
            <w:r>
              <w:rPr>
                <w:color w:val="000000"/>
                <w:sz w:val="12"/>
                <w:szCs w:val="12"/>
              </w:rPr>
              <w:t>0,0</w:t>
            </w:r>
          </w:p>
        </w:tc>
        <w:tc>
          <w:tcPr>
            <w:tcW w:w="755" w:type="dxa"/>
            <w:vAlign w:val="center"/>
            <w:hideMark/>
          </w:tcPr>
          <w:p w:rsidR="00705F07" w:rsidRDefault="00185A37">
            <w:pPr>
              <w:jc w:val="center"/>
              <w:rPr>
                <w:color w:val="000000"/>
                <w:sz w:val="12"/>
                <w:szCs w:val="12"/>
              </w:rPr>
            </w:pPr>
            <w:r>
              <w:rPr>
                <w:color w:val="000000"/>
                <w:sz w:val="12"/>
                <w:szCs w:val="12"/>
              </w:rPr>
              <w:t>0,0</w:t>
            </w:r>
          </w:p>
        </w:tc>
        <w:tc>
          <w:tcPr>
            <w:tcW w:w="782" w:type="dxa"/>
            <w:vAlign w:val="center"/>
            <w:hideMark/>
          </w:tcPr>
          <w:p w:rsidR="00705F07" w:rsidRDefault="00185A37">
            <w:pPr>
              <w:jc w:val="center"/>
              <w:rPr>
                <w:color w:val="000000"/>
                <w:sz w:val="12"/>
                <w:szCs w:val="12"/>
              </w:rPr>
            </w:pPr>
            <w:r>
              <w:rPr>
                <w:color w:val="000000"/>
                <w:sz w:val="12"/>
                <w:szCs w:val="12"/>
              </w:rPr>
              <w:t>0,0</w:t>
            </w:r>
          </w:p>
        </w:tc>
        <w:tc>
          <w:tcPr>
            <w:tcW w:w="721" w:type="dxa"/>
            <w:vAlign w:val="center"/>
            <w:hideMark/>
          </w:tcPr>
          <w:p w:rsidR="00705F07" w:rsidRDefault="00185A37">
            <w:pPr>
              <w:jc w:val="center"/>
              <w:rPr>
                <w:color w:val="000000"/>
                <w:sz w:val="12"/>
                <w:szCs w:val="12"/>
              </w:rPr>
            </w:pPr>
            <w:r>
              <w:rPr>
                <w:color w:val="000000"/>
                <w:sz w:val="12"/>
                <w:szCs w:val="12"/>
              </w:rPr>
              <w:t>0,0</w:t>
            </w:r>
          </w:p>
        </w:tc>
      </w:tr>
      <w:tr w:rsidR="00705F07">
        <w:trPr>
          <w:trHeight w:val="165"/>
          <w:jc w:val="center"/>
        </w:trPr>
        <w:tc>
          <w:tcPr>
            <w:tcW w:w="1257" w:type="dxa"/>
            <w:vAlign w:val="center"/>
            <w:hideMark/>
          </w:tcPr>
          <w:p w:rsidR="00705F07" w:rsidRDefault="00185A37">
            <w:pPr>
              <w:jc w:val="center"/>
              <w:rPr>
                <w:color w:val="000000"/>
                <w:sz w:val="12"/>
                <w:szCs w:val="12"/>
              </w:rPr>
            </w:pPr>
            <w:r>
              <w:rPr>
                <w:color w:val="000000"/>
                <w:sz w:val="12"/>
                <w:szCs w:val="12"/>
              </w:rPr>
              <w:t xml:space="preserve">                          у тому числі на умовах "своп"</w:t>
            </w:r>
          </w:p>
        </w:tc>
        <w:tc>
          <w:tcPr>
            <w:tcW w:w="606" w:type="dxa"/>
            <w:vAlign w:val="center"/>
            <w:hideMark/>
          </w:tcPr>
          <w:p w:rsidR="00705F07" w:rsidRDefault="00185A37">
            <w:pPr>
              <w:jc w:val="center"/>
              <w:rPr>
                <w:color w:val="000000"/>
                <w:sz w:val="12"/>
                <w:szCs w:val="12"/>
              </w:rPr>
            </w:pPr>
            <w:r>
              <w:rPr>
                <w:color w:val="000000"/>
                <w:sz w:val="12"/>
                <w:szCs w:val="12"/>
              </w:rPr>
              <w:t>2 602,4</w:t>
            </w:r>
          </w:p>
        </w:tc>
        <w:tc>
          <w:tcPr>
            <w:tcW w:w="606" w:type="dxa"/>
            <w:vAlign w:val="center"/>
            <w:hideMark/>
          </w:tcPr>
          <w:p w:rsidR="00705F07" w:rsidRDefault="00185A37">
            <w:pPr>
              <w:jc w:val="center"/>
              <w:rPr>
                <w:color w:val="000000"/>
                <w:sz w:val="12"/>
                <w:szCs w:val="12"/>
              </w:rPr>
            </w:pPr>
            <w:r>
              <w:rPr>
                <w:color w:val="000000"/>
                <w:sz w:val="12"/>
                <w:szCs w:val="12"/>
              </w:rPr>
              <w:t>2 055,2</w:t>
            </w:r>
          </w:p>
        </w:tc>
        <w:tc>
          <w:tcPr>
            <w:tcW w:w="703" w:type="dxa"/>
            <w:vAlign w:val="center"/>
            <w:hideMark/>
          </w:tcPr>
          <w:p w:rsidR="00705F07" w:rsidRDefault="00185A37">
            <w:pPr>
              <w:jc w:val="center"/>
              <w:rPr>
                <w:color w:val="000000"/>
                <w:sz w:val="12"/>
                <w:szCs w:val="12"/>
              </w:rPr>
            </w:pPr>
            <w:r>
              <w:rPr>
                <w:color w:val="000000"/>
                <w:sz w:val="12"/>
                <w:szCs w:val="12"/>
              </w:rPr>
              <w:t>2 273,9</w:t>
            </w:r>
          </w:p>
        </w:tc>
        <w:tc>
          <w:tcPr>
            <w:tcW w:w="646" w:type="dxa"/>
            <w:vAlign w:val="center"/>
            <w:hideMark/>
          </w:tcPr>
          <w:p w:rsidR="00705F07" w:rsidRDefault="00185A37">
            <w:pPr>
              <w:jc w:val="center"/>
              <w:rPr>
                <w:color w:val="000000"/>
                <w:sz w:val="12"/>
                <w:szCs w:val="12"/>
              </w:rPr>
            </w:pPr>
            <w:r>
              <w:rPr>
                <w:color w:val="000000"/>
                <w:sz w:val="12"/>
                <w:szCs w:val="12"/>
              </w:rPr>
              <w:t>2 118,9</w:t>
            </w:r>
          </w:p>
        </w:tc>
        <w:tc>
          <w:tcPr>
            <w:tcW w:w="674" w:type="dxa"/>
            <w:vAlign w:val="center"/>
            <w:hideMark/>
          </w:tcPr>
          <w:p w:rsidR="00705F07" w:rsidRDefault="00185A37">
            <w:pPr>
              <w:jc w:val="center"/>
              <w:rPr>
                <w:color w:val="000000"/>
                <w:sz w:val="12"/>
                <w:szCs w:val="12"/>
              </w:rPr>
            </w:pPr>
            <w:r>
              <w:rPr>
                <w:color w:val="000000"/>
                <w:sz w:val="12"/>
                <w:szCs w:val="12"/>
              </w:rPr>
              <w:t>2 465,7</w:t>
            </w:r>
          </w:p>
        </w:tc>
        <w:tc>
          <w:tcPr>
            <w:tcW w:w="675" w:type="dxa"/>
            <w:vAlign w:val="center"/>
            <w:hideMark/>
          </w:tcPr>
          <w:p w:rsidR="00705F07" w:rsidRDefault="00185A37">
            <w:pPr>
              <w:jc w:val="center"/>
              <w:rPr>
                <w:color w:val="000000"/>
                <w:sz w:val="12"/>
                <w:szCs w:val="12"/>
              </w:rPr>
            </w:pPr>
            <w:r>
              <w:rPr>
                <w:color w:val="000000"/>
                <w:sz w:val="12"/>
                <w:szCs w:val="12"/>
              </w:rPr>
              <w:t>2 588,5</w:t>
            </w:r>
          </w:p>
        </w:tc>
        <w:tc>
          <w:tcPr>
            <w:tcW w:w="689" w:type="dxa"/>
            <w:vAlign w:val="center"/>
            <w:hideMark/>
          </w:tcPr>
          <w:p w:rsidR="00705F07" w:rsidRDefault="00185A37">
            <w:pPr>
              <w:jc w:val="center"/>
              <w:rPr>
                <w:color w:val="000000"/>
                <w:sz w:val="12"/>
                <w:szCs w:val="12"/>
              </w:rPr>
            </w:pPr>
            <w:r>
              <w:rPr>
                <w:color w:val="000000"/>
                <w:sz w:val="12"/>
                <w:szCs w:val="12"/>
              </w:rPr>
              <w:t>2 467,2</w:t>
            </w:r>
          </w:p>
        </w:tc>
        <w:tc>
          <w:tcPr>
            <w:tcW w:w="732" w:type="dxa"/>
            <w:vAlign w:val="center"/>
            <w:hideMark/>
          </w:tcPr>
          <w:p w:rsidR="00705F07" w:rsidRDefault="00185A37">
            <w:pPr>
              <w:jc w:val="center"/>
              <w:rPr>
                <w:color w:val="000000"/>
                <w:sz w:val="12"/>
                <w:szCs w:val="12"/>
              </w:rPr>
            </w:pPr>
            <w:r>
              <w:rPr>
                <w:color w:val="000000"/>
                <w:sz w:val="12"/>
                <w:szCs w:val="12"/>
              </w:rPr>
              <w:t>2 054,2</w:t>
            </w:r>
          </w:p>
        </w:tc>
        <w:tc>
          <w:tcPr>
            <w:tcW w:w="758" w:type="dxa"/>
            <w:vAlign w:val="center"/>
            <w:hideMark/>
          </w:tcPr>
          <w:p w:rsidR="00705F07" w:rsidRDefault="00185A37">
            <w:pPr>
              <w:jc w:val="center"/>
              <w:rPr>
                <w:color w:val="000000"/>
                <w:sz w:val="12"/>
                <w:szCs w:val="12"/>
              </w:rPr>
            </w:pPr>
            <w:r>
              <w:rPr>
                <w:color w:val="000000"/>
                <w:sz w:val="12"/>
                <w:szCs w:val="12"/>
              </w:rPr>
              <w:t>2 349,2</w:t>
            </w:r>
          </w:p>
        </w:tc>
        <w:tc>
          <w:tcPr>
            <w:tcW w:w="755" w:type="dxa"/>
            <w:vAlign w:val="center"/>
            <w:hideMark/>
          </w:tcPr>
          <w:p w:rsidR="00705F07" w:rsidRDefault="00185A37">
            <w:pPr>
              <w:jc w:val="center"/>
              <w:rPr>
                <w:color w:val="000000"/>
                <w:sz w:val="12"/>
                <w:szCs w:val="12"/>
              </w:rPr>
            </w:pPr>
            <w:r>
              <w:rPr>
                <w:color w:val="000000"/>
                <w:sz w:val="12"/>
                <w:szCs w:val="12"/>
              </w:rPr>
              <w:t>3 063,3</w:t>
            </w:r>
          </w:p>
        </w:tc>
        <w:tc>
          <w:tcPr>
            <w:tcW w:w="782" w:type="dxa"/>
            <w:vAlign w:val="center"/>
            <w:hideMark/>
          </w:tcPr>
          <w:p w:rsidR="00705F07" w:rsidRDefault="00185A37">
            <w:pPr>
              <w:jc w:val="center"/>
              <w:rPr>
                <w:color w:val="000000"/>
                <w:sz w:val="12"/>
                <w:szCs w:val="12"/>
              </w:rPr>
            </w:pPr>
            <w:r>
              <w:rPr>
                <w:color w:val="000000"/>
                <w:sz w:val="12"/>
                <w:szCs w:val="12"/>
              </w:rPr>
              <w:t xml:space="preserve">2 </w:t>
            </w:r>
            <w:r>
              <w:rPr>
                <w:color w:val="000000"/>
                <w:sz w:val="12"/>
                <w:szCs w:val="12"/>
              </w:rPr>
              <w:t>473,2</w:t>
            </w:r>
          </w:p>
        </w:tc>
        <w:tc>
          <w:tcPr>
            <w:tcW w:w="721" w:type="dxa"/>
            <w:vAlign w:val="center"/>
            <w:hideMark/>
          </w:tcPr>
          <w:p w:rsidR="00705F07" w:rsidRDefault="00185A37">
            <w:pPr>
              <w:jc w:val="center"/>
              <w:rPr>
                <w:color w:val="000000"/>
                <w:sz w:val="12"/>
                <w:szCs w:val="12"/>
              </w:rPr>
            </w:pPr>
            <w:r>
              <w:rPr>
                <w:color w:val="000000"/>
                <w:sz w:val="12"/>
                <w:szCs w:val="12"/>
              </w:rPr>
              <w:t>2 314,6</w:t>
            </w:r>
          </w:p>
        </w:tc>
      </w:tr>
      <w:tr w:rsidR="00705F07">
        <w:trPr>
          <w:trHeight w:val="165"/>
          <w:jc w:val="center"/>
        </w:trPr>
        <w:tc>
          <w:tcPr>
            <w:tcW w:w="1257" w:type="dxa"/>
            <w:vAlign w:val="center"/>
            <w:hideMark/>
          </w:tcPr>
          <w:p w:rsidR="00705F07" w:rsidRDefault="00185A37">
            <w:pPr>
              <w:jc w:val="center"/>
              <w:rPr>
                <w:color w:val="000000"/>
                <w:sz w:val="12"/>
                <w:szCs w:val="12"/>
              </w:rPr>
            </w:pPr>
            <w:r>
              <w:rPr>
                <w:color w:val="000000"/>
                <w:sz w:val="12"/>
                <w:szCs w:val="12"/>
              </w:rPr>
              <w:t xml:space="preserve">         купівлі</w:t>
            </w:r>
          </w:p>
        </w:tc>
        <w:tc>
          <w:tcPr>
            <w:tcW w:w="606" w:type="dxa"/>
            <w:vAlign w:val="center"/>
            <w:hideMark/>
          </w:tcPr>
          <w:p w:rsidR="00705F07" w:rsidRDefault="00185A37">
            <w:pPr>
              <w:jc w:val="center"/>
              <w:rPr>
                <w:color w:val="000000"/>
                <w:sz w:val="12"/>
                <w:szCs w:val="12"/>
              </w:rPr>
            </w:pPr>
            <w:r>
              <w:rPr>
                <w:color w:val="000000"/>
                <w:sz w:val="12"/>
                <w:szCs w:val="12"/>
              </w:rPr>
              <w:t>7 657,9</w:t>
            </w:r>
          </w:p>
        </w:tc>
        <w:tc>
          <w:tcPr>
            <w:tcW w:w="606" w:type="dxa"/>
            <w:vAlign w:val="center"/>
            <w:hideMark/>
          </w:tcPr>
          <w:p w:rsidR="00705F07" w:rsidRDefault="00185A37">
            <w:pPr>
              <w:jc w:val="center"/>
              <w:rPr>
                <w:color w:val="000000"/>
                <w:sz w:val="12"/>
                <w:szCs w:val="12"/>
              </w:rPr>
            </w:pPr>
            <w:r>
              <w:rPr>
                <w:color w:val="000000"/>
                <w:sz w:val="12"/>
                <w:szCs w:val="12"/>
              </w:rPr>
              <w:t>6 935,0</w:t>
            </w:r>
          </w:p>
        </w:tc>
        <w:tc>
          <w:tcPr>
            <w:tcW w:w="703" w:type="dxa"/>
            <w:vAlign w:val="center"/>
            <w:hideMark/>
          </w:tcPr>
          <w:p w:rsidR="00705F07" w:rsidRDefault="00185A37">
            <w:pPr>
              <w:jc w:val="center"/>
              <w:rPr>
                <w:color w:val="000000"/>
                <w:sz w:val="12"/>
                <w:szCs w:val="12"/>
              </w:rPr>
            </w:pPr>
            <w:r>
              <w:rPr>
                <w:color w:val="000000"/>
                <w:sz w:val="12"/>
                <w:szCs w:val="12"/>
              </w:rPr>
              <w:t>7 607,1</w:t>
            </w:r>
          </w:p>
        </w:tc>
        <w:tc>
          <w:tcPr>
            <w:tcW w:w="646" w:type="dxa"/>
            <w:vAlign w:val="center"/>
            <w:hideMark/>
          </w:tcPr>
          <w:p w:rsidR="00705F07" w:rsidRDefault="00185A37">
            <w:pPr>
              <w:jc w:val="center"/>
              <w:rPr>
                <w:color w:val="000000"/>
                <w:sz w:val="12"/>
                <w:szCs w:val="12"/>
              </w:rPr>
            </w:pPr>
            <w:r>
              <w:rPr>
                <w:color w:val="000000"/>
                <w:sz w:val="12"/>
                <w:szCs w:val="12"/>
              </w:rPr>
              <w:t>7 970,9</w:t>
            </w:r>
          </w:p>
        </w:tc>
        <w:tc>
          <w:tcPr>
            <w:tcW w:w="674" w:type="dxa"/>
            <w:vAlign w:val="center"/>
            <w:hideMark/>
          </w:tcPr>
          <w:p w:rsidR="00705F07" w:rsidRDefault="00185A37">
            <w:pPr>
              <w:jc w:val="center"/>
              <w:rPr>
                <w:color w:val="000000"/>
                <w:sz w:val="12"/>
                <w:szCs w:val="12"/>
              </w:rPr>
            </w:pPr>
            <w:r>
              <w:rPr>
                <w:color w:val="000000"/>
                <w:sz w:val="12"/>
                <w:szCs w:val="12"/>
              </w:rPr>
              <w:t>8 709,5</w:t>
            </w:r>
          </w:p>
        </w:tc>
        <w:tc>
          <w:tcPr>
            <w:tcW w:w="675" w:type="dxa"/>
            <w:vAlign w:val="center"/>
            <w:hideMark/>
          </w:tcPr>
          <w:p w:rsidR="00705F07" w:rsidRDefault="00185A37">
            <w:pPr>
              <w:jc w:val="center"/>
              <w:rPr>
                <w:color w:val="000000"/>
                <w:sz w:val="12"/>
                <w:szCs w:val="12"/>
              </w:rPr>
            </w:pPr>
            <w:r>
              <w:rPr>
                <w:color w:val="000000"/>
                <w:sz w:val="12"/>
                <w:szCs w:val="12"/>
              </w:rPr>
              <w:t>8 195,7</w:t>
            </w:r>
          </w:p>
        </w:tc>
        <w:tc>
          <w:tcPr>
            <w:tcW w:w="689" w:type="dxa"/>
            <w:vAlign w:val="center"/>
            <w:hideMark/>
          </w:tcPr>
          <w:p w:rsidR="00705F07" w:rsidRDefault="00185A37">
            <w:pPr>
              <w:jc w:val="center"/>
              <w:rPr>
                <w:color w:val="000000"/>
                <w:sz w:val="12"/>
                <w:szCs w:val="12"/>
              </w:rPr>
            </w:pPr>
            <w:r>
              <w:rPr>
                <w:color w:val="000000"/>
                <w:sz w:val="12"/>
                <w:szCs w:val="12"/>
              </w:rPr>
              <w:t>8 652,7</w:t>
            </w:r>
          </w:p>
        </w:tc>
        <w:tc>
          <w:tcPr>
            <w:tcW w:w="732" w:type="dxa"/>
            <w:vAlign w:val="center"/>
            <w:hideMark/>
          </w:tcPr>
          <w:p w:rsidR="00705F07" w:rsidRDefault="00185A37">
            <w:pPr>
              <w:jc w:val="center"/>
              <w:rPr>
                <w:color w:val="000000"/>
                <w:sz w:val="12"/>
                <w:szCs w:val="12"/>
              </w:rPr>
            </w:pPr>
            <w:r>
              <w:rPr>
                <w:color w:val="000000"/>
                <w:sz w:val="12"/>
                <w:szCs w:val="12"/>
              </w:rPr>
              <w:t>7 961,5</w:t>
            </w:r>
          </w:p>
        </w:tc>
        <w:tc>
          <w:tcPr>
            <w:tcW w:w="758" w:type="dxa"/>
            <w:vAlign w:val="center"/>
            <w:hideMark/>
          </w:tcPr>
          <w:p w:rsidR="00705F07" w:rsidRDefault="00185A37">
            <w:pPr>
              <w:jc w:val="center"/>
              <w:rPr>
                <w:color w:val="000000"/>
                <w:sz w:val="12"/>
                <w:szCs w:val="12"/>
              </w:rPr>
            </w:pPr>
            <w:r>
              <w:rPr>
                <w:color w:val="000000"/>
                <w:sz w:val="12"/>
                <w:szCs w:val="12"/>
              </w:rPr>
              <w:t>8 478,0</w:t>
            </w:r>
          </w:p>
        </w:tc>
        <w:tc>
          <w:tcPr>
            <w:tcW w:w="755" w:type="dxa"/>
            <w:vAlign w:val="center"/>
            <w:hideMark/>
          </w:tcPr>
          <w:p w:rsidR="00705F07" w:rsidRDefault="00185A37">
            <w:pPr>
              <w:jc w:val="center"/>
              <w:rPr>
                <w:color w:val="000000"/>
                <w:sz w:val="12"/>
                <w:szCs w:val="12"/>
              </w:rPr>
            </w:pPr>
            <w:r>
              <w:rPr>
                <w:color w:val="000000"/>
                <w:sz w:val="12"/>
                <w:szCs w:val="12"/>
              </w:rPr>
              <w:t>9 835,6</w:t>
            </w:r>
          </w:p>
        </w:tc>
        <w:tc>
          <w:tcPr>
            <w:tcW w:w="782" w:type="dxa"/>
            <w:vAlign w:val="center"/>
            <w:hideMark/>
          </w:tcPr>
          <w:p w:rsidR="00705F07" w:rsidRDefault="00185A37">
            <w:pPr>
              <w:jc w:val="center"/>
              <w:rPr>
                <w:color w:val="000000"/>
                <w:sz w:val="12"/>
                <w:szCs w:val="12"/>
              </w:rPr>
            </w:pPr>
            <w:r>
              <w:rPr>
                <w:color w:val="000000"/>
                <w:sz w:val="12"/>
                <w:szCs w:val="12"/>
              </w:rPr>
              <w:t>8 689,2</w:t>
            </w:r>
          </w:p>
        </w:tc>
        <w:tc>
          <w:tcPr>
            <w:tcW w:w="721" w:type="dxa"/>
            <w:vAlign w:val="center"/>
            <w:hideMark/>
          </w:tcPr>
          <w:p w:rsidR="00705F07" w:rsidRDefault="00185A37">
            <w:pPr>
              <w:jc w:val="center"/>
              <w:rPr>
                <w:color w:val="000000"/>
                <w:sz w:val="12"/>
                <w:szCs w:val="12"/>
              </w:rPr>
            </w:pPr>
            <w:r>
              <w:rPr>
                <w:color w:val="000000"/>
                <w:sz w:val="12"/>
                <w:szCs w:val="12"/>
              </w:rPr>
              <w:t>10 723,0</w:t>
            </w:r>
          </w:p>
        </w:tc>
      </w:tr>
      <w:tr w:rsidR="00705F07">
        <w:trPr>
          <w:trHeight w:val="165"/>
          <w:jc w:val="center"/>
        </w:trPr>
        <w:tc>
          <w:tcPr>
            <w:tcW w:w="1257" w:type="dxa"/>
            <w:vAlign w:val="center"/>
            <w:hideMark/>
          </w:tcPr>
          <w:p w:rsidR="00705F07" w:rsidRDefault="00185A37">
            <w:pPr>
              <w:jc w:val="center"/>
              <w:rPr>
                <w:color w:val="000000"/>
                <w:sz w:val="12"/>
                <w:szCs w:val="12"/>
              </w:rPr>
            </w:pPr>
            <w:r>
              <w:rPr>
                <w:color w:val="000000"/>
                <w:sz w:val="12"/>
                <w:szCs w:val="12"/>
              </w:rPr>
              <w:t xml:space="preserve">                          у тому числі на умовах "форвард"</w:t>
            </w:r>
          </w:p>
        </w:tc>
        <w:tc>
          <w:tcPr>
            <w:tcW w:w="606" w:type="dxa"/>
            <w:vAlign w:val="center"/>
            <w:hideMark/>
          </w:tcPr>
          <w:p w:rsidR="00705F07" w:rsidRDefault="00185A37">
            <w:pPr>
              <w:jc w:val="center"/>
              <w:rPr>
                <w:color w:val="000000"/>
                <w:sz w:val="12"/>
                <w:szCs w:val="12"/>
              </w:rPr>
            </w:pPr>
            <w:r>
              <w:rPr>
                <w:color w:val="000000"/>
                <w:sz w:val="12"/>
                <w:szCs w:val="12"/>
              </w:rPr>
              <w:t>0,0</w:t>
            </w:r>
          </w:p>
        </w:tc>
        <w:tc>
          <w:tcPr>
            <w:tcW w:w="606" w:type="dxa"/>
            <w:vAlign w:val="center"/>
            <w:hideMark/>
          </w:tcPr>
          <w:p w:rsidR="00705F07" w:rsidRDefault="00185A37">
            <w:pPr>
              <w:jc w:val="center"/>
              <w:rPr>
                <w:color w:val="000000"/>
                <w:sz w:val="12"/>
                <w:szCs w:val="12"/>
              </w:rPr>
            </w:pPr>
            <w:r>
              <w:rPr>
                <w:color w:val="000000"/>
                <w:sz w:val="12"/>
                <w:szCs w:val="12"/>
              </w:rPr>
              <w:t>0,0</w:t>
            </w:r>
          </w:p>
        </w:tc>
        <w:tc>
          <w:tcPr>
            <w:tcW w:w="703" w:type="dxa"/>
            <w:vAlign w:val="center"/>
            <w:hideMark/>
          </w:tcPr>
          <w:p w:rsidR="00705F07" w:rsidRDefault="00185A37">
            <w:pPr>
              <w:jc w:val="center"/>
              <w:rPr>
                <w:color w:val="000000"/>
                <w:sz w:val="12"/>
                <w:szCs w:val="12"/>
              </w:rPr>
            </w:pPr>
            <w:r>
              <w:rPr>
                <w:color w:val="000000"/>
                <w:sz w:val="12"/>
                <w:szCs w:val="12"/>
              </w:rPr>
              <w:t>0,0</w:t>
            </w:r>
          </w:p>
        </w:tc>
        <w:tc>
          <w:tcPr>
            <w:tcW w:w="646" w:type="dxa"/>
            <w:vAlign w:val="center"/>
            <w:hideMark/>
          </w:tcPr>
          <w:p w:rsidR="00705F07" w:rsidRDefault="00185A37">
            <w:pPr>
              <w:jc w:val="center"/>
              <w:rPr>
                <w:color w:val="000000"/>
                <w:sz w:val="12"/>
                <w:szCs w:val="12"/>
              </w:rPr>
            </w:pPr>
            <w:r>
              <w:rPr>
                <w:color w:val="000000"/>
                <w:sz w:val="12"/>
                <w:szCs w:val="12"/>
              </w:rPr>
              <w:t>0,0</w:t>
            </w:r>
          </w:p>
        </w:tc>
        <w:tc>
          <w:tcPr>
            <w:tcW w:w="674" w:type="dxa"/>
            <w:vAlign w:val="center"/>
            <w:hideMark/>
          </w:tcPr>
          <w:p w:rsidR="00705F07" w:rsidRDefault="00185A37">
            <w:pPr>
              <w:jc w:val="center"/>
              <w:rPr>
                <w:color w:val="000000"/>
                <w:sz w:val="12"/>
                <w:szCs w:val="12"/>
              </w:rPr>
            </w:pPr>
            <w:r>
              <w:rPr>
                <w:color w:val="000000"/>
                <w:sz w:val="12"/>
                <w:szCs w:val="12"/>
              </w:rPr>
              <w:t>0,0</w:t>
            </w:r>
          </w:p>
        </w:tc>
        <w:tc>
          <w:tcPr>
            <w:tcW w:w="675" w:type="dxa"/>
            <w:vAlign w:val="center"/>
            <w:hideMark/>
          </w:tcPr>
          <w:p w:rsidR="00705F07" w:rsidRDefault="00185A37">
            <w:pPr>
              <w:jc w:val="center"/>
              <w:rPr>
                <w:color w:val="000000"/>
                <w:sz w:val="12"/>
                <w:szCs w:val="12"/>
              </w:rPr>
            </w:pPr>
            <w:r>
              <w:rPr>
                <w:color w:val="000000"/>
                <w:sz w:val="12"/>
                <w:szCs w:val="12"/>
              </w:rPr>
              <w:t>0,0</w:t>
            </w:r>
          </w:p>
        </w:tc>
        <w:tc>
          <w:tcPr>
            <w:tcW w:w="689" w:type="dxa"/>
            <w:vAlign w:val="center"/>
            <w:hideMark/>
          </w:tcPr>
          <w:p w:rsidR="00705F07" w:rsidRDefault="00185A37">
            <w:pPr>
              <w:jc w:val="center"/>
              <w:rPr>
                <w:color w:val="000000"/>
                <w:sz w:val="12"/>
                <w:szCs w:val="12"/>
              </w:rPr>
            </w:pPr>
            <w:r>
              <w:rPr>
                <w:color w:val="000000"/>
                <w:sz w:val="12"/>
                <w:szCs w:val="12"/>
              </w:rPr>
              <w:t>0,0</w:t>
            </w:r>
          </w:p>
        </w:tc>
        <w:tc>
          <w:tcPr>
            <w:tcW w:w="732" w:type="dxa"/>
            <w:vAlign w:val="center"/>
            <w:hideMark/>
          </w:tcPr>
          <w:p w:rsidR="00705F07" w:rsidRDefault="00185A37">
            <w:pPr>
              <w:jc w:val="center"/>
              <w:rPr>
                <w:color w:val="000000"/>
                <w:sz w:val="12"/>
                <w:szCs w:val="12"/>
              </w:rPr>
            </w:pPr>
            <w:r>
              <w:rPr>
                <w:color w:val="000000"/>
                <w:sz w:val="12"/>
                <w:szCs w:val="12"/>
              </w:rPr>
              <w:t>0,0</w:t>
            </w:r>
          </w:p>
        </w:tc>
        <w:tc>
          <w:tcPr>
            <w:tcW w:w="758" w:type="dxa"/>
            <w:vAlign w:val="center"/>
            <w:hideMark/>
          </w:tcPr>
          <w:p w:rsidR="00705F07" w:rsidRDefault="00185A37">
            <w:pPr>
              <w:jc w:val="center"/>
              <w:rPr>
                <w:color w:val="000000"/>
                <w:sz w:val="12"/>
                <w:szCs w:val="12"/>
              </w:rPr>
            </w:pPr>
            <w:r>
              <w:rPr>
                <w:color w:val="000000"/>
                <w:sz w:val="12"/>
                <w:szCs w:val="12"/>
              </w:rPr>
              <w:t>0,0</w:t>
            </w:r>
          </w:p>
        </w:tc>
        <w:tc>
          <w:tcPr>
            <w:tcW w:w="755" w:type="dxa"/>
            <w:vAlign w:val="center"/>
            <w:hideMark/>
          </w:tcPr>
          <w:p w:rsidR="00705F07" w:rsidRDefault="00185A37">
            <w:pPr>
              <w:jc w:val="center"/>
              <w:rPr>
                <w:color w:val="000000"/>
                <w:sz w:val="12"/>
                <w:szCs w:val="12"/>
              </w:rPr>
            </w:pPr>
            <w:r>
              <w:rPr>
                <w:color w:val="000000"/>
                <w:sz w:val="12"/>
                <w:szCs w:val="12"/>
              </w:rPr>
              <w:t>0,0</w:t>
            </w:r>
          </w:p>
        </w:tc>
        <w:tc>
          <w:tcPr>
            <w:tcW w:w="782" w:type="dxa"/>
            <w:vAlign w:val="center"/>
            <w:hideMark/>
          </w:tcPr>
          <w:p w:rsidR="00705F07" w:rsidRDefault="00185A37">
            <w:pPr>
              <w:jc w:val="center"/>
              <w:rPr>
                <w:color w:val="000000"/>
                <w:sz w:val="12"/>
                <w:szCs w:val="12"/>
              </w:rPr>
            </w:pPr>
            <w:r>
              <w:rPr>
                <w:color w:val="000000"/>
                <w:sz w:val="12"/>
                <w:szCs w:val="12"/>
              </w:rPr>
              <w:t>0,0</w:t>
            </w:r>
          </w:p>
        </w:tc>
        <w:tc>
          <w:tcPr>
            <w:tcW w:w="721" w:type="dxa"/>
            <w:vAlign w:val="center"/>
            <w:hideMark/>
          </w:tcPr>
          <w:p w:rsidR="00705F07" w:rsidRDefault="00185A37">
            <w:pPr>
              <w:jc w:val="center"/>
              <w:rPr>
                <w:color w:val="000000"/>
                <w:sz w:val="12"/>
                <w:szCs w:val="12"/>
              </w:rPr>
            </w:pPr>
            <w:r>
              <w:rPr>
                <w:color w:val="000000"/>
                <w:sz w:val="12"/>
                <w:szCs w:val="12"/>
              </w:rPr>
              <w:t>0,0</w:t>
            </w:r>
          </w:p>
        </w:tc>
      </w:tr>
      <w:tr w:rsidR="00705F07">
        <w:trPr>
          <w:trHeight w:val="165"/>
          <w:jc w:val="center"/>
        </w:trPr>
        <w:tc>
          <w:tcPr>
            <w:tcW w:w="1257" w:type="dxa"/>
            <w:vAlign w:val="center"/>
            <w:hideMark/>
          </w:tcPr>
          <w:p w:rsidR="00705F07" w:rsidRDefault="00185A37">
            <w:pPr>
              <w:jc w:val="center"/>
              <w:rPr>
                <w:color w:val="000000"/>
                <w:sz w:val="12"/>
                <w:szCs w:val="12"/>
              </w:rPr>
            </w:pPr>
            <w:r>
              <w:rPr>
                <w:color w:val="000000"/>
                <w:sz w:val="12"/>
                <w:szCs w:val="12"/>
              </w:rPr>
              <w:t xml:space="preserve">                          у тому числі на умовах "своп"</w:t>
            </w:r>
          </w:p>
        </w:tc>
        <w:tc>
          <w:tcPr>
            <w:tcW w:w="606" w:type="dxa"/>
            <w:vAlign w:val="center"/>
            <w:hideMark/>
          </w:tcPr>
          <w:p w:rsidR="00705F07" w:rsidRDefault="00185A37">
            <w:pPr>
              <w:jc w:val="center"/>
              <w:rPr>
                <w:color w:val="000000"/>
                <w:sz w:val="12"/>
                <w:szCs w:val="12"/>
              </w:rPr>
            </w:pPr>
            <w:r>
              <w:rPr>
                <w:color w:val="000000"/>
                <w:sz w:val="12"/>
                <w:szCs w:val="12"/>
              </w:rPr>
              <w:t>2 602,7</w:t>
            </w:r>
          </w:p>
        </w:tc>
        <w:tc>
          <w:tcPr>
            <w:tcW w:w="606" w:type="dxa"/>
            <w:vAlign w:val="center"/>
            <w:hideMark/>
          </w:tcPr>
          <w:p w:rsidR="00705F07" w:rsidRDefault="00185A37">
            <w:pPr>
              <w:jc w:val="center"/>
              <w:rPr>
                <w:color w:val="000000"/>
                <w:sz w:val="12"/>
                <w:szCs w:val="12"/>
              </w:rPr>
            </w:pPr>
            <w:r>
              <w:rPr>
                <w:color w:val="000000"/>
                <w:sz w:val="12"/>
                <w:szCs w:val="12"/>
              </w:rPr>
              <w:t>2 055,5</w:t>
            </w:r>
          </w:p>
        </w:tc>
        <w:tc>
          <w:tcPr>
            <w:tcW w:w="703" w:type="dxa"/>
            <w:vAlign w:val="center"/>
            <w:hideMark/>
          </w:tcPr>
          <w:p w:rsidR="00705F07" w:rsidRDefault="00185A37">
            <w:pPr>
              <w:jc w:val="center"/>
              <w:rPr>
                <w:color w:val="000000"/>
                <w:sz w:val="12"/>
                <w:szCs w:val="12"/>
              </w:rPr>
            </w:pPr>
            <w:r>
              <w:rPr>
                <w:color w:val="000000"/>
                <w:sz w:val="12"/>
                <w:szCs w:val="12"/>
              </w:rPr>
              <w:t>2 274,3</w:t>
            </w:r>
          </w:p>
        </w:tc>
        <w:tc>
          <w:tcPr>
            <w:tcW w:w="646" w:type="dxa"/>
            <w:vAlign w:val="center"/>
            <w:hideMark/>
          </w:tcPr>
          <w:p w:rsidR="00705F07" w:rsidRDefault="00185A37">
            <w:pPr>
              <w:jc w:val="center"/>
              <w:rPr>
                <w:color w:val="000000"/>
                <w:sz w:val="12"/>
                <w:szCs w:val="12"/>
              </w:rPr>
            </w:pPr>
            <w:r>
              <w:rPr>
                <w:color w:val="000000"/>
                <w:sz w:val="12"/>
                <w:szCs w:val="12"/>
              </w:rPr>
              <w:t>2 119,2</w:t>
            </w:r>
          </w:p>
        </w:tc>
        <w:tc>
          <w:tcPr>
            <w:tcW w:w="674" w:type="dxa"/>
            <w:vAlign w:val="center"/>
            <w:hideMark/>
          </w:tcPr>
          <w:p w:rsidR="00705F07" w:rsidRDefault="00185A37">
            <w:pPr>
              <w:jc w:val="center"/>
              <w:rPr>
                <w:color w:val="000000"/>
                <w:sz w:val="12"/>
                <w:szCs w:val="12"/>
              </w:rPr>
            </w:pPr>
            <w:r>
              <w:rPr>
                <w:color w:val="000000"/>
                <w:sz w:val="12"/>
                <w:szCs w:val="12"/>
              </w:rPr>
              <w:t>2 464,8</w:t>
            </w:r>
          </w:p>
        </w:tc>
        <w:tc>
          <w:tcPr>
            <w:tcW w:w="675" w:type="dxa"/>
            <w:vAlign w:val="center"/>
            <w:hideMark/>
          </w:tcPr>
          <w:p w:rsidR="00705F07" w:rsidRDefault="00185A37">
            <w:pPr>
              <w:jc w:val="center"/>
              <w:rPr>
                <w:color w:val="000000"/>
                <w:sz w:val="12"/>
                <w:szCs w:val="12"/>
              </w:rPr>
            </w:pPr>
            <w:r>
              <w:rPr>
                <w:color w:val="000000"/>
                <w:sz w:val="12"/>
                <w:szCs w:val="12"/>
              </w:rPr>
              <w:t>2 588,9</w:t>
            </w:r>
          </w:p>
        </w:tc>
        <w:tc>
          <w:tcPr>
            <w:tcW w:w="689" w:type="dxa"/>
            <w:vAlign w:val="center"/>
            <w:hideMark/>
          </w:tcPr>
          <w:p w:rsidR="00705F07" w:rsidRDefault="00185A37">
            <w:pPr>
              <w:jc w:val="center"/>
              <w:rPr>
                <w:color w:val="000000"/>
                <w:sz w:val="12"/>
                <w:szCs w:val="12"/>
              </w:rPr>
            </w:pPr>
            <w:r>
              <w:rPr>
                <w:color w:val="000000"/>
                <w:sz w:val="12"/>
                <w:szCs w:val="12"/>
              </w:rPr>
              <w:t>2 467,5</w:t>
            </w:r>
          </w:p>
        </w:tc>
        <w:tc>
          <w:tcPr>
            <w:tcW w:w="732" w:type="dxa"/>
            <w:vAlign w:val="center"/>
            <w:hideMark/>
          </w:tcPr>
          <w:p w:rsidR="00705F07" w:rsidRDefault="00185A37">
            <w:pPr>
              <w:jc w:val="center"/>
              <w:rPr>
                <w:color w:val="000000"/>
                <w:sz w:val="12"/>
                <w:szCs w:val="12"/>
              </w:rPr>
            </w:pPr>
            <w:r>
              <w:rPr>
                <w:color w:val="000000"/>
                <w:sz w:val="12"/>
                <w:szCs w:val="12"/>
              </w:rPr>
              <w:t>2 054,4</w:t>
            </w:r>
          </w:p>
        </w:tc>
        <w:tc>
          <w:tcPr>
            <w:tcW w:w="758" w:type="dxa"/>
            <w:vAlign w:val="center"/>
            <w:hideMark/>
          </w:tcPr>
          <w:p w:rsidR="00705F07" w:rsidRDefault="00185A37">
            <w:pPr>
              <w:jc w:val="center"/>
              <w:rPr>
                <w:color w:val="000000"/>
                <w:sz w:val="12"/>
                <w:szCs w:val="12"/>
              </w:rPr>
            </w:pPr>
            <w:r>
              <w:rPr>
                <w:color w:val="000000"/>
                <w:sz w:val="12"/>
                <w:szCs w:val="12"/>
              </w:rPr>
              <w:t>2 349,4</w:t>
            </w:r>
          </w:p>
        </w:tc>
        <w:tc>
          <w:tcPr>
            <w:tcW w:w="755" w:type="dxa"/>
            <w:vAlign w:val="center"/>
            <w:hideMark/>
          </w:tcPr>
          <w:p w:rsidR="00705F07" w:rsidRDefault="00185A37">
            <w:pPr>
              <w:jc w:val="center"/>
              <w:rPr>
                <w:color w:val="000000"/>
                <w:sz w:val="12"/>
                <w:szCs w:val="12"/>
              </w:rPr>
            </w:pPr>
            <w:r>
              <w:rPr>
                <w:color w:val="000000"/>
                <w:sz w:val="12"/>
                <w:szCs w:val="12"/>
              </w:rPr>
              <w:t>3 063,6</w:t>
            </w:r>
          </w:p>
        </w:tc>
        <w:tc>
          <w:tcPr>
            <w:tcW w:w="782" w:type="dxa"/>
            <w:vAlign w:val="center"/>
            <w:hideMark/>
          </w:tcPr>
          <w:p w:rsidR="00705F07" w:rsidRDefault="00185A37">
            <w:pPr>
              <w:jc w:val="center"/>
              <w:rPr>
                <w:color w:val="000000"/>
                <w:sz w:val="12"/>
                <w:szCs w:val="12"/>
              </w:rPr>
            </w:pPr>
            <w:r>
              <w:rPr>
                <w:color w:val="000000"/>
                <w:sz w:val="12"/>
                <w:szCs w:val="12"/>
              </w:rPr>
              <w:t>2 473,5</w:t>
            </w:r>
          </w:p>
        </w:tc>
        <w:tc>
          <w:tcPr>
            <w:tcW w:w="721" w:type="dxa"/>
            <w:vAlign w:val="center"/>
            <w:hideMark/>
          </w:tcPr>
          <w:p w:rsidR="00705F07" w:rsidRDefault="00185A37">
            <w:pPr>
              <w:jc w:val="center"/>
              <w:rPr>
                <w:color w:val="000000"/>
                <w:sz w:val="12"/>
                <w:szCs w:val="12"/>
              </w:rPr>
            </w:pPr>
            <w:r>
              <w:rPr>
                <w:color w:val="000000"/>
                <w:sz w:val="12"/>
                <w:szCs w:val="12"/>
              </w:rPr>
              <w:t>2 314,8</w:t>
            </w:r>
          </w:p>
        </w:tc>
      </w:tr>
    </w:tbl>
    <w:p w:rsidR="00705F07" w:rsidRDefault="00185A37">
      <w:pPr>
        <w:ind w:firstLine="709"/>
        <w:jc w:val="both"/>
        <w:rPr>
          <w:color w:val="000000"/>
        </w:rPr>
      </w:pPr>
      <w:r>
        <w:rPr>
          <w:color w:val="000000"/>
        </w:rPr>
        <w:t>Джерело: складено автором на основі даних [</w:t>
      </w:r>
      <w:r>
        <w:rPr>
          <w:color w:val="000000"/>
          <w:lang w:val="uk-UA"/>
        </w:rPr>
        <w:t>36</w:t>
      </w:r>
      <w:r>
        <w:rPr>
          <w:color w:val="000000"/>
        </w:rPr>
        <w:t>].</w:t>
      </w:r>
    </w:p>
    <w:p w:rsidR="00705F07" w:rsidRDefault="00705F07">
      <w:pPr>
        <w:spacing w:line="360" w:lineRule="auto"/>
        <w:ind w:firstLine="709"/>
        <w:jc w:val="center"/>
        <w:rPr>
          <w:color w:val="000000"/>
          <w:sz w:val="28"/>
          <w:szCs w:val="28"/>
        </w:rPr>
      </w:pPr>
    </w:p>
    <w:p w:rsidR="00705F07" w:rsidRDefault="00185A37">
      <w:pPr>
        <w:rPr>
          <w:color w:val="000000"/>
          <w:sz w:val="28"/>
          <w:szCs w:val="28"/>
        </w:rPr>
      </w:pPr>
      <w:r>
        <w:rPr>
          <w:color w:val="000000"/>
          <w:sz w:val="28"/>
          <w:szCs w:val="28"/>
        </w:rPr>
        <w:br w:type="page"/>
      </w:r>
    </w:p>
    <w:p w:rsidR="00705F07" w:rsidRDefault="00185A37">
      <w:pPr>
        <w:spacing w:line="360" w:lineRule="auto"/>
        <w:ind w:firstLine="709"/>
        <w:jc w:val="right"/>
        <w:rPr>
          <w:rStyle w:val="ac"/>
          <w:i w:val="0"/>
          <w:color w:val="000000"/>
          <w:sz w:val="28"/>
          <w:szCs w:val="28"/>
        </w:rPr>
      </w:pPr>
      <w:r>
        <w:rPr>
          <w:rStyle w:val="ac"/>
          <w:i w:val="0"/>
          <w:color w:val="000000"/>
          <w:sz w:val="28"/>
          <w:szCs w:val="28"/>
        </w:rPr>
        <w:t>Додаток Д</w:t>
      </w:r>
    </w:p>
    <w:p w:rsidR="00705F07" w:rsidRDefault="00185A37">
      <w:pPr>
        <w:spacing w:line="360" w:lineRule="auto"/>
        <w:ind w:firstLine="709"/>
        <w:jc w:val="right"/>
        <w:rPr>
          <w:rStyle w:val="ac"/>
          <w:i w:val="0"/>
          <w:color w:val="000000"/>
          <w:sz w:val="28"/>
          <w:szCs w:val="28"/>
        </w:rPr>
      </w:pPr>
      <w:r>
        <w:rPr>
          <w:rStyle w:val="ac"/>
          <w:i w:val="0"/>
          <w:color w:val="000000"/>
          <w:sz w:val="28"/>
          <w:szCs w:val="28"/>
        </w:rPr>
        <w:t>Таблиця Д.1</w:t>
      </w:r>
    </w:p>
    <w:p w:rsidR="00705F07" w:rsidRDefault="00185A37">
      <w:pPr>
        <w:spacing w:line="360" w:lineRule="auto"/>
        <w:ind w:firstLine="709"/>
        <w:jc w:val="center"/>
        <w:rPr>
          <w:rStyle w:val="ac"/>
          <w:i w:val="0"/>
          <w:color w:val="000000"/>
          <w:sz w:val="28"/>
          <w:szCs w:val="28"/>
        </w:rPr>
      </w:pPr>
      <w:r>
        <w:rPr>
          <w:rStyle w:val="ac"/>
          <w:i w:val="0"/>
          <w:color w:val="000000"/>
          <w:sz w:val="28"/>
          <w:szCs w:val="28"/>
        </w:rPr>
        <w:t xml:space="preserve">Обсяг торгів фінансовими </w:t>
      </w:r>
      <w:r>
        <w:rPr>
          <w:rStyle w:val="ac"/>
          <w:i w:val="0"/>
          <w:color w:val="000000"/>
          <w:sz w:val="28"/>
          <w:szCs w:val="28"/>
        </w:rPr>
        <w:t>інструментами на організованих ринках капіталу в Україні за 2022-2024 рр. (млн. грн)</w:t>
      </w:r>
    </w:p>
    <w:tbl>
      <w:tblPr>
        <w:tblStyle w:val="ad"/>
        <w:tblW w:w="10322" w:type="dxa"/>
        <w:jc w:val="center"/>
        <w:tblLook w:val="04A0" w:firstRow="1" w:lastRow="0" w:firstColumn="1" w:lastColumn="0" w:noHBand="0" w:noVBand="1"/>
      </w:tblPr>
      <w:tblGrid>
        <w:gridCol w:w="949"/>
        <w:gridCol w:w="875"/>
        <w:gridCol w:w="875"/>
        <w:gridCol w:w="875"/>
        <w:gridCol w:w="965"/>
        <w:gridCol w:w="786"/>
        <w:gridCol w:w="875"/>
        <w:gridCol w:w="875"/>
        <w:gridCol w:w="875"/>
        <w:gridCol w:w="875"/>
        <w:gridCol w:w="965"/>
        <w:gridCol w:w="965"/>
        <w:gridCol w:w="965"/>
      </w:tblGrid>
      <w:tr w:rsidR="00705F07">
        <w:trPr>
          <w:cantSplit/>
          <w:trHeight w:val="1134"/>
          <w:jc w:val="center"/>
        </w:trPr>
        <w:tc>
          <w:tcPr>
            <w:tcW w:w="870" w:type="dxa"/>
            <w:vAlign w:val="center"/>
            <w:hideMark/>
          </w:tcPr>
          <w:p w:rsidR="00705F07" w:rsidRDefault="00185A37">
            <w:pPr>
              <w:jc w:val="center"/>
              <w:rPr>
                <w:rStyle w:val="ac"/>
                <w:i w:val="0"/>
                <w:color w:val="000000"/>
                <w:sz w:val="16"/>
                <w:szCs w:val="16"/>
              </w:rPr>
            </w:pPr>
            <w:r>
              <w:rPr>
                <w:rStyle w:val="ac"/>
                <w:i w:val="0"/>
                <w:color w:val="000000"/>
                <w:sz w:val="16"/>
                <w:szCs w:val="16"/>
              </w:rPr>
              <w:t>Період</w:t>
            </w:r>
          </w:p>
        </w:tc>
        <w:tc>
          <w:tcPr>
            <w:tcW w:w="236" w:type="dxa"/>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2022 УБ</w:t>
            </w:r>
          </w:p>
        </w:tc>
        <w:tc>
          <w:tcPr>
            <w:tcW w:w="0" w:type="auto"/>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2022 ПФТС</w:t>
            </w:r>
          </w:p>
        </w:tc>
        <w:tc>
          <w:tcPr>
            <w:tcW w:w="816" w:type="dxa"/>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2022 ПЕРСПЕКТИВА</w:t>
            </w:r>
          </w:p>
        </w:tc>
        <w:tc>
          <w:tcPr>
            <w:tcW w:w="0" w:type="auto"/>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2022 Усього</w:t>
            </w:r>
          </w:p>
        </w:tc>
        <w:tc>
          <w:tcPr>
            <w:tcW w:w="0" w:type="auto"/>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2023 УБ</w:t>
            </w:r>
          </w:p>
        </w:tc>
        <w:tc>
          <w:tcPr>
            <w:tcW w:w="0" w:type="auto"/>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2023 ПФТС</w:t>
            </w:r>
          </w:p>
        </w:tc>
        <w:tc>
          <w:tcPr>
            <w:tcW w:w="816" w:type="dxa"/>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2023 ПЕРСПЕКТИВА</w:t>
            </w:r>
          </w:p>
        </w:tc>
        <w:tc>
          <w:tcPr>
            <w:tcW w:w="0" w:type="auto"/>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2023 Усього</w:t>
            </w:r>
          </w:p>
        </w:tc>
        <w:tc>
          <w:tcPr>
            <w:tcW w:w="0" w:type="auto"/>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2024 УБ</w:t>
            </w:r>
          </w:p>
        </w:tc>
        <w:tc>
          <w:tcPr>
            <w:tcW w:w="0" w:type="auto"/>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2024 ПФТС</w:t>
            </w:r>
          </w:p>
        </w:tc>
        <w:tc>
          <w:tcPr>
            <w:tcW w:w="896" w:type="dxa"/>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2024 ПЕРСПЕКТИВА</w:t>
            </w:r>
          </w:p>
        </w:tc>
        <w:tc>
          <w:tcPr>
            <w:tcW w:w="0" w:type="auto"/>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2024 Усього</w:t>
            </w:r>
          </w:p>
        </w:tc>
      </w:tr>
      <w:tr w:rsidR="00705F07">
        <w:trPr>
          <w:jc w:val="center"/>
        </w:trPr>
        <w:tc>
          <w:tcPr>
            <w:tcW w:w="870" w:type="dxa"/>
            <w:vAlign w:val="center"/>
            <w:hideMark/>
          </w:tcPr>
          <w:p w:rsidR="00705F07" w:rsidRDefault="00185A37">
            <w:pPr>
              <w:jc w:val="center"/>
              <w:rPr>
                <w:rStyle w:val="ac"/>
                <w:i w:val="0"/>
                <w:color w:val="000000"/>
                <w:sz w:val="16"/>
                <w:szCs w:val="16"/>
              </w:rPr>
            </w:pPr>
            <w:r>
              <w:rPr>
                <w:rStyle w:val="ac"/>
                <w:i w:val="0"/>
                <w:color w:val="000000"/>
                <w:sz w:val="16"/>
                <w:szCs w:val="16"/>
              </w:rPr>
              <w:t>Січень</w:t>
            </w:r>
          </w:p>
        </w:tc>
        <w:tc>
          <w:tcPr>
            <w:tcW w:w="236" w:type="dxa"/>
            <w:vAlign w:val="center"/>
            <w:hideMark/>
          </w:tcPr>
          <w:p w:rsidR="00705F07" w:rsidRDefault="00185A37">
            <w:pPr>
              <w:jc w:val="center"/>
              <w:rPr>
                <w:rStyle w:val="ac"/>
                <w:i w:val="0"/>
                <w:color w:val="000000"/>
                <w:sz w:val="16"/>
                <w:szCs w:val="16"/>
              </w:rPr>
            </w:pPr>
            <w:r>
              <w:rPr>
                <w:rStyle w:val="ac"/>
                <w:i w:val="0"/>
                <w:color w:val="000000"/>
                <w:sz w:val="16"/>
                <w:szCs w:val="16"/>
              </w:rPr>
              <w:t>3335,90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28343,70</w:t>
            </w:r>
          </w:p>
        </w:tc>
        <w:tc>
          <w:tcPr>
            <w:tcW w:w="816" w:type="dxa"/>
            <w:vAlign w:val="center"/>
            <w:hideMark/>
          </w:tcPr>
          <w:p w:rsidR="00705F07" w:rsidRDefault="00185A37">
            <w:pPr>
              <w:jc w:val="center"/>
              <w:rPr>
                <w:rStyle w:val="ac"/>
                <w:i w:val="0"/>
                <w:color w:val="000000"/>
                <w:sz w:val="16"/>
                <w:szCs w:val="16"/>
              </w:rPr>
            </w:pPr>
            <w:r>
              <w:rPr>
                <w:rStyle w:val="ac"/>
                <w:i w:val="0"/>
                <w:color w:val="000000"/>
                <w:sz w:val="16"/>
                <w:szCs w:val="16"/>
              </w:rPr>
              <w:t>17109,84</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48791,72</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928,0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18178,6</w:t>
            </w:r>
          </w:p>
        </w:tc>
        <w:tc>
          <w:tcPr>
            <w:tcW w:w="816" w:type="dxa"/>
            <w:vAlign w:val="center"/>
            <w:hideMark/>
          </w:tcPr>
          <w:p w:rsidR="00705F07" w:rsidRDefault="00185A37">
            <w:pPr>
              <w:jc w:val="center"/>
              <w:rPr>
                <w:rStyle w:val="ac"/>
                <w:i w:val="0"/>
                <w:color w:val="000000"/>
                <w:sz w:val="16"/>
                <w:szCs w:val="16"/>
              </w:rPr>
            </w:pPr>
            <w:r>
              <w:rPr>
                <w:rStyle w:val="ac"/>
                <w:i w:val="0"/>
                <w:color w:val="000000"/>
                <w:sz w:val="16"/>
                <w:szCs w:val="16"/>
              </w:rPr>
              <w:t>9880,5</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28987,0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3897,91</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20913,48</w:t>
            </w:r>
          </w:p>
        </w:tc>
        <w:tc>
          <w:tcPr>
            <w:tcW w:w="896" w:type="dxa"/>
            <w:vAlign w:val="center"/>
            <w:hideMark/>
          </w:tcPr>
          <w:p w:rsidR="00705F07" w:rsidRDefault="00185A37">
            <w:pPr>
              <w:jc w:val="center"/>
              <w:rPr>
                <w:rStyle w:val="ac"/>
                <w:i w:val="0"/>
                <w:color w:val="000000"/>
                <w:sz w:val="16"/>
                <w:szCs w:val="16"/>
              </w:rPr>
            </w:pPr>
            <w:r>
              <w:rPr>
                <w:rStyle w:val="ac"/>
                <w:i w:val="0"/>
                <w:color w:val="000000"/>
                <w:sz w:val="16"/>
                <w:szCs w:val="16"/>
              </w:rPr>
              <w:t>13587,47</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38398,86</w:t>
            </w:r>
          </w:p>
        </w:tc>
      </w:tr>
      <w:tr w:rsidR="00705F07">
        <w:trPr>
          <w:jc w:val="center"/>
        </w:trPr>
        <w:tc>
          <w:tcPr>
            <w:tcW w:w="870" w:type="dxa"/>
            <w:vAlign w:val="center"/>
            <w:hideMark/>
          </w:tcPr>
          <w:p w:rsidR="00705F07" w:rsidRDefault="00185A37">
            <w:pPr>
              <w:jc w:val="center"/>
              <w:rPr>
                <w:rStyle w:val="ac"/>
                <w:i w:val="0"/>
                <w:color w:val="000000"/>
                <w:sz w:val="16"/>
                <w:szCs w:val="16"/>
              </w:rPr>
            </w:pPr>
            <w:r>
              <w:rPr>
                <w:rStyle w:val="ac"/>
                <w:i w:val="0"/>
                <w:color w:val="000000"/>
                <w:sz w:val="16"/>
                <w:szCs w:val="16"/>
              </w:rPr>
              <w:t>Лютий</w:t>
            </w:r>
          </w:p>
        </w:tc>
        <w:tc>
          <w:tcPr>
            <w:tcW w:w="236" w:type="dxa"/>
            <w:vAlign w:val="center"/>
            <w:hideMark/>
          </w:tcPr>
          <w:p w:rsidR="00705F07" w:rsidRDefault="00185A37">
            <w:pPr>
              <w:jc w:val="center"/>
              <w:rPr>
                <w:rStyle w:val="ac"/>
                <w:i w:val="0"/>
                <w:color w:val="000000"/>
                <w:sz w:val="16"/>
                <w:szCs w:val="16"/>
              </w:rPr>
            </w:pPr>
            <w:r>
              <w:rPr>
                <w:rStyle w:val="ac"/>
                <w:i w:val="0"/>
                <w:color w:val="000000"/>
                <w:sz w:val="16"/>
                <w:szCs w:val="16"/>
              </w:rPr>
              <w:t>3152,87</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19330,98</w:t>
            </w:r>
          </w:p>
        </w:tc>
        <w:tc>
          <w:tcPr>
            <w:tcW w:w="816" w:type="dxa"/>
            <w:vAlign w:val="center"/>
            <w:hideMark/>
          </w:tcPr>
          <w:p w:rsidR="00705F07" w:rsidRDefault="00185A37">
            <w:pPr>
              <w:jc w:val="center"/>
              <w:rPr>
                <w:rStyle w:val="ac"/>
                <w:i w:val="0"/>
                <w:color w:val="000000"/>
                <w:sz w:val="16"/>
                <w:szCs w:val="16"/>
              </w:rPr>
            </w:pPr>
            <w:r>
              <w:rPr>
                <w:rStyle w:val="ac"/>
                <w:i w:val="0"/>
                <w:color w:val="000000"/>
                <w:sz w:val="16"/>
                <w:szCs w:val="16"/>
              </w:rPr>
              <w:t>22103,42</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44589,44</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1467,3</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14206,8</w:t>
            </w:r>
          </w:p>
        </w:tc>
        <w:tc>
          <w:tcPr>
            <w:tcW w:w="816" w:type="dxa"/>
            <w:vAlign w:val="center"/>
            <w:hideMark/>
          </w:tcPr>
          <w:p w:rsidR="00705F07" w:rsidRDefault="00185A37">
            <w:pPr>
              <w:jc w:val="center"/>
              <w:rPr>
                <w:rStyle w:val="ac"/>
                <w:i w:val="0"/>
                <w:color w:val="000000"/>
                <w:sz w:val="16"/>
                <w:szCs w:val="16"/>
              </w:rPr>
            </w:pPr>
            <w:r>
              <w:rPr>
                <w:rStyle w:val="ac"/>
                <w:i w:val="0"/>
                <w:color w:val="000000"/>
                <w:sz w:val="16"/>
                <w:szCs w:val="16"/>
              </w:rPr>
              <w:t>5593,0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21267,2</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1924,21</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28703,73</w:t>
            </w:r>
          </w:p>
        </w:tc>
        <w:tc>
          <w:tcPr>
            <w:tcW w:w="896" w:type="dxa"/>
            <w:vAlign w:val="center"/>
            <w:hideMark/>
          </w:tcPr>
          <w:p w:rsidR="00705F07" w:rsidRDefault="00185A37">
            <w:pPr>
              <w:jc w:val="center"/>
              <w:rPr>
                <w:rStyle w:val="ac"/>
                <w:i w:val="0"/>
                <w:color w:val="000000"/>
                <w:sz w:val="16"/>
                <w:szCs w:val="16"/>
              </w:rPr>
            </w:pPr>
            <w:r>
              <w:rPr>
                <w:rStyle w:val="ac"/>
                <w:i w:val="0"/>
                <w:color w:val="000000"/>
                <w:sz w:val="16"/>
                <w:szCs w:val="16"/>
              </w:rPr>
              <w:t>7273,29</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37901,23</w:t>
            </w:r>
          </w:p>
        </w:tc>
      </w:tr>
      <w:tr w:rsidR="00705F07">
        <w:trPr>
          <w:jc w:val="center"/>
        </w:trPr>
        <w:tc>
          <w:tcPr>
            <w:tcW w:w="870" w:type="dxa"/>
            <w:vAlign w:val="center"/>
            <w:hideMark/>
          </w:tcPr>
          <w:p w:rsidR="00705F07" w:rsidRDefault="00185A37">
            <w:pPr>
              <w:jc w:val="center"/>
              <w:rPr>
                <w:rStyle w:val="ac"/>
                <w:i w:val="0"/>
                <w:color w:val="000000"/>
                <w:sz w:val="16"/>
                <w:szCs w:val="16"/>
              </w:rPr>
            </w:pPr>
            <w:r>
              <w:rPr>
                <w:rStyle w:val="ac"/>
                <w:i w:val="0"/>
                <w:color w:val="000000"/>
                <w:sz w:val="16"/>
                <w:szCs w:val="16"/>
              </w:rPr>
              <w:t>Березень</w:t>
            </w:r>
          </w:p>
        </w:tc>
        <w:tc>
          <w:tcPr>
            <w:tcW w:w="236" w:type="dxa"/>
            <w:vAlign w:val="center"/>
            <w:hideMark/>
          </w:tcPr>
          <w:p w:rsidR="00705F07" w:rsidRDefault="00185A37">
            <w:pPr>
              <w:jc w:val="center"/>
              <w:rPr>
                <w:rStyle w:val="ac"/>
                <w:i w:val="0"/>
                <w:color w:val="000000"/>
                <w:sz w:val="16"/>
                <w:szCs w:val="16"/>
              </w:rPr>
            </w:pPr>
            <w:r>
              <w:rPr>
                <w:rStyle w:val="ac"/>
                <w:i w:val="0"/>
                <w:color w:val="000000"/>
                <w:sz w:val="16"/>
                <w:szCs w:val="16"/>
              </w:rPr>
              <w:t>82,69</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1143,85</w:t>
            </w:r>
          </w:p>
        </w:tc>
        <w:tc>
          <w:tcPr>
            <w:tcW w:w="816" w:type="dxa"/>
            <w:vAlign w:val="center"/>
            <w:hideMark/>
          </w:tcPr>
          <w:p w:rsidR="00705F07" w:rsidRDefault="00185A37">
            <w:pPr>
              <w:jc w:val="center"/>
              <w:rPr>
                <w:rStyle w:val="ac"/>
                <w:i w:val="0"/>
                <w:color w:val="000000"/>
                <w:sz w:val="16"/>
                <w:szCs w:val="16"/>
              </w:rPr>
            </w:pPr>
            <w:r>
              <w:rPr>
                <w:rStyle w:val="ac"/>
                <w:i w:val="0"/>
                <w:color w:val="000000"/>
                <w:sz w:val="16"/>
                <w:szCs w:val="16"/>
              </w:rPr>
              <w:t>533,93</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1760,47</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1164,4</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21377,9</w:t>
            </w:r>
          </w:p>
        </w:tc>
        <w:tc>
          <w:tcPr>
            <w:tcW w:w="816" w:type="dxa"/>
            <w:vAlign w:val="center"/>
            <w:hideMark/>
          </w:tcPr>
          <w:p w:rsidR="00705F07" w:rsidRDefault="00185A37">
            <w:pPr>
              <w:jc w:val="center"/>
              <w:rPr>
                <w:rStyle w:val="ac"/>
                <w:i w:val="0"/>
                <w:color w:val="000000"/>
                <w:sz w:val="16"/>
                <w:szCs w:val="16"/>
              </w:rPr>
            </w:pPr>
            <w:r>
              <w:rPr>
                <w:rStyle w:val="ac"/>
                <w:i w:val="0"/>
                <w:color w:val="000000"/>
                <w:sz w:val="16"/>
                <w:szCs w:val="16"/>
              </w:rPr>
              <w:t>11653,5</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34195,8</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2088,46</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27633,86</w:t>
            </w:r>
          </w:p>
        </w:tc>
        <w:tc>
          <w:tcPr>
            <w:tcW w:w="896" w:type="dxa"/>
            <w:vAlign w:val="center"/>
            <w:hideMark/>
          </w:tcPr>
          <w:p w:rsidR="00705F07" w:rsidRDefault="00185A37">
            <w:pPr>
              <w:jc w:val="center"/>
              <w:rPr>
                <w:rStyle w:val="ac"/>
                <w:i w:val="0"/>
                <w:color w:val="000000"/>
                <w:sz w:val="16"/>
                <w:szCs w:val="16"/>
              </w:rPr>
            </w:pPr>
            <w:r>
              <w:rPr>
                <w:rStyle w:val="ac"/>
                <w:i w:val="0"/>
                <w:color w:val="000000"/>
                <w:sz w:val="16"/>
                <w:szCs w:val="16"/>
              </w:rPr>
              <w:t>10334,56</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40056,87</w:t>
            </w:r>
          </w:p>
        </w:tc>
      </w:tr>
      <w:tr w:rsidR="00705F07">
        <w:trPr>
          <w:jc w:val="center"/>
        </w:trPr>
        <w:tc>
          <w:tcPr>
            <w:tcW w:w="870" w:type="dxa"/>
            <w:vAlign w:val="center"/>
            <w:hideMark/>
          </w:tcPr>
          <w:p w:rsidR="00705F07" w:rsidRDefault="00185A37">
            <w:pPr>
              <w:jc w:val="center"/>
              <w:rPr>
                <w:rStyle w:val="ac"/>
                <w:i w:val="0"/>
                <w:color w:val="000000"/>
                <w:sz w:val="16"/>
                <w:szCs w:val="16"/>
              </w:rPr>
            </w:pPr>
            <w:r>
              <w:rPr>
                <w:rStyle w:val="ac"/>
                <w:i w:val="0"/>
                <w:color w:val="000000"/>
                <w:sz w:val="16"/>
                <w:szCs w:val="16"/>
              </w:rPr>
              <w:t>Квітень</w:t>
            </w:r>
          </w:p>
        </w:tc>
        <w:tc>
          <w:tcPr>
            <w:tcW w:w="236" w:type="dxa"/>
            <w:vAlign w:val="center"/>
            <w:hideMark/>
          </w:tcPr>
          <w:p w:rsidR="00705F07" w:rsidRDefault="00185A37">
            <w:pPr>
              <w:jc w:val="center"/>
              <w:rPr>
                <w:rStyle w:val="ac"/>
                <w:i w:val="0"/>
                <w:color w:val="000000"/>
                <w:sz w:val="16"/>
                <w:szCs w:val="16"/>
              </w:rPr>
            </w:pPr>
            <w:r>
              <w:rPr>
                <w:rStyle w:val="ac"/>
                <w:i w:val="0"/>
                <w:color w:val="000000"/>
                <w:sz w:val="16"/>
                <w:szCs w:val="16"/>
              </w:rPr>
              <w:t>57,23</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856,12</w:t>
            </w:r>
          </w:p>
        </w:tc>
        <w:tc>
          <w:tcPr>
            <w:tcW w:w="816" w:type="dxa"/>
            <w:vAlign w:val="center"/>
            <w:hideMark/>
          </w:tcPr>
          <w:p w:rsidR="00705F07" w:rsidRDefault="00185A37">
            <w:pPr>
              <w:jc w:val="center"/>
              <w:rPr>
                <w:rStyle w:val="ac"/>
                <w:i w:val="0"/>
                <w:color w:val="000000"/>
                <w:sz w:val="16"/>
                <w:szCs w:val="16"/>
              </w:rPr>
            </w:pPr>
            <w:r>
              <w:rPr>
                <w:rStyle w:val="ac"/>
                <w:i w:val="0"/>
                <w:color w:val="000000"/>
                <w:sz w:val="16"/>
                <w:szCs w:val="16"/>
              </w:rPr>
              <w:t>3520,69</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4434,04</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626,7</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25594,4</w:t>
            </w:r>
          </w:p>
        </w:tc>
        <w:tc>
          <w:tcPr>
            <w:tcW w:w="816" w:type="dxa"/>
            <w:vAlign w:val="center"/>
            <w:hideMark/>
          </w:tcPr>
          <w:p w:rsidR="00705F07" w:rsidRDefault="00185A37">
            <w:pPr>
              <w:jc w:val="center"/>
              <w:rPr>
                <w:rStyle w:val="ac"/>
                <w:i w:val="0"/>
                <w:color w:val="000000"/>
                <w:sz w:val="16"/>
                <w:szCs w:val="16"/>
              </w:rPr>
            </w:pPr>
            <w:r>
              <w:rPr>
                <w:rStyle w:val="ac"/>
                <w:i w:val="0"/>
                <w:color w:val="000000"/>
                <w:sz w:val="16"/>
                <w:szCs w:val="16"/>
              </w:rPr>
              <w:t>12553,8</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38774,9</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2522,77</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38295,99</w:t>
            </w:r>
          </w:p>
        </w:tc>
        <w:tc>
          <w:tcPr>
            <w:tcW w:w="896" w:type="dxa"/>
            <w:vAlign w:val="center"/>
            <w:hideMark/>
          </w:tcPr>
          <w:p w:rsidR="00705F07" w:rsidRDefault="00185A37">
            <w:pPr>
              <w:jc w:val="center"/>
              <w:rPr>
                <w:rStyle w:val="ac"/>
                <w:i w:val="0"/>
                <w:color w:val="000000"/>
                <w:sz w:val="16"/>
                <w:szCs w:val="16"/>
              </w:rPr>
            </w:pPr>
            <w:r>
              <w:rPr>
                <w:rStyle w:val="ac"/>
                <w:i w:val="0"/>
                <w:color w:val="000000"/>
                <w:sz w:val="16"/>
                <w:szCs w:val="16"/>
              </w:rPr>
              <w:t>10845,44</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51664,20</w:t>
            </w:r>
          </w:p>
        </w:tc>
      </w:tr>
      <w:tr w:rsidR="00705F07">
        <w:trPr>
          <w:jc w:val="center"/>
        </w:trPr>
        <w:tc>
          <w:tcPr>
            <w:tcW w:w="870" w:type="dxa"/>
            <w:vAlign w:val="center"/>
            <w:hideMark/>
          </w:tcPr>
          <w:p w:rsidR="00705F07" w:rsidRDefault="00185A37">
            <w:pPr>
              <w:jc w:val="center"/>
              <w:rPr>
                <w:rStyle w:val="ac"/>
                <w:i w:val="0"/>
                <w:color w:val="000000"/>
                <w:sz w:val="16"/>
                <w:szCs w:val="16"/>
              </w:rPr>
            </w:pPr>
            <w:r>
              <w:rPr>
                <w:rStyle w:val="ac"/>
                <w:i w:val="0"/>
                <w:color w:val="000000"/>
                <w:sz w:val="16"/>
                <w:szCs w:val="16"/>
              </w:rPr>
              <w:t>Травень</w:t>
            </w:r>
          </w:p>
        </w:tc>
        <w:tc>
          <w:tcPr>
            <w:tcW w:w="236" w:type="dxa"/>
            <w:vAlign w:val="center"/>
            <w:hideMark/>
          </w:tcPr>
          <w:p w:rsidR="00705F07" w:rsidRDefault="00185A37">
            <w:pPr>
              <w:jc w:val="center"/>
              <w:rPr>
                <w:rStyle w:val="ac"/>
                <w:i w:val="0"/>
                <w:color w:val="000000"/>
                <w:sz w:val="16"/>
                <w:szCs w:val="16"/>
              </w:rPr>
            </w:pPr>
            <w:r>
              <w:rPr>
                <w:rStyle w:val="ac"/>
                <w:i w:val="0"/>
                <w:color w:val="000000"/>
                <w:sz w:val="16"/>
                <w:szCs w:val="16"/>
              </w:rPr>
              <w:t>1016,14</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886,71</w:t>
            </w:r>
          </w:p>
        </w:tc>
        <w:tc>
          <w:tcPr>
            <w:tcW w:w="816" w:type="dxa"/>
            <w:vAlign w:val="center"/>
            <w:hideMark/>
          </w:tcPr>
          <w:p w:rsidR="00705F07" w:rsidRDefault="00185A37">
            <w:pPr>
              <w:jc w:val="center"/>
              <w:rPr>
                <w:rStyle w:val="ac"/>
                <w:i w:val="0"/>
                <w:color w:val="000000"/>
                <w:sz w:val="16"/>
                <w:szCs w:val="16"/>
              </w:rPr>
            </w:pPr>
            <w:r>
              <w:rPr>
                <w:rStyle w:val="ac"/>
                <w:i w:val="0"/>
                <w:color w:val="000000"/>
                <w:sz w:val="16"/>
                <w:szCs w:val="16"/>
              </w:rPr>
              <w:t>2526,01</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4428,86</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602,4</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25334,4</w:t>
            </w:r>
          </w:p>
        </w:tc>
        <w:tc>
          <w:tcPr>
            <w:tcW w:w="816" w:type="dxa"/>
            <w:vAlign w:val="center"/>
            <w:hideMark/>
          </w:tcPr>
          <w:p w:rsidR="00705F07" w:rsidRDefault="00185A37">
            <w:pPr>
              <w:jc w:val="center"/>
              <w:rPr>
                <w:rStyle w:val="ac"/>
                <w:i w:val="0"/>
                <w:color w:val="000000"/>
                <w:sz w:val="16"/>
                <w:szCs w:val="16"/>
              </w:rPr>
            </w:pPr>
            <w:r>
              <w:rPr>
                <w:rStyle w:val="ac"/>
                <w:i w:val="0"/>
                <w:color w:val="000000"/>
                <w:sz w:val="16"/>
                <w:szCs w:val="16"/>
              </w:rPr>
              <w:t>19895,8</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45832,6</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8043,46</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40983,31</w:t>
            </w:r>
          </w:p>
        </w:tc>
        <w:tc>
          <w:tcPr>
            <w:tcW w:w="896" w:type="dxa"/>
            <w:vAlign w:val="center"/>
            <w:hideMark/>
          </w:tcPr>
          <w:p w:rsidR="00705F07" w:rsidRDefault="00185A37">
            <w:pPr>
              <w:jc w:val="center"/>
              <w:rPr>
                <w:rStyle w:val="ac"/>
                <w:i w:val="0"/>
                <w:color w:val="000000"/>
                <w:sz w:val="16"/>
                <w:szCs w:val="16"/>
              </w:rPr>
            </w:pPr>
            <w:r>
              <w:rPr>
                <w:rStyle w:val="ac"/>
                <w:i w:val="0"/>
                <w:color w:val="000000"/>
                <w:sz w:val="16"/>
                <w:szCs w:val="16"/>
              </w:rPr>
              <w:t>21878,75</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70905,53</w:t>
            </w:r>
          </w:p>
        </w:tc>
      </w:tr>
      <w:tr w:rsidR="00705F07">
        <w:trPr>
          <w:jc w:val="center"/>
        </w:trPr>
        <w:tc>
          <w:tcPr>
            <w:tcW w:w="870" w:type="dxa"/>
            <w:vAlign w:val="center"/>
            <w:hideMark/>
          </w:tcPr>
          <w:p w:rsidR="00705F07" w:rsidRDefault="00185A37">
            <w:pPr>
              <w:jc w:val="center"/>
              <w:rPr>
                <w:rStyle w:val="ac"/>
                <w:i w:val="0"/>
                <w:color w:val="000000"/>
                <w:sz w:val="16"/>
                <w:szCs w:val="16"/>
              </w:rPr>
            </w:pPr>
            <w:r>
              <w:rPr>
                <w:rStyle w:val="ac"/>
                <w:i w:val="0"/>
                <w:color w:val="000000"/>
                <w:sz w:val="16"/>
                <w:szCs w:val="16"/>
              </w:rPr>
              <w:t>Червень</w:t>
            </w:r>
          </w:p>
        </w:tc>
        <w:tc>
          <w:tcPr>
            <w:tcW w:w="236" w:type="dxa"/>
            <w:vAlign w:val="center"/>
            <w:hideMark/>
          </w:tcPr>
          <w:p w:rsidR="00705F07" w:rsidRDefault="00185A37">
            <w:pPr>
              <w:jc w:val="center"/>
              <w:rPr>
                <w:rStyle w:val="ac"/>
                <w:i w:val="0"/>
                <w:color w:val="000000"/>
                <w:sz w:val="16"/>
                <w:szCs w:val="16"/>
              </w:rPr>
            </w:pPr>
            <w:r>
              <w:rPr>
                <w:rStyle w:val="ac"/>
                <w:i w:val="0"/>
                <w:color w:val="000000"/>
                <w:sz w:val="16"/>
                <w:szCs w:val="16"/>
              </w:rPr>
              <w:t>476,73</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1829,91</w:t>
            </w:r>
          </w:p>
        </w:tc>
        <w:tc>
          <w:tcPr>
            <w:tcW w:w="816" w:type="dxa"/>
            <w:vAlign w:val="center"/>
            <w:hideMark/>
          </w:tcPr>
          <w:p w:rsidR="00705F07" w:rsidRDefault="00185A37">
            <w:pPr>
              <w:jc w:val="center"/>
              <w:rPr>
                <w:rStyle w:val="ac"/>
                <w:i w:val="0"/>
                <w:color w:val="000000"/>
                <w:sz w:val="16"/>
                <w:szCs w:val="16"/>
              </w:rPr>
            </w:pPr>
            <w:r>
              <w:rPr>
                <w:rStyle w:val="ac"/>
                <w:i w:val="0"/>
                <w:color w:val="000000"/>
                <w:sz w:val="16"/>
                <w:szCs w:val="16"/>
              </w:rPr>
              <w:t>526,29</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2832,93</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910,6</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10435,0</w:t>
            </w:r>
          </w:p>
        </w:tc>
        <w:tc>
          <w:tcPr>
            <w:tcW w:w="816" w:type="dxa"/>
            <w:vAlign w:val="center"/>
            <w:hideMark/>
          </w:tcPr>
          <w:p w:rsidR="00705F07" w:rsidRDefault="00185A37">
            <w:pPr>
              <w:jc w:val="center"/>
              <w:rPr>
                <w:rStyle w:val="ac"/>
                <w:i w:val="0"/>
                <w:color w:val="000000"/>
                <w:sz w:val="16"/>
                <w:szCs w:val="16"/>
              </w:rPr>
            </w:pPr>
            <w:r>
              <w:rPr>
                <w:rStyle w:val="ac"/>
                <w:i w:val="0"/>
                <w:color w:val="000000"/>
                <w:sz w:val="16"/>
                <w:szCs w:val="16"/>
              </w:rPr>
              <w:t>14452,8</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25798,5</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2578,29</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40252,37</w:t>
            </w:r>
          </w:p>
        </w:tc>
        <w:tc>
          <w:tcPr>
            <w:tcW w:w="896" w:type="dxa"/>
            <w:vAlign w:val="center"/>
            <w:hideMark/>
          </w:tcPr>
          <w:p w:rsidR="00705F07" w:rsidRDefault="00185A37">
            <w:pPr>
              <w:jc w:val="center"/>
              <w:rPr>
                <w:rStyle w:val="ac"/>
                <w:i w:val="0"/>
                <w:color w:val="000000"/>
                <w:sz w:val="16"/>
                <w:szCs w:val="16"/>
              </w:rPr>
            </w:pPr>
            <w:r>
              <w:rPr>
                <w:rStyle w:val="ac"/>
                <w:i w:val="0"/>
                <w:color w:val="000000"/>
                <w:sz w:val="16"/>
                <w:szCs w:val="16"/>
              </w:rPr>
              <w:t>17799,60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60630,26</w:t>
            </w:r>
          </w:p>
        </w:tc>
      </w:tr>
      <w:tr w:rsidR="00705F07">
        <w:trPr>
          <w:jc w:val="center"/>
        </w:trPr>
        <w:tc>
          <w:tcPr>
            <w:tcW w:w="870" w:type="dxa"/>
            <w:vAlign w:val="center"/>
            <w:hideMark/>
          </w:tcPr>
          <w:p w:rsidR="00705F07" w:rsidRDefault="00185A37">
            <w:pPr>
              <w:jc w:val="center"/>
              <w:rPr>
                <w:rStyle w:val="ac"/>
                <w:i w:val="0"/>
                <w:color w:val="000000"/>
                <w:sz w:val="16"/>
                <w:szCs w:val="16"/>
              </w:rPr>
            </w:pPr>
            <w:r>
              <w:rPr>
                <w:rStyle w:val="ac"/>
                <w:i w:val="0"/>
                <w:color w:val="000000"/>
                <w:sz w:val="16"/>
                <w:szCs w:val="16"/>
              </w:rPr>
              <w:t>Липень</w:t>
            </w:r>
          </w:p>
        </w:tc>
        <w:tc>
          <w:tcPr>
            <w:tcW w:w="236" w:type="dxa"/>
            <w:vAlign w:val="center"/>
            <w:hideMark/>
          </w:tcPr>
          <w:p w:rsidR="00705F07" w:rsidRDefault="00185A37">
            <w:pPr>
              <w:jc w:val="center"/>
              <w:rPr>
                <w:rStyle w:val="ac"/>
                <w:i w:val="0"/>
                <w:color w:val="000000"/>
                <w:sz w:val="16"/>
                <w:szCs w:val="16"/>
              </w:rPr>
            </w:pPr>
            <w:r>
              <w:rPr>
                <w:rStyle w:val="ac"/>
                <w:i w:val="0"/>
                <w:color w:val="000000"/>
                <w:sz w:val="16"/>
                <w:szCs w:val="16"/>
              </w:rPr>
              <w:t>330,75</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603,75</w:t>
            </w:r>
          </w:p>
        </w:tc>
        <w:tc>
          <w:tcPr>
            <w:tcW w:w="816" w:type="dxa"/>
            <w:vAlign w:val="center"/>
            <w:hideMark/>
          </w:tcPr>
          <w:p w:rsidR="00705F07" w:rsidRDefault="00185A37">
            <w:pPr>
              <w:jc w:val="center"/>
              <w:rPr>
                <w:rStyle w:val="ac"/>
                <w:i w:val="0"/>
                <w:color w:val="000000"/>
                <w:sz w:val="16"/>
                <w:szCs w:val="16"/>
              </w:rPr>
            </w:pPr>
            <w:r>
              <w:rPr>
                <w:rStyle w:val="ac"/>
                <w:i w:val="0"/>
                <w:color w:val="000000"/>
                <w:sz w:val="16"/>
                <w:szCs w:val="16"/>
              </w:rPr>
              <w:t>133,97</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1068,46</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1675,4</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15403,1</w:t>
            </w:r>
          </w:p>
        </w:tc>
        <w:tc>
          <w:tcPr>
            <w:tcW w:w="816" w:type="dxa"/>
            <w:vAlign w:val="center"/>
            <w:hideMark/>
          </w:tcPr>
          <w:p w:rsidR="00705F07" w:rsidRDefault="00185A37">
            <w:pPr>
              <w:jc w:val="center"/>
              <w:rPr>
                <w:rStyle w:val="ac"/>
                <w:i w:val="0"/>
                <w:color w:val="000000"/>
                <w:sz w:val="16"/>
                <w:szCs w:val="16"/>
              </w:rPr>
            </w:pPr>
            <w:r>
              <w:rPr>
                <w:rStyle w:val="ac"/>
                <w:i w:val="0"/>
                <w:color w:val="000000"/>
                <w:sz w:val="16"/>
                <w:szCs w:val="16"/>
              </w:rPr>
              <w:t>13432,3</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30510,8</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162,04</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36523,40</w:t>
            </w:r>
          </w:p>
        </w:tc>
        <w:tc>
          <w:tcPr>
            <w:tcW w:w="896" w:type="dxa"/>
            <w:vAlign w:val="center"/>
            <w:hideMark/>
          </w:tcPr>
          <w:p w:rsidR="00705F07" w:rsidRDefault="00185A37">
            <w:pPr>
              <w:jc w:val="center"/>
              <w:rPr>
                <w:rStyle w:val="ac"/>
                <w:i w:val="0"/>
                <w:color w:val="000000"/>
                <w:sz w:val="16"/>
                <w:szCs w:val="16"/>
              </w:rPr>
            </w:pPr>
            <w:r>
              <w:rPr>
                <w:rStyle w:val="ac"/>
                <w:i w:val="0"/>
                <w:color w:val="000000"/>
                <w:sz w:val="16"/>
                <w:szCs w:val="16"/>
              </w:rPr>
              <w:t>17179,27</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53864,71</w:t>
            </w:r>
          </w:p>
        </w:tc>
      </w:tr>
      <w:tr w:rsidR="00705F07">
        <w:trPr>
          <w:jc w:val="center"/>
        </w:trPr>
        <w:tc>
          <w:tcPr>
            <w:tcW w:w="870" w:type="dxa"/>
            <w:vAlign w:val="center"/>
            <w:hideMark/>
          </w:tcPr>
          <w:p w:rsidR="00705F07" w:rsidRDefault="00185A37">
            <w:pPr>
              <w:jc w:val="center"/>
              <w:rPr>
                <w:rStyle w:val="ac"/>
                <w:i w:val="0"/>
                <w:color w:val="000000"/>
                <w:sz w:val="16"/>
                <w:szCs w:val="16"/>
              </w:rPr>
            </w:pPr>
            <w:r>
              <w:rPr>
                <w:rStyle w:val="ac"/>
                <w:i w:val="0"/>
                <w:color w:val="000000"/>
                <w:sz w:val="16"/>
                <w:szCs w:val="16"/>
              </w:rPr>
              <w:t>Серпень</w:t>
            </w:r>
          </w:p>
        </w:tc>
        <w:tc>
          <w:tcPr>
            <w:tcW w:w="236" w:type="dxa"/>
            <w:vAlign w:val="center"/>
            <w:hideMark/>
          </w:tcPr>
          <w:p w:rsidR="00705F07" w:rsidRDefault="00185A37">
            <w:pPr>
              <w:jc w:val="center"/>
              <w:rPr>
                <w:rStyle w:val="ac"/>
                <w:i w:val="0"/>
                <w:color w:val="000000"/>
                <w:sz w:val="16"/>
                <w:szCs w:val="16"/>
              </w:rPr>
            </w:pPr>
            <w:r>
              <w:rPr>
                <w:rStyle w:val="ac"/>
                <w:i w:val="0"/>
                <w:color w:val="000000"/>
                <w:sz w:val="16"/>
                <w:szCs w:val="16"/>
              </w:rPr>
              <w:t>1543,54</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5460,72</w:t>
            </w:r>
          </w:p>
        </w:tc>
        <w:tc>
          <w:tcPr>
            <w:tcW w:w="816" w:type="dxa"/>
            <w:vAlign w:val="center"/>
            <w:hideMark/>
          </w:tcPr>
          <w:p w:rsidR="00705F07" w:rsidRDefault="00185A37">
            <w:pPr>
              <w:jc w:val="center"/>
              <w:rPr>
                <w:rStyle w:val="ac"/>
                <w:i w:val="0"/>
                <w:color w:val="000000"/>
                <w:sz w:val="16"/>
                <w:szCs w:val="16"/>
              </w:rPr>
            </w:pPr>
            <w:r>
              <w:rPr>
                <w:rStyle w:val="ac"/>
                <w:i w:val="0"/>
                <w:color w:val="000000"/>
                <w:sz w:val="16"/>
                <w:szCs w:val="16"/>
              </w:rPr>
              <w:t>1985,51</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8989,77</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1025,7</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19237,6</w:t>
            </w:r>
          </w:p>
        </w:tc>
        <w:tc>
          <w:tcPr>
            <w:tcW w:w="816" w:type="dxa"/>
            <w:vAlign w:val="center"/>
            <w:hideMark/>
          </w:tcPr>
          <w:p w:rsidR="00705F07" w:rsidRDefault="00185A37">
            <w:pPr>
              <w:jc w:val="center"/>
              <w:rPr>
                <w:rStyle w:val="ac"/>
                <w:i w:val="0"/>
                <w:color w:val="000000"/>
                <w:sz w:val="16"/>
                <w:szCs w:val="16"/>
              </w:rPr>
            </w:pPr>
            <w:r>
              <w:rPr>
                <w:rStyle w:val="ac"/>
                <w:i w:val="0"/>
                <w:color w:val="000000"/>
                <w:sz w:val="16"/>
                <w:szCs w:val="16"/>
              </w:rPr>
              <w:t>9573,3</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29836,5</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0,00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38111,60</w:t>
            </w:r>
          </w:p>
        </w:tc>
        <w:tc>
          <w:tcPr>
            <w:tcW w:w="896" w:type="dxa"/>
            <w:vAlign w:val="center"/>
            <w:hideMark/>
          </w:tcPr>
          <w:p w:rsidR="00705F07" w:rsidRDefault="00185A37">
            <w:pPr>
              <w:jc w:val="center"/>
              <w:rPr>
                <w:rStyle w:val="ac"/>
                <w:i w:val="0"/>
                <w:color w:val="000000"/>
                <w:sz w:val="16"/>
                <w:szCs w:val="16"/>
              </w:rPr>
            </w:pPr>
            <w:r>
              <w:rPr>
                <w:rStyle w:val="ac"/>
                <w:i w:val="0"/>
                <w:color w:val="000000"/>
                <w:sz w:val="16"/>
                <w:szCs w:val="16"/>
              </w:rPr>
              <w:t>13516,21</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51627,82</w:t>
            </w:r>
          </w:p>
        </w:tc>
      </w:tr>
      <w:tr w:rsidR="00705F07">
        <w:trPr>
          <w:jc w:val="center"/>
        </w:trPr>
        <w:tc>
          <w:tcPr>
            <w:tcW w:w="870" w:type="dxa"/>
            <w:vAlign w:val="center"/>
            <w:hideMark/>
          </w:tcPr>
          <w:p w:rsidR="00705F07" w:rsidRDefault="00185A37">
            <w:pPr>
              <w:jc w:val="center"/>
              <w:rPr>
                <w:rStyle w:val="ac"/>
                <w:i w:val="0"/>
                <w:color w:val="000000"/>
                <w:sz w:val="16"/>
                <w:szCs w:val="16"/>
              </w:rPr>
            </w:pPr>
            <w:r>
              <w:rPr>
                <w:rStyle w:val="ac"/>
                <w:i w:val="0"/>
                <w:color w:val="000000"/>
                <w:sz w:val="16"/>
                <w:szCs w:val="16"/>
              </w:rPr>
              <w:t>Вересень</w:t>
            </w:r>
          </w:p>
        </w:tc>
        <w:tc>
          <w:tcPr>
            <w:tcW w:w="236" w:type="dxa"/>
            <w:vAlign w:val="center"/>
            <w:hideMark/>
          </w:tcPr>
          <w:p w:rsidR="00705F07" w:rsidRDefault="00185A37">
            <w:pPr>
              <w:jc w:val="center"/>
              <w:rPr>
                <w:rStyle w:val="ac"/>
                <w:i w:val="0"/>
                <w:color w:val="000000"/>
                <w:sz w:val="16"/>
                <w:szCs w:val="16"/>
              </w:rPr>
            </w:pPr>
            <w:r>
              <w:rPr>
                <w:rStyle w:val="ac"/>
                <w:i w:val="0"/>
                <w:color w:val="000000"/>
                <w:sz w:val="16"/>
                <w:szCs w:val="16"/>
              </w:rPr>
              <w:t>1987,24</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4734,41</w:t>
            </w:r>
          </w:p>
        </w:tc>
        <w:tc>
          <w:tcPr>
            <w:tcW w:w="816" w:type="dxa"/>
            <w:vAlign w:val="center"/>
            <w:hideMark/>
          </w:tcPr>
          <w:p w:rsidR="00705F07" w:rsidRDefault="00185A37">
            <w:pPr>
              <w:jc w:val="center"/>
              <w:rPr>
                <w:rStyle w:val="ac"/>
                <w:i w:val="0"/>
                <w:color w:val="000000"/>
                <w:sz w:val="16"/>
                <w:szCs w:val="16"/>
              </w:rPr>
            </w:pPr>
            <w:r>
              <w:rPr>
                <w:rStyle w:val="ac"/>
                <w:i w:val="0"/>
                <w:color w:val="000000"/>
                <w:sz w:val="16"/>
                <w:szCs w:val="16"/>
              </w:rPr>
              <w:t>2271,32</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8992,97</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1341,0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32940,5</w:t>
            </w:r>
          </w:p>
        </w:tc>
        <w:tc>
          <w:tcPr>
            <w:tcW w:w="816" w:type="dxa"/>
            <w:vAlign w:val="center"/>
            <w:hideMark/>
          </w:tcPr>
          <w:p w:rsidR="00705F07" w:rsidRDefault="00185A37">
            <w:pPr>
              <w:jc w:val="center"/>
              <w:rPr>
                <w:rStyle w:val="ac"/>
                <w:i w:val="0"/>
                <w:color w:val="000000"/>
                <w:sz w:val="16"/>
                <w:szCs w:val="16"/>
              </w:rPr>
            </w:pPr>
            <w:r>
              <w:rPr>
                <w:rStyle w:val="ac"/>
                <w:i w:val="0"/>
                <w:color w:val="000000"/>
                <w:sz w:val="16"/>
                <w:szCs w:val="16"/>
              </w:rPr>
              <w:t>13100,4</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47381,8</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0,00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45487,67</w:t>
            </w:r>
          </w:p>
        </w:tc>
        <w:tc>
          <w:tcPr>
            <w:tcW w:w="896" w:type="dxa"/>
            <w:vAlign w:val="center"/>
            <w:hideMark/>
          </w:tcPr>
          <w:p w:rsidR="00705F07" w:rsidRDefault="00185A37">
            <w:pPr>
              <w:jc w:val="center"/>
              <w:rPr>
                <w:rStyle w:val="ac"/>
                <w:i w:val="0"/>
                <w:color w:val="000000"/>
                <w:sz w:val="16"/>
                <w:szCs w:val="16"/>
              </w:rPr>
            </w:pPr>
            <w:r>
              <w:rPr>
                <w:rStyle w:val="ac"/>
                <w:i w:val="0"/>
                <w:color w:val="000000"/>
                <w:sz w:val="16"/>
                <w:szCs w:val="16"/>
              </w:rPr>
              <w:t>11255,87</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56743,54</w:t>
            </w:r>
          </w:p>
        </w:tc>
      </w:tr>
      <w:tr w:rsidR="00705F07">
        <w:trPr>
          <w:jc w:val="center"/>
        </w:trPr>
        <w:tc>
          <w:tcPr>
            <w:tcW w:w="870" w:type="dxa"/>
            <w:vAlign w:val="center"/>
            <w:hideMark/>
          </w:tcPr>
          <w:p w:rsidR="00705F07" w:rsidRDefault="00185A37">
            <w:pPr>
              <w:jc w:val="center"/>
              <w:rPr>
                <w:rStyle w:val="ac"/>
                <w:i w:val="0"/>
                <w:color w:val="000000"/>
                <w:sz w:val="16"/>
                <w:szCs w:val="16"/>
              </w:rPr>
            </w:pPr>
            <w:r>
              <w:rPr>
                <w:rStyle w:val="ac"/>
                <w:i w:val="0"/>
                <w:color w:val="000000"/>
                <w:sz w:val="16"/>
                <w:szCs w:val="16"/>
              </w:rPr>
              <w:t>Жовтень</w:t>
            </w:r>
          </w:p>
        </w:tc>
        <w:tc>
          <w:tcPr>
            <w:tcW w:w="236" w:type="dxa"/>
            <w:vAlign w:val="center"/>
            <w:hideMark/>
          </w:tcPr>
          <w:p w:rsidR="00705F07" w:rsidRDefault="00185A37">
            <w:pPr>
              <w:jc w:val="center"/>
              <w:rPr>
                <w:rStyle w:val="ac"/>
                <w:i w:val="0"/>
                <w:color w:val="000000"/>
                <w:sz w:val="16"/>
                <w:szCs w:val="16"/>
              </w:rPr>
            </w:pPr>
            <w:r>
              <w:rPr>
                <w:rStyle w:val="ac"/>
                <w:i w:val="0"/>
                <w:color w:val="000000"/>
                <w:sz w:val="16"/>
                <w:szCs w:val="16"/>
              </w:rPr>
              <w:t>1033,52</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2363,36</w:t>
            </w:r>
          </w:p>
        </w:tc>
        <w:tc>
          <w:tcPr>
            <w:tcW w:w="816" w:type="dxa"/>
            <w:vAlign w:val="center"/>
            <w:hideMark/>
          </w:tcPr>
          <w:p w:rsidR="00705F07" w:rsidRDefault="00185A37">
            <w:pPr>
              <w:jc w:val="center"/>
              <w:rPr>
                <w:rStyle w:val="ac"/>
                <w:i w:val="0"/>
                <w:color w:val="000000"/>
                <w:sz w:val="16"/>
                <w:szCs w:val="16"/>
              </w:rPr>
            </w:pPr>
            <w:r>
              <w:rPr>
                <w:rStyle w:val="ac"/>
                <w:i w:val="0"/>
                <w:color w:val="000000"/>
                <w:sz w:val="16"/>
                <w:szCs w:val="16"/>
              </w:rPr>
              <w:t>1934,88</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5331,76</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1266,4</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33728,4</w:t>
            </w:r>
          </w:p>
        </w:tc>
        <w:tc>
          <w:tcPr>
            <w:tcW w:w="816" w:type="dxa"/>
            <w:vAlign w:val="center"/>
            <w:hideMark/>
          </w:tcPr>
          <w:p w:rsidR="00705F07" w:rsidRDefault="00185A37">
            <w:pPr>
              <w:jc w:val="center"/>
              <w:rPr>
                <w:rStyle w:val="ac"/>
                <w:i w:val="0"/>
                <w:color w:val="000000"/>
                <w:sz w:val="16"/>
                <w:szCs w:val="16"/>
              </w:rPr>
            </w:pPr>
            <w:r>
              <w:rPr>
                <w:rStyle w:val="ac"/>
                <w:i w:val="0"/>
                <w:color w:val="000000"/>
                <w:sz w:val="16"/>
                <w:szCs w:val="16"/>
              </w:rPr>
              <w:t>9935,5</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44930,4</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0,00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46626,67</w:t>
            </w:r>
          </w:p>
        </w:tc>
        <w:tc>
          <w:tcPr>
            <w:tcW w:w="896" w:type="dxa"/>
            <w:vAlign w:val="center"/>
            <w:hideMark/>
          </w:tcPr>
          <w:p w:rsidR="00705F07" w:rsidRDefault="00185A37">
            <w:pPr>
              <w:jc w:val="center"/>
              <w:rPr>
                <w:rStyle w:val="ac"/>
                <w:i w:val="0"/>
                <w:color w:val="000000"/>
                <w:sz w:val="16"/>
                <w:szCs w:val="16"/>
              </w:rPr>
            </w:pPr>
            <w:r>
              <w:rPr>
                <w:rStyle w:val="ac"/>
                <w:i w:val="0"/>
                <w:color w:val="000000"/>
                <w:sz w:val="16"/>
                <w:szCs w:val="16"/>
              </w:rPr>
              <w:t>8166,53</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54793,21</w:t>
            </w:r>
          </w:p>
        </w:tc>
      </w:tr>
      <w:tr w:rsidR="00705F07">
        <w:trPr>
          <w:jc w:val="center"/>
        </w:trPr>
        <w:tc>
          <w:tcPr>
            <w:tcW w:w="870" w:type="dxa"/>
            <w:vAlign w:val="center"/>
            <w:hideMark/>
          </w:tcPr>
          <w:p w:rsidR="00705F07" w:rsidRDefault="00185A37">
            <w:pPr>
              <w:jc w:val="center"/>
              <w:rPr>
                <w:rStyle w:val="ac"/>
                <w:i w:val="0"/>
                <w:color w:val="000000"/>
                <w:sz w:val="16"/>
                <w:szCs w:val="16"/>
              </w:rPr>
            </w:pPr>
            <w:r>
              <w:rPr>
                <w:rStyle w:val="ac"/>
                <w:i w:val="0"/>
                <w:color w:val="000000"/>
                <w:sz w:val="16"/>
                <w:szCs w:val="16"/>
              </w:rPr>
              <w:t>Листопад</w:t>
            </w:r>
          </w:p>
        </w:tc>
        <w:tc>
          <w:tcPr>
            <w:tcW w:w="236" w:type="dxa"/>
            <w:vAlign w:val="center"/>
            <w:hideMark/>
          </w:tcPr>
          <w:p w:rsidR="00705F07" w:rsidRDefault="00185A37">
            <w:pPr>
              <w:jc w:val="center"/>
              <w:rPr>
                <w:rStyle w:val="ac"/>
                <w:i w:val="0"/>
                <w:color w:val="000000"/>
                <w:sz w:val="16"/>
                <w:szCs w:val="16"/>
              </w:rPr>
            </w:pPr>
            <w:r>
              <w:rPr>
                <w:rStyle w:val="ac"/>
                <w:i w:val="0"/>
                <w:color w:val="000000"/>
                <w:sz w:val="16"/>
                <w:szCs w:val="16"/>
              </w:rPr>
              <w:t>1270,05</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6437,82</w:t>
            </w:r>
          </w:p>
        </w:tc>
        <w:tc>
          <w:tcPr>
            <w:tcW w:w="816" w:type="dxa"/>
            <w:vAlign w:val="center"/>
            <w:hideMark/>
          </w:tcPr>
          <w:p w:rsidR="00705F07" w:rsidRDefault="00185A37">
            <w:pPr>
              <w:jc w:val="center"/>
              <w:rPr>
                <w:rStyle w:val="ac"/>
                <w:i w:val="0"/>
                <w:color w:val="000000"/>
                <w:sz w:val="16"/>
                <w:szCs w:val="16"/>
              </w:rPr>
            </w:pPr>
            <w:r>
              <w:rPr>
                <w:rStyle w:val="ac"/>
                <w:i w:val="0"/>
                <w:color w:val="000000"/>
                <w:sz w:val="16"/>
                <w:szCs w:val="16"/>
              </w:rPr>
              <w:t>5159,79</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12867,67</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852,3</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32109,4</w:t>
            </w:r>
          </w:p>
        </w:tc>
        <w:tc>
          <w:tcPr>
            <w:tcW w:w="816" w:type="dxa"/>
            <w:vAlign w:val="center"/>
            <w:hideMark/>
          </w:tcPr>
          <w:p w:rsidR="00705F07" w:rsidRDefault="00185A37">
            <w:pPr>
              <w:jc w:val="center"/>
              <w:rPr>
                <w:rStyle w:val="ac"/>
                <w:i w:val="0"/>
                <w:color w:val="000000"/>
                <w:sz w:val="16"/>
                <w:szCs w:val="16"/>
              </w:rPr>
            </w:pPr>
            <w:r>
              <w:rPr>
                <w:rStyle w:val="ac"/>
                <w:i w:val="0"/>
                <w:color w:val="000000"/>
                <w:sz w:val="16"/>
                <w:szCs w:val="16"/>
              </w:rPr>
              <w:t>16684,8</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49646,5</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0,00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46699,01</w:t>
            </w:r>
          </w:p>
        </w:tc>
        <w:tc>
          <w:tcPr>
            <w:tcW w:w="896" w:type="dxa"/>
            <w:vAlign w:val="center"/>
            <w:hideMark/>
          </w:tcPr>
          <w:p w:rsidR="00705F07" w:rsidRDefault="00185A37">
            <w:pPr>
              <w:jc w:val="center"/>
              <w:rPr>
                <w:rStyle w:val="ac"/>
                <w:i w:val="0"/>
                <w:color w:val="000000"/>
                <w:sz w:val="16"/>
                <w:szCs w:val="16"/>
              </w:rPr>
            </w:pPr>
            <w:r>
              <w:rPr>
                <w:rStyle w:val="ac"/>
                <w:i w:val="0"/>
                <w:color w:val="000000"/>
                <w:sz w:val="16"/>
                <w:szCs w:val="16"/>
              </w:rPr>
              <w:t>13966,29</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60665,31</w:t>
            </w:r>
          </w:p>
        </w:tc>
      </w:tr>
      <w:tr w:rsidR="00705F07">
        <w:trPr>
          <w:jc w:val="center"/>
        </w:trPr>
        <w:tc>
          <w:tcPr>
            <w:tcW w:w="870" w:type="dxa"/>
            <w:vAlign w:val="center"/>
            <w:hideMark/>
          </w:tcPr>
          <w:p w:rsidR="00705F07" w:rsidRDefault="00185A37">
            <w:pPr>
              <w:jc w:val="center"/>
              <w:rPr>
                <w:rStyle w:val="ac"/>
                <w:i w:val="0"/>
                <w:color w:val="000000"/>
                <w:sz w:val="16"/>
                <w:szCs w:val="16"/>
              </w:rPr>
            </w:pPr>
            <w:r>
              <w:rPr>
                <w:rStyle w:val="ac"/>
                <w:i w:val="0"/>
                <w:color w:val="000000"/>
                <w:sz w:val="16"/>
                <w:szCs w:val="16"/>
              </w:rPr>
              <w:t>Грудень</w:t>
            </w:r>
          </w:p>
        </w:tc>
        <w:tc>
          <w:tcPr>
            <w:tcW w:w="236" w:type="dxa"/>
            <w:vAlign w:val="center"/>
            <w:hideMark/>
          </w:tcPr>
          <w:p w:rsidR="00705F07" w:rsidRDefault="00185A37">
            <w:pPr>
              <w:jc w:val="center"/>
              <w:rPr>
                <w:rStyle w:val="ac"/>
                <w:i w:val="0"/>
                <w:color w:val="000000"/>
                <w:sz w:val="16"/>
                <w:szCs w:val="16"/>
              </w:rPr>
            </w:pPr>
            <w:r>
              <w:rPr>
                <w:rStyle w:val="ac"/>
                <w:i w:val="0"/>
                <w:color w:val="000000"/>
                <w:sz w:val="16"/>
                <w:szCs w:val="16"/>
              </w:rPr>
              <w:t>1130,17</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11982,98</w:t>
            </w:r>
          </w:p>
        </w:tc>
        <w:tc>
          <w:tcPr>
            <w:tcW w:w="816" w:type="dxa"/>
            <w:vAlign w:val="center"/>
            <w:hideMark/>
          </w:tcPr>
          <w:p w:rsidR="00705F07" w:rsidRDefault="00185A37">
            <w:pPr>
              <w:jc w:val="center"/>
              <w:rPr>
                <w:rStyle w:val="ac"/>
                <w:i w:val="0"/>
                <w:color w:val="000000"/>
                <w:sz w:val="16"/>
                <w:szCs w:val="16"/>
              </w:rPr>
            </w:pPr>
            <w:r>
              <w:rPr>
                <w:rStyle w:val="ac"/>
                <w:i w:val="0"/>
                <w:color w:val="000000"/>
                <w:sz w:val="16"/>
                <w:szCs w:val="16"/>
              </w:rPr>
              <w:t>3434,78</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16547,93</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2908,4</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26138,5</w:t>
            </w:r>
          </w:p>
        </w:tc>
        <w:tc>
          <w:tcPr>
            <w:tcW w:w="816" w:type="dxa"/>
            <w:vAlign w:val="center"/>
            <w:hideMark/>
          </w:tcPr>
          <w:p w:rsidR="00705F07" w:rsidRDefault="00185A37">
            <w:pPr>
              <w:jc w:val="center"/>
              <w:rPr>
                <w:rStyle w:val="ac"/>
                <w:i w:val="0"/>
                <w:color w:val="000000"/>
                <w:sz w:val="16"/>
                <w:szCs w:val="16"/>
              </w:rPr>
            </w:pPr>
            <w:r>
              <w:rPr>
                <w:rStyle w:val="ac"/>
                <w:i w:val="0"/>
                <w:color w:val="000000"/>
                <w:sz w:val="16"/>
                <w:szCs w:val="16"/>
              </w:rPr>
              <w:t>10223,3</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39270,2</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0,00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56726,66</w:t>
            </w:r>
          </w:p>
        </w:tc>
        <w:tc>
          <w:tcPr>
            <w:tcW w:w="896" w:type="dxa"/>
            <w:vAlign w:val="center"/>
            <w:hideMark/>
          </w:tcPr>
          <w:p w:rsidR="00705F07" w:rsidRDefault="00185A37">
            <w:pPr>
              <w:jc w:val="center"/>
              <w:rPr>
                <w:rStyle w:val="ac"/>
                <w:i w:val="0"/>
                <w:color w:val="000000"/>
                <w:sz w:val="16"/>
                <w:szCs w:val="16"/>
              </w:rPr>
            </w:pPr>
            <w:r>
              <w:rPr>
                <w:rStyle w:val="ac"/>
                <w:i w:val="0"/>
                <w:color w:val="000000"/>
                <w:sz w:val="16"/>
                <w:szCs w:val="16"/>
              </w:rPr>
              <w:t>22707,05</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79433,71</w:t>
            </w:r>
          </w:p>
        </w:tc>
      </w:tr>
      <w:tr w:rsidR="00705F07">
        <w:trPr>
          <w:jc w:val="center"/>
        </w:trPr>
        <w:tc>
          <w:tcPr>
            <w:tcW w:w="870" w:type="dxa"/>
            <w:vAlign w:val="center"/>
            <w:hideMark/>
          </w:tcPr>
          <w:p w:rsidR="00705F07" w:rsidRDefault="00185A37">
            <w:pPr>
              <w:jc w:val="center"/>
              <w:rPr>
                <w:rStyle w:val="ac"/>
                <w:i w:val="0"/>
                <w:color w:val="000000"/>
                <w:sz w:val="16"/>
                <w:szCs w:val="16"/>
              </w:rPr>
            </w:pPr>
            <w:r>
              <w:rPr>
                <w:rStyle w:val="ac"/>
                <w:i w:val="0"/>
                <w:color w:val="000000"/>
                <w:sz w:val="16"/>
                <w:szCs w:val="16"/>
              </w:rPr>
              <w:t>Усього</w:t>
            </w:r>
          </w:p>
        </w:tc>
        <w:tc>
          <w:tcPr>
            <w:tcW w:w="236" w:type="dxa"/>
            <w:vAlign w:val="center"/>
            <w:hideMark/>
          </w:tcPr>
          <w:p w:rsidR="00705F07" w:rsidRDefault="00185A37">
            <w:pPr>
              <w:jc w:val="center"/>
              <w:rPr>
                <w:rStyle w:val="ac"/>
                <w:i w:val="0"/>
                <w:color w:val="000000"/>
                <w:sz w:val="16"/>
                <w:szCs w:val="16"/>
              </w:rPr>
            </w:pPr>
            <w:r>
              <w:rPr>
                <w:rStyle w:val="ac"/>
                <w:i w:val="0"/>
                <w:color w:val="000000"/>
                <w:sz w:val="16"/>
                <w:szCs w:val="16"/>
              </w:rPr>
              <w:t>15416,82</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83974,32</w:t>
            </w:r>
          </w:p>
        </w:tc>
        <w:tc>
          <w:tcPr>
            <w:tcW w:w="816" w:type="dxa"/>
            <w:vAlign w:val="center"/>
            <w:hideMark/>
          </w:tcPr>
          <w:p w:rsidR="00705F07" w:rsidRDefault="00185A37">
            <w:pPr>
              <w:jc w:val="center"/>
              <w:rPr>
                <w:rStyle w:val="ac"/>
                <w:i w:val="0"/>
                <w:color w:val="000000"/>
                <w:sz w:val="16"/>
                <w:szCs w:val="16"/>
              </w:rPr>
            </w:pPr>
            <w:r>
              <w:rPr>
                <w:rStyle w:val="ac"/>
                <w:i w:val="0"/>
                <w:color w:val="000000"/>
                <w:sz w:val="16"/>
                <w:szCs w:val="16"/>
              </w:rPr>
              <w:t>61240,43</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160636,02</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14768,6</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274684,7</w:t>
            </w:r>
          </w:p>
        </w:tc>
        <w:tc>
          <w:tcPr>
            <w:tcW w:w="816" w:type="dxa"/>
            <w:vAlign w:val="center"/>
            <w:hideMark/>
          </w:tcPr>
          <w:p w:rsidR="00705F07" w:rsidRDefault="00185A37">
            <w:pPr>
              <w:jc w:val="center"/>
              <w:rPr>
                <w:rStyle w:val="ac"/>
                <w:i w:val="0"/>
                <w:color w:val="000000"/>
                <w:sz w:val="16"/>
                <w:szCs w:val="16"/>
              </w:rPr>
            </w:pPr>
            <w:r>
              <w:rPr>
                <w:rStyle w:val="ac"/>
                <w:i w:val="0"/>
                <w:color w:val="000000"/>
                <w:sz w:val="16"/>
                <w:szCs w:val="16"/>
              </w:rPr>
              <w:t>146978,9</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436432,1</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21217,15</w:t>
            </w:r>
          </w:p>
        </w:tc>
        <w:tc>
          <w:tcPr>
            <w:tcW w:w="0" w:type="auto"/>
            <w:vAlign w:val="center"/>
            <w:hideMark/>
          </w:tcPr>
          <w:p w:rsidR="00705F07" w:rsidRDefault="00185A37">
            <w:pPr>
              <w:jc w:val="center"/>
              <w:rPr>
                <w:rStyle w:val="ac"/>
                <w:i w:val="0"/>
                <w:color w:val="000000"/>
                <w:sz w:val="16"/>
                <w:szCs w:val="16"/>
              </w:rPr>
            </w:pPr>
            <w:r>
              <w:rPr>
                <w:color w:val="000000"/>
                <w:sz w:val="16"/>
                <w:szCs w:val="16"/>
              </w:rPr>
              <w:t>466957,77</w:t>
            </w:r>
          </w:p>
        </w:tc>
        <w:tc>
          <w:tcPr>
            <w:tcW w:w="896" w:type="dxa"/>
            <w:vAlign w:val="center"/>
            <w:hideMark/>
          </w:tcPr>
          <w:p w:rsidR="00705F07" w:rsidRDefault="00185A37">
            <w:pPr>
              <w:jc w:val="center"/>
              <w:rPr>
                <w:rStyle w:val="ac"/>
                <w:i w:val="0"/>
                <w:color w:val="000000"/>
                <w:sz w:val="16"/>
                <w:szCs w:val="16"/>
              </w:rPr>
            </w:pPr>
            <w:r>
              <w:rPr>
                <w:color w:val="000000"/>
                <w:sz w:val="16"/>
                <w:szCs w:val="16"/>
              </w:rPr>
              <w:t>168510,34</w:t>
            </w:r>
          </w:p>
        </w:tc>
        <w:tc>
          <w:tcPr>
            <w:tcW w:w="0" w:type="auto"/>
            <w:vAlign w:val="center"/>
            <w:hideMark/>
          </w:tcPr>
          <w:p w:rsidR="00705F07" w:rsidRDefault="00185A37">
            <w:pPr>
              <w:jc w:val="center"/>
              <w:rPr>
                <w:rStyle w:val="ac"/>
                <w:i w:val="0"/>
                <w:color w:val="000000"/>
                <w:sz w:val="16"/>
                <w:szCs w:val="16"/>
              </w:rPr>
            </w:pPr>
            <w:r>
              <w:rPr>
                <w:color w:val="000000"/>
                <w:sz w:val="16"/>
                <w:szCs w:val="16"/>
              </w:rPr>
              <w:t>656685,25</w:t>
            </w:r>
          </w:p>
        </w:tc>
      </w:tr>
    </w:tbl>
    <w:p w:rsidR="00705F07" w:rsidRDefault="00185A37">
      <w:pPr>
        <w:ind w:firstLine="709"/>
        <w:jc w:val="both"/>
        <w:rPr>
          <w:color w:val="000000"/>
        </w:rPr>
      </w:pPr>
      <w:r>
        <w:rPr>
          <w:color w:val="000000"/>
        </w:rPr>
        <w:t>Джерело: складено автором на основі даних [3].</w:t>
      </w:r>
    </w:p>
    <w:p w:rsidR="00705F07" w:rsidRDefault="00705F07">
      <w:pPr>
        <w:spacing w:line="360" w:lineRule="auto"/>
        <w:ind w:firstLine="709"/>
        <w:jc w:val="both"/>
        <w:rPr>
          <w:rStyle w:val="ac"/>
          <w:i w:val="0"/>
          <w:color w:val="000000"/>
          <w:sz w:val="28"/>
          <w:szCs w:val="28"/>
        </w:rPr>
      </w:pPr>
    </w:p>
    <w:p w:rsidR="00705F07" w:rsidRDefault="00185A37">
      <w:pPr>
        <w:rPr>
          <w:rStyle w:val="ac"/>
          <w:i w:val="0"/>
          <w:color w:val="000000"/>
          <w:sz w:val="28"/>
          <w:szCs w:val="28"/>
        </w:rPr>
      </w:pPr>
      <w:r>
        <w:rPr>
          <w:rStyle w:val="ac"/>
          <w:i w:val="0"/>
          <w:color w:val="000000"/>
          <w:sz w:val="28"/>
          <w:szCs w:val="28"/>
        </w:rPr>
        <w:br w:type="page"/>
      </w:r>
    </w:p>
    <w:p w:rsidR="00705F07" w:rsidRDefault="00185A37">
      <w:pPr>
        <w:spacing w:line="360" w:lineRule="auto"/>
        <w:ind w:firstLine="709"/>
        <w:jc w:val="right"/>
        <w:rPr>
          <w:rStyle w:val="ac"/>
          <w:i w:val="0"/>
          <w:color w:val="000000"/>
          <w:sz w:val="28"/>
          <w:szCs w:val="28"/>
        </w:rPr>
      </w:pPr>
      <w:r>
        <w:rPr>
          <w:rStyle w:val="ac"/>
          <w:i w:val="0"/>
          <w:color w:val="000000"/>
          <w:sz w:val="28"/>
          <w:szCs w:val="28"/>
        </w:rPr>
        <w:t>Додаток Ж</w:t>
      </w:r>
    </w:p>
    <w:p w:rsidR="00705F07" w:rsidRDefault="00185A37">
      <w:pPr>
        <w:spacing w:line="360" w:lineRule="auto"/>
        <w:ind w:firstLine="709"/>
        <w:jc w:val="right"/>
        <w:rPr>
          <w:rStyle w:val="ac"/>
          <w:i w:val="0"/>
          <w:color w:val="000000"/>
          <w:sz w:val="28"/>
          <w:szCs w:val="28"/>
        </w:rPr>
      </w:pPr>
      <w:r>
        <w:rPr>
          <w:rStyle w:val="ac"/>
          <w:i w:val="0"/>
          <w:color w:val="000000"/>
          <w:sz w:val="28"/>
          <w:szCs w:val="28"/>
        </w:rPr>
        <w:t>Таблиця Ж.1</w:t>
      </w:r>
    </w:p>
    <w:p w:rsidR="00705F07" w:rsidRDefault="00185A37">
      <w:pPr>
        <w:spacing w:line="360" w:lineRule="auto"/>
        <w:ind w:firstLine="709"/>
        <w:jc w:val="center"/>
        <w:rPr>
          <w:rStyle w:val="ac"/>
          <w:i w:val="0"/>
          <w:color w:val="000000"/>
          <w:sz w:val="28"/>
          <w:szCs w:val="28"/>
        </w:rPr>
      </w:pPr>
      <w:r>
        <w:rPr>
          <w:rStyle w:val="ac"/>
          <w:i w:val="0"/>
          <w:color w:val="000000"/>
          <w:sz w:val="28"/>
          <w:szCs w:val="28"/>
        </w:rPr>
        <w:t xml:space="preserve">Обсяг торгів фінансовими інструментами на організованих ринках капіталу за видами </w:t>
      </w:r>
      <w:r>
        <w:rPr>
          <w:rStyle w:val="ac"/>
          <w:i w:val="0"/>
          <w:color w:val="000000"/>
          <w:sz w:val="28"/>
          <w:szCs w:val="28"/>
        </w:rPr>
        <w:t>фінансових інструментів у 2024 р. (млн грн)</w:t>
      </w:r>
    </w:p>
    <w:tbl>
      <w:tblPr>
        <w:tblStyle w:val="ad"/>
        <w:tblW w:w="10210" w:type="dxa"/>
        <w:jc w:val="center"/>
        <w:tblLook w:val="04A0" w:firstRow="1" w:lastRow="0" w:firstColumn="1" w:lastColumn="0" w:noHBand="0" w:noVBand="1"/>
      </w:tblPr>
      <w:tblGrid>
        <w:gridCol w:w="949"/>
        <w:gridCol w:w="606"/>
        <w:gridCol w:w="606"/>
        <w:gridCol w:w="696"/>
        <w:gridCol w:w="786"/>
        <w:gridCol w:w="965"/>
        <w:gridCol w:w="696"/>
        <w:gridCol w:w="875"/>
        <w:gridCol w:w="786"/>
        <w:gridCol w:w="696"/>
        <w:gridCol w:w="517"/>
        <w:gridCol w:w="875"/>
        <w:gridCol w:w="696"/>
        <w:gridCol w:w="696"/>
        <w:gridCol w:w="965"/>
      </w:tblGrid>
      <w:tr w:rsidR="00705F07">
        <w:trPr>
          <w:cantSplit/>
          <w:trHeight w:val="1917"/>
          <w:jc w:val="center"/>
        </w:trPr>
        <w:tc>
          <w:tcPr>
            <w:tcW w:w="386" w:type="dxa"/>
            <w:vAlign w:val="center"/>
            <w:hideMark/>
          </w:tcPr>
          <w:p w:rsidR="00705F07" w:rsidRDefault="00185A37">
            <w:pPr>
              <w:jc w:val="center"/>
              <w:rPr>
                <w:rStyle w:val="ac"/>
                <w:i w:val="0"/>
                <w:color w:val="000000"/>
                <w:sz w:val="16"/>
                <w:szCs w:val="16"/>
              </w:rPr>
            </w:pPr>
            <w:r>
              <w:rPr>
                <w:rStyle w:val="ac"/>
                <w:i w:val="0"/>
                <w:color w:val="000000"/>
                <w:sz w:val="16"/>
                <w:szCs w:val="16"/>
              </w:rPr>
              <w:t>Період</w:t>
            </w:r>
          </w:p>
        </w:tc>
        <w:tc>
          <w:tcPr>
            <w:tcW w:w="0" w:type="auto"/>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Акція</w:t>
            </w:r>
          </w:p>
        </w:tc>
        <w:tc>
          <w:tcPr>
            <w:tcW w:w="0" w:type="auto"/>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Акція іноземного емітента</w:t>
            </w:r>
          </w:p>
        </w:tc>
        <w:tc>
          <w:tcPr>
            <w:tcW w:w="656" w:type="dxa"/>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Акція КІФ</w:t>
            </w:r>
          </w:p>
        </w:tc>
        <w:tc>
          <w:tcPr>
            <w:tcW w:w="0" w:type="auto"/>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Корпоративна облігація</w:t>
            </w:r>
          </w:p>
        </w:tc>
        <w:tc>
          <w:tcPr>
            <w:tcW w:w="896" w:type="dxa"/>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ОВДП України</w:t>
            </w:r>
          </w:p>
        </w:tc>
        <w:tc>
          <w:tcPr>
            <w:tcW w:w="0" w:type="auto"/>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Облігація зовн. держ. позик</w:t>
            </w:r>
          </w:p>
        </w:tc>
        <w:tc>
          <w:tcPr>
            <w:tcW w:w="0" w:type="auto"/>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Облігація іноземної держави</w:t>
            </w:r>
          </w:p>
        </w:tc>
        <w:tc>
          <w:tcPr>
            <w:tcW w:w="0" w:type="auto"/>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Інвестиційний сертифікат</w:t>
            </w:r>
          </w:p>
        </w:tc>
        <w:tc>
          <w:tcPr>
            <w:tcW w:w="656" w:type="dxa"/>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Облігація підприємства</w:t>
            </w:r>
          </w:p>
        </w:tc>
        <w:tc>
          <w:tcPr>
            <w:tcW w:w="0" w:type="auto"/>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Дериватив</w:t>
            </w:r>
          </w:p>
        </w:tc>
        <w:tc>
          <w:tcPr>
            <w:tcW w:w="816" w:type="dxa"/>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Своп</w:t>
            </w:r>
          </w:p>
        </w:tc>
        <w:tc>
          <w:tcPr>
            <w:tcW w:w="0" w:type="auto"/>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Облігація іноземного емітента</w:t>
            </w:r>
          </w:p>
        </w:tc>
        <w:tc>
          <w:tcPr>
            <w:tcW w:w="0" w:type="auto"/>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Облігація місцевих позик</w:t>
            </w:r>
          </w:p>
        </w:tc>
        <w:tc>
          <w:tcPr>
            <w:tcW w:w="0" w:type="auto"/>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Усього</w:t>
            </w:r>
          </w:p>
        </w:tc>
      </w:tr>
      <w:tr w:rsidR="00705F07">
        <w:trPr>
          <w:jc w:val="center"/>
        </w:trPr>
        <w:tc>
          <w:tcPr>
            <w:tcW w:w="386" w:type="dxa"/>
            <w:vAlign w:val="center"/>
            <w:hideMark/>
          </w:tcPr>
          <w:p w:rsidR="00705F07" w:rsidRDefault="00185A37">
            <w:pPr>
              <w:jc w:val="center"/>
              <w:rPr>
                <w:rStyle w:val="ac"/>
                <w:i w:val="0"/>
                <w:color w:val="000000"/>
                <w:sz w:val="16"/>
                <w:szCs w:val="16"/>
              </w:rPr>
            </w:pPr>
            <w:r>
              <w:rPr>
                <w:rStyle w:val="ac"/>
                <w:i w:val="0"/>
                <w:color w:val="000000"/>
                <w:sz w:val="16"/>
                <w:szCs w:val="16"/>
              </w:rPr>
              <w:t>Січень</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12,76</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0,45</w:t>
            </w:r>
          </w:p>
        </w:tc>
        <w:tc>
          <w:tcPr>
            <w:tcW w:w="656" w:type="dxa"/>
            <w:vAlign w:val="center"/>
            <w:hideMark/>
          </w:tcPr>
          <w:p w:rsidR="00705F07" w:rsidRDefault="00185A37">
            <w:pPr>
              <w:jc w:val="center"/>
              <w:rPr>
                <w:rStyle w:val="ac"/>
                <w:i w:val="0"/>
                <w:color w:val="000000"/>
                <w:sz w:val="16"/>
                <w:szCs w:val="16"/>
              </w:rPr>
            </w:pPr>
            <w:r>
              <w:rPr>
                <w:rStyle w:val="ac"/>
                <w:i w:val="0"/>
                <w:color w:val="000000"/>
                <w:sz w:val="16"/>
                <w:szCs w:val="16"/>
              </w:rPr>
              <w:t>0,62</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1618,18</w:t>
            </w:r>
          </w:p>
        </w:tc>
        <w:tc>
          <w:tcPr>
            <w:tcW w:w="896" w:type="dxa"/>
            <w:vAlign w:val="center"/>
            <w:hideMark/>
          </w:tcPr>
          <w:p w:rsidR="00705F07" w:rsidRDefault="00185A37">
            <w:pPr>
              <w:jc w:val="center"/>
              <w:rPr>
                <w:rStyle w:val="ac"/>
                <w:i w:val="0"/>
                <w:color w:val="000000"/>
                <w:sz w:val="16"/>
                <w:szCs w:val="16"/>
              </w:rPr>
            </w:pPr>
            <w:r>
              <w:rPr>
                <w:rStyle w:val="ac"/>
                <w:i w:val="0"/>
                <w:color w:val="000000"/>
                <w:sz w:val="16"/>
                <w:szCs w:val="16"/>
              </w:rPr>
              <w:t>35225,37</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146,37</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1389,37</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3,11</w:t>
            </w:r>
          </w:p>
        </w:tc>
        <w:tc>
          <w:tcPr>
            <w:tcW w:w="656" w:type="dxa"/>
            <w:vAlign w:val="center"/>
            <w:hideMark/>
          </w:tcPr>
          <w:p w:rsidR="00705F07" w:rsidRDefault="00185A37">
            <w:pPr>
              <w:jc w:val="center"/>
              <w:rPr>
                <w:rStyle w:val="ac"/>
                <w:i w:val="0"/>
                <w:color w:val="000000"/>
                <w:sz w:val="16"/>
                <w:szCs w:val="16"/>
              </w:rPr>
            </w:pPr>
            <w:r>
              <w:rPr>
                <w:rStyle w:val="ac"/>
                <w:i w:val="0"/>
                <w:color w:val="000000"/>
                <w:sz w:val="16"/>
                <w:szCs w:val="16"/>
              </w:rPr>
              <w:t>2,65</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0,00</w:t>
            </w:r>
          </w:p>
        </w:tc>
        <w:tc>
          <w:tcPr>
            <w:tcW w:w="816" w:type="dxa"/>
            <w:vAlign w:val="center"/>
            <w:hideMark/>
          </w:tcPr>
          <w:p w:rsidR="00705F07" w:rsidRDefault="00185A37">
            <w:pPr>
              <w:jc w:val="center"/>
              <w:rPr>
                <w:rStyle w:val="ac"/>
                <w:i w:val="0"/>
                <w:color w:val="000000"/>
                <w:sz w:val="16"/>
                <w:szCs w:val="16"/>
              </w:rPr>
            </w:pPr>
            <w:r>
              <w:rPr>
                <w:rStyle w:val="ac"/>
                <w:i w:val="0"/>
                <w:color w:val="000000"/>
                <w:sz w:val="16"/>
                <w:szCs w:val="16"/>
              </w:rPr>
              <w:t>0,00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0,00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0,00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38398,86</w:t>
            </w:r>
          </w:p>
        </w:tc>
      </w:tr>
      <w:tr w:rsidR="00705F07">
        <w:trPr>
          <w:jc w:val="center"/>
        </w:trPr>
        <w:tc>
          <w:tcPr>
            <w:tcW w:w="386" w:type="dxa"/>
            <w:vAlign w:val="center"/>
            <w:hideMark/>
          </w:tcPr>
          <w:p w:rsidR="00705F07" w:rsidRDefault="00185A37">
            <w:pPr>
              <w:jc w:val="center"/>
              <w:rPr>
                <w:rStyle w:val="ac"/>
                <w:i w:val="0"/>
                <w:color w:val="000000"/>
                <w:sz w:val="16"/>
                <w:szCs w:val="16"/>
              </w:rPr>
            </w:pPr>
            <w:r>
              <w:rPr>
                <w:rStyle w:val="ac"/>
                <w:i w:val="0"/>
                <w:color w:val="000000"/>
                <w:sz w:val="16"/>
                <w:szCs w:val="16"/>
              </w:rPr>
              <w:t>Лютий</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10,20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0,37</w:t>
            </w:r>
          </w:p>
        </w:tc>
        <w:tc>
          <w:tcPr>
            <w:tcW w:w="656" w:type="dxa"/>
            <w:vAlign w:val="center"/>
            <w:hideMark/>
          </w:tcPr>
          <w:p w:rsidR="00705F07" w:rsidRDefault="00185A37">
            <w:pPr>
              <w:jc w:val="center"/>
              <w:rPr>
                <w:rStyle w:val="ac"/>
                <w:i w:val="0"/>
                <w:color w:val="000000"/>
                <w:sz w:val="16"/>
                <w:szCs w:val="16"/>
              </w:rPr>
            </w:pPr>
            <w:r>
              <w:rPr>
                <w:rStyle w:val="ac"/>
                <w:i w:val="0"/>
                <w:color w:val="000000"/>
                <w:sz w:val="16"/>
                <w:szCs w:val="16"/>
              </w:rPr>
              <w:t>0,20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1424,78</w:t>
            </w:r>
          </w:p>
        </w:tc>
        <w:tc>
          <w:tcPr>
            <w:tcW w:w="896" w:type="dxa"/>
            <w:vAlign w:val="center"/>
            <w:hideMark/>
          </w:tcPr>
          <w:p w:rsidR="00705F07" w:rsidRDefault="00185A37">
            <w:pPr>
              <w:jc w:val="center"/>
              <w:rPr>
                <w:rStyle w:val="ac"/>
                <w:i w:val="0"/>
                <w:color w:val="000000"/>
                <w:sz w:val="16"/>
                <w:szCs w:val="16"/>
              </w:rPr>
            </w:pPr>
            <w:r>
              <w:rPr>
                <w:rStyle w:val="ac"/>
                <w:i w:val="0"/>
                <w:color w:val="000000"/>
                <w:sz w:val="16"/>
                <w:szCs w:val="16"/>
              </w:rPr>
              <w:t>34476,26</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7,02</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1794,95</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104,07</w:t>
            </w:r>
          </w:p>
        </w:tc>
        <w:tc>
          <w:tcPr>
            <w:tcW w:w="656" w:type="dxa"/>
            <w:vAlign w:val="center"/>
            <w:hideMark/>
          </w:tcPr>
          <w:p w:rsidR="00705F07" w:rsidRDefault="00185A37">
            <w:pPr>
              <w:jc w:val="center"/>
              <w:rPr>
                <w:rStyle w:val="ac"/>
                <w:i w:val="0"/>
                <w:color w:val="000000"/>
                <w:sz w:val="16"/>
                <w:szCs w:val="16"/>
              </w:rPr>
            </w:pPr>
            <w:r>
              <w:rPr>
                <w:rStyle w:val="ac"/>
                <w:i w:val="0"/>
                <w:color w:val="000000"/>
                <w:sz w:val="16"/>
                <w:szCs w:val="16"/>
              </w:rPr>
              <w:t>6,06</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1,21</w:t>
            </w:r>
          </w:p>
        </w:tc>
        <w:tc>
          <w:tcPr>
            <w:tcW w:w="816" w:type="dxa"/>
            <w:vAlign w:val="center"/>
            <w:hideMark/>
          </w:tcPr>
          <w:p w:rsidR="00705F07" w:rsidRDefault="00185A37">
            <w:pPr>
              <w:jc w:val="center"/>
              <w:rPr>
                <w:rStyle w:val="ac"/>
                <w:i w:val="0"/>
                <w:color w:val="000000"/>
                <w:sz w:val="16"/>
                <w:szCs w:val="16"/>
              </w:rPr>
            </w:pPr>
            <w:r>
              <w:rPr>
                <w:rStyle w:val="ac"/>
                <w:i w:val="0"/>
                <w:color w:val="000000"/>
                <w:sz w:val="16"/>
                <w:szCs w:val="16"/>
              </w:rPr>
              <w:t>76,11</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0,00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0,00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37901,23</w:t>
            </w:r>
          </w:p>
        </w:tc>
      </w:tr>
      <w:tr w:rsidR="00705F07">
        <w:trPr>
          <w:jc w:val="center"/>
        </w:trPr>
        <w:tc>
          <w:tcPr>
            <w:tcW w:w="386" w:type="dxa"/>
            <w:vAlign w:val="center"/>
            <w:hideMark/>
          </w:tcPr>
          <w:p w:rsidR="00705F07" w:rsidRDefault="00185A37">
            <w:pPr>
              <w:jc w:val="center"/>
              <w:rPr>
                <w:rStyle w:val="ac"/>
                <w:i w:val="0"/>
                <w:color w:val="000000"/>
                <w:sz w:val="16"/>
                <w:szCs w:val="16"/>
              </w:rPr>
            </w:pPr>
            <w:r>
              <w:rPr>
                <w:rStyle w:val="ac"/>
                <w:i w:val="0"/>
                <w:color w:val="000000"/>
                <w:sz w:val="16"/>
                <w:szCs w:val="16"/>
              </w:rPr>
              <w:t>Березень</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3,53</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0,92</w:t>
            </w:r>
          </w:p>
        </w:tc>
        <w:tc>
          <w:tcPr>
            <w:tcW w:w="656" w:type="dxa"/>
            <w:vAlign w:val="center"/>
            <w:hideMark/>
          </w:tcPr>
          <w:p w:rsidR="00705F07" w:rsidRDefault="00185A37">
            <w:pPr>
              <w:jc w:val="center"/>
              <w:rPr>
                <w:rStyle w:val="ac"/>
                <w:i w:val="0"/>
                <w:color w:val="000000"/>
                <w:sz w:val="16"/>
                <w:szCs w:val="16"/>
              </w:rPr>
            </w:pPr>
            <w:r>
              <w:rPr>
                <w:rStyle w:val="ac"/>
                <w:i w:val="0"/>
                <w:color w:val="000000"/>
                <w:sz w:val="16"/>
                <w:szCs w:val="16"/>
              </w:rPr>
              <w:t>0,53</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1785,77</w:t>
            </w:r>
          </w:p>
        </w:tc>
        <w:tc>
          <w:tcPr>
            <w:tcW w:w="896" w:type="dxa"/>
            <w:vAlign w:val="center"/>
            <w:hideMark/>
          </w:tcPr>
          <w:p w:rsidR="00705F07" w:rsidRDefault="00185A37">
            <w:pPr>
              <w:jc w:val="center"/>
              <w:rPr>
                <w:rStyle w:val="ac"/>
                <w:i w:val="0"/>
                <w:color w:val="000000"/>
                <w:sz w:val="16"/>
                <w:szCs w:val="16"/>
              </w:rPr>
            </w:pPr>
            <w:r>
              <w:rPr>
                <w:rStyle w:val="ac"/>
                <w:i w:val="0"/>
                <w:color w:val="000000"/>
                <w:sz w:val="16"/>
                <w:szCs w:val="16"/>
              </w:rPr>
              <w:t>35316,36</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57,80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2736,36</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155,06</w:t>
            </w:r>
          </w:p>
        </w:tc>
        <w:tc>
          <w:tcPr>
            <w:tcW w:w="656" w:type="dxa"/>
            <w:vAlign w:val="center"/>
            <w:hideMark/>
          </w:tcPr>
          <w:p w:rsidR="00705F07" w:rsidRDefault="00185A37">
            <w:pPr>
              <w:jc w:val="center"/>
              <w:rPr>
                <w:rStyle w:val="ac"/>
                <w:i w:val="0"/>
                <w:color w:val="000000"/>
                <w:sz w:val="16"/>
                <w:szCs w:val="16"/>
              </w:rPr>
            </w:pPr>
            <w:r>
              <w:rPr>
                <w:rStyle w:val="ac"/>
                <w:i w:val="0"/>
                <w:color w:val="000000"/>
                <w:sz w:val="16"/>
                <w:szCs w:val="16"/>
              </w:rPr>
              <w:t>0,10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0,44</w:t>
            </w:r>
          </w:p>
        </w:tc>
        <w:tc>
          <w:tcPr>
            <w:tcW w:w="816" w:type="dxa"/>
            <w:vAlign w:val="center"/>
            <w:hideMark/>
          </w:tcPr>
          <w:p w:rsidR="00705F07" w:rsidRDefault="00185A37">
            <w:pPr>
              <w:jc w:val="center"/>
              <w:rPr>
                <w:rStyle w:val="ac"/>
                <w:i w:val="0"/>
                <w:color w:val="000000"/>
                <w:sz w:val="16"/>
                <w:szCs w:val="16"/>
              </w:rPr>
            </w:pPr>
            <w:r>
              <w:rPr>
                <w:rStyle w:val="ac"/>
                <w:i w:val="0"/>
                <w:color w:val="000000"/>
                <w:sz w:val="16"/>
                <w:szCs w:val="16"/>
              </w:rPr>
              <w:t>0,00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0,00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0,00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40056,87</w:t>
            </w:r>
          </w:p>
        </w:tc>
      </w:tr>
      <w:tr w:rsidR="00705F07">
        <w:trPr>
          <w:jc w:val="center"/>
        </w:trPr>
        <w:tc>
          <w:tcPr>
            <w:tcW w:w="386" w:type="dxa"/>
            <w:vAlign w:val="center"/>
            <w:hideMark/>
          </w:tcPr>
          <w:p w:rsidR="00705F07" w:rsidRDefault="00185A37">
            <w:pPr>
              <w:jc w:val="center"/>
              <w:rPr>
                <w:rStyle w:val="ac"/>
                <w:i w:val="0"/>
                <w:color w:val="000000"/>
                <w:sz w:val="16"/>
                <w:szCs w:val="16"/>
              </w:rPr>
            </w:pPr>
            <w:r>
              <w:rPr>
                <w:rStyle w:val="ac"/>
                <w:i w:val="0"/>
                <w:color w:val="000000"/>
                <w:sz w:val="16"/>
                <w:szCs w:val="16"/>
              </w:rPr>
              <w:t>Квітень</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1,48</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1,82</w:t>
            </w:r>
          </w:p>
        </w:tc>
        <w:tc>
          <w:tcPr>
            <w:tcW w:w="656" w:type="dxa"/>
            <w:vAlign w:val="center"/>
            <w:hideMark/>
          </w:tcPr>
          <w:p w:rsidR="00705F07" w:rsidRDefault="00185A37">
            <w:pPr>
              <w:jc w:val="center"/>
              <w:rPr>
                <w:rStyle w:val="ac"/>
                <w:i w:val="0"/>
                <w:color w:val="000000"/>
                <w:sz w:val="16"/>
                <w:szCs w:val="16"/>
              </w:rPr>
            </w:pPr>
            <w:r>
              <w:rPr>
                <w:rStyle w:val="ac"/>
                <w:i w:val="0"/>
                <w:color w:val="000000"/>
                <w:sz w:val="16"/>
                <w:szCs w:val="16"/>
              </w:rPr>
              <w:t>0,28</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1773,79</w:t>
            </w:r>
          </w:p>
        </w:tc>
        <w:tc>
          <w:tcPr>
            <w:tcW w:w="896" w:type="dxa"/>
            <w:vAlign w:val="center"/>
            <w:hideMark/>
          </w:tcPr>
          <w:p w:rsidR="00705F07" w:rsidRDefault="00185A37">
            <w:pPr>
              <w:jc w:val="center"/>
              <w:rPr>
                <w:rStyle w:val="ac"/>
                <w:i w:val="0"/>
                <w:color w:val="000000"/>
                <w:sz w:val="16"/>
                <w:szCs w:val="16"/>
              </w:rPr>
            </w:pPr>
            <w:r>
              <w:rPr>
                <w:rStyle w:val="ac"/>
                <w:i w:val="0"/>
                <w:color w:val="000000"/>
                <w:sz w:val="16"/>
                <w:szCs w:val="16"/>
              </w:rPr>
              <w:t>47659,89</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124,70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1986,55</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105,79</w:t>
            </w:r>
          </w:p>
        </w:tc>
        <w:tc>
          <w:tcPr>
            <w:tcW w:w="656" w:type="dxa"/>
            <w:vAlign w:val="center"/>
            <w:hideMark/>
          </w:tcPr>
          <w:p w:rsidR="00705F07" w:rsidRDefault="00185A37">
            <w:pPr>
              <w:jc w:val="center"/>
              <w:rPr>
                <w:rStyle w:val="ac"/>
                <w:i w:val="0"/>
                <w:color w:val="000000"/>
                <w:sz w:val="16"/>
                <w:szCs w:val="16"/>
              </w:rPr>
            </w:pPr>
            <w:r>
              <w:rPr>
                <w:rStyle w:val="ac"/>
                <w:i w:val="0"/>
                <w:color w:val="000000"/>
                <w:sz w:val="16"/>
                <w:szCs w:val="16"/>
              </w:rPr>
              <w:t>0,51</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1,60</w:t>
            </w:r>
          </w:p>
        </w:tc>
        <w:tc>
          <w:tcPr>
            <w:tcW w:w="816" w:type="dxa"/>
            <w:vAlign w:val="center"/>
            <w:hideMark/>
          </w:tcPr>
          <w:p w:rsidR="00705F07" w:rsidRDefault="00185A37">
            <w:pPr>
              <w:jc w:val="center"/>
              <w:rPr>
                <w:rStyle w:val="ac"/>
                <w:i w:val="0"/>
                <w:color w:val="000000"/>
                <w:sz w:val="16"/>
                <w:szCs w:val="16"/>
              </w:rPr>
            </w:pPr>
            <w:r>
              <w:rPr>
                <w:rStyle w:val="ac"/>
                <w:i w:val="0"/>
                <w:color w:val="000000"/>
                <w:sz w:val="16"/>
                <w:szCs w:val="16"/>
              </w:rPr>
              <w:t>7,80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0,00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0,00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51664,20</w:t>
            </w:r>
          </w:p>
        </w:tc>
      </w:tr>
      <w:tr w:rsidR="00705F07">
        <w:trPr>
          <w:jc w:val="center"/>
        </w:trPr>
        <w:tc>
          <w:tcPr>
            <w:tcW w:w="386" w:type="dxa"/>
            <w:vAlign w:val="center"/>
            <w:hideMark/>
          </w:tcPr>
          <w:p w:rsidR="00705F07" w:rsidRDefault="00185A37">
            <w:pPr>
              <w:jc w:val="center"/>
              <w:rPr>
                <w:rStyle w:val="ac"/>
                <w:i w:val="0"/>
                <w:color w:val="000000"/>
                <w:sz w:val="16"/>
                <w:szCs w:val="16"/>
              </w:rPr>
            </w:pPr>
            <w:r>
              <w:rPr>
                <w:rStyle w:val="ac"/>
                <w:i w:val="0"/>
                <w:color w:val="000000"/>
                <w:sz w:val="16"/>
                <w:szCs w:val="16"/>
              </w:rPr>
              <w:t>Травень</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4,35</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0,28</w:t>
            </w:r>
          </w:p>
        </w:tc>
        <w:tc>
          <w:tcPr>
            <w:tcW w:w="656" w:type="dxa"/>
            <w:vAlign w:val="center"/>
            <w:hideMark/>
          </w:tcPr>
          <w:p w:rsidR="00705F07" w:rsidRDefault="00185A37">
            <w:pPr>
              <w:jc w:val="center"/>
              <w:rPr>
                <w:rStyle w:val="ac"/>
                <w:i w:val="0"/>
                <w:color w:val="000000"/>
                <w:sz w:val="16"/>
                <w:szCs w:val="16"/>
              </w:rPr>
            </w:pPr>
            <w:r>
              <w:rPr>
                <w:rStyle w:val="ac"/>
                <w:i w:val="0"/>
                <w:color w:val="000000"/>
                <w:sz w:val="16"/>
                <w:szCs w:val="16"/>
              </w:rPr>
              <w:t>0,26</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899,76</w:t>
            </w:r>
          </w:p>
        </w:tc>
        <w:tc>
          <w:tcPr>
            <w:tcW w:w="896" w:type="dxa"/>
            <w:vAlign w:val="center"/>
            <w:hideMark/>
          </w:tcPr>
          <w:p w:rsidR="00705F07" w:rsidRDefault="00185A37">
            <w:pPr>
              <w:jc w:val="center"/>
              <w:rPr>
                <w:rStyle w:val="ac"/>
                <w:i w:val="0"/>
                <w:color w:val="000000"/>
                <w:sz w:val="16"/>
                <w:szCs w:val="16"/>
              </w:rPr>
            </w:pPr>
            <w:r>
              <w:rPr>
                <w:rStyle w:val="ac"/>
                <w:i w:val="0"/>
                <w:color w:val="000000"/>
                <w:sz w:val="16"/>
                <w:szCs w:val="16"/>
              </w:rPr>
              <w:t>64573,85</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13,87</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3460,88</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405,02</w:t>
            </w:r>
          </w:p>
        </w:tc>
        <w:tc>
          <w:tcPr>
            <w:tcW w:w="656" w:type="dxa"/>
            <w:vAlign w:val="center"/>
            <w:hideMark/>
          </w:tcPr>
          <w:p w:rsidR="00705F07" w:rsidRDefault="00185A37">
            <w:pPr>
              <w:jc w:val="center"/>
              <w:rPr>
                <w:rStyle w:val="ac"/>
                <w:i w:val="0"/>
                <w:color w:val="000000"/>
                <w:sz w:val="16"/>
                <w:szCs w:val="16"/>
              </w:rPr>
            </w:pPr>
            <w:r>
              <w:rPr>
                <w:rStyle w:val="ac"/>
                <w:i w:val="0"/>
                <w:color w:val="000000"/>
                <w:sz w:val="16"/>
                <w:szCs w:val="16"/>
              </w:rPr>
              <w:t>348,66</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0,37</w:t>
            </w:r>
          </w:p>
        </w:tc>
        <w:tc>
          <w:tcPr>
            <w:tcW w:w="816" w:type="dxa"/>
            <w:vAlign w:val="center"/>
            <w:hideMark/>
          </w:tcPr>
          <w:p w:rsidR="00705F07" w:rsidRDefault="00185A37">
            <w:pPr>
              <w:jc w:val="center"/>
              <w:rPr>
                <w:rStyle w:val="ac"/>
                <w:i w:val="0"/>
                <w:color w:val="000000"/>
                <w:sz w:val="16"/>
                <w:szCs w:val="16"/>
              </w:rPr>
            </w:pPr>
            <w:r>
              <w:rPr>
                <w:rStyle w:val="ac"/>
                <w:i w:val="0"/>
                <w:color w:val="000000"/>
                <w:sz w:val="16"/>
                <w:szCs w:val="16"/>
              </w:rPr>
              <w:t>1198,23</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0,00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0,00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70905,53</w:t>
            </w:r>
          </w:p>
        </w:tc>
      </w:tr>
      <w:tr w:rsidR="00705F07">
        <w:trPr>
          <w:jc w:val="center"/>
        </w:trPr>
        <w:tc>
          <w:tcPr>
            <w:tcW w:w="386" w:type="dxa"/>
            <w:vAlign w:val="center"/>
            <w:hideMark/>
          </w:tcPr>
          <w:p w:rsidR="00705F07" w:rsidRDefault="00185A37">
            <w:pPr>
              <w:jc w:val="center"/>
              <w:rPr>
                <w:rStyle w:val="ac"/>
                <w:i w:val="0"/>
                <w:color w:val="000000"/>
                <w:sz w:val="16"/>
                <w:szCs w:val="16"/>
              </w:rPr>
            </w:pPr>
            <w:r>
              <w:rPr>
                <w:rStyle w:val="ac"/>
                <w:i w:val="0"/>
                <w:color w:val="000000"/>
                <w:sz w:val="16"/>
                <w:szCs w:val="16"/>
              </w:rPr>
              <w:t>Червень</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7,61</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5,71</w:t>
            </w:r>
          </w:p>
        </w:tc>
        <w:tc>
          <w:tcPr>
            <w:tcW w:w="656" w:type="dxa"/>
            <w:vAlign w:val="center"/>
            <w:hideMark/>
          </w:tcPr>
          <w:p w:rsidR="00705F07" w:rsidRDefault="00185A37">
            <w:pPr>
              <w:jc w:val="center"/>
              <w:rPr>
                <w:rStyle w:val="ac"/>
                <w:i w:val="0"/>
                <w:color w:val="000000"/>
                <w:sz w:val="16"/>
                <w:szCs w:val="16"/>
              </w:rPr>
            </w:pPr>
            <w:r>
              <w:rPr>
                <w:rStyle w:val="ac"/>
                <w:i w:val="0"/>
                <w:color w:val="000000"/>
                <w:sz w:val="16"/>
                <w:szCs w:val="16"/>
              </w:rPr>
              <w:t>0,23</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381,37</w:t>
            </w:r>
          </w:p>
        </w:tc>
        <w:tc>
          <w:tcPr>
            <w:tcW w:w="896" w:type="dxa"/>
            <w:vAlign w:val="center"/>
            <w:hideMark/>
          </w:tcPr>
          <w:p w:rsidR="00705F07" w:rsidRDefault="00185A37">
            <w:pPr>
              <w:jc w:val="center"/>
              <w:rPr>
                <w:rStyle w:val="ac"/>
                <w:i w:val="0"/>
                <w:color w:val="000000"/>
                <w:sz w:val="16"/>
                <w:szCs w:val="16"/>
              </w:rPr>
            </w:pPr>
            <w:r>
              <w:rPr>
                <w:rStyle w:val="ac"/>
                <w:i w:val="0"/>
                <w:color w:val="000000"/>
                <w:sz w:val="16"/>
                <w:szCs w:val="16"/>
              </w:rPr>
              <w:t>52669,21</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68,71</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3745,54</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1058,30</w:t>
            </w:r>
          </w:p>
        </w:tc>
        <w:tc>
          <w:tcPr>
            <w:tcW w:w="656" w:type="dxa"/>
            <w:vAlign w:val="center"/>
            <w:hideMark/>
          </w:tcPr>
          <w:p w:rsidR="00705F07" w:rsidRDefault="00185A37">
            <w:pPr>
              <w:jc w:val="center"/>
              <w:rPr>
                <w:rStyle w:val="ac"/>
                <w:i w:val="0"/>
                <w:color w:val="000000"/>
                <w:sz w:val="16"/>
                <w:szCs w:val="16"/>
              </w:rPr>
            </w:pPr>
            <w:r>
              <w:rPr>
                <w:rStyle w:val="ac"/>
                <w:i w:val="0"/>
                <w:color w:val="000000"/>
                <w:sz w:val="16"/>
                <w:szCs w:val="16"/>
              </w:rPr>
              <w:t>4,94</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0,05</w:t>
            </w:r>
          </w:p>
        </w:tc>
        <w:tc>
          <w:tcPr>
            <w:tcW w:w="816" w:type="dxa"/>
            <w:vAlign w:val="center"/>
            <w:hideMark/>
          </w:tcPr>
          <w:p w:rsidR="00705F07" w:rsidRDefault="00185A37">
            <w:pPr>
              <w:jc w:val="center"/>
              <w:rPr>
                <w:rStyle w:val="ac"/>
                <w:i w:val="0"/>
                <w:color w:val="000000"/>
                <w:sz w:val="16"/>
                <w:szCs w:val="16"/>
              </w:rPr>
            </w:pPr>
            <w:r>
              <w:rPr>
                <w:rStyle w:val="ac"/>
                <w:i w:val="0"/>
                <w:color w:val="000000"/>
                <w:sz w:val="16"/>
                <w:szCs w:val="16"/>
              </w:rPr>
              <w:t>2637,32</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51,28</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0,00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60630,26</w:t>
            </w:r>
          </w:p>
        </w:tc>
      </w:tr>
      <w:tr w:rsidR="00705F07">
        <w:trPr>
          <w:jc w:val="center"/>
        </w:trPr>
        <w:tc>
          <w:tcPr>
            <w:tcW w:w="386" w:type="dxa"/>
            <w:vAlign w:val="center"/>
            <w:hideMark/>
          </w:tcPr>
          <w:p w:rsidR="00705F07" w:rsidRDefault="00185A37">
            <w:pPr>
              <w:jc w:val="center"/>
              <w:rPr>
                <w:rStyle w:val="ac"/>
                <w:i w:val="0"/>
                <w:color w:val="000000"/>
                <w:sz w:val="16"/>
                <w:szCs w:val="16"/>
              </w:rPr>
            </w:pPr>
            <w:r>
              <w:rPr>
                <w:rStyle w:val="ac"/>
                <w:i w:val="0"/>
                <w:color w:val="000000"/>
                <w:sz w:val="16"/>
                <w:szCs w:val="16"/>
              </w:rPr>
              <w:t>Липень</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0,14</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1,44</w:t>
            </w:r>
          </w:p>
        </w:tc>
        <w:tc>
          <w:tcPr>
            <w:tcW w:w="656" w:type="dxa"/>
            <w:vAlign w:val="center"/>
            <w:hideMark/>
          </w:tcPr>
          <w:p w:rsidR="00705F07" w:rsidRDefault="00185A37">
            <w:pPr>
              <w:jc w:val="center"/>
              <w:rPr>
                <w:rStyle w:val="ac"/>
                <w:i w:val="0"/>
                <w:color w:val="000000"/>
                <w:sz w:val="16"/>
                <w:szCs w:val="16"/>
              </w:rPr>
            </w:pPr>
            <w:r>
              <w:rPr>
                <w:rStyle w:val="ac"/>
                <w:i w:val="0"/>
                <w:color w:val="000000"/>
                <w:sz w:val="16"/>
                <w:szCs w:val="16"/>
              </w:rPr>
              <w:t>0,10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250,20</w:t>
            </w:r>
          </w:p>
        </w:tc>
        <w:tc>
          <w:tcPr>
            <w:tcW w:w="896" w:type="dxa"/>
            <w:vAlign w:val="center"/>
            <w:hideMark/>
          </w:tcPr>
          <w:p w:rsidR="00705F07" w:rsidRDefault="00185A37">
            <w:pPr>
              <w:jc w:val="center"/>
              <w:rPr>
                <w:rStyle w:val="ac"/>
                <w:i w:val="0"/>
                <w:color w:val="000000"/>
                <w:sz w:val="16"/>
                <w:szCs w:val="16"/>
              </w:rPr>
            </w:pPr>
            <w:r>
              <w:rPr>
                <w:rStyle w:val="ac"/>
                <w:i w:val="0"/>
                <w:color w:val="000000"/>
                <w:sz w:val="16"/>
                <w:szCs w:val="16"/>
              </w:rPr>
              <w:t>44414,80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219,80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5262,80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547,58</w:t>
            </w:r>
          </w:p>
        </w:tc>
        <w:tc>
          <w:tcPr>
            <w:tcW w:w="656" w:type="dxa"/>
            <w:vAlign w:val="center"/>
            <w:hideMark/>
          </w:tcPr>
          <w:p w:rsidR="00705F07" w:rsidRDefault="00185A37">
            <w:pPr>
              <w:jc w:val="center"/>
              <w:rPr>
                <w:rStyle w:val="ac"/>
                <w:i w:val="0"/>
                <w:color w:val="000000"/>
                <w:sz w:val="16"/>
                <w:szCs w:val="16"/>
              </w:rPr>
            </w:pPr>
            <w:r>
              <w:rPr>
                <w:rStyle w:val="ac"/>
                <w:i w:val="0"/>
                <w:color w:val="000000"/>
                <w:sz w:val="16"/>
                <w:szCs w:val="16"/>
              </w:rPr>
              <w:t>0,00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0,10</w:t>
            </w:r>
          </w:p>
        </w:tc>
        <w:tc>
          <w:tcPr>
            <w:tcW w:w="816" w:type="dxa"/>
            <w:vAlign w:val="center"/>
            <w:hideMark/>
          </w:tcPr>
          <w:p w:rsidR="00705F07" w:rsidRDefault="00185A37">
            <w:pPr>
              <w:jc w:val="center"/>
              <w:rPr>
                <w:rStyle w:val="ac"/>
                <w:i w:val="0"/>
                <w:color w:val="000000"/>
                <w:sz w:val="16"/>
                <w:szCs w:val="16"/>
              </w:rPr>
            </w:pPr>
            <w:r>
              <w:rPr>
                <w:rStyle w:val="ac"/>
                <w:i w:val="0"/>
                <w:color w:val="000000"/>
                <w:sz w:val="16"/>
                <w:szCs w:val="16"/>
              </w:rPr>
              <w:t>3119,72</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48,03</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0,00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53864,71</w:t>
            </w:r>
          </w:p>
        </w:tc>
      </w:tr>
      <w:tr w:rsidR="00705F07">
        <w:trPr>
          <w:jc w:val="center"/>
        </w:trPr>
        <w:tc>
          <w:tcPr>
            <w:tcW w:w="386" w:type="dxa"/>
            <w:vAlign w:val="center"/>
            <w:hideMark/>
          </w:tcPr>
          <w:p w:rsidR="00705F07" w:rsidRDefault="00185A37">
            <w:pPr>
              <w:jc w:val="center"/>
              <w:rPr>
                <w:rStyle w:val="ac"/>
                <w:i w:val="0"/>
                <w:color w:val="000000"/>
                <w:sz w:val="16"/>
                <w:szCs w:val="16"/>
              </w:rPr>
            </w:pPr>
            <w:r>
              <w:rPr>
                <w:rStyle w:val="ac"/>
                <w:i w:val="0"/>
                <w:color w:val="000000"/>
                <w:sz w:val="16"/>
                <w:szCs w:val="16"/>
              </w:rPr>
              <w:t>Серпень</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0,00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0,39</w:t>
            </w:r>
          </w:p>
        </w:tc>
        <w:tc>
          <w:tcPr>
            <w:tcW w:w="656" w:type="dxa"/>
            <w:vAlign w:val="center"/>
            <w:hideMark/>
          </w:tcPr>
          <w:p w:rsidR="00705F07" w:rsidRDefault="00185A37">
            <w:pPr>
              <w:jc w:val="center"/>
              <w:rPr>
                <w:rStyle w:val="ac"/>
                <w:i w:val="0"/>
                <w:color w:val="000000"/>
                <w:sz w:val="16"/>
                <w:szCs w:val="16"/>
              </w:rPr>
            </w:pPr>
            <w:r>
              <w:rPr>
                <w:rStyle w:val="ac"/>
                <w:i w:val="0"/>
                <w:color w:val="000000"/>
                <w:sz w:val="16"/>
                <w:szCs w:val="16"/>
              </w:rPr>
              <w:t>19,00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188,16</w:t>
            </w:r>
          </w:p>
        </w:tc>
        <w:tc>
          <w:tcPr>
            <w:tcW w:w="896" w:type="dxa"/>
            <w:vAlign w:val="center"/>
            <w:hideMark/>
          </w:tcPr>
          <w:p w:rsidR="00705F07" w:rsidRDefault="00185A37">
            <w:pPr>
              <w:jc w:val="center"/>
              <w:rPr>
                <w:rStyle w:val="ac"/>
                <w:i w:val="0"/>
                <w:color w:val="000000"/>
                <w:sz w:val="16"/>
                <w:szCs w:val="16"/>
              </w:rPr>
            </w:pPr>
            <w:r>
              <w:rPr>
                <w:rStyle w:val="ac"/>
                <w:i w:val="0"/>
                <w:color w:val="000000"/>
                <w:sz w:val="16"/>
                <w:szCs w:val="16"/>
              </w:rPr>
              <w:t>44046,23</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65,48</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4433,51</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475,44</w:t>
            </w:r>
          </w:p>
        </w:tc>
        <w:tc>
          <w:tcPr>
            <w:tcW w:w="656" w:type="dxa"/>
            <w:vAlign w:val="center"/>
            <w:hideMark/>
          </w:tcPr>
          <w:p w:rsidR="00705F07" w:rsidRDefault="00185A37">
            <w:pPr>
              <w:jc w:val="center"/>
              <w:rPr>
                <w:rStyle w:val="ac"/>
                <w:i w:val="0"/>
                <w:color w:val="000000"/>
                <w:sz w:val="16"/>
                <w:szCs w:val="16"/>
              </w:rPr>
            </w:pPr>
            <w:r>
              <w:rPr>
                <w:rStyle w:val="ac"/>
                <w:i w:val="0"/>
                <w:color w:val="000000"/>
                <w:sz w:val="16"/>
                <w:szCs w:val="16"/>
              </w:rPr>
              <w:t>1,45</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0,00</w:t>
            </w:r>
          </w:p>
        </w:tc>
        <w:tc>
          <w:tcPr>
            <w:tcW w:w="816" w:type="dxa"/>
            <w:vAlign w:val="center"/>
            <w:hideMark/>
          </w:tcPr>
          <w:p w:rsidR="00705F07" w:rsidRDefault="00185A37">
            <w:pPr>
              <w:jc w:val="center"/>
              <w:rPr>
                <w:rStyle w:val="ac"/>
                <w:i w:val="0"/>
                <w:color w:val="000000"/>
                <w:sz w:val="16"/>
                <w:szCs w:val="16"/>
              </w:rPr>
            </w:pPr>
            <w:r>
              <w:rPr>
                <w:rStyle w:val="ac"/>
                <w:i w:val="0"/>
                <w:color w:val="000000"/>
                <w:sz w:val="16"/>
                <w:szCs w:val="16"/>
              </w:rPr>
              <w:t>2391,26</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6,90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0,00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51627,82</w:t>
            </w:r>
          </w:p>
        </w:tc>
      </w:tr>
      <w:tr w:rsidR="00705F07">
        <w:trPr>
          <w:jc w:val="center"/>
        </w:trPr>
        <w:tc>
          <w:tcPr>
            <w:tcW w:w="386" w:type="dxa"/>
            <w:vAlign w:val="center"/>
            <w:hideMark/>
          </w:tcPr>
          <w:p w:rsidR="00705F07" w:rsidRDefault="00185A37">
            <w:pPr>
              <w:jc w:val="center"/>
              <w:rPr>
                <w:rStyle w:val="ac"/>
                <w:i w:val="0"/>
                <w:color w:val="000000"/>
                <w:sz w:val="16"/>
                <w:szCs w:val="16"/>
              </w:rPr>
            </w:pPr>
            <w:r>
              <w:rPr>
                <w:rStyle w:val="ac"/>
                <w:i w:val="0"/>
                <w:color w:val="000000"/>
                <w:sz w:val="16"/>
                <w:szCs w:val="16"/>
              </w:rPr>
              <w:t>Вересень</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0,13</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0,18</w:t>
            </w:r>
          </w:p>
        </w:tc>
        <w:tc>
          <w:tcPr>
            <w:tcW w:w="656" w:type="dxa"/>
            <w:vAlign w:val="center"/>
            <w:hideMark/>
          </w:tcPr>
          <w:p w:rsidR="00705F07" w:rsidRDefault="00185A37">
            <w:pPr>
              <w:jc w:val="center"/>
              <w:rPr>
                <w:rStyle w:val="ac"/>
                <w:i w:val="0"/>
                <w:color w:val="000000"/>
                <w:sz w:val="16"/>
                <w:szCs w:val="16"/>
              </w:rPr>
            </w:pPr>
            <w:r>
              <w:rPr>
                <w:rStyle w:val="ac"/>
                <w:i w:val="0"/>
                <w:color w:val="000000"/>
                <w:sz w:val="16"/>
                <w:szCs w:val="16"/>
              </w:rPr>
              <w:t>51,88</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347,45</w:t>
            </w:r>
          </w:p>
        </w:tc>
        <w:tc>
          <w:tcPr>
            <w:tcW w:w="896" w:type="dxa"/>
            <w:vAlign w:val="center"/>
            <w:hideMark/>
          </w:tcPr>
          <w:p w:rsidR="00705F07" w:rsidRDefault="00185A37">
            <w:pPr>
              <w:jc w:val="center"/>
              <w:rPr>
                <w:rStyle w:val="ac"/>
                <w:i w:val="0"/>
                <w:color w:val="000000"/>
                <w:sz w:val="16"/>
                <w:szCs w:val="16"/>
              </w:rPr>
            </w:pPr>
            <w:r>
              <w:rPr>
                <w:rStyle w:val="ac"/>
                <w:i w:val="0"/>
                <w:color w:val="000000"/>
                <w:sz w:val="16"/>
                <w:szCs w:val="16"/>
              </w:rPr>
              <w:t>33554,70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2,25</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19606,04</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293,80</w:t>
            </w:r>
          </w:p>
        </w:tc>
        <w:tc>
          <w:tcPr>
            <w:tcW w:w="656" w:type="dxa"/>
            <w:vAlign w:val="center"/>
            <w:hideMark/>
          </w:tcPr>
          <w:p w:rsidR="00705F07" w:rsidRDefault="00185A37">
            <w:pPr>
              <w:jc w:val="center"/>
              <w:rPr>
                <w:rStyle w:val="ac"/>
                <w:i w:val="0"/>
                <w:color w:val="000000"/>
                <w:sz w:val="16"/>
                <w:szCs w:val="16"/>
              </w:rPr>
            </w:pPr>
            <w:r>
              <w:rPr>
                <w:rStyle w:val="ac"/>
                <w:i w:val="0"/>
                <w:color w:val="000000"/>
                <w:sz w:val="16"/>
                <w:szCs w:val="16"/>
              </w:rPr>
              <w:t>3,41</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0,00</w:t>
            </w:r>
          </w:p>
        </w:tc>
        <w:tc>
          <w:tcPr>
            <w:tcW w:w="816" w:type="dxa"/>
            <w:vAlign w:val="center"/>
            <w:hideMark/>
          </w:tcPr>
          <w:p w:rsidR="00705F07" w:rsidRDefault="00185A37">
            <w:pPr>
              <w:jc w:val="center"/>
              <w:rPr>
                <w:rStyle w:val="ac"/>
                <w:i w:val="0"/>
                <w:color w:val="000000"/>
                <w:sz w:val="16"/>
                <w:szCs w:val="16"/>
              </w:rPr>
            </w:pPr>
            <w:r>
              <w:rPr>
                <w:rStyle w:val="ac"/>
                <w:i w:val="0"/>
                <w:color w:val="000000"/>
                <w:sz w:val="16"/>
                <w:szCs w:val="16"/>
              </w:rPr>
              <w:t>2774,65</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6,20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102,85</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56743,54</w:t>
            </w:r>
          </w:p>
        </w:tc>
      </w:tr>
      <w:tr w:rsidR="00705F07">
        <w:trPr>
          <w:jc w:val="center"/>
        </w:trPr>
        <w:tc>
          <w:tcPr>
            <w:tcW w:w="386" w:type="dxa"/>
            <w:vAlign w:val="center"/>
            <w:hideMark/>
          </w:tcPr>
          <w:p w:rsidR="00705F07" w:rsidRDefault="00185A37">
            <w:pPr>
              <w:jc w:val="center"/>
              <w:rPr>
                <w:rStyle w:val="ac"/>
                <w:i w:val="0"/>
                <w:color w:val="000000"/>
                <w:sz w:val="16"/>
                <w:szCs w:val="16"/>
              </w:rPr>
            </w:pPr>
            <w:r>
              <w:rPr>
                <w:rStyle w:val="ac"/>
                <w:i w:val="0"/>
                <w:color w:val="000000"/>
                <w:sz w:val="16"/>
                <w:szCs w:val="16"/>
              </w:rPr>
              <w:t>Жовтень</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0,64</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6,09</w:t>
            </w:r>
          </w:p>
        </w:tc>
        <w:tc>
          <w:tcPr>
            <w:tcW w:w="656" w:type="dxa"/>
            <w:vAlign w:val="center"/>
            <w:hideMark/>
          </w:tcPr>
          <w:p w:rsidR="00705F07" w:rsidRDefault="00185A37">
            <w:pPr>
              <w:jc w:val="center"/>
              <w:rPr>
                <w:rStyle w:val="ac"/>
                <w:i w:val="0"/>
                <w:color w:val="000000"/>
                <w:sz w:val="16"/>
                <w:szCs w:val="16"/>
              </w:rPr>
            </w:pPr>
            <w:r>
              <w:rPr>
                <w:rStyle w:val="ac"/>
                <w:i w:val="0"/>
                <w:color w:val="000000"/>
                <w:sz w:val="16"/>
                <w:szCs w:val="16"/>
              </w:rPr>
              <w:t>94,07</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299,72</w:t>
            </w:r>
          </w:p>
        </w:tc>
        <w:tc>
          <w:tcPr>
            <w:tcW w:w="896" w:type="dxa"/>
            <w:vAlign w:val="center"/>
            <w:hideMark/>
          </w:tcPr>
          <w:p w:rsidR="00705F07" w:rsidRDefault="00185A37">
            <w:pPr>
              <w:jc w:val="center"/>
              <w:rPr>
                <w:rStyle w:val="ac"/>
                <w:i w:val="0"/>
                <w:color w:val="000000"/>
                <w:sz w:val="16"/>
                <w:szCs w:val="16"/>
              </w:rPr>
            </w:pPr>
            <w:r>
              <w:rPr>
                <w:rStyle w:val="ac"/>
                <w:i w:val="0"/>
                <w:color w:val="000000"/>
                <w:sz w:val="16"/>
                <w:szCs w:val="16"/>
              </w:rPr>
              <w:t>46630,01</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9,73</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3491,80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201,70</w:t>
            </w:r>
          </w:p>
        </w:tc>
        <w:tc>
          <w:tcPr>
            <w:tcW w:w="656" w:type="dxa"/>
            <w:vAlign w:val="center"/>
            <w:hideMark/>
          </w:tcPr>
          <w:p w:rsidR="00705F07" w:rsidRDefault="00185A37">
            <w:pPr>
              <w:jc w:val="center"/>
              <w:rPr>
                <w:rStyle w:val="ac"/>
                <w:i w:val="0"/>
                <w:color w:val="000000"/>
                <w:sz w:val="16"/>
                <w:szCs w:val="16"/>
              </w:rPr>
            </w:pPr>
            <w:r>
              <w:rPr>
                <w:rStyle w:val="ac"/>
                <w:i w:val="0"/>
                <w:color w:val="000000"/>
                <w:sz w:val="16"/>
                <w:szCs w:val="16"/>
              </w:rPr>
              <w:t>2,78</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0,00</w:t>
            </w:r>
          </w:p>
        </w:tc>
        <w:tc>
          <w:tcPr>
            <w:tcW w:w="816" w:type="dxa"/>
            <w:vAlign w:val="center"/>
            <w:hideMark/>
          </w:tcPr>
          <w:p w:rsidR="00705F07" w:rsidRDefault="00185A37">
            <w:pPr>
              <w:jc w:val="center"/>
              <w:rPr>
                <w:rStyle w:val="ac"/>
                <w:i w:val="0"/>
                <w:color w:val="000000"/>
                <w:sz w:val="16"/>
                <w:szCs w:val="16"/>
              </w:rPr>
            </w:pPr>
            <w:r>
              <w:rPr>
                <w:rStyle w:val="ac"/>
                <w:i w:val="0"/>
                <w:color w:val="000000"/>
                <w:sz w:val="16"/>
                <w:szCs w:val="16"/>
              </w:rPr>
              <w:t>4056,67</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0,00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0,00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54793,21</w:t>
            </w:r>
          </w:p>
        </w:tc>
      </w:tr>
      <w:tr w:rsidR="00705F07">
        <w:trPr>
          <w:jc w:val="center"/>
        </w:trPr>
        <w:tc>
          <w:tcPr>
            <w:tcW w:w="386" w:type="dxa"/>
            <w:vAlign w:val="center"/>
            <w:hideMark/>
          </w:tcPr>
          <w:p w:rsidR="00705F07" w:rsidRDefault="00185A37">
            <w:pPr>
              <w:jc w:val="center"/>
              <w:rPr>
                <w:rStyle w:val="ac"/>
                <w:i w:val="0"/>
                <w:color w:val="000000"/>
                <w:sz w:val="16"/>
                <w:szCs w:val="16"/>
              </w:rPr>
            </w:pPr>
            <w:r>
              <w:rPr>
                <w:rStyle w:val="ac"/>
                <w:i w:val="0"/>
                <w:color w:val="000000"/>
                <w:sz w:val="16"/>
                <w:szCs w:val="16"/>
              </w:rPr>
              <w:t>Листопад</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0,02</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0,45</w:t>
            </w:r>
          </w:p>
        </w:tc>
        <w:tc>
          <w:tcPr>
            <w:tcW w:w="656" w:type="dxa"/>
            <w:vAlign w:val="center"/>
            <w:hideMark/>
          </w:tcPr>
          <w:p w:rsidR="00705F07" w:rsidRDefault="00185A37">
            <w:pPr>
              <w:jc w:val="center"/>
              <w:rPr>
                <w:rStyle w:val="ac"/>
                <w:i w:val="0"/>
                <w:color w:val="000000"/>
                <w:sz w:val="16"/>
                <w:szCs w:val="16"/>
              </w:rPr>
            </w:pPr>
            <w:r>
              <w:rPr>
                <w:rStyle w:val="ac"/>
                <w:i w:val="0"/>
                <w:color w:val="000000"/>
                <w:sz w:val="16"/>
                <w:szCs w:val="16"/>
              </w:rPr>
              <w:t>72,19</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435,67</w:t>
            </w:r>
          </w:p>
        </w:tc>
        <w:tc>
          <w:tcPr>
            <w:tcW w:w="896" w:type="dxa"/>
            <w:vAlign w:val="center"/>
            <w:hideMark/>
          </w:tcPr>
          <w:p w:rsidR="00705F07" w:rsidRDefault="00185A37">
            <w:pPr>
              <w:jc w:val="center"/>
              <w:rPr>
                <w:rStyle w:val="ac"/>
                <w:i w:val="0"/>
                <w:color w:val="000000"/>
                <w:sz w:val="16"/>
                <w:szCs w:val="16"/>
              </w:rPr>
            </w:pPr>
            <w:r>
              <w:rPr>
                <w:rStyle w:val="ac"/>
                <w:i w:val="0"/>
                <w:color w:val="000000"/>
                <w:sz w:val="16"/>
                <w:szCs w:val="16"/>
              </w:rPr>
              <w:t>49689,17</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10,97</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4810,38</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101,73</w:t>
            </w:r>
          </w:p>
        </w:tc>
        <w:tc>
          <w:tcPr>
            <w:tcW w:w="656" w:type="dxa"/>
            <w:vAlign w:val="center"/>
            <w:hideMark/>
          </w:tcPr>
          <w:p w:rsidR="00705F07" w:rsidRDefault="00185A37">
            <w:pPr>
              <w:jc w:val="center"/>
              <w:rPr>
                <w:rStyle w:val="ac"/>
                <w:i w:val="0"/>
                <w:color w:val="000000"/>
                <w:sz w:val="16"/>
                <w:szCs w:val="16"/>
              </w:rPr>
            </w:pPr>
            <w:r>
              <w:rPr>
                <w:rStyle w:val="ac"/>
                <w:i w:val="0"/>
                <w:color w:val="000000"/>
                <w:sz w:val="16"/>
                <w:szCs w:val="16"/>
              </w:rPr>
              <w:t>26,48</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0,00</w:t>
            </w:r>
          </w:p>
        </w:tc>
        <w:tc>
          <w:tcPr>
            <w:tcW w:w="816" w:type="dxa"/>
            <w:vAlign w:val="center"/>
            <w:hideMark/>
          </w:tcPr>
          <w:p w:rsidR="00705F07" w:rsidRDefault="00185A37">
            <w:pPr>
              <w:jc w:val="center"/>
              <w:rPr>
                <w:rStyle w:val="ac"/>
                <w:i w:val="0"/>
                <w:color w:val="000000"/>
                <w:sz w:val="16"/>
                <w:szCs w:val="16"/>
              </w:rPr>
            </w:pPr>
            <w:r>
              <w:rPr>
                <w:rStyle w:val="ac"/>
                <w:i w:val="0"/>
                <w:color w:val="000000"/>
                <w:sz w:val="16"/>
                <w:szCs w:val="16"/>
              </w:rPr>
              <w:t>5518,24</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0,00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0,00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60665,31</w:t>
            </w:r>
          </w:p>
        </w:tc>
      </w:tr>
      <w:tr w:rsidR="00705F07">
        <w:trPr>
          <w:jc w:val="center"/>
        </w:trPr>
        <w:tc>
          <w:tcPr>
            <w:tcW w:w="386" w:type="dxa"/>
            <w:vAlign w:val="center"/>
            <w:hideMark/>
          </w:tcPr>
          <w:p w:rsidR="00705F07" w:rsidRDefault="00185A37">
            <w:pPr>
              <w:jc w:val="center"/>
              <w:rPr>
                <w:rStyle w:val="ac"/>
                <w:i w:val="0"/>
                <w:color w:val="000000"/>
                <w:sz w:val="16"/>
                <w:szCs w:val="16"/>
              </w:rPr>
            </w:pPr>
            <w:r>
              <w:rPr>
                <w:rStyle w:val="ac"/>
                <w:i w:val="0"/>
                <w:color w:val="000000"/>
                <w:sz w:val="16"/>
                <w:szCs w:val="16"/>
              </w:rPr>
              <w:t>Грудень</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1,50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0,78</w:t>
            </w:r>
          </w:p>
        </w:tc>
        <w:tc>
          <w:tcPr>
            <w:tcW w:w="656" w:type="dxa"/>
            <w:vAlign w:val="center"/>
            <w:hideMark/>
          </w:tcPr>
          <w:p w:rsidR="00705F07" w:rsidRDefault="00185A37">
            <w:pPr>
              <w:jc w:val="center"/>
              <w:rPr>
                <w:rStyle w:val="ac"/>
                <w:i w:val="0"/>
                <w:color w:val="000000"/>
                <w:sz w:val="16"/>
                <w:szCs w:val="16"/>
              </w:rPr>
            </w:pPr>
            <w:r>
              <w:rPr>
                <w:rStyle w:val="ac"/>
                <w:i w:val="0"/>
                <w:color w:val="000000"/>
                <w:sz w:val="16"/>
                <w:szCs w:val="16"/>
              </w:rPr>
              <w:t>0,00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575,25</w:t>
            </w:r>
          </w:p>
        </w:tc>
        <w:tc>
          <w:tcPr>
            <w:tcW w:w="896" w:type="dxa"/>
            <w:vAlign w:val="center"/>
            <w:hideMark/>
          </w:tcPr>
          <w:p w:rsidR="00705F07" w:rsidRDefault="00185A37">
            <w:pPr>
              <w:jc w:val="center"/>
              <w:rPr>
                <w:rStyle w:val="ac"/>
                <w:i w:val="0"/>
                <w:color w:val="000000"/>
                <w:sz w:val="16"/>
                <w:szCs w:val="16"/>
              </w:rPr>
            </w:pPr>
            <w:r>
              <w:rPr>
                <w:rStyle w:val="ac"/>
                <w:i w:val="0"/>
                <w:color w:val="000000"/>
                <w:sz w:val="16"/>
                <w:szCs w:val="16"/>
              </w:rPr>
              <w:t>59670,40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55,00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3288,50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27,52</w:t>
            </w:r>
          </w:p>
        </w:tc>
        <w:tc>
          <w:tcPr>
            <w:tcW w:w="656" w:type="dxa"/>
            <w:vAlign w:val="center"/>
            <w:hideMark/>
          </w:tcPr>
          <w:p w:rsidR="00705F07" w:rsidRDefault="00185A37">
            <w:pPr>
              <w:jc w:val="center"/>
              <w:rPr>
                <w:rStyle w:val="ac"/>
                <w:i w:val="0"/>
                <w:color w:val="000000"/>
                <w:sz w:val="16"/>
                <w:szCs w:val="16"/>
              </w:rPr>
            </w:pPr>
            <w:r>
              <w:rPr>
                <w:rStyle w:val="ac"/>
                <w:i w:val="0"/>
                <w:color w:val="000000"/>
                <w:sz w:val="16"/>
                <w:szCs w:val="16"/>
              </w:rPr>
              <w:t>0,25</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0,00</w:t>
            </w:r>
          </w:p>
        </w:tc>
        <w:tc>
          <w:tcPr>
            <w:tcW w:w="816" w:type="dxa"/>
            <w:vAlign w:val="center"/>
            <w:hideMark/>
          </w:tcPr>
          <w:p w:rsidR="00705F07" w:rsidRDefault="00185A37">
            <w:pPr>
              <w:jc w:val="center"/>
              <w:rPr>
                <w:rStyle w:val="ac"/>
                <w:i w:val="0"/>
                <w:color w:val="000000"/>
                <w:sz w:val="16"/>
                <w:szCs w:val="16"/>
              </w:rPr>
            </w:pPr>
            <w:r>
              <w:rPr>
                <w:rStyle w:val="ac"/>
                <w:i w:val="0"/>
                <w:color w:val="000000"/>
                <w:sz w:val="16"/>
                <w:szCs w:val="16"/>
              </w:rPr>
              <w:t>15509,86</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0,00</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304,64</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79433,71</w:t>
            </w:r>
          </w:p>
        </w:tc>
      </w:tr>
      <w:tr w:rsidR="00705F07">
        <w:trPr>
          <w:jc w:val="center"/>
        </w:trPr>
        <w:tc>
          <w:tcPr>
            <w:tcW w:w="386" w:type="dxa"/>
            <w:vAlign w:val="center"/>
            <w:hideMark/>
          </w:tcPr>
          <w:p w:rsidR="00705F07" w:rsidRDefault="00185A37">
            <w:pPr>
              <w:jc w:val="center"/>
              <w:rPr>
                <w:rStyle w:val="ac"/>
                <w:i w:val="0"/>
                <w:color w:val="000000"/>
                <w:sz w:val="16"/>
                <w:szCs w:val="16"/>
              </w:rPr>
            </w:pPr>
            <w:r>
              <w:rPr>
                <w:rStyle w:val="ac"/>
                <w:i w:val="0"/>
                <w:color w:val="000000"/>
                <w:sz w:val="16"/>
                <w:szCs w:val="16"/>
              </w:rPr>
              <w:t>Усього</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42,35</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18,87</w:t>
            </w:r>
          </w:p>
        </w:tc>
        <w:tc>
          <w:tcPr>
            <w:tcW w:w="656" w:type="dxa"/>
            <w:vAlign w:val="center"/>
            <w:hideMark/>
          </w:tcPr>
          <w:p w:rsidR="00705F07" w:rsidRDefault="00185A37">
            <w:pPr>
              <w:jc w:val="center"/>
              <w:rPr>
                <w:rStyle w:val="ac"/>
                <w:i w:val="0"/>
                <w:color w:val="000000"/>
                <w:sz w:val="16"/>
                <w:szCs w:val="16"/>
              </w:rPr>
            </w:pPr>
            <w:r>
              <w:rPr>
                <w:rStyle w:val="ac"/>
                <w:i w:val="0"/>
                <w:color w:val="000000"/>
                <w:sz w:val="16"/>
                <w:szCs w:val="16"/>
              </w:rPr>
              <w:t>239,36</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9980,11</w:t>
            </w:r>
          </w:p>
        </w:tc>
        <w:tc>
          <w:tcPr>
            <w:tcW w:w="896" w:type="dxa"/>
            <w:vAlign w:val="center"/>
            <w:hideMark/>
          </w:tcPr>
          <w:p w:rsidR="00705F07" w:rsidRDefault="00185A37">
            <w:pPr>
              <w:jc w:val="center"/>
              <w:rPr>
                <w:rStyle w:val="ac"/>
                <w:i w:val="0"/>
                <w:color w:val="000000"/>
                <w:sz w:val="16"/>
                <w:szCs w:val="16"/>
              </w:rPr>
            </w:pPr>
            <w:r>
              <w:rPr>
                <w:rStyle w:val="ac"/>
                <w:i w:val="0"/>
                <w:color w:val="000000"/>
                <w:sz w:val="16"/>
                <w:szCs w:val="16"/>
              </w:rPr>
              <w:t>547926,26</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781,69</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56006,68</w:t>
            </w:r>
          </w:p>
        </w:tc>
        <w:tc>
          <w:tcPr>
            <w:tcW w:w="0" w:type="auto"/>
            <w:vAlign w:val="center"/>
            <w:hideMark/>
          </w:tcPr>
          <w:p w:rsidR="00705F07" w:rsidRDefault="00185A37">
            <w:pPr>
              <w:jc w:val="center"/>
              <w:rPr>
                <w:rStyle w:val="ac"/>
                <w:i w:val="0"/>
                <w:color w:val="000000"/>
                <w:sz w:val="16"/>
                <w:szCs w:val="16"/>
              </w:rPr>
            </w:pPr>
            <w:r>
              <w:rPr>
                <w:rStyle w:val="ac"/>
                <w:i w:val="0"/>
                <w:color w:val="000000"/>
                <w:sz w:val="16"/>
                <w:szCs w:val="16"/>
              </w:rPr>
              <w:t>3479,11</w:t>
            </w:r>
          </w:p>
        </w:tc>
        <w:tc>
          <w:tcPr>
            <w:tcW w:w="656" w:type="dxa"/>
            <w:vAlign w:val="center"/>
            <w:hideMark/>
          </w:tcPr>
          <w:p w:rsidR="00705F07" w:rsidRDefault="00185A37">
            <w:pPr>
              <w:jc w:val="center"/>
              <w:rPr>
                <w:rStyle w:val="ac"/>
                <w:i w:val="0"/>
                <w:color w:val="000000"/>
                <w:sz w:val="16"/>
                <w:szCs w:val="16"/>
              </w:rPr>
            </w:pPr>
            <w:r>
              <w:rPr>
                <w:rStyle w:val="ac"/>
                <w:i w:val="0"/>
                <w:color w:val="000000"/>
                <w:sz w:val="16"/>
                <w:szCs w:val="16"/>
              </w:rPr>
              <w:t>397,28</w:t>
            </w:r>
          </w:p>
        </w:tc>
        <w:tc>
          <w:tcPr>
            <w:tcW w:w="0" w:type="auto"/>
            <w:vAlign w:val="center"/>
            <w:hideMark/>
          </w:tcPr>
          <w:p w:rsidR="00705F07" w:rsidRDefault="00185A37">
            <w:pPr>
              <w:jc w:val="center"/>
              <w:rPr>
                <w:rStyle w:val="ac"/>
                <w:i w:val="0"/>
                <w:color w:val="000000"/>
                <w:sz w:val="16"/>
                <w:szCs w:val="16"/>
              </w:rPr>
            </w:pPr>
            <w:r>
              <w:rPr>
                <w:color w:val="000000"/>
                <w:sz w:val="16"/>
                <w:szCs w:val="16"/>
              </w:rPr>
              <w:t>3,77</w:t>
            </w:r>
          </w:p>
        </w:tc>
        <w:tc>
          <w:tcPr>
            <w:tcW w:w="816" w:type="dxa"/>
            <w:vAlign w:val="center"/>
            <w:hideMark/>
          </w:tcPr>
          <w:p w:rsidR="00705F07" w:rsidRDefault="00185A37">
            <w:pPr>
              <w:jc w:val="center"/>
              <w:rPr>
                <w:rStyle w:val="ac"/>
                <w:i w:val="0"/>
                <w:color w:val="000000"/>
                <w:sz w:val="16"/>
                <w:szCs w:val="16"/>
              </w:rPr>
            </w:pPr>
            <w:r>
              <w:rPr>
                <w:color w:val="000000"/>
                <w:sz w:val="16"/>
                <w:szCs w:val="16"/>
              </w:rPr>
              <w:t>37289,86</w:t>
            </w:r>
          </w:p>
        </w:tc>
        <w:tc>
          <w:tcPr>
            <w:tcW w:w="0" w:type="auto"/>
            <w:vAlign w:val="center"/>
            <w:hideMark/>
          </w:tcPr>
          <w:p w:rsidR="00705F07" w:rsidRDefault="00185A37">
            <w:pPr>
              <w:jc w:val="center"/>
              <w:rPr>
                <w:rStyle w:val="ac"/>
                <w:i w:val="0"/>
                <w:color w:val="000000"/>
                <w:sz w:val="16"/>
                <w:szCs w:val="16"/>
              </w:rPr>
            </w:pPr>
            <w:r>
              <w:rPr>
                <w:color w:val="000000"/>
                <w:sz w:val="16"/>
                <w:szCs w:val="16"/>
              </w:rPr>
              <w:t>112,41</w:t>
            </w:r>
          </w:p>
        </w:tc>
        <w:tc>
          <w:tcPr>
            <w:tcW w:w="0" w:type="auto"/>
            <w:vAlign w:val="center"/>
            <w:hideMark/>
          </w:tcPr>
          <w:p w:rsidR="00705F07" w:rsidRDefault="00185A37">
            <w:pPr>
              <w:jc w:val="center"/>
              <w:rPr>
                <w:rStyle w:val="ac"/>
                <w:i w:val="0"/>
                <w:color w:val="000000"/>
                <w:sz w:val="16"/>
                <w:szCs w:val="16"/>
              </w:rPr>
            </w:pPr>
            <w:r>
              <w:rPr>
                <w:color w:val="000000"/>
                <w:sz w:val="16"/>
                <w:szCs w:val="16"/>
              </w:rPr>
              <w:t>407,49</w:t>
            </w:r>
          </w:p>
        </w:tc>
        <w:tc>
          <w:tcPr>
            <w:tcW w:w="0" w:type="auto"/>
            <w:vAlign w:val="center"/>
            <w:hideMark/>
          </w:tcPr>
          <w:p w:rsidR="00705F07" w:rsidRDefault="00185A37">
            <w:pPr>
              <w:jc w:val="center"/>
              <w:rPr>
                <w:rStyle w:val="ac"/>
                <w:i w:val="0"/>
                <w:color w:val="000000"/>
                <w:sz w:val="16"/>
                <w:szCs w:val="16"/>
              </w:rPr>
            </w:pPr>
            <w:r>
              <w:rPr>
                <w:color w:val="000000"/>
                <w:sz w:val="16"/>
                <w:szCs w:val="16"/>
              </w:rPr>
              <w:t>656685,25</w:t>
            </w:r>
          </w:p>
        </w:tc>
      </w:tr>
    </w:tbl>
    <w:p w:rsidR="00705F07" w:rsidRDefault="00185A37">
      <w:pPr>
        <w:ind w:firstLine="709"/>
        <w:jc w:val="both"/>
        <w:rPr>
          <w:color w:val="000000"/>
        </w:rPr>
      </w:pPr>
      <w:r>
        <w:rPr>
          <w:color w:val="000000"/>
        </w:rPr>
        <w:t>Джерело: складено автором на основі даних [3].</w:t>
      </w:r>
    </w:p>
    <w:p w:rsidR="00705F07" w:rsidRDefault="00705F07">
      <w:pPr>
        <w:spacing w:line="360" w:lineRule="auto"/>
        <w:ind w:firstLine="709"/>
        <w:jc w:val="both"/>
        <w:rPr>
          <w:rStyle w:val="ac"/>
          <w:i w:val="0"/>
          <w:color w:val="000000"/>
          <w:sz w:val="28"/>
          <w:szCs w:val="28"/>
        </w:rPr>
      </w:pPr>
    </w:p>
    <w:p w:rsidR="00705F07" w:rsidRDefault="00185A37">
      <w:pPr>
        <w:rPr>
          <w:rStyle w:val="ac"/>
          <w:i w:val="0"/>
          <w:color w:val="000000"/>
          <w:sz w:val="28"/>
          <w:szCs w:val="28"/>
        </w:rPr>
      </w:pPr>
      <w:r>
        <w:rPr>
          <w:rStyle w:val="ac"/>
          <w:i w:val="0"/>
          <w:color w:val="000000"/>
          <w:sz w:val="28"/>
          <w:szCs w:val="28"/>
        </w:rPr>
        <w:br w:type="page"/>
      </w:r>
    </w:p>
    <w:p w:rsidR="00705F07" w:rsidRDefault="00185A37">
      <w:pPr>
        <w:spacing w:line="360" w:lineRule="auto"/>
        <w:ind w:firstLine="709"/>
        <w:jc w:val="right"/>
        <w:rPr>
          <w:rStyle w:val="ac"/>
          <w:i w:val="0"/>
          <w:color w:val="000000"/>
          <w:sz w:val="28"/>
          <w:szCs w:val="28"/>
        </w:rPr>
      </w:pPr>
      <w:r>
        <w:rPr>
          <w:rStyle w:val="ac"/>
          <w:i w:val="0"/>
          <w:color w:val="000000"/>
          <w:sz w:val="28"/>
          <w:szCs w:val="28"/>
        </w:rPr>
        <w:t>Додаток З</w:t>
      </w:r>
    </w:p>
    <w:p w:rsidR="00705F07" w:rsidRDefault="00185A37">
      <w:pPr>
        <w:spacing w:line="360" w:lineRule="auto"/>
        <w:ind w:firstLine="709"/>
        <w:jc w:val="right"/>
        <w:rPr>
          <w:rStyle w:val="ac"/>
          <w:i w:val="0"/>
          <w:color w:val="000000"/>
          <w:sz w:val="28"/>
          <w:szCs w:val="28"/>
        </w:rPr>
      </w:pPr>
      <w:r>
        <w:rPr>
          <w:rStyle w:val="ac"/>
          <w:i w:val="0"/>
          <w:color w:val="000000"/>
          <w:sz w:val="28"/>
          <w:szCs w:val="28"/>
        </w:rPr>
        <w:t>Таблиця З.1</w:t>
      </w:r>
    </w:p>
    <w:p w:rsidR="00705F07" w:rsidRDefault="00185A37">
      <w:pPr>
        <w:spacing w:line="360" w:lineRule="auto"/>
        <w:ind w:firstLine="709"/>
        <w:jc w:val="center"/>
        <w:rPr>
          <w:rStyle w:val="ac"/>
          <w:i w:val="0"/>
          <w:color w:val="000000"/>
          <w:sz w:val="28"/>
          <w:szCs w:val="28"/>
        </w:rPr>
      </w:pPr>
      <w:r>
        <w:rPr>
          <w:rStyle w:val="ac"/>
          <w:i w:val="0"/>
          <w:color w:val="000000"/>
          <w:sz w:val="28"/>
          <w:szCs w:val="28"/>
        </w:rPr>
        <w:t>Обсяг торгів фінансовими інструментами за операторами ринків капіталу в 2024 р. (млн грн)</w:t>
      </w:r>
    </w:p>
    <w:tbl>
      <w:tblPr>
        <w:tblStyle w:val="ad"/>
        <w:tblW w:w="9052" w:type="dxa"/>
        <w:jc w:val="center"/>
        <w:tblLook w:val="04A0" w:firstRow="1" w:lastRow="0" w:firstColumn="1" w:lastColumn="0" w:noHBand="0" w:noVBand="1"/>
      </w:tblPr>
      <w:tblGrid>
        <w:gridCol w:w="1384"/>
        <w:gridCol w:w="617"/>
        <w:gridCol w:w="616"/>
        <w:gridCol w:w="656"/>
        <w:gridCol w:w="411"/>
        <w:gridCol w:w="411"/>
        <w:gridCol w:w="616"/>
        <w:gridCol w:w="616"/>
        <w:gridCol w:w="411"/>
        <w:gridCol w:w="616"/>
        <w:gridCol w:w="499"/>
        <w:gridCol w:w="541"/>
        <w:gridCol w:w="616"/>
        <w:gridCol w:w="616"/>
        <w:gridCol w:w="426"/>
      </w:tblGrid>
      <w:tr w:rsidR="00705F07">
        <w:trPr>
          <w:cantSplit/>
          <w:trHeight w:val="2132"/>
          <w:jc w:val="center"/>
        </w:trPr>
        <w:tc>
          <w:tcPr>
            <w:tcW w:w="1383" w:type="dxa"/>
            <w:vAlign w:val="center"/>
            <w:hideMark/>
          </w:tcPr>
          <w:p w:rsidR="00705F07" w:rsidRDefault="00185A37">
            <w:pPr>
              <w:jc w:val="center"/>
              <w:rPr>
                <w:rStyle w:val="ac"/>
                <w:i w:val="0"/>
                <w:color w:val="000000"/>
                <w:sz w:val="16"/>
                <w:szCs w:val="16"/>
              </w:rPr>
            </w:pPr>
            <w:r>
              <w:rPr>
                <w:rStyle w:val="ac"/>
                <w:i w:val="0"/>
                <w:color w:val="000000"/>
                <w:sz w:val="16"/>
                <w:szCs w:val="16"/>
              </w:rPr>
              <w:t>Оператор</w:t>
            </w:r>
          </w:p>
        </w:tc>
        <w:tc>
          <w:tcPr>
            <w:tcW w:w="0" w:type="auto"/>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Акція</w:t>
            </w:r>
          </w:p>
        </w:tc>
        <w:tc>
          <w:tcPr>
            <w:tcW w:w="0" w:type="auto"/>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Акція іноземного емітента</w:t>
            </w:r>
          </w:p>
        </w:tc>
        <w:tc>
          <w:tcPr>
            <w:tcW w:w="656" w:type="dxa"/>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Акція КІФ</w:t>
            </w:r>
          </w:p>
        </w:tc>
        <w:tc>
          <w:tcPr>
            <w:tcW w:w="411" w:type="dxa"/>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Корп. облігація</w:t>
            </w:r>
          </w:p>
        </w:tc>
        <w:tc>
          <w:tcPr>
            <w:tcW w:w="411" w:type="dxa"/>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ОВДП</w:t>
            </w:r>
          </w:p>
        </w:tc>
        <w:tc>
          <w:tcPr>
            <w:tcW w:w="0" w:type="auto"/>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Облігація зовн. держ. позик</w:t>
            </w:r>
          </w:p>
        </w:tc>
        <w:tc>
          <w:tcPr>
            <w:tcW w:w="0" w:type="auto"/>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Облігація іноземної держави</w:t>
            </w:r>
          </w:p>
        </w:tc>
        <w:tc>
          <w:tcPr>
            <w:tcW w:w="411" w:type="dxa"/>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Інв. сертифікат</w:t>
            </w:r>
          </w:p>
        </w:tc>
        <w:tc>
          <w:tcPr>
            <w:tcW w:w="0" w:type="auto"/>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Облігація підприємства</w:t>
            </w:r>
          </w:p>
        </w:tc>
        <w:tc>
          <w:tcPr>
            <w:tcW w:w="499" w:type="dxa"/>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Дериватив</w:t>
            </w:r>
          </w:p>
        </w:tc>
        <w:tc>
          <w:tcPr>
            <w:tcW w:w="541" w:type="dxa"/>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Своп</w:t>
            </w:r>
          </w:p>
        </w:tc>
        <w:tc>
          <w:tcPr>
            <w:tcW w:w="0" w:type="auto"/>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Облігація іноземного емітента</w:t>
            </w:r>
          </w:p>
        </w:tc>
        <w:tc>
          <w:tcPr>
            <w:tcW w:w="0" w:type="auto"/>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Облігація місцевих позик</w:t>
            </w:r>
          </w:p>
        </w:tc>
        <w:tc>
          <w:tcPr>
            <w:tcW w:w="426" w:type="dxa"/>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Усього</w:t>
            </w:r>
          </w:p>
        </w:tc>
      </w:tr>
      <w:tr w:rsidR="00705F07">
        <w:trPr>
          <w:cantSplit/>
          <w:trHeight w:val="1134"/>
          <w:jc w:val="center"/>
        </w:trPr>
        <w:tc>
          <w:tcPr>
            <w:tcW w:w="1383" w:type="dxa"/>
            <w:vAlign w:val="center"/>
            <w:hideMark/>
          </w:tcPr>
          <w:p w:rsidR="00705F07" w:rsidRDefault="00185A37">
            <w:pPr>
              <w:jc w:val="center"/>
              <w:rPr>
                <w:rStyle w:val="ac"/>
                <w:i w:val="0"/>
                <w:color w:val="000000"/>
                <w:sz w:val="16"/>
                <w:szCs w:val="16"/>
              </w:rPr>
            </w:pPr>
            <w:r>
              <w:rPr>
                <w:rStyle w:val="ac"/>
                <w:i w:val="0"/>
                <w:color w:val="000000"/>
                <w:sz w:val="16"/>
                <w:szCs w:val="16"/>
              </w:rPr>
              <w:t>ПФТС</w:t>
            </w:r>
          </w:p>
        </w:tc>
        <w:tc>
          <w:tcPr>
            <w:tcW w:w="0" w:type="auto"/>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18,82</w:t>
            </w:r>
          </w:p>
        </w:tc>
        <w:tc>
          <w:tcPr>
            <w:tcW w:w="0" w:type="auto"/>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8,82</w:t>
            </w:r>
          </w:p>
        </w:tc>
        <w:tc>
          <w:tcPr>
            <w:tcW w:w="656" w:type="dxa"/>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72,75</w:t>
            </w:r>
          </w:p>
        </w:tc>
        <w:tc>
          <w:tcPr>
            <w:tcW w:w="411" w:type="dxa"/>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7897,15</w:t>
            </w:r>
          </w:p>
        </w:tc>
        <w:tc>
          <w:tcPr>
            <w:tcW w:w="411" w:type="dxa"/>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379908,19</w:t>
            </w:r>
          </w:p>
        </w:tc>
        <w:tc>
          <w:tcPr>
            <w:tcW w:w="0" w:type="auto"/>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449,25</w:t>
            </w:r>
          </w:p>
        </w:tc>
        <w:tc>
          <w:tcPr>
            <w:tcW w:w="0" w:type="auto"/>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39845,20</w:t>
            </w:r>
          </w:p>
        </w:tc>
        <w:tc>
          <w:tcPr>
            <w:tcW w:w="411" w:type="dxa"/>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3438,89</w:t>
            </w:r>
          </w:p>
        </w:tc>
        <w:tc>
          <w:tcPr>
            <w:tcW w:w="0" w:type="auto"/>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0,00</w:t>
            </w:r>
          </w:p>
        </w:tc>
        <w:tc>
          <w:tcPr>
            <w:tcW w:w="499" w:type="dxa"/>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0,00</w:t>
            </w:r>
          </w:p>
        </w:tc>
        <w:tc>
          <w:tcPr>
            <w:tcW w:w="541" w:type="dxa"/>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34822,43</w:t>
            </w:r>
          </w:p>
        </w:tc>
        <w:tc>
          <w:tcPr>
            <w:tcW w:w="0" w:type="auto"/>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88,78</w:t>
            </w:r>
          </w:p>
        </w:tc>
        <w:tc>
          <w:tcPr>
            <w:tcW w:w="0" w:type="auto"/>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407,49</w:t>
            </w:r>
          </w:p>
        </w:tc>
        <w:tc>
          <w:tcPr>
            <w:tcW w:w="426" w:type="dxa"/>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466957,77</w:t>
            </w:r>
          </w:p>
        </w:tc>
      </w:tr>
      <w:tr w:rsidR="00705F07">
        <w:trPr>
          <w:cantSplit/>
          <w:trHeight w:val="1134"/>
          <w:jc w:val="center"/>
        </w:trPr>
        <w:tc>
          <w:tcPr>
            <w:tcW w:w="1383" w:type="dxa"/>
            <w:vAlign w:val="center"/>
            <w:hideMark/>
          </w:tcPr>
          <w:p w:rsidR="00705F07" w:rsidRDefault="00185A37">
            <w:pPr>
              <w:jc w:val="center"/>
              <w:rPr>
                <w:rStyle w:val="ac"/>
                <w:i w:val="0"/>
                <w:color w:val="000000"/>
                <w:sz w:val="16"/>
                <w:szCs w:val="16"/>
              </w:rPr>
            </w:pPr>
            <w:r>
              <w:rPr>
                <w:rStyle w:val="ac"/>
                <w:i w:val="0"/>
                <w:color w:val="000000"/>
                <w:sz w:val="16"/>
                <w:szCs w:val="16"/>
              </w:rPr>
              <w:t>ПЕРСПЕКТИВА</w:t>
            </w:r>
          </w:p>
        </w:tc>
        <w:tc>
          <w:tcPr>
            <w:tcW w:w="0" w:type="auto"/>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0,00</w:t>
            </w:r>
          </w:p>
        </w:tc>
        <w:tc>
          <w:tcPr>
            <w:tcW w:w="0" w:type="auto"/>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0,56</w:t>
            </w:r>
          </w:p>
        </w:tc>
        <w:tc>
          <w:tcPr>
            <w:tcW w:w="656" w:type="dxa"/>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164,45</w:t>
            </w:r>
          </w:p>
        </w:tc>
        <w:tc>
          <w:tcPr>
            <w:tcW w:w="411" w:type="dxa"/>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1324,05</w:t>
            </w:r>
          </w:p>
        </w:tc>
        <w:tc>
          <w:tcPr>
            <w:tcW w:w="411" w:type="dxa"/>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151359,23</w:t>
            </w:r>
          </w:p>
        </w:tc>
        <w:tc>
          <w:tcPr>
            <w:tcW w:w="0" w:type="auto"/>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196,43</w:t>
            </w:r>
          </w:p>
        </w:tc>
        <w:tc>
          <w:tcPr>
            <w:tcW w:w="0" w:type="auto"/>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14957,45</w:t>
            </w:r>
          </w:p>
        </w:tc>
        <w:tc>
          <w:tcPr>
            <w:tcW w:w="411" w:type="dxa"/>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13,53</w:t>
            </w:r>
          </w:p>
        </w:tc>
        <w:tc>
          <w:tcPr>
            <w:tcW w:w="0" w:type="auto"/>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388,05</w:t>
            </w:r>
          </w:p>
        </w:tc>
        <w:tc>
          <w:tcPr>
            <w:tcW w:w="499" w:type="dxa"/>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0,00</w:t>
            </w:r>
          </w:p>
        </w:tc>
        <w:tc>
          <w:tcPr>
            <w:tcW w:w="541" w:type="dxa"/>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91,02</w:t>
            </w:r>
          </w:p>
        </w:tc>
        <w:tc>
          <w:tcPr>
            <w:tcW w:w="0" w:type="auto"/>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15,57</w:t>
            </w:r>
          </w:p>
        </w:tc>
        <w:tc>
          <w:tcPr>
            <w:tcW w:w="0" w:type="auto"/>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0,00</w:t>
            </w:r>
          </w:p>
        </w:tc>
        <w:tc>
          <w:tcPr>
            <w:tcW w:w="426" w:type="dxa"/>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168510,34</w:t>
            </w:r>
          </w:p>
        </w:tc>
      </w:tr>
      <w:tr w:rsidR="00705F07">
        <w:trPr>
          <w:cantSplit/>
          <w:trHeight w:val="1134"/>
          <w:jc w:val="center"/>
        </w:trPr>
        <w:tc>
          <w:tcPr>
            <w:tcW w:w="1383" w:type="dxa"/>
            <w:vAlign w:val="center"/>
            <w:hideMark/>
          </w:tcPr>
          <w:p w:rsidR="00705F07" w:rsidRDefault="00185A37">
            <w:pPr>
              <w:jc w:val="center"/>
              <w:rPr>
                <w:rStyle w:val="ac"/>
                <w:i w:val="0"/>
                <w:color w:val="000000"/>
                <w:sz w:val="16"/>
                <w:szCs w:val="16"/>
              </w:rPr>
            </w:pPr>
            <w:r>
              <w:rPr>
                <w:rStyle w:val="ac"/>
                <w:i w:val="0"/>
                <w:color w:val="000000"/>
                <w:sz w:val="16"/>
                <w:szCs w:val="16"/>
              </w:rPr>
              <w:t>УБ</w:t>
            </w:r>
          </w:p>
        </w:tc>
        <w:tc>
          <w:tcPr>
            <w:tcW w:w="0" w:type="auto"/>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23,52</w:t>
            </w:r>
          </w:p>
        </w:tc>
        <w:tc>
          <w:tcPr>
            <w:tcW w:w="0" w:type="auto"/>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9,50</w:t>
            </w:r>
          </w:p>
        </w:tc>
        <w:tc>
          <w:tcPr>
            <w:tcW w:w="656" w:type="dxa"/>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2,16</w:t>
            </w:r>
          </w:p>
        </w:tc>
        <w:tc>
          <w:tcPr>
            <w:tcW w:w="411" w:type="dxa"/>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758,92</w:t>
            </w:r>
          </w:p>
        </w:tc>
        <w:tc>
          <w:tcPr>
            <w:tcW w:w="411" w:type="dxa"/>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16658,84</w:t>
            </w:r>
          </w:p>
        </w:tc>
        <w:tc>
          <w:tcPr>
            <w:tcW w:w="0" w:type="auto"/>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136,02</w:t>
            </w:r>
          </w:p>
        </w:tc>
        <w:tc>
          <w:tcPr>
            <w:tcW w:w="0" w:type="auto"/>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1204,03</w:t>
            </w:r>
          </w:p>
        </w:tc>
        <w:tc>
          <w:tcPr>
            <w:tcW w:w="411" w:type="dxa"/>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26,70</w:t>
            </w:r>
          </w:p>
        </w:tc>
        <w:tc>
          <w:tcPr>
            <w:tcW w:w="0" w:type="auto"/>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9,23</w:t>
            </w:r>
          </w:p>
        </w:tc>
        <w:tc>
          <w:tcPr>
            <w:tcW w:w="499" w:type="dxa"/>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3,77</w:t>
            </w:r>
          </w:p>
        </w:tc>
        <w:tc>
          <w:tcPr>
            <w:tcW w:w="541" w:type="dxa"/>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2376,40</w:t>
            </w:r>
          </w:p>
        </w:tc>
        <w:tc>
          <w:tcPr>
            <w:tcW w:w="0" w:type="auto"/>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8,06</w:t>
            </w:r>
          </w:p>
        </w:tc>
        <w:tc>
          <w:tcPr>
            <w:tcW w:w="0" w:type="auto"/>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0,00</w:t>
            </w:r>
          </w:p>
        </w:tc>
        <w:tc>
          <w:tcPr>
            <w:tcW w:w="426" w:type="dxa"/>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21217,15</w:t>
            </w:r>
          </w:p>
        </w:tc>
      </w:tr>
      <w:tr w:rsidR="00705F07">
        <w:trPr>
          <w:cantSplit/>
          <w:trHeight w:val="1134"/>
          <w:jc w:val="center"/>
        </w:trPr>
        <w:tc>
          <w:tcPr>
            <w:tcW w:w="1383" w:type="dxa"/>
            <w:vAlign w:val="center"/>
            <w:hideMark/>
          </w:tcPr>
          <w:p w:rsidR="00705F07" w:rsidRDefault="00185A37">
            <w:pPr>
              <w:jc w:val="center"/>
              <w:rPr>
                <w:rStyle w:val="ac"/>
                <w:i w:val="0"/>
                <w:color w:val="000000"/>
                <w:sz w:val="16"/>
                <w:szCs w:val="16"/>
              </w:rPr>
            </w:pPr>
            <w:r>
              <w:rPr>
                <w:rStyle w:val="ac"/>
                <w:i w:val="0"/>
                <w:color w:val="000000"/>
                <w:sz w:val="16"/>
                <w:szCs w:val="16"/>
              </w:rPr>
              <w:t>Усього</w:t>
            </w:r>
          </w:p>
        </w:tc>
        <w:tc>
          <w:tcPr>
            <w:tcW w:w="0" w:type="auto"/>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42,35</w:t>
            </w:r>
          </w:p>
        </w:tc>
        <w:tc>
          <w:tcPr>
            <w:tcW w:w="0" w:type="auto"/>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18,87</w:t>
            </w:r>
          </w:p>
        </w:tc>
        <w:tc>
          <w:tcPr>
            <w:tcW w:w="656" w:type="dxa"/>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239,36</w:t>
            </w:r>
          </w:p>
        </w:tc>
        <w:tc>
          <w:tcPr>
            <w:tcW w:w="411" w:type="dxa"/>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9980,11</w:t>
            </w:r>
          </w:p>
        </w:tc>
        <w:tc>
          <w:tcPr>
            <w:tcW w:w="411" w:type="dxa"/>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547926,26</w:t>
            </w:r>
          </w:p>
        </w:tc>
        <w:tc>
          <w:tcPr>
            <w:tcW w:w="0" w:type="auto"/>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781,69</w:t>
            </w:r>
          </w:p>
        </w:tc>
        <w:tc>
          <w:tcPr>
            <w:tcW w:w="0" w:type="auto"/>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56006,68</w:t>
            </w:r>
          </w:p>
        </w:tc>
        <w:tc>
          <w:tcPr>
            <w:tcW w:w="411" w:type="dxa"/>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3479,11</w:t>
            </w:r>
          </w:p>
        </w:tc>
        <w:tc>
          <w:tcPr>
            <w:tcW w:w="0" w:type="auto"/>
            <w:textDirection w:val="btLr"/>
            <w:vAlign w:val="center"/>
            <w:hideMark/>
          </w:tcPr>
          <w:p w:rsidR="00705F07" w:rsidRDefault="00185A37">
            <w:pPr>
              <w:ind w:left="113" w:right="113"/>
              <w:jc w:val="center"/>
              <w:rPr>
                <w:rStyle w:val="ac"/>
                <w:i w:val="0"/>
                <w:color w:val="000000"/>
                <w:sz w:val="16"/>
                <w:szCs w:val="16"/>
              </w:rPr>
            </w:pPr>
            <w:r>
              <w:rPr>
                <w:rStyle w:val="ac"/>
                <w:i w:val="0"/>
                <w:color w:val="000000"/>
                <w:sz w:val="16"/>
                <w:szCs w:val="16"/>
              </w:rPr>
              <w:t>397,28</w:t>
            </w:r>
          </w:p>
        </w:tc>
        <w:tc>
          <w:tcPr>
            <w:tcW w:w="499" w:type="dxa"/>
            <w:textDirection w:val="btLr"/>
            <w:vAlign w:val="center"/>
            <w:hideMark/>
          </w:tcPr>
          <w:p w:rsidR="00705F07" w:rsidRDefault="00185A37">
            <w:pPr>
              <w:ind w:left="113" w:right="113"/>
              <w:jc w:val="center"/>
              <w:rPr>
                <w:rStyle w:val="ac"/>
                <w:i w:val="0"/>
                <w:color w:val="000000"/>
                <w:sz w:val="16"/>
                <w:szCs w:val="16"/>
              </w:rPr>
            </w:pPr>
            <w:r>
              <w:rPr>
                <w:color w:val="000000"/>
                <w:sz w:val="16"/>
                <w:szCs w:val="16"/>
              </w:rPr>
              <w:t>3,77</w:t>
            </w:r>
          </w:p>
        </w:tc>
        <w:tc>
          <w:tcPr>
            <w:tcW w:w="541" w:type="dxa"/>
            <w:textDirection w:val="btLr"/>
            <w:vAlign w:val="center"/>
            <w:hideMark/>
          </w:tcPr>
          <w:p w:rsidR="00705F07" w:rsidRDefault="00185A37">
            <w:pPr>
              <w:ind w:left="113" w:right="113"/>
              <w:jc w:val="center"/>
              <w:rPr>
                <w:rStyle w:val="ac"/>
                <w:i w:val="0"/>
                <w:color w:val="000000"/>
                <w:sz w:val="16"/>
                <w:szCs w:val="16"/>
              </w:rPr>
            </w:pPr>
            <w:r>
              <w:rPr>
                <w:color w:val="000000"/>
                <w:sz w:val="16"/>
                <w:szCs w:val="16"/>
              </w:rPr>
              <w:t>37289,86</w:t>
            </w:r>
          </w:p>
        </w:tc>
        <w:tc>
          <w:tcPr>
            <w:tcW w:w="0" w:type="auto"/>
            <w:textDirection w:val="btLr"/>
            <w:vAlign w:val="center"/>
            <w:hideMark/>
          </w:tcPr>
          <w:p w:rsidR="00705F07" w:rsidRDefault="00185A37">
            <w:pPr>
              <w:ind w:left="113" w:right="113"/>
              <w:jc w:val="center"/>
              <w:rPr>
                <w:rStyle w:val="ac"/>
                <w:i w:val="0"/>
                <w:color w:val="000000"/>
                <w:sz w:val="16"/>
                <w:szCs w:val="16"/>
              </w:rPr>
            </w:pPr>
            <w:r>
              <w:rPr>
                <w:color w:val="000000"/>
                <w:sz w:val="16"/>
                <w:szCs w:val="16"/>
              </w:rPr>
              <w:t>112,41</w:t>
            </w:r>
          </w:p>
        </w:tc>
        <w:tc>
          <w:tcPr>
            <w:tcW w:w="0" w:type="auto"/>
            <w:textDirection w:val="btLr"/>
            <w:vAlign w:val="center"/>
            <w:hideMark/>
          </w:tcPr>
          <w:p w:rsidR="00705F07" w:rsidRDefault="00185A37">
            <w:pPr>
              <w:ind w:left="113" w:right="113"/>
              <w:jc w:val="center"/>
              <w:rPr>
                <w:rStyle w:val="ac"/>
                <w:i w:val="0"/>
                <w:color w:val="000000"/>
                <w:sz w:val="16"/>
                <w:szCs w:val="16"/>
              </w:rPr>
            </w:pPr>
            <w:r>
              <w:rPr>
                <w:color w:val="000000"/>
                <w:sz w:val="16"/>
                <w:szCs w:val="16"/>
              </w:rPr>
              <w:t>407,49</w:t>
            </w:r>
          </w:p>
        </w:tc>
        <w:tc>
          <w:tcPr>
            <w:tcW w:w="426" w:type="dxa"/>
            <w:textDirection w:val="btLr"/>
            <w:vAlign w:val="center"/>
            <w:hideMark/>
          </w:tcPr>
          <w:p w:rsidR="00705F07" w:rsidRDefault="00185A37">
            <w:pPr>
              <w:ind w:left="113" w:right="113"/>
              <w:jc w:val="center"/>
              <w:rPr>
                <w:rStyle w:val="ac"/>
                <w:i w:val="0"/>
                <w:color w:val="000000"/>
                <w:sz w:val="16"/>
                <w:szCs w:val="16"/>
              </w:rPr>
            </w:pPr>
            <w:r>
              <w:rPr>
                <w:color w:val="000000"/>
                <w:sz w:val="16"/>
                <w:szCs w:val="16"/>
              </w:rPr>
              <w:t>656685,25</w:t>
            </w:r>
          </w:p>
        </w:tc>
      </w:tr>
    </w:tbl>
    <w:p w:rsidR="00705F07" w:rsidRDefault="00185A37">
      <w:pPr>
        <w:ind w:firstLine="709"/>
        <w:jc w:val="both"/>
        <w:rPr>
          <w:color w:val="000000"/>
        </w:rPr>
      </w:pPr>
      <w:r>
        <w:rPr>
          <w:color w:val="000000"/>
        </w:rPr>
        <w:t>Джерело: складено автором на основі даних [3].</w:t>
      </w:r>
    </w:p>
    <w:p w:rsidR="00705F07" w:rsidRDefault="00705F07">
      <w:pPr>
        <w:spacing w:line="360" w:lineRule="auto"/>
        <w:ind w:firstLine="709"/>
        <w:jc w:val="right"/>
        <w:rPr>
          <w:rStyle w:val="ac"/>
          <w:i w:val="0"/>
          <w:color w:val="000000"/>
          <w:sz w:val="28"/>
          <w:szCs w:val="28"/>
        </w:rPr>
      </w:pPr>
    </w:p>
    <w:p w:rsidR="00705F07" w:rsidRDefault="00705F07">
      <w:pPr>
        <w:spacing w:line="360" w:lineRule="auto"/>
        <w:ind w:firstLine="709"/>
        <w:jc w:val="right"/>
        <w:rPr>
          <w:rStyle w:val="ac"/>
          <w:i w:val="0"/>
          <w:color w:val="000000"/>
          <w:sz w:val="28"/>
          <w:szCs w:val="28"/>
        </w:rPr>
      </w:pPr>
    </w:p>
    <w:p w:rsidR="00705F07" w:rsidRDefault="00185A37">
      <w:pPr>
        <w:rPr>
          <w:rStyle w:val="ac"/>
          <w:i w:val="0"/>
          <w:color w:val="000000"/>
          <w:sz w:val="28"/>
          <w:szCs w:val="28"/>
        </w:rPr>
      </w:pPr>
      <w:r>
        <w:rPr>
          <w:rStyle w:val="ac"/>
          <w:i w:val="0"/>
          <w:color w:val="000000"/>
          <w:sz w:val="28"/>
          <w:szCs w:val="28"/>
        </w:rPr>
        <w:br w:type="page"/>
      </w:r>
    </w:p>
    <w:p w:rsidR="00705F07" w:rsidRDefault="00185A37">
      <w:pPr>
        <w:spacing w:line="360" w:lineRule="auto"/>
        <w:ind w:firstLine="709"/>
        <w:jc w:val="right"/>
        <w:rPr>
          <w:rStyle w:val="ac"/>
          <w:i w:val="0"/>
          <w:color w:val="000000"/>
          <w:sz w:val="28"/>
          <w:szCs w:val="28"/>
        </w:rPr>
      </w:pPr>
      <w:r>
        <w:rPr>
          <w:rStyle w:val="ac"/>
          <w:i w:val="0"/>
          <w:color w:val="000000"/>
          <w:sz w:val="28"/>
          <w:szCs w:val="28"/>
        </w:rPr>
        <w:t>Додаток К</w:t>
      </w:r>
    </w:p>
    <w:p w:rsidR="00705F07" w:rsidRDefault="00185A37">
      <w:pPr>
        <w:spacing w:line="360" w:lineRule="auto"/>
        <w:ind w:firstLine="709"/>
        <w:jc w:val="right"/>
        <w:rPr>
          <w:rStyle w:val="ac"/>
          <w:i w:val="0"/>
          <w:color w:val="000000"/>
          <w:sz w:val="28"/>
          <w:szCs w:val="28"/>
        </w:rPr>
      </w:pPr>
      <w:r>
        <w:rPr>
          <w:rStyle w:val="ac"/>
          <w:i w:val="0"/>
          <w:color w:val="000000"/>
          <w:sz w:val="28"/>
          <w:szCs w:val="28"/>
        </w:rPr>
        <w:t>Таблиця К.1</w:t>
      </w:r>
    </w:p>
    <w:p w:rsidR="00705F07" w:rsidRDefault="00185A37">
      <w:pPr>
        <w:spacing w:line="360" w:lineRule="auto"/>
        <w:ind w:firstLine="709"/>
        <w:jc w:val="center"/>
        <w:rPr>
          <w:rStyle w:val="ac"/>
          <w:i w:val="0"/>
          <w:color w:val="000000"/>
          <w:sz w:val="28"/>
          <w:szCs w:val="28"/>
        </w:rPr>
      </w:pPr>
      <w:r>
        <w:rPr>
          <w:rStyle w:val="ac"/>
          <w:i w:val="0"/>
          <w:color w:val="000000"/>
          <w:sz w:val="28"/>
          <w:szCs w:val="28"/>
        </w:rPr>
        <w:t xml:space="preserve">Обсяг торгів за видами </w:t>
      </w:r>
      <w:r>
        <w:rPr>
          <w:rStyle w:val="ac"/>
          <w:i w:val="0"/>
          <w:color w:val="000000"/>
          <w:sz w:val="28"/>
          <w:szCs w:val="28"/>
        </w:rPr>
        <w:t>ринку в 2024 р. (млн грн)</w:t>
      </w:r>
    </w:p>
    <w:tbl>
      <w:tblPr>
        <w:tblStyle w:val="ad"/>
        <w:tblW w:w="10431" w:type="dxa"/>
        <w:jc w:val="center"/>
        <w:tblLook w:val="04A0" w:firstRow="1" w:lastRow="0" w:firstColumn="1" w:lastColumn="0" w:noHBand="0" w:noVBand="1"/>
      </w:tblPr>
      <w:tblGrid>
        <w:gridCol w:w="1910"/>
        <w:gridCol w:w="1481"/>
        <w:gridCol w:w="1481"/>
        <w:gridCol w:w="1440"/>
        <w:gridCol w:w="1450"/>
        <w:gridCol w:w="1447"/>
        <w:gridCol w:w="1339"/>
      </w:tblGrid>
      <w:tr w:rsidR="00705F07">
        <w:trPr>
          <w:jc w:val="center"/>
        </w:trPr>
        <w:tc>
          <w:tcPr>
            <w:tcW w:w="0" w:type="auto"/>
            <w:vAlign w:val="center"/>
            <w:hideMark/>
          </w:tcPr>
          <w:p w:rsidR="00705F07" w:rsidRDefault="00185A37">
            <w:pPr>
              <w:jc w:val="center"/>
              <w:rPr>
                <w:rStyle w:val="ac"/>
                <w:i w:val="0"/>
                <w:color w:val="000000"/>
              </w:rPr>
            </w:pPr>
            <w:r>
              <w:rPr>
                <w:rStyle w:val="ac"/>
                <w:i w:val="0"/>
                <w:color w:val="000000"/>
              </w:rPr>
              <w:t>Оператор</w:t>
            </w:r>
          </w:p>
        </w:tc>
        <w:tc>
          <w:tcPr>
            <w:tcW w:w="1464" w:type="dxa"/>
            <w:vAlign w:val="center"/>
            <w:hideMark/>
          </w:tcPr>
          <w:p w:rsidR="00705F07" w:rsidRDefault="00185A37">
            <w:pPr>
              <w:jc w:val="center"/>
              <w:rPr>
                <w:rStyle w:val="ac"/>
                <w:i w:val="0"/>
                <w:color w:val="000000"/>
              </w:rPr>
            </w:pPr>
            <w:r>
              <w:rPr>
                <w:rStyle w:val="ac"/>
                <w:i w:val="0"/>
                <w:color w:val="000000"/>
              </w:rPr>
              <w:t>Первинний ринок (спотовий)</w:t>
            </w:r>
          </w:p>
        </w:tc>
        <w:tc>
          <w:tcPr>
            <w:tcW w:w="0" w:type="auto"/>
            <w:vAlign w:val="center"/>
            <w:hideMark/>
          </w:tcPr>
          <w:p w:rsidR="00705F07" w:rsidRDefault="00185A37">
            <w:pPr>
              <w:jc w:val="center"/>
              <w:rPr>
                <w:rStyle w:val="ac"/>
                <w:i w:val="0"/>
                <w:color w:val="000000"/>
              </w:rPr>
            </w:pPr>
            <w:r>
              <w:rPr>
                <w:rStyle w:val="ac"/>
                <w:i w:val="0"/>
                <w:color w:val="000000"/>
              </w:rPr>
              <w:t>Первинний ринок (усього)</w:t>
            </w:r>
          </w:p>
        </w:tc>
        <w:tc>
          <w:tcPr>
            <w:tcW w:w="0" w:type="auto"/>
            <w:vAlign w:val="center"/>
            <w:hideMark/>
          </w:tcPr>
          <w:p w:rsidR="00705F07" w:rsidRDefault="00185A37">
            <w:pPr>
              <w:jc w:val="center"/>
              <w:rPr>
                <w:rStyle w:val="ac"/>
                <w:i w:val="0"/>
                <w:color w:val="000000"/>
              </w:rPr>
            </w:pPr>
            <w:r>
              <w:rPr>
                <w:rStyle w:val="ac"/>
                <w:i w:val="0"/>
                <w:color w:val="000000"/>
              </w:rPr>
              <w:t>Строковий ринок</w:t>
            </w:r>
          </w:p>
        </w:tc>
        <w:tc>
          <w:tcPr>
            <w:tcW w:w="0" w:type="auto"/>
            <w:vAlign w:val="center"/>
            <w:hideMark/>
          </w:tcPr>
          <w:p w:rsidR="00705F07" w:rsidRDefault="00185A37">
            <w:pPr>
              <w:jc w:val="center"/>
              <w:rPr>
                <w:rStyle w:val="ac"/>
                <w:i w:val="0"/>
                <w:color w:val="000000"/>
              </w:rPr>
            </w:pPr>
            <w:r>
              <w:rPr>
                <w:rStyle w:val="ac"/>
                <w:i w:val="0"/>
                <w:color w:val="000000"/>
              </w:rPr>
              <w:t>Вторинний ринок (спотовий)</w:t>
            </w:r>
          </w:p>
        </w:tc>
        <w:tc>
          <w:tcPr>
            <w:tcW w:w="0" w:type="auto"/>
            <w:vAlign w:val="center"/>
            <w:hideMark/>
          </w:tcPr>
          <w:p w:rsidR="00705F07" w:rsidRDefault="00185A37">
            <w:pPr>
              <w:jc w:val="center"/>
              <w:rPr>
                <w:rStyle w:val="ac"/>
                <w:i w:val="0"/>
                <w:color w:val="000000"/>
              </w:rPr>
            </w:pPr>
            <w:r>
              <w:rPr>
                <w:rStyle w:val="ac"/>
                <w:i w:val="0"/>
                <w:color w:val="000000"/>
              </w:rPr>
              <w:t>Вторинний ринок (усього)</w:t>
            </w:r>
          </w:p>
        </w:tc>
        <w:tc>
          <w:tcPr>
            <w:tcW w:w="0" w:type="auto"/>
            <w:vAlign w:val="center"/>
            <w:hideMark/>
          </w:tcPr>
          <w:p w:rsidR="00705F07" w:rsidRDefault="00185A37">
            <w:pPr>
              <w:jc w:val="center"/>
              <w:rPr>
                <w:rStyle w:val="ac"/>
                <w:i w:val="0"/>
                <w:color w:val="000000"/>
              </w:rPr>
            </w:pPr>
            <w:r>
              <w:rPr>
                <w:rStyle w:val="ac"/>
                <w:i w:val="0"/>
                <w:color w:val="000000"/>
              </w:rPr>
              <w:t>Усього</w:t>
            </w:r>
          </w:p>
        </w:tc>
      </w:tr>
      <w:tr w:rsidR="00705F07">
        <w:trPr>
          <w:jc w:val="center"/>
        </w:trPr>
        <w:tc>
          <w:tcPr>
            <w:tcW w:w="0" w:type="auto"/>
            <w:vAlign w:val="center"/>
            <w:hideMark/>
          </w:tcPr>
          <w:p w:rsidR="00705F07" w:rsidRDefault="00185A37">
            <w:pPr>
              <w:jc w:val="center"/>
              <w:rPr>
                <w:rStyle w:val="ac"/>
                <w:i w:val="0"/>
                <w:color w:val="000000"/>
              </w:rPr>
            </w:pPr>
            <w:r>
              <w:rPr>
                <w:rStyle w:val="ac"/>
                <w:i w:val="0"/>
                <w:color w:val="000000"/>
              </w:rPr>
              <w:t>ПФТС</w:t>
            </w:r>
          </w:p>
        </w:tc>
        <w:tc>
          <w:tcPr>
            <w:tcW w:w="1464" w:type="dxa"/>
            <w:vAlign w:val="center"/>
            <w:hideMark/>
          </w:tcPr>
          <w:p w:rsidR="00705F07" w:rsidRDefault="00185A37">
            <w:pPr>
              <w:jc w:val="center"/>
              <w:rPr>
                <w:rStyle w:val="ac"/>
                <w:i w:val="0"/>
                <w:color w:val="000000"/>
              </w:rPr>
            </w:pPr>
            <w:r>
              <w:rPr>
                <w:rStyle w:val="ac"/>
                <w:i w:val="0"/>
                <w:color w:val="000000"/>
              </w:rPr>
              <w:t>575,38</w:t>
            </w:r>
          </w:p>
        </w:tc>
        <w:tc>
          <w:tcPr>
            <w:tcW w:w="0" w:type="auto"/>
            <w:vAlign w:val="center"/>
            <w:hideMark/>
          </w:tcPr>
          <w:p w:rsidR="00705F07" w:rsidRDefault="00185A37">
            <w:pPr>
              <w:jc w:val="center"/>
              <w:rPr>
                <w:rStyle w:val="ac"/>
                <w:i w:val="0"/>
                <w:color w:val="000000"/>
              </w:rPr>
            </w:pPr>
            <w:r>
              <w:rPr>
                <w:rStyle w:val="ac"/>
                <w:i w:val="0"/>
                <w:color w:val="000000"/>
              </w:rPr>
              <w:t>575,38</w:t>
            </w:r>
          </w:p>
        </w:tc>
        <w:tc>
          <w:tcPr>
            <w:tcW w:w="0" w:type="auto"/>
            <w:vAlign w:val="center"/>
            <w:hideMark/>
          </w:tcPr>
          <w:p w:rsidR="00705F07" w:rsidRDefault="00185A37">
            <w:pPr>
              <w:jc w:val="center"/>
              <w:rPr>
                <w:rStyle w:val="ac"/>
                <w:i w:val="0"/>
                <w:color w:val="000000"/>
              </w:rPr>
            </w:pPr>
            <w:r>
              <w:rPr>
                <w:rStyle w:val="ac"/>
                <w:i w:val="0"/>
                <w:color w:val="000000"/>
              </w:rPr>
              <w:t>162626,68</w:t>
            </w:r>
          </w:p>
        </w:tc>
        <w:tc>
          <w:tcPr>
            <w:tcW w:w="0" w:type="auto"/>
            <w:vAlign w:val="center"/>
            <w:hideMark/>
          </w:tcPr>
          <w:p w:rsidR="00705F07" w:rsidRDefault="00185A37">
            <w:pPr>
              <w:jc w:val="center"/>
              <w:rPr>
                <w:rStyle w:val="ac"/>
                <w:i w:val="0"/>
                <w:color w:val="000000"/>
              </w:rPr>
            </w:pPr>
            <w:r>
              <w:rPr>
                <w:rStyle w:val="ac"/>
                <w:i w:val="0"/>
                <w:color w:val="000000"/>
              </w:rPr>
              <w:t>268933,28</w:t>
            </w:r>
          </w:p>
        </w:tc>
        <w:tc>
          <w:tcPr>
            <w:tcW w:w="0" w:type="auto"/>
            <w:vAlign w:val="center"/>
            <w:hideMark/>
          </w:tcPr>
          <w:p w:rsidR="00705F07" w:rsidRDefault="00185A37">
            <w:pPr>
              <w:jc w:val="center"/>
              <w:rPr>
                <w:rStyle w:val="ac"/>
                <w:i w:val="0"/>
                <w:color w:val="000000"/>
              </w:rPr>
            </w:pPr>
            <w:r>
              <w:rPr>
                <w:rStyle w:val="ac"/>
                <w:i w:val="0"/>
                <w:color w:val="000000"/>
              </w:rPr>
              <w:t>431559,96</w:t>
            </w:r>
          </w:p>
        </w:tc>
        <w:tc>
          <w:tcPr>
            <w:tcW w:w="0" w:type="auto"/>
            <w:vAlign w:val="center"/>
            <w:hideMark/>
          </w:tcPr>
          <w:p w:rsidR="00705F07" w:rsidRDefault="00185A37">
            <w:pPr>
              <w:jc w:val="center"/>
              <w:rPr>
                <w:rStyle w:val="ac"/>
                <w:i w:val="0"/>
                <w:color w:val="000000"/>
              </w:rPr>
            </w:pPr>
            <w:r>
              <w:rPr>
                <w:rStyle w:val="ac"/>
                <w:i w:val="0"/>
                <w:color w:val="000000"/>
              </w:rPr>
              <w:t>466957,77</w:t>
            </w:r>
          </w:p>
        </w:tc>
      </w:tr>
      <w:tr w:rsidR="00705F07">
        <w:trPr>
          <w:jc w:val="center"/>
        </w:trPr>
        <w:tc>
          <w:tcPr>
            <w:tcW w:w="0" w:type="auto"/>
            <w:vAlign w:val="center"/>
            <w:hideMark/>
          </w:tcPr>
          <w:p w:rsidR="00705F07" w:rsidRDefault="00185A37">
            <w:pPr>
              <w:jc w:val="center"/>
              <w:rPr>
                <w:rStyle w:val="ac"/>
                <w:i w:val="0"/>
                <w:color w:val="000000"/>
              </w:rPr>
            </w:pPr>
            <w:r>
              <w:rPr>
                <w:rStyle w:val="ac"/>
                <w:i w:val="0"/>
                <w:color w:val="000000"/>
              </w:rPr>
              <w:t>ПЕРСПЕКТИВА</w:t>
            </w:r>
          </w:p>
        </w:tc>
        <w:tc>
          <w:tcPr>
            <w:tcW w:w="1464" w:type="dxa"/>
            <w:vAlign w:val="center"/>
            <w:hideMark/>
          </w:tcPr>
          <w:p w:rsidR="00705F07" w:rsidRDefault="00185A37">
            <w:pPr>
              <w:jc w:val="center"/>
              <w:rPr>
                <w:rStyle w:val="ac"/>
                <w:i w:val="0"/>
                <w:color w:val="000000"/>
              </w:rPr>
            </w:pPr>
            <w:r>
              <w:rPr>
                <w:rStyle w:val="ac"/>
                <w:i w:val="0"/>
                <w:color w:val="000000"/>
              </w:rPr>
              <w:t>290,00</w:t>
            </w:r>
          </w:p>
        </w:tc>
        <w:tc>
          <w:tcPr>
            <w:tcW w:w="0" w:type="auto"/>
            <w:vAlign w:val="center"/>
            <w:hideMark/>
          </w:tcPr>
          <w:p w:rsidR="00705F07" w:rsidRDefault="00185A37">
            <w:pPr>
              <w:jc w:val="center"/>
              <w:rPr>
                <w:rStyle w:val="ac"/>
                <w:i w:val="0"/>
                <w:color w:val="000000"/>
              </w:rPr>
            </w:pPr>
            <w:r>
              <w:rPr>
                <w:rStyle w:val="ac"/>
                <w:i w:val="0"/>
                <w:color w:val="000000"/>
              </w:rPr>
              <w:t>290,00</w:t>
            </w:r>
          </w:p>
        </w:tc>
        <w:tc>
          <w:tcPr>
            <w:tcW w:w="0" w:type="auto"/>
            <w:vAlign w:val="center"/>
            <w:hideMark/>
          </w:tcPr>
          <w:p w:rsidR="00705F07" w:rsidRDefault="00185A37">
            <w:pPr>
              <w:jc w:val="center"/>
              <w:rPr>
                <w:rStyle w:val="ac"/>
                <w:i w:val="0"/>
                <w:color w:val="000000"/>
              </w:rPr>
            </w:pPr>
            <w:r>
              <w:rPr>
                <w:rStyle w:val="ac"/>
                <w:i w:val="0"/>
                <w:color w:val="000000"/>
              </w:rPr>
              <w:t>17643,24</w:t>
            </w:r>
          </w:p>
        </w:tc>
        <w:tc>
          <w:tcPr>
            <w:tcW w:w="0" w:type="auto"/>
            <w:vAlign w:val="center"/>
            <w:hideMark/>
          </w:tcPr>
          <w:p w:rsidR="00705F07" w:rsidRDefault="00185A37">
            <w:pPr>
              <w:jc w:val="center"/>
              <w:rPr>
                <w:rStyle w:val="ac"/>
                <w:i w:val="0"/>
                <w:color w:val="000000"/>
              </w:rPr>
            </w:pPr>
            <w:r>
              <w:rPr>
                <w:rStyle w:val="ac"/>
                <w:i w:val="0"/>
                <w:color w:val="000000"/>
              </w:rPr>
              <w:t>150486,07</w:t>
            </w:r>
          </w:p>
        </w:tc>
        <w:tc>
          <w:tcPr>
            <w:tcW w:w="0" w:type="auto"/>
            <w:vAlign w:val="center"/>
            <w:hideMark/>
          </w:tcPr>
          <w:p w:rsidR="00705F07" w:rsidRDefault="00185A37">
            <w:pPr>
              <w:jc w:val="center"/>
              <w:rPr>
                <w:rStyle w:val="ac"/>
                <w:i w:val="0"/>
                <w:color w:val="000000"/>
              </w:rPr>
            </w:pPr>
            <w:r>
              <w:rPr>
                <w:rStyle w:val="ac"/>
                <w:i w:val="0"/>
                <w:color w:val="000000"/>
              </w:rPr>
              <w:t>168129,31</w:t>
            </w:r>
          </w:p>
        </w:tc>
        <w:tc>
          <w:tcPr>
            <w:tcW w:w="0" w:type="auto"/>
            <w:vAlign w:val="center"/>
            <w:hideMark/>
          </w:tcPr>
          <w:p w:rsidR="00705F07" w:rsidRDefault="00185A37">
            <w:pPr>
              <w:jc w:val="center"/>
              <w:rPr>
                <w:rStyle w:val="ac"/>
                <w:i w:val="0"/>
                <w:color w:val="000000"/>
              </w:rPr>
            </w:pPr>
            <w:r>
              <w:rPr>
                <w:rStyle w:val="ac"/>
                <w:i w:val="0"/>
                <w:color w:val="000000"/>
              </w:rPr>
              <w:t>168510,34</w:t>
            </w:r>
          </w:p>
        </w:tc>
      </w:tr>
      <w:tr w:rsidR="00705F07">
        <w:trPr>
          <w:jc w:val="center"/>
        </w:trPr>
        <w:tc>
          <w:tcPr>
            <w:tcW w:w="0" w:type="auto"/>
            <w:vAlign w:val="center"/>
            <w:hideMark/>
          </w:tcPr>
          <w:p w:rsidR="00705F07" w:rsidRDefault="00185A37">
            <w:pPr>
              <w:jc w:val="center"/>
              <w:rPr>
                <w:rStyle w:val="ac"/>
                <w:i w:val="0"/>
                <w:color w:val="000000"/>
              </w:rPr>
            </w:pPr>
            <w:r>
              <w:rPr>
                <w:rStyle w:val="ac"/>
                <w:i w:val="0"/>
                <w:color w:val="000000"/>
              </w:rPr>
              <w:t>УБ</w:t>
            </w:r>
          </w:p>
        </w:tc>
        <w:tc>
          <w:tcPr>
            <w:tcW w:w="1464" w:type="dxa"/>
            <w:vAlign w:val="center"/>
            <w:hideMark/>
          </w:tcPr>
          <w:p w:rsidR="00705F07" w:rsidRDefault="00185A37">
            <w:pPr>
              <w:jc w:val="center"/>
              <w:rPr>
                <w:rStyle w:val="ac"/>
                <w:i w:val="0"/>
                <w:color w:val="000000"/>
              </w:rPr>
            </w:pPr>
            <w:r>
              <w:rPr>
                <w:rStyle w:val="ac"/>
                <w:i w:val="0"/>
                <w:color w:val="000000"/>
              </w:rPr>
              <w:t>0,00</w:t>
            </w:r>
          </w:p>
        </w:tc>
        <w:tc>
          <w:tcPr>
            <w:tcW w:w="0" w:type="auto"/>
            <w:vAlign w:val="center"/>
            <w:hideMark/>
          </w:tcPr>
          <w:p w:rsidR="00705F07" w:rsidRDefault="00185A37">
            <w:pPr>
              <w:jc w:val="center"/>
              <w:rPr>
                <w:rStyle w:val="ac"/>
                <w:i w:val="0"/>
                <w:color w:val="000000"/>
              </w:rPr>
            </w:pPr>
            <w:r>
              <w:rPr>
                <w:rStyle w:val="ac"/>
                <w:i w:val="0"/>
                <w:color w:val="000000"/>
              </w:rPr>
              <w:t>0,00</w:t>
            </w:r>
          </w:p>
        </w:tc>
        <w:tc>
          <w:tcPr>
            <w:tcW w:w="0" w:type="auto"/>
            <w:vAlign w:val="center"/>
            <w:hideMark/>
          </w:tcPr>
          <w:p w:rsidR="00705F07" w:rsidRDefault="00185A37">
            <w:pPr>
              <w:jc w:val="center"/>
              <w:rPr>
                <w:rStyle w:val="ac"/>
                <w:i w:val="0"/>
                <w:color w:val="000000"/>
              </w:rPr>
            </w:pPr>
            <w:r>
              <w:rPr>
                <w:rStyle w:val="ac"/>
                <w:i w:val="0"/>
                <w:color w:val="000000"/>
              </w:rPr>
              <w:t>6248,12</w:t>
            </w:r>
          </w:p>
        </w:tc>
        <w:tc>
          <w:tcPr>
            <w:tcW w:w="0" w:type="auto"/>
            <w:vAlign w:val="center"/>
            <w:hideMark/>
          </w:tcPr>
          <w:p w:rsidR="00705F07" w:rsidRDefault="00185A37">
            <w:pPr>
              <w:jc w:val="center"/>
              <w:rPr>
                <w:rStyle w:val="ac"/>
                <w:i w:val="0"/>
                <w:color w:val="000000"/>
              </w:rPr>
            </w:pPr>
            <w:r>
              <w:rPr>
                <w:rStyle w:val="ac"/>
                <w:i w:val="0"/>
                <w:color w:val="000000"/>
              </w:rPr>
              <w:t>12592,62</w:t>
            </w:r>
          </w:p>
        </w:tc>
        <w:tc>
          <w:tcPr>
            <w:tcW w:w="0" w:type="auto"/>
            <w:vAlign w:val="center"/>
            <w:hideMark/>
          </w:tcPr>
          <w:p w:rsidR="00705F07" w:rsidRDefault="00185A37">
            <w:pPr>
              <w:jc w:val="center"/>
              <w:rPr>
                <w:rStyle w:val="ac"/>
                <w:i w:val="0"/>
                <w:color w:val="000000"/>
              </w:rPr>
            </w:pPr>
            <w:r>
              <w:rPr>
                <w:rStyle w:val="ac"/>
                <w:i w:val="0"/>
                <w:color w:val="000000"/>
              </w:rPr>
              <w:t>18840,74</w:t>
            </w:r>
          </w:p>
        </w:tc>
        <w:tc>
          <w:tcPr>
            <w:tcW w:w="0" w:type="auto"/>
            <w:vAlign w:val="center"/>
            <w:hideMark/>
          </w:tcPr>
          <w:p w:rsidR="00705F07" w:rsidRDefault="00185A37">
            <w:pPr>
              <w:jc w:val="center"/>
              <w:rPr>
                <w:rStyle w:val="ac"/>
                <w:i w:val="0"/>
                <w:color w:val="000000"/>
              </w:rPr>
            </w:pPr>
            <w:r>
              <w:rPr>
                <w:rStyle w:val="ac"/>
                <w:i w:val="0"/>
                <w:color w:val="000000"/>
              </w:rPr>
              <w:t>21217,15</w:t>
            </w:r>
          </w:p>
        </w:tc>
      </w:tr>
      <w:tr w:rsidR="00705F07">
        <w:trPr>
          <w:jc w:val="center"/>
        </w:trPr>
        <w:tc>
          <w:tcPr>
            <w:tcW w:w="0" w:type="auto"/>
            <w:vAlign w:val="center"/>
            <w:hideMark/>
          </w:tcPr>
          <w:p w:rsidR="00705F07" w:rsidRDefault="00185A37">
            <w:pPr>
              <w:jc w:val="center"/>
              <w:rPr>
                <w:rStyle w:val="ac"/>
                <w:i w:val="0"/>
                <w:color w:val="000000"/>
              </w:rPr>
            </w:pPr>
            <w:r>
              <w:rPr>
                <w:rStyle w:val="ac"/>
                <w:i w:val="0"/>
                <w:color w:val="000000"/>
              </w:rPr>
              <w:t>Усього</w:t>
            </w:r>
          </w:p>
        </w:tc>
        <w:tc>
          <w:tcPr>
            <w:tcW w:w="1464" w:type="dxa"/>
            <w:vAlign w:val="center"/>
            <w:hideMark/>
          </w:tcPr>
          <w:p w:rsidR="00705F07" w:rsidRDefault="00185A37">
            <w:pPr>
              <w:jc w:val="center"/>
              <w:rPr>
                <w:rStyle w:val="ac"/>
                <w:i w:val="0"/>
                <w:color w:val="000000"/>
              </w:rPr>
            </w:pPr>
            <w:r>
              <w:rPr>
                <w:rStyle w:val="ac"/>
                <w:i w:val="0"/>
                <w:color w:val="000000"/>
              </w:rPr>
              <w:t>865,38</w:t>
            </w:r>
          </w:p>
        </w:tc>
        <w:tc>
          <w:tcPr>
            <w:tcW w:w="0" w:type="auto"/>
            <w:vAlign w:val="center"/>
            <w:hideMark/>
          </w:tcPr>
          <w:p w:rsidR="00705F07" w:rsidRDefault="00185A37">
            <w:pPr>
              <w:jc w:val="center"/>
              <w:rPr>
                <w:rStyle w:val="ac"/>
                <w:i w:val="0"/>
                <w:color w:val="000000"/>
              </w:rPr>
            </w:pPr>
            <w:r>
              <w:rPr>
                <w:rStyle w:val="ac"/>
                <w:i w:val="0"/>
                <w:color w:val="000000"/>
              </w:rPr>
              <w:t>865,38</w:t>
            </w:r>
          </w:p>
        </w:tc>
        <w:tc>
          <w:tcPr>
            <w:tcW w:w="0" w:type="auto"/>
            <w:vAlign w:val="center"/>
            <w:hideMark/>
          </w:tcPr>
          <w:p w:rsidR="00705F07" w:rsidRDefault="00185A37">
            <w:pPr>
              <w:jc w:val="center"/>
              <w:rPr>
                <w:rStyle w:val="ac"/>
                <w:i w:val="0"/>
                <w:color w:val="000000"/>
              </w:rPr>
            </w:pPr>
            <w:r>
              <w:rPr>
                <w:rStyle w:val="ac"/>
                <w:i w:val="0"/>
                <w:color w:val="000000"/>
              </w:rPr>
              <w:t>186518,04</w:t>
            </w:r>
          </w:p>
        </w:tc>
        <w:tc>
          <w:tcPr>
            <w:tcW w:w="0" w:type="auto"/>
            <w:vAlign w:val="center"/>
            <w:hideMark/>
          </w:tcPr>
          <w:p w:rsidR="00705F07" w:rsidRDefault="00185A37">
            <w:pPr>
              <w:jc w:val="center"/>
              <w:rPr>
                <w:rStyle w:val="ac"/>
                <w:i w:val="0"/>
                <w:color w:val="000000"/>
              </w:rPr>
            </w:pPr>
            <w:r>
              <w:rPr>
                <w:rStyle w:val="ac"/>
                <w:i w:val="0"/>
                <w:color w:val="000000"/>
              </w:rPr>
              <w:t>432011,98</w:t>
            </w:r>
          </w:p>
        </w:tc>
        <w:tc>
          <w:tcPr>
            <w:tcW w:w="0" w:type="auto"/>
            <w:vAlign w:val="center"/>
            <w:hideMark/>
          </w:tcPr>
          <w:p w:rsidR="00705F07" w:rsidRDefault="00185A37">
            <w:pPr>
              <w:jc w:val="center"/>
              <w:rPr>
                <w:rStyle w:val="ac"/>
                <w:i w:val="0"/>
                <w:color w:val="000000"/>
              </w:rPr>
            </w:pPr>
            <w:r>
              <w:rPr>
                <w:rStyle w:val="ac"/>
                <w:i w:val="0"/>
                <w:color w:val="000000"/>
              </w:rPr>
              <w:t>618530,01</w:t>
            </w:r>
          </w:p>
        </w:tc>
        <w:tc>
          <w:tcPr>
            <w:tcW w:w="0" w:type="auto"/>
            <w:vAlign w:val="center"/>
            <w:hideMark/>
          </w:tcPr>
          <w:p w:rsidR="00705F07" w:rsidRDefault="00185A37">
            <w:pPr>
              <w:jc w:val="center"/>
              <w:rPr>
                <w:rStyle w:val="ac"/>
                <w:i w:val="0"/>
                <w:color w:val="000000"/>
              </w:rPr>
            </w:pPr>
            <w:r>
              <w:rPr>
                <w:rStyle w:val="ac"/>
                <w:i w:val="0"/>
                <w:color w:val="000000"/>
              </w:rPr>
              <w:t>656685,25</w:t>
            </w:r>
          </w:p>
        </w:tc>
      </w:tr>
    </w:tbl>
    <w:p w:rsidR="00705F07" w:rsidRDefault="00185A37">
      <w:pPr>
        <w:ind w:firstLine="709"/>
        <w:jc w:val="both"/>
        <w:rPr>
          <w:color w:val="000000"/>
        </w:rPr>
      </w:pPr>
      <w:r>
        <w:rPr>
          <w:color w:val="000000"/>
        </w:rPr>
        <w:t>Джерело: складено автором на основі даних [3].</w:t>
      </w:r>
    </w:p>
    <w:p w:rsidR="00705F07" w:rsidRDefault="00705F07">
      <w:pPr>
        <w:jc w:val="center"/>
        <w:rPr>
          <w:color w:val="000000"/>
          <w:sz w:val="28"/>
          <w:szCs w:val="28"/>
        </w:rPr>
      </w:pPr>
    </w:p>
    <w:sectPr w:rsidR="00705F07">
      <w:headerReference w:type="default" r:id="rId54"/>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85A37" w:rsidRDefault="00185A37">
      <w:r>
        <w:separator/>
      </w:r>
    </w:p>
  </w:endnote>
  <w:endnote w:type="continuationSeparator" w:id="0">
    <w:p w:rsidR="00185A37" w:rsidRDefault="00185A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00"/>
    <w:family w:val="roman"/>
    <w:pitch w:val="variable"/>
    <w:sig w:usb0="00000003" w:usb1="00000000" w:usb2="00000000" w:usb3="00000000" w:csb0="00000001" w:csb1="00000000"/>
  </w:font>
  <w:font w:name="Calibri">
    <w:panose1 w:val="020F0502020204030204"/>
    <w:charset w:val="CC"/>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altName w:val="Cambria"/>
    <w:panose1 w:val="02040503050406030204"/>
    <w:charset w:val="CC"/>
    <w:family w:val="roman"/>
    <w:pitch w:val="variable"/>
    <w:sig w:usb0="E00006FF" w:usb1="420024FF" w:usb2="02000000" w:usb3="00000000" w:csb0="0000019F" w:csb1="00000000"/>
  </w:font>
  <w:font w:name="Tahoma">
    <w:altName w:val="Tahoma"/>
    <w:panose1 w:val="020B0604030504040204"/>
    <w:charset w:val="00"/>
    <w:family w:val="swiss"/>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85A37" w:rsidRDefault="00185A37">
      <w:r>
        <w:separator/>
      </w:r>
    </w:p>
  </w:footnote>
  <w:footnote w:type="continuationSeparator" w:id="0">
    <w:p w:rsidR="00185A37" w:rsidRDefault="00185A37">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5F07" w:rsidRDefault="00185A37">
    <w:pPr>
      <w:pStyle w:val="a6"/>
      <w:jc w:val="right"/>
    </w:pPr>
    <w:r>
      <w:fldChar w:fldCharType="begin"/>
    </w:r>
    <w:r>
      <w:instrText xml:space="preserve"> PAGE   \* MERGEFORMAT </w:instrText>
    </w:r>
    <w:r>
      <w:fldChar w:fldCharType="separate"/>
    </w:r>
    <w:r w:rsidR="00C05CA4">
      <w:rPr>
        <w:noProof/>
      </w:rPr>
      <w:t>2</w:t>
    </w:r>
    <w:r>
      <w:rPr>
        <w:noProof/>
      </w:rPr>
      <w:fldChar w:fldCharType="end"/>
    </w:r>
  </w:p>
  <w:p w:rsidR="00705F07" w:rsidRDefault="00705F07">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multiLevelType w:val="hybridMultilevel"/>
    <w:tmpl w:val="87EE3D7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0000001"/>
    <w:multiLevelType w:val="multilevel"/>
    <w:tmpl w:val="04C42312"/>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o"/>
      <w:lvlJc w:val="left"/>
      <w:pPr>
        <w:tabs>
          <w:tab w:val="left" w:pos="1440"/>
        </w:tabs>
        <w:ind w:left="1440" w:hanging="360"/>
      </w:pPr>
      <w:rPr>
        <w:rFonts w:ascii="Courier New" w:hAnsi="Courier New" w:hint="default"/>
        <w:sz w:val="20"/>
      </w:rPr>
    </w:lvl>
    <w:lvl w:ilvl="2" w:tentative="1">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2" w15:restartNumberingAfterBreak="0">
    <w:nsid w:val="00000002"/>
    <w:multiLevelType w:val="hybridMultilevel"/>
    <w:tmpl w:val="9E62B27E"/>
    <w:lvl w:ilvl="0" w:tplc="0409000F">
      <w:start w:val="1"/>
      <w:numFmt w:val="decimal"/>
      <w:lvlText w:val="%1."/>
      <w:lvlJc w:val="left"/>
      <w:pPr>
        <w:ind w:left="5605"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 w15:restartNumberingAfterBreak="0">
    <w:nsid w:val="00000003"/>
    <w:multiLevelType w:val="hybridMultilevel"/>
    <w:tmpl w:val="60681140"/>
    <w:lvl w:ilvl="0" w:tplc="15C80B38">
      <w:start w:val="1"/>
      <w:numFmt w:val="decimal"/>
      <w:lvlText w:val="%1."/>
      <w:lvlJc w:val="left"/>
      <w:pPr>
        <w:ind w:left="720" w:hanging="360"/>
      </w:pPr>
      <w:rPr>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0000004"/>
    <w:multiLevelType w:val="hybridMultilevel"/>
    <w:tmpl w:val="F80A495E"/>
    <w:lvl w:ilvl="0" w:tplc="2F182E9A">
      <w:start w:val="1"/>
      <w:numFmt w:val="decimal"/>
      <w:lvlText w:val="%1."/>
      <w:lvlJc w:val="left"/>
      <w:pPr>
        <w:ind w:left="1069" w:hanging="360"/>
      </w:pPr>
      <w:rPr>
        <w:rFonts w:hint="default"/>
        <w:lang w:val="en-US"/>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00000005"/>
    <w:multiLevelType w:val="hybridMultilevel"/>
    <w:tmpl w:val="5BB8174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00000006"/>
    <w:multiLevelType w:val="hybridMultilevel"/>
    <w:tmpl w:val="B2D63ED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15:restartNumberingAfterBreak="0">
    <w:nsid w:val="00000007"/>
    <w:multiLevelType w:val="multilevel"/>
    <w:tmpl w:val="C21408B0"/>
    <w:lvl w:ilvl="0">
      <w:start w:val="1"/>
      <w:numFmt w:val="decimal"/>
      <w:lvlText w:val="%1."/>
      <w:lvlJc w:val="left"/>
      <w:pPr>
        <w:tabs>
          <w:tab w:val="left" w:pos="993"/>
        </w:tabs>
        <w:ind w:left="284" w:firstLine="425"/>
      </w:pPr>
      <w:rPr>
        <w:rFonts w:ascii="Times New Roman" w:hAnsi="Times New Roman" w:cs="Times New Roman" w:hint="default"/>
        <w:caps w:val="0"/>
        <w:smallCaps w:val="0"/>
        <w:color w:val="000000"/>
        <w:spacing w:val="0"/>
        <w:w w:val="100"/>
        <w:kern w:val="0"/>
        <w:position w:val="0"/>
        <w:vertAlign w:val="baseline"/>
      </w:rPr>
    </w:lvl>
    <w:lvl w:ilvl="1">
      <w:start w:val="1"/>
      <w:numFmt w:val="decimal"/>
      <w:lvlText w:val="%2."/>
      <w:lvlJc w:val="left"/>
      <w:pPr>
        <w:tabs>
          <w:tab w:val="left" w:pos="682"/>
        </w:tabs>
        <w:ind w:left="121" w:firstLine="589"/>
      </w:pPr>
      <w:rPr>
        <w:rFonts w:cs="Times New Roman" w:hint="default"/>
        <w:caps w:val="0"/>
        <w:smallCaps w:val="0"/>
        <w:color w:val="000000"/>
        <w:spacing w:val="0"/>
        <w:w w:val="100"/>
        <w:kern w:val="0"/>
        <w:position w:val="0"/>
        <w:vertAlign w:val="baseline"/>
      </w:rPr>
    </w:lvl>
    <w:lvl w:ilvl="2">
      <w:start w:val="1"/>
      <w:numFmt w:val="decimal"/>
      <w:lvlText w:val="%1.%2.%3."/>
      <w:lvlJc w:val="left"/>
      <w:pPr>
        <w:tabs>
          <w:tab w:val="left" w:pos="993"/>
          <w:tab w:val="left" w:pos="1573"/>
        </w:tabs>
        <w:ind w:left="864" w:firstLine="14"/>
      </w:pPr>
      <w:rPr>
        <w:rFonts w:hAnsi="Arial Unicode MS" w:cs="Times New Roman"/>
        <w:caps w:val="0"/>
        <w:smallCaps w:val="0"/>
        <w:color w:val="000000"/>
        <w:spacing w:val="0"/>
        <w:w w:val="100"/>
        <w:kern w:val="0"/>
        <w:position w:val="0"/>
        <w:vertAlign w:val="baseline"/>
      </w:rPr>
    </w:lvl>
    <w:lvl w:ilvl="3">
      <w:start w:val="1"/>
      <w:numFmt w:val="decimal"/>
      <w:suff w:val="nothing"/>
      <w:lvlText w:val="%1.%2.%3.%4."/>
      <w:lvlJc w:val="left"/>
      <w:pPr>
        <w:tabs>
          <w:tab w:val="left" w:pos="993"/>
        </w:tabs>
        <w:ind w:left="1368" w:firstLine="589"/>
      </w:pPr>
      <w:rPr>
        <w:rFonts w:hAnsi="Arial Unicode MS" w:cs="Times New Roman"/>
        <w:caps w:val="0"/>
        <w:smallCaps w:val="0"/>
        <w:color w:val="000000"/>
        <w:spacing w:val="0"/>
        <w:w w:val="100"/>
        <w:kern w:val="0"/>
        <w:position w:val="0"/>
        <w:vertAlign w:val="baseline"/>
      </w:rPr>
    </w:lvl>
    <w:lvl w:ilvl="4">
      <w:start w:val="1"/>
      <w:numFmt w:val="decimal"/>
      <w:suff w:val="nothing"/>
      <w:lvlText w:val="%1.%2.%3.%4.%5."/>
      <w:lvlJc w:val="left"/>
      <w:pPr>
        <w:tabs>
          <w:tab w:val="left" w:pos="993"/>
        </w:tabs>
        <w:ind w:left="1872" w:firstLine="589"/>
      </w:pPr>
      <w:rPr>
        <w:rFonts w:hAnsi="Arial Unicode MS" w:cs="Times New Roman"/>
        <w:caps w:val="0"/>
        <w:smallCaps w:val="0"/>
        <w:color w:val="000000"/>
        <w:spacing w:val="0"/>
        <w:w w:val="100"/>
        <w:kern w:val="0"/>
        <w:position w:val="0"/>
        <w:vertAlign w:val="baseline"/>
      </w:rPr>
    </w:lvl>
    <w:lvl w:ilvl="5">
      <w:start w:val="1"/>
      <w:numFmt w:val="decimal"/>
      <w:suff w:val="nothing"/>
      <w:lvlText w:val="%1.%2.%3.%4.%5.%6."/>
      <w:lvlJc w:val="left"/>
      <w:pPr>
        <w:tabs>
          <w:tab w:val="left" w:pos="993"/>
        </w:tabs>
        <w:ind w:left="2376" w:firstLine="589"/>
      </w:pPr>
      <w:rPr>
        <w:rFonts w:hAnsi="Arial Unicode MS" w:cs="Times New Roman"/>
        <w:caps w:val="0"/>
        <w:smallCaps w:val="0"/>
        <w:color w:val="000000"/>
        <w:spacing w:val="0"/>
        <w:w w:val="100"/>
        <w:kern w:val="0"/>
        <w:position w:val="0"/>
        <w:vertAlign w:val="baseline"/>
      </w:rPr>
    </w:lvl>
    <w:lvl w:ilvl="6">
      <w:start w:val="1"/>
      <w:numFmt w:val="decimal"/>
      <w:suff w:val="nothing"/>
      <w:lvlText w:val="%1.%2.%3.%4.%5.%6.%7."/>
      <w:lvlJc w:val="left"/>
      <w:pPr>
        <w:tabs>
          <w:tab w:val="left" w:pos="993"/>
        </w:tabs>
        <w:ind w:left="2880" w:firstLine="589"/>
      </w:pPr>
      <w:rPr>
        <w:rFonts w:hAnsi="Arial Unicode MS" w:cs="Times New Roman"/>
        <w:caps w:val="0"/>
        <w:smallCaps w:val="0"/>
        <w:color w:val="000000"/>
        <w:spacing w:val="0"/>
        <w:w w:val="100"/>
        <w:kern w:val="0"/>
        <w:position w:val="0"/>
        <w:vertAlign w:val="baseline"/>
      </w:rPr>
    </w:lvl>
    <w:lvl w:ilvl="7">
      <w:start w:val="1"/>
      <w:numFmt w:val="decimal"/>
      <w:suff w:val="nothing"/>
      <w:lvlText w:val="%1.%2.%3.%4.%5.%6.%7.%8."/>
      <w:lvlJc w:val="left"/>
      <w:pPr>
        <w:tabs>
          <w:tab w:val="left" w:pos="993"/>
        </w:tabs>
        <w:ind w:left="3384" w:firstLine="589"/>
      </w:pPr>
      <w:rPr>
        <w:rFonts w:hAnsi="Arial Unicode MS" w:cs="Times New Roman"/>
        <w:caps w:val="0"/>
        <w:smallCaps w:val="0"/>
        <w:color w:val="000000"/>
        <w:spacing w:val="0"/>
        <w:w w:val="100"/>
        <w:kern w:val="0"/>
        <w:position w:val="0"/>
        <w:vertAlign w:val="baseline"/>
      </w:rPr>
    </w:lvl>
    <w:lvl w:ilvl="8">
      <w:start w:val="1"/>
      <w:numFmt w:val="decimal"/>
      <w:suff w:val="nothing"/>
      <w:lvlText w:val="%1.%2.%3.%4.%5.%6.%7.%8.%9."/>
      <w:lvlJc w:val="left"/>
      <w:pPr>
        <w:tabs>
          <w:tab w:val="left" w:pos="993"/>
        </w:tabs>
        <w:ind w:left="3960" w:firstLine="589"/>
      </w:pPr>
      <w:rPr>
        <w:rFonts w:hAnsi="Arial Unicode MS" w:cs="Times New Roman"/>
        <w:caps w:val="0"/>
        <w:smallCaps w:val="0"/>
        <w:color w:val="000000"/>
        <w:spacing w:val="0"/>
        <w:w w:val="100"/>
        <w:kern w:val="0"/>
        <w:position w:val="0"/>
        <w:vertAlign w:val="baseline"/>
      </w:rPr>
    </w:lvl>
  </w:abstractNum>
  <w:abstractNum w:abstractNumId="8" w15:restartNumberingAfterBreak="0">
    <w:nsid w:val="00000008"/>
    <w:multiLevelType w:val="hybridMultilevel"/>
    <w:tmpl w:val="6E8A029E"/>
    <w:lvl w:ilvl="0" w:tplc="0419000F">
      <w:start w:val="1"/>
      <w:numFmt w:val="decimal"/>
      <w:lvlText w:val="%1."/>
      <w:lvlJc w:val="left"/>
      <w:pPr>
        <w:ind w:left="2629"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00000009"/>
    <w:multiLevelType w:val="hybridMultilevel"/>
    <w:tmpl w:val="66400D8E"/>
    <w:lvl w:ilvl="0" w:tplc="0419000F">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
  </w:num>
  <w:num w:numId="2">
    <w:abstractNumId w:val="8"/>
  </w:num>
  <w:num w:numId="3">
    <w:abstractNumId w:val="5"/>
  </w:num>
  <w:num w:numId="4">
    <w:abstractNumId w:val="9"/>
  </w:num>
  <w:num w:numId="5">
    <w:abstractNumId w:val="6"/>
  </w:num>
  <w:num w:numId="6">
    <w:abstractNumId w:val="4"/>
  </w:num>
  <w:num w:numId="7">
    <w:abstractNumId w:val="3"/>
  </w:num>
  <w:num w:numId="8">
    <w:abstractNumId w:val="2"/>
  </w:num>
  <w:num w:numId="9">
    <w:abstractNumId w:val="0"/>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5F07"/>
    <w:rsid w:val="00185A37"/>
    <w:rsid w:val="00705F07"/>
    <w:rsid w:val="00C05CA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FA9DD31-9ABF-4510-888F-AE229B1F73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SimSun"/>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pPr>
      <w:keepNext/>
      <w:keepLines/>
      <w:spacing w:before="480"/>
      <w:outlineLvl w:val="0"/>
    </w:pPr>
    <w:rPr>
      <w:rFonts w:ascii="Cambria" w:eastAsia="SimSun" w:hAnsi="Cambria" w:cs="SimSun"/>
      <w:b/>
      <w:bCs/>
      <w:color w:val="365F91"/>
      <w:sz w:val="28"/>
      <w:szCs w:val="28"/>
    </w:rPr>
  </w:style>
  <w:style w:type="paragraph" w:styleId="2">
    <w:name w:val="heading 2"/>
    <w:basedOn w:val="a"/>
    <w:next w:val="a"/>
    <w:link w:val="20"/>
    <w:uiPriority w:val="9"/>
    <w:qFormat/>
    <w:pPr>
      <w:keepNext/>
      <w:keepLines/>
      <w:spacing w:before="200"/>
      <w:outlineLvl w:val="1"/>
    </w:pPr>
    <w:rPr>
      <w:rFonts w:ascii="Cambria" w:eastAsia="SimSun" w:hAnsi="Cambria" w:cs="SimSun"/>
      <w:b/>
      <w:bCs/>
      <w:color w:val="4F81BD"/>
      <w:sz w:val="26"/>
      <w:szCs w:val="26"/>
    </w:rPr>
  </w:style>
  <w:style w:type="paragraph" w:styleId="3">
    <w:name w:val="heading 3"/>
    <w:basedOn w:val="a"/>
    <w:next w:val="a"/>
    <w:link w:val="30"/>
    <w:uiPriority w:val="9"/>
    <w:qFormat/>
    <w:pPr>
      <w:keepNext/>
      <w:keepLines/>
      <w:spacing w:before="200"/>
      <w:outlineLvl w:val="2"/>
    </w:pPr>
    <w:rPr>
      <w:rFonts w:ascii="Cambria" w:eastAsia="SimSun" w:hAnsi="Cambria" w:cs="SimSun"/>
      <w:b/>
      <w:bCs/>
      <w:color w:val="4F81BD"/>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Pr>
      <w:rFonts w:ascii="Cambria" w:eastAsia="SimSun" w:hAnsi="Cambria" w:cs="SimSun"/>
      <w:b/>
      <w:bCs/>
      <w:color w:val="4F81BD"/>
      <w:sz w:val="26"/>
      <w:szCs w:val="26"/>
      <w:lang w:val="uk-UA"/>
    </w:rPr>
  </w:style>
  <w:style w:type="character" w:styleId="a3">
    <w:name w:val="Hyperlink"/>
    <w:basedOn w:val="a0"/>
    <w:uiPriority w:val="99"/>
    <w:rPr>
      <w:color w:val="0000FF"/>
      <w:u w:val="single"/>
    </w:rPr>
  </w:style>
  <w:style w:type="paragraph" w:styleId="a4">
    <w:name w:val="List Paragraph"/>
    <w:basedOn w:val="a"/>
    <w:link w:val="a5"/>
    <w:uiPriority w:val="34"/>
    <w:qFormat/>
    <w:pPr>
      <w:ind w:left="720"/>
      <w:contextualSpacing/>
    </w:pPr>
    <w:rPr>
      <w:rFonts w:eastAsia="SimSun"/>
      <w:lang w:eastAsia="uk-UA"/>
    </w:rPr>
  </w:style>
  <w:style w:type="character" w:customStyle="1" w:styleId="a5">
    <w:name w:val="Абзац списка Знак"/>
    <w:link w:val="a4"/>
    <w:uiPriority w:val="34"/>
    <w:qFormat/>
    <w:rPr>
      <w:rFonts w:eastAsia="SimSun"/>
      <w:lang w:val="uk-UA" w:eastAsia="uk-UA"/>
    </w:rPr>
  </w:style>
  <w:style w:type="paragraph" w:styleId="a6">
    <w:name w:val="header"/>
    <w:basedOn w:val="a"/>
    <w:link w:val="a7"/>
    <w:uiPriority w:val="99"/>
    <w:pPr>
      <w:tabs>
        <w:tab w:val="center" w:pos="4677"/>
        <w:tab w:val="right" w:pos="9355"/>
      </w:tabs>
    </w:pPr>
  </w:style>
  <w:style w:type="character" w:customStyle="1" w:styleId="a7">
    <w:name w:val="Верхний колонтитул Знак"/>
    <w:basedOn w:val="a0"/>
    <w:link w:val="a6"/>
    <w:uiPriority w:val="99"/>
    <w:rPr>
      <w:lang w:val="uk-UA"/>
    </w:rPr>
  </w:style>
  <w:style w:type="paragraph" w:styleId="a8">
    <w:name w:val="footer"/>
    <w:basedOn w:val="a"/>
    <w:link w:val="a9"/>
    <w:uiPriority w:val="99"/>
    <w:pPr>
      <w:tabs>
        <w:tab w:val="center" w:pos="4677"/>
        <w:tab w:val="right" w:pos="9355"/>
      </w:tabs>
    </w:pPr>
  </w:style>
  <w:style w:type="character" w:customStyle="1" w:styleId="a9">
    <w:name w:val="Нижний колонтитул Знак"/>
    <w:basedOn w:val="a0"/>
    <w:link w:val="a8"/>
    <w:uiPriority w:val="99"/>
    <w:rPr>
      <w:lang w:val="uk-UA"/>
    </w:rPr>
  </w:style>
  <w:style w:type="paragraph" w:styleId="aa">
    <w:name w:val="Normal (Web)"/>
    <w:basedOn w:val="a"/>
    <w:uiPriority w:val="99"/>
    <w:pPr>
      <w:spacing w:before="100" w:beforeAutospacing="1" w:after="100" w:afterAutospacing="1"/>
    </w:pPr>
  </w:style>
  <w:style w:type="character" w:styleId="ab">
    <w:name w:val="Strong"/>
    <w:basedOn w:val="a0"/>
    <w:uiPriority w:val="22"/>
    <w:qFormat/>
    <w:rPr>
      <w:b/>
      <w:bCs/>
    </w:rPr>
  </w:style>
  <w:style w:type="character" w:styleId="ac">
    <w:name w:val="Subtle Emphasis"/>
    <w:basedOn w:val="a0"/>
    <w:uiPriority w:val="19"/>
    <w:qFormat/>
    <w:rPr>
      <w:i/>
      <w:iCs/>
      <w:color w:val="808080"/>
    </w:rPr>
  </w:style>
  <w:style w:type="table" w:styleId="ad">
    <w:name w:val="Table Grid"/>
    <w:basedOn w:val="a1"/>
    <w:uiPriority w:val="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Balloon Text"/>
    <w:basedOn w:val="a"/>
    <w:link w:val="af"/>
    <w:uiPriority w:val="99"/>
    <w:rPr>
      <w:rFonts w:ascii="Tahoma" w:hAnsi="Tahoma" w:cs="Tahoma"/>
      <w:sz w:val="16"/>
      <w:szCs w:val="16"/>
    </w:rPr>
  </w:style>
  <w:style w:type="character" w:customStyle="1" w:styleId="af">
    <w:name w:val="Текст выноски Знак"/>
    <w:basedOn w:val="a0"/>
    <w:link w:val="ae"/>
    <w:uiPriority w:val="99"/>
    <w:rPr>
      <w:rFonts w:ascii="Tahoma" w:hAnsi="Tahoma" w:cs="Tahoma"/>
      <w:sz w:val="16"/>
      <w:szCs w:val="16"/>
      <w:lang w:val="uk-UA"/>
    </w:rPr>
  </w:style>
  <w:style w:type="character" w:customStyle="1" w:styleId="10">
    <w:name w:val="Заголовок 1 Знак"/>
    <w:basedOn w:val="a0"/>
    <w:link w:val="1"/>
    <w:uiPriority w:val="9"/>
    <w:rPr>
      <w:rFonts w:ascii="Cambria" w:eastAsia="SimSun" w:hAnsi="Cambria" w:cs="SimSun"/>
      <w:b/>
      <w:bCs/>
      <w:color w:val="365F91"/>
      <w:sz w:val="28"/>
      <w:szCs w:val="28"/>
      <w:lang w:val="uk-UA"/>
    </w:rPr>
  </w:style>
  <w:style w:type="paragraph" w:styleId="af0">
    <w:name w:val="TOC Heading"/>
    <w:basedOn w:val="1"/>
    <w:next w:val="a"/>
    <w:uiPriority w:val="39"/>
    <w:qFormat/>
    <w:pPr>
      <w:outlineLvl w:val="9"/>
    </w:pPr>
  </w:style>
  <w:style w:type="paragraph" w:styleId="21">
    <w:name w:val="toc 2"/>
    <w:basedOn w:val="a"/>
    <w:next w:val="a"/>
    <w:uiPriority w:val="39"/>
    <w:pPr>
      <w:spacing w:after="100"/>
      <w:ind w:left="220"/>
    </w:pPr>
  </w:style>
  <w:style w:type="paragraph" w:styleId="af1">
    <w:name w:val="footnote text"/>
    <w:basedOn w:val="a"/>
    <w:link w:val="af2"/>
    <w:uiPriority w:val="99"/>
    <w:rPr>
      <w:sz w:val="20"/>
      <w:szCs w:val="20"/>
    </w:rPr>
  </w:style>
  <w:style w:type="character" w:customStyle="1" w:styleId="af2">
    <w:name w:val="Текст сноски Знак"/>
    <w:basedOn w:val="a0"/>
    <w:link w:val="af1"/>
    <w:uiPriority w:val="99"/>
    <w:rPr>
      <w:sz w:val="20"/>
      <w:szCs w:val="20"/>
      <w:lang w:val="uk-UA"/>
    </w:rPr>
  </w:style>
  <w:style w:type="character" w:styleId="af3">
    <w:name w:val="footnote reference"/>
    <w:basedOn w:val="a0"/>
    <w:uiPriority w:val="99"/>
    <w:rPr>
      <w:vertAlign w:val="superscript"/>
    </w:rPr>
  </w:style>
  <w:style w:type="character" w:styleId="af4">
    <w:name w:val="FollowedHyperlink"/>
    <w:basedOn w:val="a0"/>
    <w:uiPriority w:val="99"/>
    <w:rPr>
      <w:color w:val="800080"/>
      <w:u w:val="single"/>
    </w:rPr>
  </w:style>
  <w:style w:type="paragraph" w:customStyle="1" w:styleId="xl221">
    <w:name w:val="xl221"/>
    <w:basedOn w:val="a"/>
    <w:pPr>
      <w:pBdr>
        <w:top w:val="single" w:sz="4" w:space="0" w:color="auto"/>
        <w:left w:val="single" w:sz="4" w:space="0" w:color="auto"/>
      </w:pBdr>
      <w:spacing w:before="100" w:beforeAutospacing="1" w:after="100" w:afterAutospacing="1"/>
      <w:jc w:val="center"/>
      <w:textAlignment w:val="center"/>
    </w:pPr>
    <w:rPr>
      <w:b/>
      <w:bCs/>
      <w:sz w:val="16"/>
      <w:szCs w:val="16"/>
    </w:rPr>
  </w:style>
  <w:style w:type="paragraph" w:customStyle="1" w:styleId="xl222">
    <w:name w:val="xl222"/>
    <w:basedOn w:val="a"/>
    <w:pPr>
      <w:pBdr>
        <w:top w:val="single" w:sz="4" w:space="0" w:color="auto"/>
        <w:left w:val="single" w:sz="4" w:space="0" w:color="auto"/>
        <w:right w:val="single" w:sz="4" w:space="0" w:color="auto"/>
      </w:pBdr>
      <w:spacing w:before="100" w:beforeAutospacing="1" w:after="100" w:afterAutospacing="1"/>
      <w:jc w:val="center"/>
      <w:textAlignment w:val="center"/>
    </w:pPr>
    <w:rPr>
      <w:b/>
      <w:bCs/>
      <w:sz w:val="16"/>
      <w:szCs w:val="16"/>
    </w:rPr>
  </w:style>
  <w:style w:type="paragraph" w:customStyle="1" w:styleId="xl223">
    <w:name w:val="xl223"/>
    <w:basedOn w:val="a"/>
    <w:pPr>
      <w:pBdr>
        <w:left w:val="single" w:sz="4" w:space="0" w:color="auto"/>
        <w:bottom w:val="single" w:sz="4" w:space="0" w:color="auto"/>
      </w:pBdr>
      <w:spacing w:before="100" w:beforeAutospacing="1" w:after="100" w:afterAutospacing="1"/>
      <w:jc w:val="center"/>
      <w:textAlignment w:val="center"/>
    </w:pPr>
    <w:rPr>
      <w:b/>
      <w:bCs/>
      <w:sz w:val="16"/>
      <w:szCs w:val="16"/>
    </w:rPr>
  </w:style>
  <w:style w:type="paragraph" w:customStyle="1" w:styleId="xl224">
    <w:name w:val="xl224"/>
    <w:basedOn w:val="a"/>
    <w:pPr>
      <w:pBdr>
        <w:left w:val="single" w:sz="4" w:space="0" w:color="auto"/>
        <w:bottom w:val="single" w:sz="4" w:space="0" w:color="auto"/>
        <w:right w:val="single" w:sz="4" w:space="0" w:color="auto"/>
      </w:pBdr>
      <w:spacing w:before="100" w:beforeAutospacing="1" w:after="100" w:afterAutospacing="1"/>
      <w:jc w:val="center"/>
      <w:textAlignment w:val="center"/>
    </w:pPr>
    <w:rPr>
      <w:b/>
      <w:bCs/>
      <w:sz w:val="16"/>
      <w:szCs w:val="16"/>
    </w:rPr>
  </w:style>
  <w:style w:type="paragraph" w:customStyle="1" w:styleId="xl225">
    <w:name w:val="xl225"/>
    <w:basedOn w:val="a"/>
    <w:pPr>
      <w:spacing w:before="100" w:beforeAutospacing="1" w:after="100" w:afterAutospacing="1"/>
      <w:jc w:val="center"/>
      <w:textAlignment w:val="center"/>
    </w:pPr>
    <w:rPr>
      <w:sz w:val="16"/>
      <w:szCs w:val="16"/>
    </w:rPr>
  </w:style>
  <w:style w:type="paragraph" w:customStyle="1" w:styleId="xl226">
    <w:name w:val="xl226"/>
    <w:basedOn w:val="a"/>
    <w:pPr>
      <w:pBdr>
        <w:left w:val="single" w:sz="4" w:space="0" w:color="auto"/>
        <w:right w:val="single" w:sz="4" w:space="0" w:color="auto"/>
      </w:pBdr>
      <w:shd w:val="clear" w:color="000000" w:fill="D7E4BC"/>
      <w:spacing w:before="100" w:beforeAutospacing="1" w:after="100" w:afterAutospacing="1"/>
      <w:jc w:val="center"/>
      <w:textAlignment w:val="center"/>
    </w:pPr>
    <w:rPr>
      <w:b/>
      <w:bCs/>
      <w:sz w:val="16"/>
      <w:szCs w:val="16"/>
    </w:rPr>
  </w:style>
  <w:style w:type="paragraph" w:customStyle="1" w:styleId="xl227">
    <w:name w:val="xl227"/>
    <w:basedOn w:val="a"/>
    <w:pPr>
      <w:pBdr>
        <w:left w:val="single" w:sz="4" w:space="0" w:color="auto"/>
        <w:right w:val="single" w:sz="4" w:space="0" w:color="auto"/>
      </w:pBdr>
      <w:shd w:val="clear" w:color="000000" w:fill="D7E4BC"/>
      <w:spacing w:before="100" w:beforeAutospacing="1" w:after="100" w:afterAutospacing="1"/>
      <w:jc w:val="center"/>
      <w:textAlignment w:val="center"/>
    </w:pPr>
    <w:rPr>
      <w:sz w:val="16"/>
      <w:szCs w:val="16"/>
    </w:rPr>
  </w:style>
  <w:style w:type="paragraph" w:customStyle="1" w:styleId="xl228">
    <w:name w:val="xl228"/>
    <w:basedOn w:val="a"/>
    <w:pPr>
      <w:pBdr>
        <w:left w:val="single" w:sz="4" w:space="0" w:color="auto"/>
        <w:right w:val="single" w:sz="4" w:space="0" w:color="auto"/>
      </w:pBdr>
      <w:shd w:val="clear" w:color="000000" w:fill="D7E4BC"/>
      <w:spacing w:before="100" w:beforeAutospacing="1" w:after="100" w:afterAutospacing="1"/>
      <w:jc w:val="center"/>
      <w:textAlignment w:val="center"/>
    </w:pPr>
    <w:rPr>
      <w:sz w:val="16"/>
      <w:szCs w:val="16"/>
    </w:rPr>
  </w:style>
  <w:style w:type="paragraph" w:customStyle="1" w:styleId="xl229">
    <w:name w:val="xl229"/>
    <w:basedOn w:val="a"/>
    <w:pPr>
      <w:pBdr>
        <w:top w:val="single" w:sz="4" w:space="0" w:color="auto"/>
        <w:left w:val="single" w:sz="4" w:space="0" w:color="auto"/>
        <w:bottom w:val="single" w:sz="4" w:space="0" w:color="auto"/>
      </w:pBdr>
      <w:spacing w:before="100" w:beforeAutospacing="1" w:after="100" w:afterAutospacing="1"/>
      <w:jc w:val="center"/>
      <w:textAlignment w:val="center"/>
    </w:pPr>
    <w:rPr>
      <w:sz w:val="16"/>
      <w:szCs w:val="16"/>
    </w:rPr>
  </w:style>
  <w:style w:type="paragraph" w:customStyle="1" w:styleId="xl230">
    <w:name w:val="xl230"/>
    <w:basedOn w:val="a"/>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rPr>
  </w:style>
  <w:style w:type="paragraph" w:customStyle="1" w:styleId="xl231">
    <w:name w:val="xl231"/>
    <w:basedOn w:val="a"/>
    <w:pPr>
      <w:pBdr>
        <w:top w:val="single" w:sz="4" w:space="0" w:color="auto"/>
        <w:bottom w:val="single" w:sz="4" w:space="0" w:color="auto"/>
        <w:right w:val="single" w:sz="4" w:space="0" w:color="auto"/>
      </w:pBdr>
      <w:spacing w:before="100" w:beforeAutospacing="1" w:after="100" w:afterAutospacing="1"/>
      <w:jc w:val="center"/>
      <w:textAlignment w:val="center"/>
    </w:pPr>
    <w:rPr>
      <w:sz w:val="16"/>
      <w:szCs w:val="16"/>
    </w:rPr>
  </w:style>
  <w:style w:type="paragraph" w:customStyle="1" w:styleId="xl232">
    <w:name w:val="xl232"/>
    <w:basedOn w:val="a"/>
    <w:pPr>
      <w:pBdr>
        <w:top w:val="single" w:sz="4" w:space="0" w:color="auto"/>
        <w:left w:val="single" w:sz="4" w:space="0" w:color="auto"/>
        <w:bottom w:val="single" w:sz="4" w:space="0" w:color="auto"/>
      </w:pBdr>
      <w:spacing w:before="100" w:beforeAutospacing="1" w:after="100" w:afterAutospacing="1"/>
      <w:jc w:val="center"/>
      <w:textAlignment w:val="center"/>
    </w:pPr>
    <w:rPr>
      <w:sz w:val="16"/>
      <w:szCs w:val="16"/>
    </w:rPr>
  </w:style>
  <w:style w:type="paragraph" w:customStyle="1" w:styleId="xl233">
    <w:name w:val="xl233"/>
    <w:basedOn w:val="a"/>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rPr>
  </w:style>
  <w:style w:type="paragraph" w:customStyle="1" w:styleId="xl234">
    <w:name w:val="xl234"/>
    <w:basedOn w:val="a"/>
    <w:pPr>
      <w:pBdr>
        <w:top w:val="single" w:sz="4" w:space="0" w:color="auto"/>
        <w:bottom w:val="single" w:sz="4" w:space="0" w:color="auto"/>
        <w:right w:val="single" w:sz="4" w:space="0" w:color="auto"/>
      </w:pBdr>
      <w:spacing w:before="100" w:beforeAutospacing="1" w:after="100" w:afterAutospacing="1"/>
      <w:jc w:val="center"/>
      <w:textAlignment w:val="center"/>
    </w:pPr>
    <w:rPr>
      <w:sz w:val="16"/>
      <w:szCs w:val="16"/>
    </w:rPr>
  </w:style>
  <w:style w:type="paragraph" w:customStyle="1" w:styleId="xl235">
    <w:name w:val="xl235"/>
    <w:basedOn w:val="a"/>
    <w:pPr>
      <w:pBdr>
        <w:top w:val="single" w:sz="4" w:space="0" w:color="auto"/>
        <w:left w:val="single" w:sz="4" w:space="0" w:color="auto"/>
        <w:bottom w:val="single" w:sz="4" w:space="0" w:color="auto"/>
      </w:pBdr>
      <w:spacing w:before="100" w:beforeAutospacing="1" w:after="100" w:afterAutospacing="1"/>
      <w:jc w:val="center"/>
      <w:textAlignment w:val="center"/>
    </w:pPr>
    <w:rPr>
      <w:sz w:val="16"/>
      <w:szCs w:val="16"/>
    </w:rPr>
  </w:style>
  <w:style w:type="paragraph" w:customStyle="1" w:styleId="xl236">
    <w:name w:val="xl236"/>
    <w:basedOn w:val="a"/>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rPr>
  </w:style>
  <w:style w:type="paragraph" w:customStyle="1" w:styleId="xl237">
    <w:name w:val="xl237"/>
    <w:basedOn w:val="a"/>
    <w:pPr>
      <w:pBdr>
        <w:top w:val="single" w:sz="4" w:space="0" w:color="auto"/>
        <w:bottom w:val="single" w:sz="4" w:space="0" w:color="auto"/>
        <w:right w:val="single" w:sz="4" w:space="0" w:color="auto"/>
      </w:pBdr>
      <w:spacing w:before="100" w:beforeAutospacing="1" w:after="100" w:afterAutospacing="1"/>
      <w:jc w:val="center"/>
      <w:textAlignment w:val="center"/>
    </w:pPr>
    <w:rPr>
      <w:sz w:val="16"/>
      <w:szCs w:val="16"/>
    </w:rPr>
  </w:style>
  <w:style w:type="paragraph" w:customStyle="1" w:styleId="xl238">
    <w:name w:val="xl238"/>
    <w:basedOn w:val="a"/>
    <w:pPr>
      <w:pBdr>
        <w:left w:val="single" w:sz="4" w:space="0" w:color="auto"/>
        <w:right w:val="single" w:sz="4" w:space="0" w:color="auto"/>
      </w:pBdr>
      <w:shd w:val="clear" w:color="000000" w:fill="D7E4BC"/>
      <w:spacing w:before="100" w:beforeAutospacing="1" w:after="100" w:afterAutospacing="1"/>
      <w:jc w:val="center"/>
      <w:textAlignment w:val="center"/>
    </w:pPr>
    <w:rPr>
      <w:sz w:val="16"/>
      <w:szCs w:val="16"/>
    </w:rPr>
  </w:style>
  <w:style w:type="paragraph" w:customStyle="1" w:styleId="xl239">
    <w:name w:val="xl239"/>
    <w:basedOn w:val="a"/>
    <w:pPr>
      <w:pBdr>
        <w:left w:val="single" w:sz="4" w:space="0" w:color="auto"/>
        <w:right w:val="single" w:sz="4" w:space="0" w:color="auto"/>
      </w:pBdr>
      <w:shd w:val="clear" w:color="000000" w:fill="D7E4BC"/>
      <w:spacing w:before="100" w:beforeAutospacing="1" w:after="100" w:afterAutospacing="1"/>
      <w:jc w:val="center"/>
      <w:textAlignment w:val="center"/>
    </w:pPr>
    <w:rPr>
      <w:sz w:val="16"/>
      <w:szCs w:val="16"/>
    </w:rPr>
  </w:style>
  <w:style w:type="paragraph" w:customStyle="1" w:styleId="xl240">
    <w:name w:val="xl240"/>
    <w:basedOn w:val="a"/>
    <w:pPr>
      <w:pBdr>
        <w:right w:val="single" w:sz="4" w:space="0" w:color="auto"/>
      </w:pBdr>
      <w:shd w:val="clear" w:color="000000" w:fill="D7E4BC"/>
      <w:spacing w:before="100" w:beforeAutospacing="1" w:after="100" w:afterAutospacing="1"/>
      <w:jc w:val="center"/>
      <w:textAlignment w:val="center"/>
    </w:pPr>
    <w:rPr>
      <w:sz w:val="16"/>
      <w:szCs w:val="16"/>
    </w:rPr>
  </w:style>
  <w:style w:type="paragraph" w:customStyle="1" w:styleId="xl241">
    <w:name w:val="xl241"/>
    <w:basedOn w:val="a"/>
    <w:pPr>
      <w:pBdr>
        <w:left w:val="single" w:sz="4" w:space="0" w:color="auto"/>
        <w:right w:val="single" w:sz="4" w:space="0" w:color="auto"/>
      </w:pBdr>
      <w:shd w:val="clear" w:color="000000" w:fill="D7E4BC"/>
      <w:spacing w:before="100" w:beforeAutospacing="1" w:after="100" w:afterAutospacing="1"/>
      <w:jc w:val="center"/>
      <w:textAlignment w:val="center"/>
    </w:pPr>
    <w:rPr>
      <w:sz w:val="16"/>
      <w:szCs w:val="16"/>
    </w:rPr>
  </w:style>
  <w:style w:type="paragraph" w:customStyle="1" w:styleId="xl242">
    <w:name w:val="xl242"/>
    <w:basedOn w:val="a"/>
    <w:pPr>
      <w:pBdr>
        <w:top w:val="single" w:sz="4" w:space="0" w:color="auto"/>
        <w:left w:val="single" w:sz="4" w:space="0" w:color="auto"/>
        <w:bottom w:val="single" w:sz="4" w:space="0" w:color="auto"/>
      </w:pBdr>
      <w:spacing w:before="100" w:beforeAutospacing="1" w:after="100" w:afterAutospacing="1"/>
      <w:jc w:val="center"/>
      <w:textAlignment w:val="center"/>
    </w:pPr>
    <w:rPr>
      <w:sz w:val="16"/>
      <w:szCs w:val="16"/>
    </w:rPr>
  </w:style>
  <w:style w:type="paragraph" w:customStyle="1" w:styleId="xl243">
    <w:name w:val="xl243"/>
    <w:basedOn w:val="a"/>
    <w:pPr>
      <w:pBdr>
        <w:top w:val="single" w:sz="4" w:space="0" w:color="auto"/>
        <w:left w:val="single" w:sz="4" w:space="0" w:color="auto"/>
        <w:bottom w:val="single" w:sz="4" w:space="0" w:color="auto"/>
      </w:pBdr>
      <w:spacing w:before="100" w:beforeAutospacing="1" w:after="100" w:afterAutospacing="1"/>
      <w:jc w:val="center"/>
      <w:textAlignment w:val="center"/>
    </w:pPr>
    <w:rPr>
      <w:sz w:val="16"/>
      <w:szCs w:val="16"/>
    </w:rPr>
  </w:style>
  <w:style w:type="paragraph" w:customStyle="1" w:styleId="xl244">
    <w:name w:val="xl244"/>
    <w:basedOn w:val="a"/>
    <w:pPr>
      <w:pBdr>
        <w:top w:val="single" w:sz="4" w:space="0" w:color="auto"/>
        <w:left w:val="single" w:sz="4" w:space="0" w:color="auto"/>
        <w:bottom w:val="single" w:sz="4" w:space="0" w:color="auto"/>
      </w:pBdr>
      <w:spacing w:before="100" w:beforeAutospacing="1" w:after="100" w:afterAutospacing="1"/>
      <w:jc w:val="center"/>
      <w:textAlignment w:val="center"/>
    </w:pPr>
    <w:rPr>
      <w:sz w:val="16"/>
      <w:szCs w:val="16"/>
    </w:rPr>
  </w:style>
  <w:style w:type="paragraph" w:customStyle="1" w:styleId="xl245">
    <w:name w:val="xl245"/>
    <w:basedOn w:val="a"/>
    <w:pPr>
      <w:pBdr>
        <w:top w:val="single" w:sz="4" w:space="0" w:color="auto"/>
        <w:bottom w:val="single" w:sz="4" w:space="0" w:color="auto"/>
        <w:right w:val="single" w:sz="4" w:space="0" w:color="auto"/>
      </w:pBdr>
      <w:shd w:val="clear" w:color="000000" w:fill="D7E4BC"/>
      <w:spacing w:before="100" w:beforeAutospacing="1" w:after="100" w:afterAutospacing="1"/>
      <w:jc w:val="center"/>
      <w:textAlignment w:val="center"/>
    </w:pPr>
    <w:rPr>
      <w:sz w:val="16"/>
      <w:szCs w:val="16"/>
    </w:rPr>
  </w:style>
  <w:style w:type="paragraph" w:customStyle="1" w:styleId="xl246">
    <w:name w:val="xl246"/>
    <w:basedOn w:val="a"/>
    <w:pPr>
      <w:pBdr>
        <w:top w:val="single" w:sz="4" w:space="0" w:color="auto"/>
        <w:left w:val="single" w:sz="4" w:space="0" w:color="auto"/>
        <w:bottom w:val="single" w:sz="4" w:space="0" w:color="auto"/>
        <w:right w:val="single" w:sz="4" w:space="0" w:color="auto"/>
      </w:pBdr>
      <w:shd w:val="clear" w:color="000000" w:fill="D7E4BC"/>
      <w:spacing w:before="100" w:beforeAutospacing="1" w:after="100" w:afterAutospacing="1"/>
      <w:jc w:val="center"/>
      <w:textAlignment w:val="center"/>
    </w:pPr>
    <w:rPr>
      <w:sz w:val="16"/>
      <w:szCs w:val="16"/>
    </w:rPr>
  </w:style>
  <w:style w:type="paragraph" w:customStyle="1" w:styleId="xl247">
    <w:name w:val="xl247"/>
    <w:basedOn w:val="a"/>
    <w:pPr>
      <w:pBdr>
        <w:top w:val="single" w:sz="4" w:space="0" w:color="auto"/>
        <w:bottom w:val="single" w:sz="4" w:space="0" w:color="auto"/>
        <w:right w:val="single" w:sz="4" w:space="0" w:color="auto"/>
      </w:pBdr>
      <w:shd w:val="clear" w:color="000000" w:fill="D7E4BC"/>
      <w:spacing w:before="100" w:beforeAutospacing="1" w:after="100" w:afterAutospacing="1"/>
      <w:jc w:val="center"/>
      <w:textAlignment w:val="center"/>
    </w:pPr>
    <w:rPr>
      <w:sz w:val="16"/>
      <w:szCs w:val="16"/>
    </w:rPr>
  </w:style>
  <w:style w:type="paragraph" w:customStyle="1" w:styleId="xl248">
    <w:name w:val="xl248"/>
    <w:basedOn w:val="a"/>
    <w:pPr>
      <w:pBdr>
        <w:top w:val="single" w:sz="4" w:space="0" w:color="auto"/>
        <w:left w:val="single" w:sz="4" w:space="0" w:color="auto"/>
        <w:bottom w:val="single" w:sz="4" w:space="0" w:color="auto"/>
        <w:right w:val="single" w:sz="4" w:space="0" w:color="auto"/>
      </w:pBdr>
      <w:shd w:val="clear" w:color="000000" w:fill="D7E4BC"/>
      <w:spacing w:before="100" w:beforeAutospacing="1" w:after="100" w:afterAutospacing="1"/>
      <w:jc w:val="center"/>
      <w:textAlignment w:val="center"/>
    </w:pPr>
    <w:rPr>
      <w:sz w:val="16"/>
      <w:szCs w:val="16"/>
    </w:rPr>
  </w:style>
  <w:style w:type="paragraph" w:customStyle="1" w:styleId="xl249">
    <w:name w:val="xl249"/>
    <w:basedOn w:val="a"/>
    <w:pPr>
      <w:pBdr>
        <w:top w:val="single" w:sz="4" w:space="0" w:color="auto"/>
        <w:left w:val="single" w:sz="4" w:space="0" w:color="auto"/>
        <w:bottom w:val="single" w:sz="4" w:space="0" w:color="auto"/>
        <w:right w:val="single" w:sz="4" w:space="0" w:color="auto"/>
      </w:pBdr>
      <w:shd w:val="clear" w:color="000000" w:fill="B6DDE8"/>
      <w:spacing w:before="100" w:beforeAutospacing="1" w:after="100" w:afterAutospacing="1"/>
      <w:jc w:val="center"/>
      <w:textAlignment w:val="center"/>
    </w:pPr>
    <w:rPr>
      <w:b/>
      <w:bCs/>
      <w:sz w:val="16"/>
      <w:szCs w:val="16"/>
    </w:rPr>
  </w:style>
  <w:style w:type="paragraph" w:customStyle="1" w:styleId="xl250">
    <w:name w:val="xl250"/>
    <w:basedOn w:val="a"/>
    <w:pPr>
      <w:pBdr>
        <w:top w:val="single" w:sz="4" w:space="0" w:color="auto"/>
        <w:bottom w:val="single" w:sz="4" w:space="0" w:color="auto"/>
        <w:right w:val="single" w:sz="4" w:space="0" w:color="auto"/>
      </w:pBdr>
      <w:shd w:val="clear" w:color="000000" w:fill="B6DDE8"/>
      <w:spacing w:before="100" w:beforeAutospacing="1" w:after="100" w:afterAutospacing="1"/>
      <w:jc w:val="center"/>
      <w:textAlignment w:val="center"/>
    </w:pPr>
    <w:rPr>
      <w:sz w:val="16"/>
      <w:szCs w:val="16"/>
    </w:rPr>
  </w:style>
  <w:style w:type="paragraph" w:customStyle="1" w:styleId="xl251">
    <w:name w:val="xl251"/>
    <w:basedOn w:val="a"/>
    <w:pPr>
      <w:pBdr>
        <w:right w:val="single" w:sz="4" w:space="0" w:color="auto"/>
      </w:pBdr>
      <w:shd w:val="clear" w:color="000000" w:fill="B6DDE8"/>
      <w:spacing w:before="100" w:beforeAutospacing="1" w:after="100" w:afterAutospacing="1"/>
      <w:jc w:val="center"/>
      <w:textAlignment w:val="center"/>
    </w:pPr>
    <w:rPr>
      <w:sz w:val="16"/>
      <w:szCs w:val="16"/>
    </w:rPr>
  </w:style>
  <w:style w:type="paragraph" w:customStyle="1" w:styleId="xl252">
    <w:name w:val="xl252"/>
    <w:basedOn w:val="a"/>
    <w:pPr>
      <w:pBdr>
        <w:left w:val="single" w:sz="4" w:space="0" w:color="auto"/>
        <w:right w:val="single" w:sz="4" w:space="0" w:color="auto"/>
      </w:pBdr>
      <w:shd w:val="clear" w:color="000000" w:fill="B6DDE8"/>
      <w:spacing w:before="100" w:beforeAutospacing="1" w:after="100" w:afterAutospacing="1"/>
      <w:jc w:val="center"/>
      <w:textAlignment w:val="center"/>
    </w:pPr>
    <w:rPr>
      <w:sz w:val="16"/>
      <w:szCs w:val="16"/>
    </w:rPr>
  </w:style>
  <w:style w:type="paragraph" w:customStyle="1" w:styleId="xl253">
    <w:name w:val="xl253"/>
    <w:basedOn w:val="a"/>
    <w:pPr>
      <w:pBdr>
        <w:top w:val="single" w:sz="4" w:space="0" w:color="auto"/>
        <w:left w:val="single" w:sz="4" w:space="0" w:color="auto"/>
        <w:bottom w:val="single" w:sz="4" w:space="0" w:color="auto"/>
        <w:right w:val="single" w:sz="4" w:space="0" w:color="auto"/>
      </w:pBdr>
      <w:shd w:val="clear" w:color="000000" w:fill="C2D69A"/>
      <w:spacing w:before="100" w:beforeAutospacing="1" w:after="100" w:afterAutospacing="1"/>
      <w:jc w:val="center"/>
      <w:textAlignment w:val="center"/>
    </w:pPr>
    <w:rPr>
      <w:b/>
      <w:bCs/>
      <w:sz w:val="16"/>
      <w:szCs w:val="16"/>
    </w:rPr>
  </w:style>
  <w:style w:type="paragraph" w:customStyle="1" w:styleId="xl254">
    <w:name w:val="xl254"/>
    <w:basedOn w:val="a"/>
    <w:pPr>
      <w:pBdr>
        <w:top w:val="single" w:sz="4" w:space="0" w:color="auto"/>
        <w:left w:val="single" w:sz="4" w:space="0" w:color="auto"/>
        <w:bottom w:val="single" w:sz="4" w:space="0" w:color="auto"/>
        <w:right w:val="single" w:sz="4" w:space="0" w:color="auto"/>
      </w:pBdr>
      <w:shd w:val="clear" w:color="000000" w:fill="C2D69A"/>
      <w:spacing w:before="100" w:beforeAutospacing="1" w:after="100" w:afterAutospacing="1"/>
      <w:jc w:val="center"/>
      <w:textAlignment w:val="center"/>
    </w:pPr>
    <w:rPr>
      <w:sz w:val="16"/>
      <w:szCs w:val="16"/>
    </w:rPr>
  </w:style>
  <w:style w:type="paragraph" w:customStyle="1" w:styleId="xl255">
    <w:name w:val="xl255"/>
    <w:basedOn w:val="a"/>
    <w:pPr>
      <w:pBdr>
        <w:top w:val="single" w:sz="4" w:space="0" w:color="auto"/>
        <w:left w:val="single" w:sz="4" w:space="0" w:color="auto"/>
        <w:bottom w:val="single" w:sz="4" w:space="0" w:color="auto"/>
        <w:right w:val="single" w:sz="4" w:space="0" w:color="auto"/>
      </w:pBdr>
      <w:shd w:val="clear" w:color="000000" w:fill="C2D69A"/>
      <w:spacing w:before="100" w:beforeAutospacing="1" w:after="100" w:afterAutospacing="1"/>
      <w:jc w:val="center"/>
      <w:textAlignment w:val="center"/>
    </w:pPr>
    <w:rPr>
      <w:sz w:val="16"/>
      <w:szCs w:val="16"/>
    </w:rPr>
  </w:style>
  <w:style w:type="paragraph" w:customStyle="1" w:styleId="xl256">
    <w:name w:val="xl256"/>
    <w:basedOn w:val="a"/>
    <w:pPr>
      <w:pBdr>
        <w:top w:val="single" w:sz="4" w:space="0" w:color="auto"/>
        <w:bottom w:val="single" w:sz="4" w:space="0" w:color="auto"/>
        <w:right w:val="single" w:sz="4" w:space="0" w:color="auto"/>
      </w:pBdr>
      <w:shd w:val="clear" w:color="000000" w:fill="C2D69A"/>
      <w:spacing w:before="100" w:beforeAutospacing="1" w:after="100" w:afterAutospacing="1"/>
      <w:jc w:val="center"/>
      <w:textAlignment w:val="center"/>
    </w:pPr>
    <w:rPr>
      <w:sz w:val="16"/>
      <w:szCs w:val="16"/>
    </w:rPr>
  </w:style>
  <w:style w:type="paragraph" w:customStyle="1" w:styleId="xl257">
    <w:name w:val="xl257"/>
    <w:basedOn w:val="a"/>
    <w:pPr>
      <w:pBdr>
        <w:top w:val="single" w:sz="4" w:space="0" w:color="auto"/>
        <w:left w:val="single" w:sz="4" w:space="0" w:color="auto"/>
        <w:bottom w:val="single" w:sz="4" w:space="0" w:color="auto"/>
        <w:right w:val="single" w:sz="4" w:space="0" w:color="auto"/>
      </w:pBdr>
      <w:shd w:val="clear" w:color="000000" w:fill="C2D69A"/>
      <w:spacing w:before="100" w:beforeAutospacing="1" w:after="100" w:afterAutospacing="1"/>
      <w:jc w:val="center"/>
      <w:textAlignment w:val="center"/>
    </w:pPr>
    <w:rPr>
      <w:sz w:val="16"/>
      <w:szCs w:val="16"/>
    </w:rPr>
  </w:style>
  <w:style w:type="paragraph" w:customStyle="1" w:styleId="xl258">
    <w:name w:val="xl258"/>
    <w:basedOn w:val="a"/>
    <w:pPr>
      <w:pBdr>
        <w:top w:val="single" w:sz="4" w:space="0" w:color="auto"/>
        <w:left w:val="single" w:sz="4" w:space="0" w:color="auto"/>
        <w:bottom w:val="single" w:sz="4" w:space="0" w:color="auto"/>
      </w:pBdr>
      <w:shd w:val="clear" w:color="000000" w:fill="D7E4BC"/>
      <w:spacing w:before="100" w:beforeAutospacing="1" w:after="100" w:afterAutospacing="1"/>
      <w:jc w:val="center"/>
      <w:textAlignment w:val="center"/>
    </w:pPr>
    <w:rPr>
      <w:b/>
      <w:bCs/>
      <w:sz w:val="16"/>
      <w:szCs w:val="16"/>
    </w:rPr>
  </w:style>
  <w:style w:type="paragraph" w:customStyle="1" w:styleId="xl259">
    <w:name w:val="xl259"/>
    <w:basedOn w:val="a"/>
    <w:pPr>
      <w:pBdr>
        <w:top w:val="single" w:sz="4" w:space="0" w:color="auto"/>
        <w:bottom w:val="single" w:sz="4" w:space="0" w:color="auto"/>
        <w:right w:val="single" w:sz="4" w:space="0" w:color="auto"/>
      </w:pBdr>
      <w:shd w:val="clear" w:color="000000" w:fill="D7E4BC"/>
      <w:spacing w:before="100" w:beforeAutospacing="1" w:after="100" w:afterAutospacing="1"/>
      <w:jc w:val="center"/>
      <w:textAlignment w:val="center"/>
    </w:pPr>
    <w:rPr>
      <w:sz w:val="16"/>
      <w:szCs w:val="16"/>
    </w:rPr>
  </w:style>
  <w:style w:type="paragraph" w:customStyle="1" w:styleId="xl260">
    <w:name w:val="xl260"/>
    <w:basedOn w:val="a"/>
    <w:pPr>
      <w:pBdr>
        <w:right w:val="single" w:sz="4" w:space="0" w:color="auto"/>
      </w:pBdr>
      <w:shd w:val="clear" w:color="000000" w:fill="D7E4BC"/>
      <w:spacing w:before="100" w:beforeAutospacing="1" w:after="100" w:afterAutospacing="1"/>
      <w:jc w:val="center"/>
      <w:textAlignment w:val="center"/>
    </w:pPr>
    <w:rPr>
      <w:sz w:val="16"/>
      <w:szCs w:val="16"/>
    </w:rPr>
  </w:style>
  <w:style w:type="paragraph" w:customStyle="1" w:styleId="xl261">
    <w:name w:val="xl261"/>
    <w:basedOn w:val="a"/>
    <w:pPr>
      <w:pBdr>
        <w:left w:val="single" w:sz="4" w:space="0" w:color="auto"/>
        <w:right w:val="single" w:sz="4" w:space="0" w:color="auto"/>
      </w:pBdr>
      <w:shd w:val="clear" w:color="000000" w:fill="D7E4BC"/>
      <w:spacing w:before="100" w:beforeAutospacing="1" w:after="100" w:afterAutospacing="1"/>
      <w:jc w:val="center"/>
      <w:textAlignment w:val="center"/>
    </w:pPr>
    <w:rPr>
      <w:sz w:val="16"/>
      <w:szCs w:val="16"/>
    </w:rPr>
  </w:style>
  <w:style w:type="paragraph" w:customStyle="1" w:styleId="xl262">
    <w:name w:val="xl262"/>
    <w:basedOn w:val="a"/>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rPr>
  </w:style>
  <w:style w:type="paragraph" w:customStyle="1" w:styleId="xl263">
    <w:name w:val="xl263"/>
    <w:basedOn w:val="a"/>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rPr>
  </w:style>
  <w:style w:type="paragraph" w:customStyle="1" w:styleId="xl264">
    <w:name w:val="xl264"/>
    <w:basedOn w:val="a"/>
    <w:pPr>
      <w:pBdr>
        <w:left w:val="single" w:sz="4" w:space="0" w:color="auto"/>
        <w:right w:val="single" w:sz="4" w:space="0" w:color="auto"/>
      </w:pBdr>
      <w:shd w:val="clear" w:color="000000" w:fill="D7E4BC"/>
      <w:spacing w:before="100" w:beforeAutospacing="1" w:after="100" w:afterAutospacing="1"/>
      <w:jc w:val="center"/>
      <w:textAlignment w:val="center"/>
    </w:pPr>
    <w:rPr>
      <w:sz w:val="16"/>
      <w:szCs w:val="16"/>
    </w:rPr>
  </w:style>
  <w:style w:type="paragraph" w:customStyle="1" w:styleId="xl265">
    <w:name w:val="xl265"/>
    <w:basedOn w:val="a"/>
    <w:pPr>
      <w:pBdr>
        <w:left w:val="single" w:sz="4" w:space="0" w:color="auto"/>
        <w:right w:val="single" w:sz="4" w:space="0" w:color="auto"/>
      </w:pBdr>
      <w:shd w:val="clear" w:color="000000" w:fill="D7E4BC"/>
      <w:spacing w:before="100" w:beforeAutospacing="1" w:after="100" w:afterAutospacing="1"/>
      <w:jc w:val="center"/>
      <w:textAlignment w:val="center"/>
    </w:pPr>
    <w:rPr>
      <w:sz w:val="16"/>
      <w:szCs w:val="16"/>
    </w:rPr>
  </w:style>
  <w:style w:type="paragraph" w:customStyle="1" w:styleId="xl266">
    <w:name w:val="xl266"/>
    <w:basedOn w:val="a"/>
    <w:pPr>
      <w:pBdr>
        <w:right w:val="single" w:sz="4" w:space="0" w:color="auto"/>
      </w:pBdr>
      <w:shd w:val="clear" w:color="000000" w:fill="D7E4BC"/>
      <w:spacing w:before="100" w:beforeAutospacing="1" w:after="100" w:afterAutospacing="1"/>
      <w:jc w:val="center"/>
      <w:textAlignment w:val="center"/>
    </w:pPr>
    <w:rPr>
      <w:sz w:val="16"/>
      <w:szCs w:val="16"/>
    </w:rPr>
  </w:style>
  <w:style w:type="paragraph" w:customStyle="1" w:styleId="xl267">
    <w:name w:val="xl267"/>
    <w:basedOn w:val="a"/>
    <w:pPr>
      <w:pBdr>
        <w:left w:val="single" w:sz="4" w:space="0" w:color="auto"/>
        <w:right w:val="single" w:sz="4" w:space="0" w:color="auto"/>
      </w:pBdr>
      <w:shd w:val="clear" w:color="000000" w:fill="D7E4BC"/>
      <w:spacing w:before="100" w:beforeAutospacing="1" w:after="100" w:afterAutospacing="1"/>
      <w:jc w:val="center"/>
      <w:textAlignment w:val="center"/>
    </w:pPr>
    <w:rPr>
      <w:sz w:val="16"/>
      <w:szCs w:val="16"/>
    </w:rPr>
  </w:style>
  <w:style w:type="paragraph" w:customStyle="1" w:styleId="xl268">
    <w:name w:val="xl268"/>
    <w:basedOn w:val="a"/>
    <w:pPr>
      <w:pBdr>
        <w:top w:val="single" w:sz="4" w:space="0" w:color="auto"/>
        <w:left w:val="single" w:sz="4" w:space="0" w:color="auto"/>
        <w:bottom w:val="single" w:sz="4" w:space="0" w:color="auto"/>
      </w:pBdr>
      <w:shd w:val="clear" w:color="000000" w:fill="B6DDE8"/>
      <w:spacing w:before="100" w:beforeAutospacing="1" w:after="100" w:afterAutospacing="1"/>
      <w:jc w:val="center"/>
      <w:textAlignment w:val="center"/>
    </w:pPr>
    <w:rPr>
      <w:sz w:val="16"/>
      <w:szCs w:val="16"/>
    </w:rPr>
  </w:style>
  <w:style w:type="paragraph" w:customStyle="1" w:styleId="xl269">
    <w:name w:val="xl269"/>
    <w:basedOn w:val="a"/>
    <w:pPr>
      <w:pBdr>
        <w:top w:val="single" w:sz="4" w:space="0" w:color="auto"/>
        <w:left w:val="single" w:sz="4" w:space="0" w:color="auto"/>
        <w:bottom w:val="single" w:sz="4" w:space="0" w:color="auto"/>
        <w:right w:val="single" w:sz="4" w:space="0" w:color="auto"/>
      </w:pBdr>
      <w:shd w:val="clear" w:color="000000" w:fill="B6DDE8"/>
      <w:spacing w:before="100" w:beforeAutospacing="1" w:after="100" w:afterAutospacing="1"/>
      <w:jc w:val="center"/>
      <w:textAlignment w:val="center"/>
    </w:pPr>
    <w:rPr>
      <w:sz w:val="16"/>
      <w:szCs w:val="16"/>
    </w:rPr>
  </w:style>
  <w:style w:type="paragraph" w:customStyle="1" w:styleId="xl270">
    <w:name w:val="xl270"/>
    <w:basedOn w:val="a"/>
    <w:pPr>
      <w:pBdr>
        <w:top w:val="single" w:sz="4" w:space="0" w:color="auto"/>
        <w:bottom w:val="single" w:sz="4" w:space="0" w:color="auto"/>
        <w:right w:val="single" w:sz="4" w:space="0" w:color="auto"/>
      </w:pBdr>
      <w:shd w:val="clear" w:color="000000" w:fill="B6DDE8"/>
      <w:spacing w:before="100" w:beforeAutospacing="1" w:after="100" w:afterAutospacing="1"/>
      <w:jc w:val="center"/>
      <w:textAlignment w:val="center"/>
    </w:pPr>
    <w:rPr>
      <w:sz w:val="16"/>
      <w:szCs w:val="16"/>
    </w:rPr>
  </w:style>
  <w:style w:type="paragraph" w:customStyle="1" w:styleId="xl271">
    <w:name w:val="xl271"/>
    <w:basedOn w:val="a"/>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rPr>
  </w:style>
  <w:style w:type="paragraph" w:customStyle="1" w:styleId="xl272">
    <w:name w:val="xl272"/>
    <w:basedOn w:val="a"/>
    <w:pPr>
      <w:pBdr>
        <w:top w:val="single" w:sz="4" w:space="0" w:color="auto"/>
        <w:bottom w:val="single" w:sz="4" w:space="0" w:color="auto"/>
        <w:right w:val="single" w:sz="4" w:space="0" w:color="auto"/>
      </w:pBdr>
      <w:spacing w:before="100" w:beforeAutospacing="1" w:after="100" w:afterAutospacing="1"/>
      <w:jc w:val="center"/>
      <w:textAlignment w:val="center"/>
    </w:pPr>
    <w:rPr>
      <w:sz w:val="16"/>
      <w:szCs w:val="16"/>
    </w:rPr>
  </w:style>
  <w:style w:type="paragraph" w:customStyle="1" w:styleId="xl273">
    <w:name w:val="xl273"/>
    <w:basedOn w:val="a"/>
    <w:pPr>
      <w:pBdr>
        <w:top w:val="single" w:sz="4" w:space="0" w:color="auto"/>
        <w:left w:val="single" w:sz="4" w:space="0" w:color="auto"/>
        <w:bottom w:val="single" w:sz="4" w:space="0" w:color="auto"/>
      </w:pBdr>
      <w:shd w:val="clear" w:color="000000" w:fill="B6DDE8"/>
      <w:spacing w:before="100" w:beforeAutospacing="1" w:after="100" w:afterAutospacing="1"/>
      <w:jc w:val="center"/>
      <w:textAlignment w:val="center"/>
    </w:pPr>
    <w:rPr>
      <w:sz w:val="16"/>
      <w:szCs w:val="16"/>
    </w:rPr>
  </w:style>
  <w:style w:type="paragraph" w:customStyle="1" w:styleId="xl274">
    <w:name w:val="xl274"/>
    <w:basedOn w:val="a"/>
    <w:pPr>
      <w:pBdr>
        <w:top w:val="single" w:sz="4" w:space="0" w:color="auto"/>
        <w:left w:val="single" w:sz="4" w:space="0" w:color="auto"/>
        <w:bottom w:val="single" w:sz="4" w:space="0" w:color="auto"/>
        <w:right w:val="single" w:sz="4" w:space="0" w:color="auto"/>
      </w:pBdr>
      <w:shd w:val="clear" w:color="000000" w:fill="B6DDE8"/>
      <w:spacing w:before="100" w:beforeAutospacing="1" w:after="100" w:afterAutospacing="1"/>
      <w:jc w:val="center"/>
      <w:textAlignment w:val="center"/>
    </w:pPr>
    <w:rPr>
      <w:sz w:val="16"/>
      <w:szCs w:val="16"/>
    </w:rPr>
  </w:style>
  <w:style w:type="paragraph" w:customStyle="1" w:styleId="xl275">
    <w:name w:val="xl275"/>
    <w:basedOn w:val="a"/>
    <w:pPr>
      <w:pBdr>
        <w:top w:val="single" w:sz="4" w:space="0" w:color="auto"/>
        <w:bottom w:val="single" w:sz="4" w:space="0" w:color="auto"/>
        <w:right w:val="single" w:sz="4" w:space="0" w:color="auto"/>
      </w:pBdr>
      <w:shd w:val="clear" w:color="000000" w:fill="B6DDE8"/>
      <w:spacing w:before="100" w:beforeAutospacing="1" w:after="100" w:afterAutospacing="1"/>
      <w:jc w:val="center"/>
      <w:textAlignment w:val="center"/>
    </w:pPr>
    <w:rPr>
      <w:sz w:val="16"/>
      <w:szCs w:val="16"/>
    </w:rPr>
  </w:style>
  <w:style w:type="paragraph" w:customStyle="1" w:styleId="xl276">
    <w:name w:val="xl276"/>
    <w:basedOn w:val="a"/>
    <w:pPr>
      <w:spacing w:before="100" w:beforeAutospacing="1" w:after="100" w:afterAutospacing="1"/>
      <w:jc w:val="center"/>
      <w:textAlignment w:val="center"/>
    </w:pPr>
    <w:rPr>
      <w:sz w:val="16"/>
      <w:szCs w:val="16"/>
    </w:rPr>
  </w:style>
  <w:style w:type="paragraph" w:customStyle="1" w:styleId="xl277">
    <w:name w:val="xl277"/>
    <w:basedOn w:val="a"/>
    <w:pPr>
      <w:pBdr>
        <w:top w:val="single" w:sz="4" w:space="0" w:color="auto"/>
        <w:bottom w:val="single" w:sz="4" w:space="0" w:color="auto"/>
        <w:right w:val="single" w:sz="4" w:space="0" w:color="auto"/>
      </w:pBdr>
      <w:spacing w:before="100" w:beforeAutospacing="1" w:after="100" w:afterAutospacing="1"/>
      <w:jc w:val="center"/>
      <w:textAlignment w:val="center"/>
    </w:pPr>
    <w:rPr>
      <w:sz w:val="16"/>
      <w:szCs w:val="16"/>
    </w:rPr>
  </w:style>
  <w:style w:type="paragraph" w:customStyle="1" w:styleId="xl278">
    <w:name w:val="xl278"/>
    <w:basedOn w:val="a"/>
    <w:pPr>
      <w:pBdr>
        <w:top w:val="single" w:sz="4" w:space="0" w:color="auto"/>
        <w:bottom w:val="single" w:sz="4" w:space="0" w:color="auto"/>
        <w:right w:val="single" w:sz="4" w:space="0" w:color="auto"/>
      </w:pBdr>
      <w:shd w:val="clear" w:color="000000" w:fill="D7E4BC"/>
      <w:spacing w:before="100" w:beforeAutospacing="1" w:after="100" w:afterAutospacing="1"/>
      <w:jc w:val="center"/>
      <w:textAlignment w:val="center"/>
    </w:pPr>
    <w:rPr>
      <w:sz w:val="16"/>
      <w:szCs w:val="16"/>
    </w:rPr>
  </w:style>
  <w:style w:type="paragraph" w:customStyle="1" w:styleId="xl279">
    <w:name w:val="xl279"/>
    <w:basedOn w:val="a"/>
    <w:pPr>
      <w:pBdr>
        <w:top w:val="single" w:sz="4" w:space="0" w:color="auto"/>
        <w:bottom w:val="single" w:sz="4" w:space="0" w:color="auto"/>
        <w:right w:val="single" w:sz="4" w:space="0" w:color="auto"/>
      </w:pBdr>
      <w:spacing w:before="100" w:beforeAutospacing="1" w:after="100" w:afterAutospacing="1"/>
      <w:jc w:val="center"/>
      <w:textAlignment w:val="center"/>
    </w:pPr>
    <w:rPr>
      <w:sz w:val="16"/>
      <w:szCs w:val="16"/>
    </w:rPr>
  </w:style>
  <w:style w:type="paragraph" w:customStyle="1" w:styleId="xl280">
    <w:name w:val="xl280"/>
    <w:basedOn w:val="a"/>
    <w:pPr>
      <w:pBdr>
        <w:top w:val="single" w:sz="4" w:space="0" w:color="auto"/>
        <w:left w:val="single" w:sz="4" w:space="0" w:color="auto"/>
      </w:pBdr>
      <w:spacing w:before="100" w:beforeAutospacing="1" w:after="100" w:afterAutospacing="1"/>
      <w:jc w:val="center"/>
      <w:textAlignment w:val="center"/>
    </w:pPr>
    <w:rPr>
      <w:sz w:val="16"/>
      <w:szCs w:val="16"/>
    </w:rPr>
  </w:style>
  <w:style w:type="paragraph" w:customStyle="1" w:styleId="xl281">
    <w:name w:val="xl281"/>
    <w:basedOn w:val="a"/>
    <w:pPr>
      <w:pBdr>
        <w:top w:val="single" w:sz="4" w:space="0" w:color="auto"/>
        <w:left w:val="single" w:sz="4" w:space="0" w:color="auto"/>
        <w:right w:val="single" w:sz="4" w:space="0" w:color="auto"/>
      </w:pBdr>
      <w:spacing w:before="100" w:beforeAutospacing="1" w:after="100" w:afterAutospacing="1"/>
      <w:jc w:val="center"/>
      <w:textAlignment w:val="center"/>
    </w:pPr>
    <w:rPr>
      <w:sz w:val="16"/>
      <w:szCs w:val="16"/>
    </w:rPr>
  </w:style>
  <w:style w:type="paragraph" w:customStyle="1" w:styleId="xl282">
    <w:name w:val="xl282"/>
    <w:basedOn w:val="a"/>
    <w:pPr>
      <w:pBdr>
        <w:top w:val="single" w:sz="4" w:space="0" w:color="auto"/>
        <w:right w:val="single" w:sz="4" w:space="0" w:color="auto"/>
      </w:pBdr>
      <w:spacing w:before="100" w:beforeAutospacing="1" w:after="100" w:afterAutospacing="1"/>
      <w:jc w:val="center"/>
      <w:textAlignment w:val="center"/>
    </w:pPr>
    <w:rPr>
      <w:sz w:val="16"/>
      <w:szCs w:val="16"/>
    </w:rPr>
  </w:style>
  <w:style w:type="paragraph" w:customStyle="1" w:styleId="xl283">
    <w:name w:val="xl283"/>
    <w:basedOn w:val="a"/>
    <w:pPr>
      <w:pBdr>
        <w:right w:val="single" w:sz="4" w:space="0" w:color="auto"/>
      </w:pBdr>
      <w:shd w:val="clear" w:color="000000" w:fill="B6DDE8"/>
      <w:spacing w:before="100" w:beforeAutospacing="1" w:after="100" w:afterAutospacing="1"/>
      <w:jc w:val="center"/>
      <w:textAlignment w:val="center"/>
    </w:pPr>
    <w:rPr>
      <w:sz w:val="16"/>
      <w:szCs w:val="16"/>
    </w:rPr>
  </w:style>
  <w:style w:type="paragraph" w:customStyle="1" w:styleId="xl284">
    <w:name w:val="xl284"/>
    <w:basedOn w:val="a"/>
    <w:pPr>
      <w:pBdr>
        <w:left w:val="single" w:sz="4" w:space="0" w:color="auto"/>
        <w:right w:val="single" w:sz="4" w:space="0" w:color="auto"/>
      </w:pBdr>
      <w:shd w:val="clear" w:color="000000" w:fill="B6DDE8"/>
      <w:spacing w:before="100" w:beforeAutospacing="1" w:after="100" w:afterAutospacing="1"/>
      <w:jc w:val="center"/>
      <w:textAlignment w:val="center"/>
    </w:pPr>
    <w:rPr>
      <w:sz w:val="16"/>
      <w:szCs w:val="16"/>
    </w:rPr>
  </w:style>
  <w:style w:type="paragraph" w:customStyle="1" w:styleId="xl285">
    <w:name w:val="xl285"/>
    <w:basedOn w:val="a"/>
    <w:pPr>
      <w:shd w:val="clear" w:color="000000" w:fill="B6DDE8"/>
      <w:spacing w:before="100" w:beforeAutospacing="1" w:after="100" w:afterAutospacing="1"/>
      <w:jc w:val="center"/>
      <w:textAlignment w:val="center"/>
    </w:pPr>
    <w:rPr>
      <w:sz w:val="16"/>
      <w:szCs w:val="16"/>
    </w:rPr>
  </w:style>
  <w:style w:type="paragraph" w:customStyle="1" w:styleId="xl286">
    <w:name w:val="xl286"/>
    <w:basedOn w:val="a"/>
    <w:pPr>
      <w:pBdr>
        <w:right w:val="single" w:sz="4" w:space="0" w:color="auto"/>
      </w:pBdr>
      <w:shd w:val="clear" w:color="000000" w:fill="B6DDE8"/>
      <w:spacing w:before="100" w:beforeAutospacing="1" w:after="100" w:afterAutospacing="1"/>
      <w:jc w:val="center"/>
      <w:textAlignment w:val="center"/>
    </w:pPr>
    <w:rPr>
      <w:sz w:val="16"/>
      <w:szCs w:val="16"/>
    </w:rPr>
  </w:style>
  <w:style w:type="paragraph" w:customStyle="1" w:styleId="xl287">
    <w:name w:val="xl287"/>
    <w:basedOn w:val="a"/>
    <w:pPr>
      <w:pBdr>
        <w:left w:val="single" w:sz="4" w:space="0" w:color="auto"/>
        <w:bottom w:val="single" w:sz="4" w:space="0" w:color="auto"/>
      </w:pBdr>
      <w:spacing w:before="100" w:beforeAutospacing="1" w:after="100" w:afterAutospacing="1"/>
      <w:jc w:val="center"/>
      <w:textAlignment w:val="center"/>
    </w:pPr>
    <w:rPr>
      <w:sz w:val="16"/>
      <w:szCs w:val="16"/>
    </w:rPr>
  </w:style>
  <w:style w:type="paragraph" w:customStyle="1" w:styleId="xl288">
    <w:name w:val="xl288"/>
    <w:basedOn w:val="a"/>
    <w:pPr>
      <w:pBdr>
        <w:left w:val="single" w:sz="4" w:space="0" w:color="auto"/>
        <w:bottom w:val="single" w:sz="4" w:space="0" w:color="auto"/>
        <w:right w:val="single" w:sz="4" w:space="0" w:color="auto"/>
      </w:pBdr>
      <w:spacing w:before="100" w:beforeAutospacing="1" w:after="100" w:afterAutospacing="1"/>
      <w:jc w:val="center"/>
      <w:textAlignment w:val="center"/>
    </w:pPr>
    <w:rPr>
      <w:sz w:val="16"/>
      <w:szCs w:val="16"/>
    </w:rPr>
  </w:style>
  <w:style w:type="paragraph" w:customStyle="1" w:styleId="xl289">
    <w:name w:val="xl289"/>
    <w:basedOn w:val="a"/>
    <w:pPr>
      <w:pBdr>
        <w:bottom w:val="single" w:sz="4" w:space="0" w:color="auto"/>
        <w:right w:val="single" w:sz="4" w:space="0" w:color="auto"/>
      </w:pBdr>
      <w:spacing w:before="100" w:beforeAutospacing="1" w:after="100" w:afterAutospacing="1"/>
      <w:jc w:val="center"/>
      <w:textAlignment w:val="center"/>
    </w:pPr>
    <w:rPr>
      <w:sz w:val="16"/>
      <w:szCs w:val="16"/>
    </w:rPr>
  </w:style>
  <w:style w:type="paragraph" w:customStyle="1" w:styleId="xl290">
    <w:name w:val="xl290"/>
    <w:basedOn w:val="a"/>
    <w:pPr>
      <w:pBdr>
        <w:top w:val="single" w:sz="4" w:space="0" w:color="auto"/>
        <w:left w:val="single" w:sz="4" w:space="0" w:color="auto"/>
        <w:bottom w:val="single" w:sz="4" w:space="0" w:color="auto"/>
      </w:pBdr>
      <w:shd w:val="clear" w:color="000000" w:fill="B6DDE8"/>
      <w:spacing w:before="100" w:beforeAutospacing="1" w:after="100" w:afterAutospacing="1"/>
      <w:jc w:val="center"/>
      <w:textAlignment w:val="center"/>
    </w:pPr>
    <w:rPr>
      <w:sz w:val="16"/>
      <w:szCs w:val="16"/>
    </w:rPr>
  </w:style>
  <w:style w:type="paragraph" w:customStyle="1" w:styleId="xl291">
    <w:name w:val="xl291"/>
    <w:basedOn w:val="a"/>
    <w:pPr>
      <w:pBdr>
        <w:top w:val="single" w:sz="4" w:space="0" w:color="auto"/>
        <w:left w:val="single" w:sz="4" w:space="0" w:color="auto"/>
        <w:bottom w:val="single" w:sz="4" w:space="0" w:color="auto"/>
        <w:right w:val="single" w:sz="4" w:space="0" w:color="auto"/>
      </w:pBdr>
      <w:shd w:val="clear" w:color="000000" w:fill="B6DDE8"/>
      <w:spacing w:before="100" w:beforeAutospacing="1" w:after="100" w:afterAutospacing="1"/>
      <w:jc w:val="center"/>
      <w:textAlignment w:val="center"/>
    </w:pPr>
    <w:rPr>
      <w:sz w:val="16"/>
      <w:szCs w:val="16"/>
    </w:rPr>
  </w:style>
  <w:style w:type="paragraph" w:customStyle="1" w:styleId="xl292">
    <w:name w:val="xl292"/>
    <w:basedOn w:val="a"/>
    <w:pPr>
      <w:pBdr>
        <w:top w:val="single" w:sz="4" w:space="0" w:color="auto"/>
        <w:bottom w:val="single" w:sz="4" w:space="0" w:color="auto"/>
        <w:right w:val="single" w:sz="4" w:space="0" w:color="auto"/>
      </w:pBdr>
      <w:shd w:val="clear" w:color="000000" w:fill="B6DDE8"/>
      <w:spacing w:before="100" w:beforeAutospacing="1" w:after="100" w:afterAutospacing="1"/>
      <w:jc w:val="center"/>
      <w:textAlignment w:val="center"/>
    </w:pPr>
    <w:rPr>
      <w:sz w:val="16"/>
      <w:szCs w:val="16"/>
    </w:rPr>
  </w:style>
  <w:style w:type="paragraph" w:customStyle="1" w:styleId="xl293">
    <w:name w:val="xl293"/>
    <w:basedOn w:val="a"/>
    <w:pPr>
      <w:pBdr>
        <w:top w:val="single" w:sz="4" w:space="0" w:color="auto"/>
        <w:left w:val="single" w:sz="4" w:space="0" w:color="auto"/>
        <w:bottom w:val="single" w:sz="4" w:space="0" w:color="auto"/>
        <w:right w:val="single" w:sz="4" w:space="0" w:color="auto"/>
      </w:pBdr>
      <w:shd w:val="clear" w:color="000000" w:fill="D7E4BC"/>
      <w:spacing w:before="100" w:beforeAutospacing="1" w:after="100" w:afterAutospacing="1"/>
      <w:jc w:val="center"/>
      <w:textAlignment w:val="center"/>
    </w:pPr>
    <w:rPr>
      <w:b/>
      <w:bCs/>
      <w:sz w:val="16"/>
      <w:szCs w:val="16"/>
    </w:rPr>
  </w:style>
  <w:style w:type="paragraph" w:customStyle="1" w:styleId="xl294">
    <w:name w:val="xl294"/>
    <w:basedOn w:val="a"/>
    <w:pPr>
      <w:pBdr>
        <w:top w:val="single" w:sz="4" w:space="0" w:color="auto"/>
        <w:left w:val="single" w:sz="4" w:space="0" w:color="auto"/>
        <w:bottom w:val="single" w:sz="4" w:space="0" w:color="auto"/>
        <w:right w:val="single" w:sz="4" w:space="0" w:color="auto"/>
      </w:pBdr>
      <w:shd w:val="clear" w:color="000000" w:fill="D7E4BC"/>
      <w:spacing w:before="100" w:beforeAutospacing="1" w:after="100" w:afterAutospacing="1"/>
      <w:jc w:val="center"/>
      <w:textAlignment w:val="center"/>
    </w:pPr>
    <w:rPr>
      <w:sz w:val="16"/>
      <w:szCs w:val="16"/>
    </w:rPr>
  </w:style>
  <w:style w:type="paragraph" w:customStyle="1" w:styleId="xl295">
    <w:name w:val="xl295"/>
    <w:basedOn w:val="a"/>
    <w:pPr>
      <w:pBdr>
        <w:top w:val="single" w:sz="4" w:space="0" w:color="auto"/>
        <w:bottom w:val="single" w:sz="4" w:space="0" w:color="auto"/>
        <w:right w:val="single" w:sz="4" w:space="0" w:color="auto"/>
      </w:pBdr>
      <w:shd w:val="clear" w:color="000000" w:fill="D7E4BC"/>
      <w:spacing w:before="100" w:beforeAutospacing="1" w:after="100" w:afterAutospacing="1"/>
      <w:jc w:val="center"/>
      <w:textAlignment w:val="center"/>
    </w:pPr>
    <w:rPr>
      <w:sz w:val="16"/>
      <w:szCs w:val="16"/>
    </w:rPr>
  </w:style>
  <w:style w:type="paragraph" w:customStyle="1" w:styleId="xl296">
    <w:name w:val="xl296"/>
    <w:basedOn w:val="a"/>
    <w:pPr>
      <w:pBdr>
        <w:top w:val="single" w:sz="4" w:space="0" w:color="auto"/>
        <w:left w:val="dotted" w:sz="4" w:space="0" w:color="auto"/>
        <w:bottom w:val="single" w:sz="4" w:space="0" w:color="auto"/>
        <w:right w:val="single" w:sz="4" w:space="0" w:color="auto"/>
      </w:pBdr>
      <w:spacing w:before="100" w:beforeAutospacing="1" w:after="100" w:afterAutospacing="1"/>
      <w:jc w:val="center"/>
      <w:textAlignment w:val="center"/>
    </w:pPr>
    <w:rPr>
      <w:sz w:val="16"/>
      <w:szCs w:val="16"/>
    </w:rPr>
  </w:style>
  <w:style w:type="paragraph" w:customStyle="1" w:styleId="xl297">
    <w:name w:val="xl297"/>
    <w:basedOn w:val="a"/>
    <w:pPr>
      <w:pBdr>
        <w:top w:val="single" w:sz="4" w:space="0" w:color="auto"/>
        <w:bottom w:val="single" w:sz="4" w:space="0" w:color="auto"/>
        <w:right w:val="single" w:sz="4" w:space="0" w:color="auto"/>
      </w:pBdr>
      <w:spacing w:before="100" w:beforeAutospacing="1" w:after="100" w:afterAutospacing="1"/>
      <w:jc w:val="center"/>
      <w:textAlignment w:val="center"/>
    </w:pPr>
    <w:rPr>
      <w:sz w:val="16"/>
      <w:szCs w:val="16"/>
    </w:rPr>
  </w:style>
  <w:style w:type="paragraph" w:customStyle="1" w:styleId="xl298">
    <w:name w:val="xl298"/>
    <w:basedOn w:val="a"/>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rPr>
  </w:style>
  <w:style w:type="paragraph" w:customStyle="1" w:styleId="xl299">
    <w:name w:val="xl299"/>
    <w:basedOn w:val="a"/>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rPr>
  </w:style>
  <w:style w:type="paragraph" w:customStyle="1" w:styleId="xl300">
    <w:name w:val="xl300"/>
    <w:basedOn w:val="a"/>
    <w:pPr>
      <w:pBdr>
        <w:top w:val="single" w:sz="4" w:space="0" w:color="auto"/>
        <w:left w:val="dotted" w:sz="4" w:space="0" w:color="auto"/>
        <w:bottom w:val="single" w:sz="4" w:space="0" w:color="auto"/>
        <w:right w:val="single" w:sz="4" w:space="0" w:color="auto"/>
      </w:pBdr>
      <w:spacing w:before="100" w:beforeAutospacing="1" w:after="100" w:afterAutospacing="1"/>
      <w:jc w:val="center"/>
      <w:textAlignment w:val="center"/>
    </w:pPr>
    <w:rPr>
      <w:sz w:val="16"/>
      <w:szCs w:val="16"/>
    </w:rPr>
  </w:style>
  <w:style w:type="paragraph" w:customStyle="1" w:styleId="xl301">
    <w:name w:val="xl301"/>
    <w:basedOn w:val="a"/>
    <w:pPr>
      <w:pBdr>
        <w:top w:val="single" w:sz="4" w:space="0" w:color="auto"/>
        <w:left w:val="dotted" w:sz="4" w:space="0" w:color="auto"/>
        <w:right w:val="single" w:sz="4" w:space="0" w:color="auto"/>
      </w:pBdr>
      <w:spacing w:before="100" w:beforeAutospacing="1" w:after="100" w:afterAutospacing="1"/>
      <w:jc w:val="center"/>
      <w:textAlignment w:val="center"/>
    </w:pPr>
    <w:rPr>
      <w:sz w:val="16"/>
      <w:szCs w:val="16"/>
    </w:rPr>
  </w:style>
  <w:style w:type="paragraph" w:customStyle="1" w:styleId="xl302">
    <w:name w:val="xl302"/>
    <w:basedOn w:val="a"/>
    <w:pPr>
      <w:pBdr>
        <w:top w:val="single" w:sz="4" w:space="0" w:color="auto"/>
        <w:right w:val="single" w:sz="4" w:space="0" w:color="auto"/>
      </w:pBdr>
      <w:spacing w:before="100" w:beforeAutospacing="1" w:after="100" w:afterAutospacing="1"/>
      <w:jc w:val="center"/>
      <w:textAlignment w:val="center"/>
    </w:pPr>
    <w:rPr>
      <w:sz w:val="16"/>
      <w:szCs w:val="16"/>
    </w:rPr>
  </w:style>
  <w:style w:type="paragraph" w:customStyle="1" w:styleId="xl303">
    <w:name w:val="xl303"/>
    <w:basedOn w:val="a"/>
    <w:pPr>
      <w:pBdr>
        <w:top w:val="single" w:sz="4" w:space="0" w:color="auto"/>
        <w:left w:val="single" w:sz="4" w:space="0" w:color="auto"/>
        <w:right w:val="single" w:sz="4" w:space="0" w:color="auto"/>
      </w:pBdr>
      <w:spacing w:before="100" w:beforeAutospacing="1" w:after="100" w:afterAutospacing="1"/>
      <w:jc w:val="center"/>
      <w:textAlignment w:val="center"/>
    </w:pPr>
    <w:rPr>
      <w:sz w:val="16"/>
      <w:szCs w:val="16"/>
    </w:rPr>
  </w:style>
  <w:style w:type="paragraph" w:customStyle="1" w:styleId="xl304">
    <w:name w:val="xl304"/>
    <w:basedOn w:val="a"/>
    <w:pPr>
      <w:pBdr>
        <w:top w:val="single" w:sz="4" w:space="0" w:color="auto"/>
        <w:left w:val="single" w:sz="4" w:space="0" w:color="auto"/>
        <w:right w:val="single" w:sz="4" w:space="0" w:color="auto"/>
      </w:pBdr>
      <w:spacing w:before="100" w:beforeAutospacing="1" w:after="100" w:afterAutospacing="1"/>
      <w:jc w:val="center"/>
      <w:textAlignment w:val="center"/>
    </w:pPr>
    <w:rPr>
      <w:sz w:val="16"/>
      <w:szCs w:val="16"/>
    </w:rPr>
  </w:style>
  <w:style w:type="paragraph" w:customStyle="1" w:styleId="xl305">
    <w:name w:val="xl305"/>
    <w:basedOn w:val="a"/>
    <w:pPr>
      <w:pBdr>
        <w:top w:val="single" w:sz="4" w:space="0" w:color="auto"/>
        <w:left w:val="dotted" w:sz="4" w:space="0" w:color="auto"/>
        <w:bottom w:val="single" w:sz="4" w:space="0" w:color="auto"/>
        <w:right w:val="single" w:sz="4" w:space="0" w:color="auto"/>
      </w:pBdr>
      <w:spacing w:before="100" w:beforeAutospacing="1" w:after="100" w:afterAutospacing="1"/>
      <w:jc w:val="center"/>
      <w:textAlignment w:val="center"/>
    </w:pPr>
    <w:rPr>
      <w:sz w:val="16"/>
      <w:szCs w:val="16"/>
    </w:rPr>
  </w:style>
  <w:style w:type="paragraph" w:customStyle="1" w:styleId="xl306">
    <w:name w:val="xl306"/>
    <w:basedOn w:val="a"/>
    <w:pPr>
      <w:pBdr>
        <w:top w:val="single" w:sz="4" w:space="0" w:color="auto"/>
        <w:bottom w:val="single" w:sz="4" w:space="0" w:color="auto"/>
        <w:right w:val="single" w:sz="4" w:space="0" w:color="auto"/>
      </w:pBdr>
      <w:spacing w:before="100" w:beforeAutospacing="1" w:after="100" w:afterAutospacing="1"/>
      <w:jc w:val="center"/>
      <w:textAlignment w:val="center"/>
    </w:pPr>
    <w:rPr>
      <w:sz w:val="16"/>
      <w:szCs w:val="16"/>
    </w:rPr>
  </w:style>
  <w:style w:type="paragraph" w:customStyle="1" w:styleId="xl307">
    <w:name w:val="xl307"/>
    <w:basedOn w:val="a"/>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rPr>
  </w:style>
  <w:style w:type="paragraph" w:customStyle="1" w:styleId="xl308">
    <w:name w:val="xl308"/>
    <w:basedOn w:val="a"/>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rPr>
  </w:style>
  <w:style w:type="paragraph" w:customStyle="1" w:styleId="xl309">
    <w:name w:val="xl309"/>
    <w:basedOn w:val="a"/>
    <w:pPr>
      <w:spacing w:before="100" w:beforeAutospacing="1" w:after="100" w:afterAutospacing="1"/>
      <w:jc w:val="center"/>
      <w:textAlignment w:val="center"/>
    </w:pPr>
    <w:rPr>
      <w:sz w:val="16"/>
      <w:szCs w:val="16"/>
    </w:rPr>
  </w:style>
  <w:style w:type="character" w:customStyle="1" w:styleId="30">
    <w:name w:val="Заголовок 3 Знак"/>
    <w:basedOn w:val="a0"/>
    <w:link w:val="3"/>
    <w:uiPriority w:val="9"/>
    <w:rPr>
      <w:rFonts w:ascii="Cambria" w:eastAsia="SimSun" w:hAnsi="Cambria" w:cs="SimSun"/>
      <w:b/>
      <w:bCs/>
      <w:color w:val="4F81BD"/>
      <w:lang w:val="uk-UA"/>
    </w:rPr>
  </w:style>
  <w:style w:type="paragraph" w:customStyle="1" w:styleId="111">
    <w:name w:val="111"/>
    <w:basedOn w:val="af5"/>
    <w:qFormat/>
    <w:pPr>
      <w:spacing w:line="360" w:lineRule="auto"/>
      <w:ind w:firstLine="709"/>
      <w:jc w:val="both"/>
    </w:pPr>
    <w:rPr>
      <w:rFonts w:eastAsia="Calibri"/>
      <w:sz w:val="28"/>
      <w:szCs w:val="28"/>
      <w:lang w:val="uk-UA" w:eastAsia="en-US"/>
    </w:rPr>
  </w:style>
  <w:style w:type="paragraph" w:styleId="af5">
    <w:name w:val="No Spacing"/>
    <w:uiPriority w:val="1"/>
    <w:qFormat/>
    <w:pPr>
      <w:spacing w:after="0"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chart" Target="charts/chart6.xml"/><Relationship Id="rId26" Type="http://schemas.openxmlformats.org/officeDocument/2006/relationships/hyperlink" Target="https://doi.org/10.32782/2524-0072/2024-61-146" TargetMode="External"/><Relationship Id="rId39" Type="http://schemas.openxmlformats.org/officeDocument/2006/relationships/hyperlink" Target="https://tradingeconomics.com/ukraine/political-stability-and-absence-of-violence-terrorism-percentile-rank-wb-data.html" TargetMode="External"/><Relationship Id="rId21" Type="http://schemas.openxmlformats.org/officeDocument/2006/relationships/chart" Target="charts/chart9.xml"/><Relationship Id="rId34" Type="http://schemas.openxmlformats.org/officeDocument/2006/relationships/hyperlink" Target="https://doi.org/10.32782/2524-0072/2025-74-118" TargetMode="External"/><Relationship Id="rId42" Type="http://schemas.openxmlformats.org/officeDocument/2006/relationships/hyperlink" Target="https://www.visionofhumanity.org/wp-content/uploads/2025/06/Global-Peace-Index-2025-web.pdf" TargetMode="External"/><Relationship Id="rId47" Type="http://schemas.openxmlformats.org/officeDocument/2006/relationships/hyperlink" Target="https://globusplus.ua/about" TargetMode="External"/><Relationship Id="rId50" Type="http://schemas.openxmlformats.org/officeDocument/2006/relationships/hyperlink" Target="https://www.nber.org/system/files/working_papers/w30009/w30009.pdf" TargetMode="External"/><Relationship Id="rId55" Type="http://schemas.openxmlformats.org/officeDocument/2006/relationships/fontTable" Target="fontTable.xml"/><Relationship Id="rId7" Type="http://schemas.openxmlformats.org/officeDocument/2006/relationships/endnotes" Target="endnotes.xml"/><Relationship Id="rId12" Type="http://schemas.microsoft.com/office/2007/relationships/diagramDrawing" Target="diagrams/drawing1.xml"/><Relationship Id="rId17" Type="http://schemas.openxmlformats.org/officeDocument/2006/relationships/chart" Target="charts/chart5.xml"/><Relationship Id="rId25" Type="http://schemas.openxmlformats.org/officeDocument/2006/relationships/hyperlink" Target="https://openbudget.gov.ua/" TargetMode="External"/><Relationship Id="rId33" Type="http://schemas.openxmlformats.org/officeDocument/2006/relationships/hyperlink" Target="https://bank.gov.ua/ua/payments/e-hryvnia" TargetMode="External"/><Relationship Id="rId38" Type="http://schemas.openxmlformats.org/officeDocument/2006/relationships/hyperlink" Target="https://ces.org.ua/macroforecasts-2025-2026/" TargetMode="External"/><Relationship Id="rId46" Type="http://schemas.openxmlformats.org/officeDocument/2006/relationships/hyperlink" Target="https://plusworld.ru/professionals/dengi-i-tehnologii-pochemu-ne-spyat-bankiry/" TargetMode="External"/><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chart" Target="charts/chart8.xml"/><Relationship Id="rId29" Type="http://schemas.openxmlformats.org/officeDocument/2006/relationships/hyperlink" Target="https://index.minfin.com.ua/ua/finance/budget/gov/" TargetMode="External"/><Relationship Id="rId41" Type="http://schemas.openxmlformats.org/officeDocument/2006/relationships/hyperlink" Target="https://www.economicsandpeace.org/wp-%20content/uploads/2024/06/GPI-2024-web.pdf" TargetMode="External"/><Relationship Id="rId54"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hyperlink" Target="https://doi.org/10.32782/2524-0072/2023-50-21" TargetMode="External"/><Relationship Id="rId32" Type="http://schemas.openxmlformats.org/officeDocument/2006/relationships/hyperlink" Target="https://vechirniy.kyiv.ua/news/32772/" TargetMode="External"/><Relationship Id="rId37" Type="http://schemas.openxmlformats.org/officeDocument/2006/relationships/hyperlink" Target="https://essuir.sumdu.edu.ua/server/api/core/bitstreams/7a5cba63-6853-4f7b-884a-8c44153fd4cb/content" TargetMode="External"/><Relationship Id="rId40" Type="http://schemas.openxmlformats.org/officeDocument/2006/relationships/hyperlink" Target="https://www.visionofhumanity.org/wp-content/uploads/2023/06/GPI-2023-Web.pdf" TargetMode="External"/><Relationship Id="rId45" Type="http://schemas.openxmlformats.org/officeDocument/2006/relationships/hyperlink" Target="https://smebanking.agency/ua/digital-banking-2025-top20-sme-banks-na-rivni-kra%D1%97n/" TargetMode="External"/><Relationship Id="rId53" Type="http://schemas.openxmlformats.org/officeDocument/2006/relationships/hyperlink" Target="https://niss.gov.ua/news/komentari-ekspertiv/ohlyad-instrumentiv-pidtrymky-finansovoyi-stiykosti-v-umovakh-voyennoho-17" TargetMode="External"/><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hyperlink" Target="https://www.nssmc.gov.ua/news/insights/" TargetMode="External"/><Relationship Id="rId28" Type="http://schemas.openxmlformats.org/officeDocument/2006/relationships/hyperlink" Target="https://doi.org/10.70651/3083-6018/2025.4.19" TargetMode="External"/><Relationship Id="rId36" Type="http://schemas.openxmlformats.org/officeDocument/2006/relationships/hyperlink" Target="https://economyandsociety.in.ua/index.php/journal/article/view/2633" TargetMode="External"/><Relationship Id="rId49" Type="http://schemas.openxmlformats.org/officeDocument/2006/relationships/hyperlink" Target="https://www.emerald.com/insight/content/doi/10.1108/JRF-05-2022-0127/full/html" TargetMode="External"/><Relationship Id="rId10" Type="http://schemas.openxmlformats.org/officeDocument/2006/relationships/diagramQuickStyle" Target="diagrams/quickStyle1.xml"/><Relationship Id="rId19" Type="http://schemas.openxmlformats.org/officeDocument/2006/relationships/chart" Target="charts/chart7.xml"/><Relationship Id="rId31" Type="http://schemas.openxmlformats.org/officeDocument/2006/relationships/hyperlink" Target="https://doi.org/10.32782/2524-0072/2024-70-34" TargetMode="External"/><Relationship Id="rId44" Type="http://schemas.openxmlformats.org/officeDocument/2006/relationships/hyperlink" Target="URL:http://bankogra-fo.com/" TargetMode="External"/><Relationship Id="rId52" Type="http://schemas.openxmlformats.org/officeDocument/2006/relationships/hyperlink" Target="https://niss.gov.ua/news/komentari-ekspertiv/dopomoha-mizhnarodnykh-finansovykh-instytutiv-ukrayini-berezen-2024-roku" TargetMode="Externa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chart" Target="charts/chart2.xml"/><Relationship Id="rId22" Type="http://schemas.openxmlformats.org/officeDocument/2006/relationships/chart" Target="charts/chart10.xml"/><Relationship Id="rId27" Type="http://schemas.openxmlformats.org/officeDocument/2006/relationships/hyperlink" Target="https://doi.org/10.32782/2524-0072/2024-63-21" TargetMode="External"/><Relationship Id="rId30" Type="http://schemas.openxmlformats.org/officeDocument/2006/relationships/hyperlink" Target="https://bank.gov.ua/ua/statistic/supervision-statist" TargetMode="External"/><Relationship Id="rId35" Type="http://schemas.openxmlformats.org/officeDocument/2006/relationships/hyperlink" Target="https://doi.org/10.32782/2524-0072/2025-75-40" TargetMode="External"/><Relationship Id="rId43" Type="http://schemas.openxmlformats.org/officeDocument/2006/relationships/hyperlink" Target="https://worldjusticeproject.org/rule-of-law-index/country/2024/Ukraine" TargetMode="External"/><Relationship Id="rId48" Type="http://schemas.openxmlformats.org/officeDocument/2006/relationships/hyperlink" Target="https://bank.gov.ua/admin_uploads/article/Tracking_the_War_in_Real_Time_NBU_pr_2023-03-21.pdf?v=4" TargetMode="External"/><Relationship Id="rId56" Type="http://schemas.openxmlformats.org/officeDocument/2006/relationships/theme" Target="theme/theme1.xml"/><Relationship Id="rId8" Type="http://schemas.openxmlformats.org/officeDocument/2006/relationships/diagramData" Target="diagrams/data1.xml"/><Relationship Id="rId51" Type="http://schemas.openxmlformats.org/officeDocument/2006/relationships/hyperlink" Target="https://www.sciencedirect.com/science/article/pii/S2214845022000667" TargetMode="Externa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file:///D:\2025%20&#1056;&#1054;&#1041;&#1054;&#1058;&#1040;\WB\&#1044;&#1080;&#1087;&#1083;&#1086;&#1084;_&#1042;&#1087;&#1083;&#1080;&#1074;%20&#1074;&#1110;&#1081;&#1085;&#1080;%20&#1085;&#1072;%20&#1088;&#1086;&#1079;&#1074;&#1080;&#1090;&#1086;&#1082;%20&#1092;&#1110;&#1085;&#1072;&#1085;&#1089;&#1086;&#1074;&#1086;&#1075;&#1086;%20&#1088;&#1080;&#1085;&#1082;&#1091;%20&#1059;&#1082;&#1088;&#1072;&#1111;&#1085;&#1080;%20&#1079;&#1072;&#1075;&#1088;&#1086;&#1079;&#1080;%20&#1090;&#1072;%20&#1087;&#1077;&#1088;&#1089;&#1087;&#1077;&#1082;&#1090;&#1080;&#1074;&#1080;\&#1050;&#1085;&#1080;&#1075;&#1072;1.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D:\2025%20&#1056;&#1054;&#1041;&#1054;&#1058;&#1040;\WB\&#1044;&#1080;&#1087;&#1083;&#1086;&#1084;_&#1042;&#1087;&#1083;&#1080;&#1074;%20&#1074;&#1110;&#1081;&#1085;&#1080;%20&#1085;&#1072;%20&#1088;&#1086;&#1079;&#1074;&#1080;&#1090;&#1086;&#1082;%20&#1092;&#1110;&#1085;&#1072;&#1085;&#1089;&#1086;&#1074;&#1086;&#1075;&#1086;%20&#1088;&#1080;&#1085;&#1082;&#1091;%20&#1059;&#1082;&#1088;&#1072;&#1111;&#1085;&#1080;%20&#1079;&#1072;&#1075;&#1088;&#1086;&#1079;&#1080;%20&#1090;&#1072;%20&#1087;&#1077;&#1088;&#1089;&#1087;&#1077;&#1082;&#1090;&#1080;&#1074;&#1080;\&#1050;&#1085;&#1080;&#1075;&#1072;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2025%20&#1056;&#1054;&#1041;&#1054;&#1058;&#1040;\WB\&#1044;&#1080;&#1087;&#1083;&#1086;&#1084;_&#1042;&#1087;&#1083;&#1080;&#1074;%20&#1074;&#1110;&#1081;&#1085;&#1080;%20&#1085;&#1072;%20&#1088;&#1086;&#1079;&#1074;&#1080;&#1090;&#1086;&#1082;%20&#1092;&#1110;&#1085;&#1072;&#1085;&#1089;&#1086;&#1074;&#1086;&#1075;&#1086;%20&#1088;&#1080;&#1085;&#1082;&#1091;%20&#1059;&#1082;&#1088;&#1072;&#1111;&#1085;&#1080;%20&#1079;&#1072;&#1075;&#1088;&#1086;&#1079;&#1080;%20&#1090;&#1072;%20&#1087;&#1077;&#1088;&#1089;&#1087;&#1077;&#1082;&#1090;&#1080;&#1074;&#1080;\&#1050;&#1085;&#1080;&#1075;&#1072;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2025%20&#1056;&#1054;&#1041;&#1054;&#1058;&#1040;\WB\&#1044;&#1080;&#1087;&#1083;&#1086;&#1084;_&#1042;&#1087;&#1083;&#1080;&#1074;%20&#1074;&#1110;&#1081;&#1085;&#1080;%20&#1085;&#1072;%20&#1088;&#1086;&#1079;&#1074;&#1080;&#1090;&#1086;&#1082;%20&#1092;&#1110;&#1085;&#1072;&#1085;&#1089;&#1086;&#1074;&#1086;&#1075;&#1086;%20&#1088;&#1080;&#1085;&#1082;&#1091;%20&#1059;&#1082;&#1088;&#1072;&#1111;&#1085;&#1080;%20&#1079;&#1072;&#1075;&#1088;&#1086;&#1079;&#1080;%20&#1090;&#1072;%20&#1087;&#1077;&#1088;&#1089;&#1087;&#1077;&#1082;&#1090;&#1080;&#1074;&#1080;\&#1050;&#1085;&#1080;&#1075;&#1072;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2025%20&#1056;&#1054;&#1041;&#1054;&#1058;&#1040;\WB\&#1044;&#1080;&#1087;&#1083;&#1086;&#1084;_&#1042;&#1087;&#1083;&#1080;&#1074;%20&#1074;&#1110;&#1081;&#1085;&#1080;%20&#1085;&#1072;%20&#1088;&#1086;&#1079;&#1074;&#1080;&#1090;&#1086;&#1082;%20&#1092;&#1110;&#1085;&#1072;&#1085;&#1089;&#1086;&#1074;&#1086;&#1075;&#1086;%20&#1088;&#1080;&#1085;&#1082;&#1091;%20&#1059;&#1082;&#1088;&#1072;&#1111;&#1085;&#1080;%20&#1079;&#1072;&#1075;&#1088;&#1086;&#1079;&#1080;%20&#1090;&#1072;%20&#1087;&#1077;&#1088;&#1089;&#1087;&#1077;&#1082;&#1090;&#1080;&#1074;&#1080;\&#1050;&#1085;&#1080;&#1075;&#1072;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2025%20&#1056;&#1054;&#1041;&#1054;&#1058;&#1040;\WB\&#1044;&#1080;&#1087;&#1083;&#1086;&#1084;_&#1042;&#1087;&#1083;&#1080;&#1074;%20&#1074;&#1110;&#1081;&#1085;&#1080;%20&#1085;&#1072;%20&#1088;&#1086;&#1079;&#1074;&#1080;&#1090;&#1086;&#1082;%20&#1092;&#1110;&#1085;&#1072;&#1085;&#1089;&#1086;&#1074;&#1086;&#1075;&#1086;%20&#1088;&#1080;&#1085;&#1082;&#1091;%20&#1059;&#1082;&#1088;&#1072;&#1111;&#1085;&#1080;%20&#1079;&#1072;&#1075;&#1088;&#1086;&#1079;&#1080;%20&#1090;&#1072;%20&#1087;&#1077;&#1088;&#1089;&#1087;&#1077;&#1082;&#1090;&#1080;&#1074;&#1080;\&#1050;&#1085;&#1080;&#1075;&#1072;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2025%20&#1056;&#1054;&#1041;&#1054;&#1058;&#1040;\WB\&#1044;&#1080;&#1087;&#1083;&#1086;&#1084;_&#1042;&#1087;&#1083;&#1080;&#1074;%20&#1074;&#1110;&#1081;&#1085;&#1080;%20&#1085;&#1072;%20&#1088;&#1086;&#1079;&#1074;&#1080;&#1090;&#1086;&#1082;%20&#1092;&#1110;&#1085;&#1072;&#1085;&#1089;&#1086;&#1074;&#1086;&#1075;&#1086;%20&#1088;&#1080;&#1085;&#1082;&#1091;%20&#1059;&#1082;&#1088;&#1072;&#1111;&#1085;&#1080;%20&#1079;&#1072;&#1075;&#1088;&#1086;&#1079;&#1080;%20&#1090;&#1072;%20&#1087;&#1077;&#1088;&#1089;&#1087;&#1077;&#1082;&#1090;&#1080;&#1074;&#1080;\&#1050;&#1085;&#1080;&#1075;&#1072;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D:\2025%20&#1056;&#1054;&#1041;&#1054;&#1058;&#1040;\WB\&#1044;&#1080;&#1087;&#1083;&#1086;&#1084;_&#1042;&#1087;&#1083;&#1080;&#1074;%20&#1074;&#1110;&#1081;&#1085;&#1080;%20&#1085;&#1072;%20&#1088;&#1086;&#1079;&#1074;&#1080;&#1090;&#1086;&#1082;%20&#1092;&#1110;&#1085;&#1072;&#1085;&#1089;&#1086;&#1074;&#1086;&#1075;&#1086;%20&#1088;&#1080;&#1085;&#1082;&#1091;%20&#1059;&#1082;&#1088;&#1072;&#1111;&#1085;&#1080;%20&#1079;&#1072;&#1075;&#1088;&#1086;&#1079;&#1080;%20&#1090;&#1072;%20&#1087;&#1077;&#1088;&#1089;&#1087;&#1077;&#1082;&#1090;&#1080;&#1074;&#1080;\&#1050;&#1085;&#1080;&#1075;&#1072;1.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D:\2025%20&#1056;&#1054;&#1041;&#1054;&#1058;&#1040;\WB\&#1044;&#1080;&#1087;&#1083;&#1086;&#1084;_&#1042;&#1087;&#1083;&#1080;&#1074;%20&#1074;&#1110;&#1081;&#1085;&#1080;%20&#1085;&#1072;%20&#1088;&#1086;&#1079;&#1074;&#1080;&#1090;&#1086;&#1082;%20&#1092;&#1110;&#1085;&#1072;&#1085;&#1089;&#1086;&#1074;&#1086;&#1075;&#1086;%20&#1088;&#1080;&#1085;&#1082;&#1091;%20&#1059;&#1082;&#1088;&#1072;&#1111;&#1085;&#1080;%20&#1079;&#1072;&#1075;&#1088;&#1086;&#1079;&#1080;%20&#1090;&#1072;%20&#1087;&#1077;&#1088;&#1089;&#1087;&#1077;&#1082;&#1090;&#1080;&#1074;&#1080;\&#1050;&#1085;&#1080;&#1075;&#1072;1.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D:\2025%20&#1056;&#1054;&#1041;&#1054;&#1058;&#1040;\WB\&#1044;&#1080;&#1087;&#1083;&#1086;&#1084;_&#1042;&#1087;&#1083;&#1080;&#1074;%20&#1074;&#1110;&#1081;&#1085;&#1080;%20&#1085;&#1072;%20&#1088;&#1086;&#1079;&#1074;&#1080;&#1090;&#1086;&#1082;%20&#1092;&#1110;&#1085;&#1072;&#1085;&#1089;&#1086;&#1074;&#1086;&#1075;&#1086;%20&#1088;&#1080;&#1085;&#1082;&#1091;%20&#1059;&#1082;&#1088;&#1072;&#1111;&#1085;&#1080;%20&#1079;&#1072;&#1075;&#1088;&#1086;&#1079;&#1080;%20&#1090;&#1072;%20&#1087;&#1077;&#1088;&#1089;&#1087;&#1077;&#1082;&#1090;&#1080;&#1074;&#1080;\&#1050;&#1085;&#1080;&#1075;&#1072;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pieChart>
        <c:varyColors val="1"/>
        <c:ser>
          <c:idx val="0"/>
          <c:order val="0"/>
          <c:tx>
            <c:strRef>
              <c:f>Лист1!$E$84</c:f>
              <c:strCache>
                <c:ptCount val="1"/>
                <c:pt idx="0">
                  <c:v>2021</c:v>
                </c:pt>
              </c:strCache>
            </c:strRef>
          </c:tx>
          <c:explosion val="25"/>
          <c:dLbls>
            <c:dLbl>
              <c:idx val="0"/>
              <c:layout>
                <c:manualLayout>
                  <c:x val="2.9185006788560296E-2"/>
                  <c:y val="-5.2275924073026834E-3"/>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3E5-48F5-8BA8-0F85569FECEC}"/>
                </c:ext>
              </c:extLst>
            </c:dLbl>
            <c:dLbl>
              <c:idx val="1"/>
              <c:layout>
                <c:manualLayout>
                  <c:x val="3.5773703947362546E-2"/>
                  <c:y val="-1.9197807456388421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3E5-48F5-8BA8-0F85569FECEC}"/>
                </c:ext>
              </c:extLst>
            </c:dLbl>
            <c:dLbl>
              <c:idx val="2"/>
              <c:layout>
                <c:manualLayout>
                  <c:x val="3.7861063478617341E-2"/>
                  <c:y val="-1.5316193210655301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2-E3E5-48F5-8BA8-0F85569FECEC}"/>
                </c:ext>
              </c:extLst>
            </c:dLbl>
            <c:dLbl>
              <c:idx val="3"/>
              <c:layout>
                <c:manualLayout>
                  <c:x val="0.12237118472649823"/>
                  <c:y val="-0.14252606545728749"/>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3-E3E5-48F5-8BA8-0F85569FECEC}"/>
                </c:ext>
              </c:extLst>
            </c:dLbl>
            <c:dLbl>
              <c:idx val="7"/>
              <c:layout>
                <c:manualLayout>
                  <c:x val="-4.7130996449953513E-2"/>
                  <c:y val="-0.13084932063050131"/>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4-E3E5-48F5-8BA8-0F85569FECEC}"/>
                </c:ext>
              </c:extLst>
            </c:dLbl>
            <c:spPr>
              <a:noFill/>
              <a:ln>
                <a:noFill/>
              </a:ln>
              <a:effectLst/>
            </c:spPr>
            <c:showLegendKey val="0"/>
            <c:showVal val="1"/>
            <c:showCatName val="1"/>
            <c:showSerName val="0"/>
            <c:showPercent val="0"/>
            <c:showBubbleSize val="0"/>
            <c:showLeaderLines val="1"/>
            <c:extLst>
              <c:ext xmlns:c15="http://schemas.microsoft.com/office/drawing/2012/chart" uri="{CE6537A1-D6FC-4f65-9D91-7224C49458BB}"/>
            </c:extLst>
          </c:dLbls>
          <c:cat>
            <c:strRef>
              <c:f>Лист1!$D$85:$D$94</c:f>
              <c:strCache>
                <c:ptCount val="10"/>
                <c:pt idx="0">
                  <c:v>Загальнодержавні функції </c:v>
                </c:pt>
                <c:pt idx="1">
                  <c:v>Оборона</c:v>
                </c:pt>
                <c:pt idx="2">
                  <c:v>Громадський порядок, безпека та судова влада </c:v>
                </c:pt>
                <c:pt idx="3">
                  <c:v>Економічна діяльність</c:v>
                </c:pt>
                <c:pt idx="4">
                  <c:v>Житлово-комунальне господарство</c:v>
                </c:pt>
                <c:pt idx="5">
                  <c:v>Охорона здоров'я </c:v>
                </c:pt>
                <c:pt idx="6">
                  <c:v>Духовний та фізичний розвиток</c:v>
                </c:pt>
                <c:pt idx="7">
                  <c:v>Освіта</c:v>
                </c:pt>
                <c:pt idx="8">
                  <c:v>Соціальний захист та соціальне забезпечення</c:v>
                </c:pt>
                <c:pt idx="9">
                  <c:v>Інші</c:v>
                </c:pt>
              </c:strCache>
            </c:strRef>
          </c:cat>
          <c:val>
            <c:numRef>
              <c:f>Лист1!$E$85:$E$94</c:f>
              <c:numCache>
                <c:formatCode>0.0%</c:formatCode>
                <c:ptCount val="10"/>
                <c:pt idx="0">
                  <c:v>0.13700000000000001</c:v>
                </c:pt>
                <c:pt idx="1">
                  <c:v>6.9000000000000006E-2</c:v>
                </c:pt>
                <c:pt idx="2">
                  <c:v>9.5000000000000001E-2</c:v>
                </c:pt>
                <c:pt idx="3">
                  <c:v>0.159000000000001</c:v>
                </c:pt>
                <c:pt idx="4">
                  <c:v>3.10000000000001E-2</c:v>
                </c:pt>
                <c:pt idx="5">
                  <c:v>0.11</c:v>
                </c:pt>
                <c:pt idx="6">
                  <c:v>2.3E-2</c:v>
                </c:pt>
                <c:pt idx="7">
                  <c:v>0.17</c:v>
                </c:pt>
                <c:pt idx="8">
                  <c:v>0.19900000000000001</c:v>
                </c:pt>
                <c:pt idx="9">
                  <c:v>6.9999999999999299E-3</c:v>
                </c:pt>
              </c:numCache>
            </c:numRef>
          </c:val>
          <c:extLst>
            <c:ext xmlns:c16="http://schemas.microsoft.com/office/drawing/2014/chart" uri="{C3380CC4-5D6E-409C-BE32-E72D297353CC}">
              <c16:uniqueId val="{00000005-E3E5-48F5-8BA8-0F85569FECEC}"/>
            </c:ext>
          </c:extLst>
        </c:ser>
        <c:dLbls>
          <c:showLegendKey val="0"/>
          <c:showVal val="0"/>
          <c:showCatName val="0"/>
          <c:showSerName val="0"/>
          <c:showPercent val="0"/>
          <c:showBubbleSize val="0"/>
          <c:showLeaderLines val="1"/>
        </c:dLbls>
        <c:firstSliceAng val="0"/>
      </c:pieChart>
    </c:plotArea>
    <c:plotVisOnly val="1"/>
    <c:dispBlanksAs val="gap"/>
    <c:showDLblsOverMax val="0"/>
  </c:chart>
  <c:txPr>
    <a:bodyPr/>
    <a:lstStyle/>
    <a:p>
      <a:pPr>
        <a:defRPr sz="800" b="0">
          <a:latin typeface="Times New Roman" pitchFamily="18" charset="0"/>
          <a:cs typeface="Times New Roman" pitchFamily="18" charset="0"/>
        </a:defRPr>
      </a:pPr>
      <a:endParaRPr lang="ru-RU"/>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1"/>
          <c:order val="0"/>
          <c:spPr>
            <a:solidFill>
              <a:schemeClr val="accent1"/>
            </a:solidFill>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Лист3!$G$42:$G$44</c:f>
              <c:numCache>
                <c:formatCode>General</c:formatCode>
                <c:ptCount val="3"/>
                <c:pt idx="0">
                  <c:v>2022</c:v>
                </c:pt>
                <c:pt idx="1">
                  <c:v>2023</c:v>
                </c:pt>
                <c:pt idx="2">
                  <c:v>2024</c:v>
                </c:pt>
              </c:numCache>
            </c:numRef>
          </c:cat>
          <c:val>
            <c:numRef>
              <c:f>Лист3!$H$42:$H$44</c:f>
              <c:numCache>
                <c:formatCode>0.00</c:formatCode>
                <c:ptCount val="3"/>
                <c:pt idx="0">
                  <c:v>160636.01999999999</c:v>
                </c:pt>
                <c:pt idx="1">
                  <c:v>436432.1</c:v>
                </c:pt>
                <c:pt idx="2">
                  <c:v>656685.25</c:v>
                </c:pt>
              </c:numCache>
            </c:numRef>
          </c:val>
          <c:extLst>
            <c:ext xmlns:c16="http://schemas.microsoft.com/office/drawing/2014/chart" uri="{C3380CC4-5D6E-409C-BE32-E72D297353CC}">
              <c16:uniqueId val="{00000000-A1E3-4B9E-987C-4D833396FA0F}"/>
            </c:ext>
          </c:extLst>
        </c:ser>
        <c:dLbls>
          <c:showLegendKey val="0"/>
          <c:showVal val="0"/>
          <c:showCatName val="0"/>
          <c:showSerName val="0"/>
          <c:showPercent val="0"/>
          <c:showBubbleSize val="0"/>
        </c:dLbls>
        <c:gapWidth val="150"/>
        <c:axId val="111851392"/>
        <c:axId val="111852928"/>
      </c:barChart>
      <c:catAx>
        <c:axId val="111851392"/>
        <c:scaling>
          <c:orientation val="minMax"/>
        </c:scaling>
        <c:delete val="0"/>
        <c:axPos val="b"/>
        <c:numFmt formatCode="General" sourceLinked="1"/>
        <c:majorTickMark val="out"/>
        <c:minorTickMark val="none"/>
        <c:tickLblPos val="nextTo"/>
        <c:crossAx val="111852928"/>
        <c:crosses val="autoZero"/>
        <c:auto val="1"/>
        <c:lblAlgn val="ctr"/>
        <c:lblOffset val="100"/>
        <c:noMultiLvlLbl val="0"/>
      </c:catAx>
      <c:valAx>
        <c:axId val="111852928"/>
        <c:scaling>
          <c:orientation val="minMax"/>
        </c:scaling>
        <c:delete val="0"/>
        <c:axPos val="l"/>
        <c:majorGridlines/>
        <c:numFmt formatCode="0.00" sourceLinked="1"/>
        <c:majorTickMark val="out"/>
        <c:minorTickMark val="none"/>
        <c:tickLblPos val="nextTo"/>
        <c:crossAx val="111851392"/>
        <c:crosses val="autoZero"/>
        <c:crossBetween val="between"/>
      </c:valAx>
    </c:plotArea>
    <c:plotVisOnly val="1"/>
    <c:dispBlanksAs val="gap"/>
    <c:showDLblsOverMax val="0"/>
  </c:chart>
  <c:txPr>
    <a:bodyPr/>
    <a:lstStyle/>
    <a:p>
      <a:pPr>
        <a:defRPr sz="1200">
          <a:latin typeface="Times New Roman" pitchFamily="18" charset="0"/>
          <a:cs typeface="Times New Roman" pitchFamily="18" charset="0"/>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pieChart>
        <c:varyColors val="1"/>
        <c:ser>
          <c:idx val="0"/>
          <c:order val="0"/>
          <c:tx>
            <c:strRef>
              <c:f>Лист1!$E$99</c:f>
              <c:strCache>
                <c:ptCount val="1"/>
                <c:pt idx="0">
                  <c:v>2025</c:v>
                </c:pt>
              </c:strCache>
            </c:strRef>
          </c:tx>
          <c:explosion val="25"/>
          <c:dLbls>
            <c:spPr>
              <a:noFill/>
              <a:ln>
                <a:noFill/>
              </a:ln>
              <a:effectLst/>
            </c:spPr>
            <c:showLegendKey val="0"/>
            <c:showVal val="1"/>
            <c:showCatName val="1"/>
            <c:showSerName val="0"/>
            <c:showPercent val="0"/>
            <c:showBubbleSize val="0"/>
            <c:showLeaderLines val="1"/>
            <c:extLst>
              <c:ext xmlns:c15="http://schemas.microsoft.com/office/drawing/2012/chart" uri="{CE6537A1-D6FC-4f65-9D91-7224C49458BB}"/>
            </c:extLst>
          </c:dLbls>
          <c:cat>
            <c:strRef>
              <c:f>Лист1!$D$100:$D$109</c:f>
              <c:strCache>
                <c:ptCount val="10"/>
                <c:pt idx="0">
                  <c:v>Загальнодержавні функції </c:v>
                </c:pt>
                <c:pt idx="1">
                  <c:v>Оборона</c:v>
                </c:pt>
                <c:pt idx="2">
                  <c:v>Громадський порядок, безпека та судова влада </c:v>
                </c:pt>
                <c:pt idx="3">
                  <c:v>Економічна діяльність</c:v>
                </c:pt>
                <c:pt idx="4">
                  <c:v>Житлово-комунальне господарство</c:v>
                </c:pt>
                <c:pt idx="5">
                  <c:v>Охорона здоров'я </c:v>
                </c:pt>
                <c:pt idx="6">
                  <c:v>Духовний та фізичний розвиток</c:v>
                </c:pt>
                <c:pt idx="7">
                  <c:v>Освіта</c:v>
                </c:pt>
                <c:pt idx="8">
                  <c:v>Соціальний захист та соціальне забезпечення</c:v>
                </c:pt>
                <c:pt idx="9">
                  <c:v>Інші</c:v>
                </c:pt>
              </c:strCache>
            </c:strRef>
          </c:cat>
          <c:val>
            <c:numRef>
              <c:f>Лист1!$E$100:$E$109</c:f>
              <c:numCache>
                <c:formatCode>0.0%</c:formatCode>
                <c:ptCount val="10"/>
                <c:pt idx="0">
                  <c:v>6.3E-2</c:v>
                </c:pt>
                <c:pt idx="1">
                  <c:v>0.629000000000002</c:v>
                </c:pt>
                <c:pt idx="2">
                  <c:v>0.104</c:v>
                </c:pt>
                <c:pt idx="3">
                  <c:v>1.2999999999999999E-2</c:v>
                </c:pt>
                <c:pt idx="4">
                  <c:v>6.0000000000000097E-3</c:v>
                </c:pt>
                <c:pt idx="5">
                  <c:v>1.4999999999999999E-2</c:v>
                </c:pt>
                <c:pt idx="6">
                  <c:v>7.0000000000000097E-3</c:v>
                </c:pt>
                <c:pt idx="7">
                  <c:v>5.3999999999999999E-2</c:v>
                </c:pt>
                <c:pt idx="8">
                  <c:v>0.107</c:v>
                </c:pt>
                <c:pt idx="9">
                  <c:v>2.00000000000001E-3</c:v>
                </c:pt>
              </c:numCache>
            </c:numRef>
          </c:val>
          <c:extLst>
            <c:ext xmlns:c16="http://schemas.microsoft.com/office/drawing/2014/chart" uri="{C3380CC4-5D6E-409C-BE32-E72D297353CC}">
              <c16:uniqueId val="{00000000-F348-4422-82F4-B041962C57FF}"/>
            </c:ext>
          </c:extLst>
        </c:ser>
        <c:dLbls>
          <c:showLegendKey val="0"/>
          <c:showVal val="0"/>
          <c:showCatName val="0"/>
          <c:showSerName val="0"/>
          <c:showPercent val="0"/>
          <c:showBubbleSize val="0"/>
          <c:showLeaderLines val="1"/>
        </c:dLbls>
        <c:firstSliceAng val="0"/>
      </c:pieChart>
    </c:plotArea>
    <c:plotVisOnly val="1"/>
    <c:dispBlanksAs val="gap"/>
    <c:showDLblsOverMax val="0"/>
  </c:chart>
  <c:txPr>
    <a:bodyPr/>
    <a:lstStyle/>
    <a:p>
      <a:pPr>
        <a:defRPr sz="800" b="0">
          <a:latin typeface="Times New Roman" pitchFamily="18" charset="0"/>
          <a:cs typeface="Times New Roman" pitchFamily="18" charset="0"/>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percentStacked"/>
        <c:varyColors val="0"/>
        <c:ser>
          <c:idx val="0"/>
          <c:order val="0"/>
          <c:tx>
            <c:strRef>
              <c:f>Лист1!$D$48</c:f>
              <c:strCache>
                <c:ptCount val="1"/>
                <c:pt idx="0">
                  <c:v>Кредити нефінансовим корпораціям</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Лист1!$E$47:$G$47</c:f>
              <c:numCache>
                <c:formatCode>General</c:formatCode>
                <c:ptCount val="3"/>
                <c:pt idx="0">
                  <c:v>2022</c:v>
                </c:pt>
                <c:pt idx="1">
                  <c:v>2023</c:v>
                </c:pt>
                <c:pt idx="2">
                  <c:v>2024</c:v>
                </c:pt>
              </c:numCache>
            </c:numRef>
          </c:cat>
          <c:val>
            <c:numRef>
              <c:f>Лист1!$E$48:$G$48</c:f>
              <c:numCache>
                <c:formatCode>0.00%</c:formatCode>
                <c:ptCount val="3"/>
                <c:pt idx="0">
                  <c:v>0.67042080475069399</c:v>
                </c:pt>
                <c:pt idx="1">
                  <c:v>0.62723984184403103</c:v>
                </c:pt>
                <c:pt idx="2">
                  <c:v>0.58807008158352303</c:v>
                </c:pt>
              </c:numCache>
            </c:numRef>
          </c:val>
          <c:extLst>
            <c:ext xmlns:c16="http://schemas.microsoft.com/office/drawing/2014/chart" uri="{C3380CC4-5D6E-409C-BE32-E72D297353CC}">
              <c16:uniqueId val="{00000000-1857-448C-9F88-5C3E3509CB86}"/>
            </c:ext>
          </c:extLst>
        </c:ser>
        <c:ser>
          <c:idx val="1"/>
          <c:order val="1"/>
          <c:tx>
            <c:strRef>
              <c:f>Лист1!$D$49</c:f>
              <c:strCache>
                <c:ptCount val="1"/>
                <c:pt idx="0">
                  <c:v>Кредити фізичним особам</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Лист1!$E$47:$G$47</c:f>
              <c:numCache>
                <c:formatCode>General</c:formatCode>
                <c:ptCount val="3"/>
                <c:pt idx="0">
                  <c:v>2022</c:v>
                </c:pt>
                <c:pt idx="1">
                  <c:v>2023</c:v>
                </c:pt>
                <c:pt idx="2">
                  <c:v>2024</c:v>
                </c:pt>
              </c:numCache>
            </c:numRef>
          </c:cat>
          <c:val>
            <c:numRef>
              <c:f>Лист1!$E$49:$G$49</c:f>
              <c:numCache>
                <c:formatCode>0.00%</c:formatCode>
                <c:ptCount val="3"/>
                <c:pt idx="0">
                  <c:v>0.20825227807924601</c:v>
                </c:pt>
                <c:pt idx="1">
                  <c:v>0.20341549591991301</c:v>
                </c:pt>
                <c:pt idx="2">
                  <c:v>0.19733850474789399</c:v>
                </c:pt>
              </c:numCache>
            </c:numRef>
          </c:val>
          <c:extLst>
            <c:ext xmlns:c16="http://schemas.microsoft.com/office/drawing/2014/chart" uri="{C3380CC4-5D6E-409C-BE32-E72D297353CC}">
              <c16:uniqueId val="{00000001-1857-448C-9F88-5C3E3509CB86}"/>
            </c:ext>
          </c:extLst>
        </c:ser>
        <c:ser>
          <c:idx val="2"/>
          <c:order val="2"/>
          <c:tx>
            <c:strRef>
              <c:f>Лист1!$D$50</c:f>
              <c:strCache>
                <c:ptCount val="1"/>
                <c:pt idx="0">
                  <c:v>Кредити сектору державного управління</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Лист1!$E$47:$G$47</c:f>
              <c:numCache>
                <c:formatCode>General</c:formatCode>
                <c:ptCount val="3"/>
                <c:pt idx="0">
                  <c:v>2022</c:v>
                </c:pt>
                <c:pt idx="1">
                  <c:v>2023</c:v>
                </c:pt>
                <c:pt idx="2">
                  <c:v>2024</c:v>
                </c:pt>
              </c:numCache>
            </c:numRef>
          </c:cat>
          <c:val>
            <c:numRef>
              <c:f>Лист1!$E$50:$G$50</c:f>
              <c:numCache>
                <c:formatCode>0.00%</c:formatCode>
                <c:ptCount val="3"/>
                <c:pt idx="0">
                  <c:v>0.121326917170062</c:v>
                </c:pt>
                <c:pt idx="1">
                  <c:v>0.16934466223605599</c:v>
                </c:pt>
                <c:pt idx="2">
                  <c:v>0.214591413668584</c:v>
                </c:pt>
              </c:numCache>
            </c:numRef>
          </c:val>
          <c:extLst>
            <c:ext xmlns:c16="http://schemas.microsoft.com/office/drawing/2014/chart" uri="{C3380CC4-5D6E-409C-BE32-E72D297353CC}">
              <c16:uniqueId val="{00000002-1857-448C-9F88-5C3E3509CB86}"/>
            </c:ext>
          </c:extLst>
        </c:ser>
        <c:dLbls>
          <c:showLegendKey val="0"/>
          <c:showVal val="0"/>
          <c:showCatName val="0"/>
          <c:showSerName val="0"/>
          <c:showPercent val="0"/>
          <c:showBubbleSize val="0"/>
        </c:dLbls>
        <c:gapWidth val="150"/>
        <c:shape val="box"/>
        <c:axId val="111176704"/>
        <c:axId val="111547136"/>
        <c:axId val="0"/>
      </c:bar3DChart>
      <c:catAx>
        <c:axId val="111176704"/>
        <c:scaling>
          <c:orientation val="minMax"/>
        </c:scaling>
        <c:delete val="0"/>
        <c:axPos val="b"/>
        <c:numFmt formatCode="General" sourceLinked="1"/>
        <c:majorTickMark val="out"/>
        <c:minorTickMark val="none"/>
        <c:tickLblPos val="nextTo"/>
        <c:crossAx val="111547136"/>
        <c:crosses val="autoZero"/>
        <c:auto val="1"/>
        <c:lblAlgn val="ctr"/>
        <c:lblOffset val="100"/>
        <c:noMultiLvlLbl val="0"/>
      </c:catAx>
      <c:valAx>
        <c:axId val="111547136"/>
        <c:scaling>
          <c:orientation val="minMax"/>
        </c:scaling>
        <c:delete val="0"/>
        <c:axPos val="l"/>
        <c:majorGridlines/>
        <c:numFmt formatCode="0%" sourceLinked="1"/>
        <c:majorTickMark val="out"/>
        <c:minorTickMark val="none"/>
        <c:tickLblPos val="nextTo"/>
        <c:crossAx val="111176704"/>
        <c:crosses val="autoZero"/>
        <c:crossBetween val="between"/>
      </c:valAx>
    </c:plotArea>
    <c:legend>
      <c:legendPos val="b"/>
      <c:overlay val="0"/>
    </c:legend>
    <c:plotVisOnly val="1"/>
    <c:dispBlanksAs val="gap"/>
    <c:showDLblsOverMax val="0"/>
  </c:chart>
  <c:txPr>
    <a:bodyPr/>
    <a:lstStyle/>
    <a:p>
      <a:pPr>
        <a:defRPr sz="1200">
          <a:latin typeface="Times New Roman" pitchFamily="18" charset="0"/>
          <a:cs typeface="Times New Roman" pitchFamily="18" charset="0"/>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percentStacked"/>
        <c:varyColors val="0"/>
        <c:ser>
          <c:idx val="0"/>
          <c:order val="0"/>
          <c:tx>
            <c:strRef>
              <c:f>Лист1!$D$70</c:f>
              <c:strCache>
                <c:ptCount val="1"/>
                <c:pt idx="0">
                  <c:v>Депозити фізичних осіб</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Лист1!$E$69:$G$69</c:f>
              <c:numCache>
                <c:formatCode>General</c:formatCode>
                <c:ptCount val="3"/>
                <c:pt idx="0">
                  <c:v>2022</c:v>
                </c:pt>
                <c:pt idx="1">
                  <c:v>2023</c:v>
                </c:pt>
                <c:pt idx="2">
                  <c:v>2024</c:v>
                </c:pt>
              </c:numCache>
            </c:numRef>
          </c:cat>
          <c:val>
            <c:numRef>
              <c:f>Лист1!$E$70:$G$70</c:f>
              <c:numCache>
                <c:formatCode>0.00%</c:formatCode>
                <c:ptCount val="3"/>
                <c:pt idx="0">
                  <c:v>0.49410192341216802</c:v>
                </c:pt>
                <c:pt idx="1">
                  <c:v>0.49709288357118803</c:v>
                </c:pt>
                <c:pt idx="2">
                  <c:v>0.50146946334393405</c:v>
                </c:pt>
              </c:numCache>
            </c:numRef>
          </c:val>
          <c:extLst>
            <c:ext xmlns:c16="http://schemas.microsoft.com/office/drawing/2014/chart" uri="{C3380CC4-5D6E-409C-BE32-E72D297353CC}">
              <c16:uniqueId val="{00000000-FAA3-49AF-B760-40AAD20AFD17}"/>
            </c:ext>
          </c:extLst>
        </c:ser>
        <c:ser>
          <c:idx val="1"/>
          <c:order val="1"/>
          <c:tx>
            <c:strRef>
              <c:f>Лист1!$D$71</c:f>
              <c:strCache>
                <c:ptCount val="1"/>
                <c:pt idx="0">
                  <c:v>Депозити юридичних осіб</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Лист1!$E$69:$G$69</c:f>
              <c:numCache>
                <c:formatCode>General</c:formatCode>
                <c:ptCount val="3"/>
                <c:pt idx="0">
                  <c:v>2022</c:v>
                </c:pt>
                <c:pt idx="1">
                  <c:v>2023</c:v>
                </c:pt>
                <c:pt idx="2">
                  <c:v>2024</c:v>
                </c:pt>
              </c:numCache>
            </c:numRef>
          </c:cat>
          <c:val>
            <c:numRef>
              <c:f>Лист1!$E$71:$G$71</c:f>
              <c:numCache>
                <c:formatCode>0.00%</c:formatCode>
                <c:ptCount val="3"/>
                <c:pt idx="0">
                  <c:v>0.42239525829507801</c:v>
                </c:pt>
                <c:pt idx="1">
                  <c:v>0.39998077939551602</c:v>
                </c:pt>
                <c:pt idx="2">
                  <c:v>0.38560328515640901</c:v>
                </c:pt>
              </c:numCache>
            </c:numRef>
          </c:val>
          <c:extLst>
            <c:ext xmlns:c16="http://schemas.microsoft.com/office/drawing/2014/chart" uri="{C3380CC4-5D6E-409C-BE32-E72D297353CC}">
              <c16:uniqueId val="{00000001-FAA3-49AF-B760-40AAD20AFD17}"/>
            </c:ext>
          </c:extLst>
        </c:ser>
        <c:ser>
          <c:idx val="2"/>
          <c:order val="2"/>
          <c:tx>
            <c:strRef>
              <c:f>Лист1!$D$72</c:f>
              <c:strCache>
                <c:ptCount val="1"/>
                <c:pt idx="0">
                  <c:v>Депозити сектору державного управління</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Лист1!$E$69:$G$69</c:f>
              <c:numCache>
                <c:formatCode>General</c:formatCode>
                <c:ptCount val="3"/>
                <c:pt idx="0">
                  <c:v>2022</c:v>
                </c:pt>
                <c:pt idx="1">
                  <c:v>2023</c:v>
                </c:pt>
                <c:pt idx="2">
                  <c:v>2024</c:v>
                </c:pt>
              </c:numCache>
            </c:numRef>
          </c:cat>
          <c:val>
            <c:numRef>
              <c:f>Лист1!$E$72:$G$72</c:f>
              <c:numCache>
                <c:formatCode>0.00%</c:formatCode>
                <c:ptCount val="3"/>
                <c:pt idx="0">
                  <c:v>8.3502818292754299E-2</c:v>
                </c:pt>
                <c:pt idx="1">
                  <c:v>0.10292633703329999</c:v>
                </c:pt>
                <c:pt idx="2">
                  <c:v>0.112927251499658</c:v>
                </c:pt>
              </c:numCache>
            </c:numRef>
          </c:val>
          <c:extLst>
            <c:ext xmlns:c16="http://schemas.microsoft.com/office/drawing/2014/chart" uri="{C3380CC4-5D6E-409C-BE32-E72D297353CC}">
              <c16:uniqueId val="{00000002-FAA3-49AF-B760-40AAD20AFD17}"/>
            </c:ext>
          </c:extLst>
        </c:ser>
        <c:dLbls>
          <c:showLegendKey val="0"/>
          <c:showVal val="0"/>
          <c:showCatName val="0"/>
          <c:showSerName val="0"/>
          <c:showPercent val="0"/>
          <c:showBubbleSize val="0"/>
        </c:dLbls>
        <c:gapWidth val="150"/>
        <c:shape val="box"/>
        <c:axId val="92085248"/>
        <c:axId val="92095232"/>
        <c:axId val="0"/>
      </c:bar3DChart>
      <c:catAx>
        <c:axId val="92085248"/>
        <c:scaling>
          <c:orientation val="minMax"/>
        </c:scaling>
        <c:delete val="0"/>
        <c:axPos val="b"/>
        <c:numFmt formatCode="General" sourceLinked="1"/>
        <c:majorTickMark val="out"/>
        <c:minorTickMark val="none"/>
        <c:tickLblPos val="nextTo"/>
        <c:crossAx val="92095232"/>
        <c:crosses val="autoZero"/>
        <c:auto val="1"/>
        <c:lblAlgn val="ctr"/>
        <c:lblOffset val="100"/>
        <c:noMultiLvlLbl val="0"/>
      </c:catAx>
      <c:valAx>
        <c:axId val="92095232"/>
        <c:scaling>
          <c:orientation val="minMax"/>
        </c:scaling>
        <c:delete val="0"/>
        <c:axPos val="l"/>
        <c:majorGridlines/>
        <c:numFmt formatCode="0%" sourceLinked="1"/>
        <c:majorTickMark val="out"/>
        <c:minorTickMark val="none"/>
        <c:tickLblPos val="nextTo"/>
        <c:crossAx val="92085248"/>
        <c:crosses val="autoZero"/>
        <c:crossBetween val="between"/>
      </c:valAx>
    </c:plotArea>
    <c:legend>
      <c:legendPos val="b"/>
      <c:overlay val="0"/>
    </c:legend>
    <c:plotVisOnly val="1"/>
    <c:dispBlanksAs val="gap"/>
    <c:showDLblsOverMax val="0"/>
  </c:chart>
  <c:txPr>
    <a:bodyPr/>
    <a:lstStyle/>
    <a:p>
      <a:pPr>
        <a:defRPr sz="1200">
          <a:latin typeface="Times New Roman" pitchFamily="18" charset="0"/>
          <a:cs typeface="Times New Roman" pitchFamily="18" charset="0"/>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1"/>
          <c:order val="1"/>
          <c:tx>
            <c:strRef>
              <c:f>Лист2!$E$5</c:f>
              <c:strCache>
                <c:ptCount val="1"/>
                <c:pt idx="0">
                  <c:v>Середньорічний офіційний курс (грн/дол. США)</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Лист2!$C$6:$C$8</c:f>
              <c:numCache>
                <c:formatCode>General</c:formatCode>
                <c:ptCount val="3"/>
                <c:pt idx="0">
                  <c:v>2022</c:v>
                </c:pt>
                <c:pt idx="1">
                  <c:v>2023</c:v>
                </c:pt>
                <c:pt idx="2">
                  <c:v>2024</c:v>
                </c:pt>
              </c:numCache>
            </c:numRef>
          </c:cat>
          <c:val>
            <c:numRef>
              <c:f>Лист2!$E$6:$E$8</c:f>
              <c:numCache>
                <c:formatCode>General</c:formatCode>
                <c:ptCount val="3"/>
                <c:pt idx="0">
                  <c:v>30.07</c:v>
                </c:pt>
                <c:pt idx="1">
                  <c:v>36.57</c:v>
                </c:pt>
                <c:pt idx="2">
                  <c:v>37.979999999999997</c:v>
                </c:pt>
              </c:numCache>
            </c:numRef>
          </c:val>
          <c:extLst>
            <c:ext xmlns:c16="http://schemas.microsoft.com/office/drawing/2014/chart" uri="{C3380CC4-5D6E-409C-BE32-E72D297353CC}">
              <c16:uniqueId val="{00000000-ECAE-4F2D-8224-250B5A3741B0}"/>
            </c:ext>
          </c:extLst>
        </c:ser>
        <c:dLbls>
          <c:showLegendKey val="0"/>
          <c:showVal val="0"/>
          <c:showCatName val="0"/>
          <c:showSerName val="0"/>
          <c:showPercent val="0"/>
          <c:showBubbleSize val="0"/>
        </c:dLbls>
        <c:gapWidth val="150"/>
        <c:axId val="92117632"/>
        <c:axId val="92123520"/>
      </c:barChart>
      <c:lineChart>
        <c:grouping val="standard"/>
        <c:varyColors val="0"/>
        <c:ser>
          <c:idx val="0"/>
          <c:order val="0"/>
          <c:tx>
            <c:strRef>
              <c:f>Лист2!$D$5</c:f>
              <c:strCache>
                <c:ptCount val="1"/>
                <c:pt idx="0">
                  <c:v>Інтервенції (млрд дол. США)</c:v>
                </c:pt>
              </c:strCache>
            </c:strRef>
          </c:tx>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Лист2!$C$6:$C$8</c:f>
              <c:numCache>
                <c:formatCode>General</c:formatCode>
                <c:ptCount val="3"/>
                <c:pt idx="0">
                  <c:v>2022</c:v>
                </c:pt>
                <c:pt idx="1">
                  <c:v>2023</c:v>
                </c:pt>
                <c:pt idx="2">
                  <c:v>2024</c:v>
                </c:pt>
              </c:numCache>
            </c:numRef>
          </c:cat>
          <c:val>
            <c:numRef>
              <c:f>Лист2!$D$6:$D$8</c:f>
              <c:numCache>
                <c:formatCode>General</c:formatCode>
                <c:ptCount val="3"/>
                <c:pt idx="0">
                  <c:v>-23.4</c:v>
                </c:pt>
                <c:pt idx="1">
                  <c:v>-27.1</c:v>
                </c:pt>
                <c:pt idx="2">
                  <c:v>-16.8</c:v>
                </c:pt>
              </c:numCache>
            </c:numRef>
          </c:val>
          <c:smooth val="0"/>
          <c:extLst>
            <c:ext xmlns:c16="http://schemas.microsoft.com/office/drawing/2014/chart" uri="{C3380CC4-5D6E-409C-BE32-E72D297353CC}">
              <c16:uniqueId val="{00000001-ECAE-4F2D-8224-250B5A3741B0}"/>
            </c:ext>
          </c:extLst>
        </c:ser>
        <c:dLbls>
          <c:showLegendKey val="0"/>
          <c:showVal val="0"/>
          <c:showCatName val="0"/>
          <c:showSerName val="0"/>
          <c:showPercent val="0"/>
          <c:showBubbleSize val="0"/>
        </c:dLbls>
        <c:marker val="1"/>
        <c:smooth val="0"/>
        <c:axId val="92126592"/>
        <c:axId val="92125056"/>
      </c:lineChart>
      <c:catAx>
        <c:axId val="92117632"/>
        <c:scaling>
          <c:orientation val="minMax"/>
        </c:scaling>
        <c:delete val="0"/>
        <c:axPos val="b"/>
        <c:numFmt formatCode="General" sourceLinked="1"/>
        <c:majorTickMark val="out"/>
        <c:minorTickMark val="none"/>
        <c:tickLblPos val="nextTo"/>
        <c:crossAx val="92123520"/>
        <c:crosses val="autoZero"/>
        <c:auto val="1"/>
        <c:lblAlgn val="ctr"/>
        <c:lblOffset val="100"/>
        <c:noMultiLvlLbl val="0"/>
      </c:catAx>
      <c:valAx>
        <c:axId val="92123520"/>
        <c:scaling>
          <c:orientation val="minMax"/>
        </c:scaling>
        <c:delete val="0"/>
        <c:axPos val="l"/>
        <c:majorGridlines/>
        <c:numFmt formatCode="General" sourceLinked="1"/>
        <c:majorTickMark val="out"/>
        <c:minorTickMark val="none"/>
        <c:tickLblPos val="nextTo"/>
        <c:crossAx val="92117632"/>
        <c:crosses val="autoZero"/>
        <c:crossBetween val="between"/>
      </c:valAx>
      <c:valAx>
        <c:axId val="92125056"/>
        <c:scaling>
          <c:orientation val="minMax"/>
        </c:scaling>
        <c:delete val="0"/>
        <c:axPos val="r"/>
        <c:numFmt formatCode="General" sourceLinked="1"/>
        <c:majorTickMark val="out"/>
        <c:minorTickMark val="none"/>
        <c:tickLblPos val="nextTo"/>
        <c:crossAx val="92126592"/>
        <c:crosses val="max"/>
        <c:crossBetween val="between"/>
      </c:valAx>
      <c:catAx>
        <c:axId val="92126592"/>
        <c:scaling>
          <c:orientation val="minMax"/>
        </c:scaling>
        <c:delete val="1"/>
        <c:axPos val="b"/>
        <c:numFmt formatCode="General" sourceLinked="1"/>
        <c:majorTickMark val="out"/>
        <c:minorTickMark val="none"/>
        <c:tickLblPos val="none"/>
        <c:crossAx val="92125056"/>
        <c:crosses val="autoZero"/>
        <c:auto val="1"/>
        <c:lblAlgn val="ctr"/>
        <c:lblOffset val="100"/>
        <c:noMultiLvlLbl val="0"/>
      </c:catAx>
    </c:plotArea>
    <c:legend>
      <c:legendPos val="b"/>
      <c:overlay val="0"/>
    </c:legend>
    <c:plotVisOnly val="1"/>
    <c:dispBlanksAs val="gap"/>
    <c:showDLblsOverMax val="0"/>
  </c:chart>
  <c:txPr>
    <a:bodyPr/>
    <a:lstStyle/>
    <a:p>
      <a:pPr>
        <a:defRPr sz="1200">
          <a:latin typeface="Times New Roman" pitchFamily="18" charset="0"/>
          <a:cs typeface="Times New Roman" pitchFamily="18" charset="0"/>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Лист2!$D$21</c:f>
              <c:strCache>
                <c:ptCount val="1"/>
                <c:pt idx="0">
                  <c:v>Міжнародні резерви (млрд дол. США)</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Лист2!$C$22:$C$24</c:f>
              <c:numCache>
                <c:formatCode>General</c:formatCode>
                <c:ptCount val="3"/>
                <c:pt idx="0">
                  <c:v>2022</c:v>
                </c:pt>
                <c:pt idx="1">
                  <c:v>2023</c:v>
                </c:pt>
                <c:pt idx="2">
                  <c:v>2024</c:v>
                </c:pt>
              </c:numCache>
            </c:numRef>
          </c:cat>
          <c:val>
            <c:numRef>
              <c:f>Лист2!$D$22:$D$24</c:f>
              <c:numCache>
                <c:formatCode>General</c:formatCode>
                <c:ptCount val="3"/>
                <c:pt idx="0">
                  <c:v>28.5</c:v>
                </c:pt>
                <c:pt idx="1">
                  <c:v>39</c:v>
                </c:pt>
                <c:pt idx="2">
                  <c:v>44.6</c:v>
                </c:pt>
              </c:numCache>
            </c:numRef>
          </c:val>
          <c:extLst>
            <c:ext xmlns:c16="http://schemas.microsoft.com/office/drawing/2014/chart" uri="{C3380CC4-5D6E-409C-BE32-E72D297353CC}">
              <c16:uniqueId val="{00000000-542B-4A83-BCE7-740DCB8498D1}"/>
            </c:ext>
          </c:extLst>
        </c:ser>
        <c:dLbls>
          <c:showLegendKey val="0"/>
          <c:showVal val="0"/>
          <c:showCatName val="0"/>
          <c:showSerName val="0"/>
          <c:showPercent val="0"/>
          <c:showBubbleSize val="0"/>
        </c:dLbls>
        <c:gapWidth val="150"/>
        <c:axId val="98043392"/>
        <c:axId val="98044928"/>
      </c:barChart>
      <c:lineChart>
        <c:grouping val="standard"/>
        <c:varyColors val="0"/>
        <c:ser>
          <c:idx val="1"/>
          <c:order val="1"/>
          <c:tx>
            <c:strRef>
              <c:f>Лист2!$E$21</c:f>
              <c:strCache>
                <c:ptCount val="1"/>
                <c:pt idx="0">
                  <c:v>Покриття імпорту (місяців)</c:v>
                </c:pt>
              </c:strCache>
            </c:strRef>
          </c:tx>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Лист2!$C$22:$C$24</c:f>
              <c:numCache>
                <c:formatCode>General</c:formatCode>
                <c:ptCount val="3"/>
                <c:pt idx="0">
                  <c:v>2022</c:v>
                </c:pt>
                <c:pt idx="1">
                  <c:v>2023</c:v>
                </c:pt>
                <c:pt idx="2">
                  <c:v>2024</c:v>
                </c:pt>
              </c:numCache>
            </c:numRef>
          </c:cat>
          <c:val>
            <c:numRef>
              <c:f>Лист2!$E$22:$E$24</c:f>
              <c:numCache>
                <c:formatCode>General</c:formatCode>
                <c:ptCount val="3"/>
                <c:pt idx="0">
                  <c:v>3.3</c:v>
                </c:pt>
                <c:pt idx="1">
                  <c:v>5.2</c:v>
                </c:pt>
                <c:pt idx="2">
                  <c:v>5.8</c:v>
                </c:pt>
              </c:numCache>
            </c:numRef>
          </c:val>
          <c:smooth val="0"/>
          <c:extLst>
            <c:ext xmlns:c16="http://schemas.microsoft.com/office/drawing/2014/chart" uri="{C3380CC4-5D6E-409C-BE32-E72D297353CC}">
              <c16:uniqueId val="{00000001-542B-4A83-BCE7-740DCB8498D1}"/>
            </c:ext>
          </c:extLst>
        </c:ser>
        <c:dLbls>
          <c:showLegendKey val="0"/>
          <c:showVal val="0"/>
          <c:showCatName val="0"/>
          <c:showSerName val="0"/>
          <c:showPercent val="0"/>
          <c:showBubbleSize val="0"/>
        </c:dLbls>
        <c:marker val="1"/>
        <c:smooth val="0"/>
        <c:axId val="98064640"/>
        <c:axId val="98063104"/>
      </c:lineChart>
      <c:catAx>
        <c:axId val="98043392"/>
        <c:scaling>
          <c:orientation val="minMax"/>
        </c:scaling>
        <c:delete val="0"/>
        <c:axPos val="b"/>
        <c:numFmt formatCode="General" sourceLinked="1"/>
        <c:majorTickMark val="out"/>
        <c:minorTickMark val="none"/>
        <c:tickLblPos val="nextTo"/>
        <c:crossAx val="98044928"/>
        <c:crosses val="autoZero"/>
        <c:auto val="1"/>
        <c:lblAlgn val="ctr"/>
        <c:lblOffset val="100"/>
        <c:noMultiLvlLbl val="0"/>
      </c:catAx>
      <c:valAx>
        <c:axId val="98044928"/>
        <c:scaling>
          <c:orientation val="minMax"/>
        </c:scaling>
        <c:delete val="0"/>
        <c:axPos val="l"/>
        <c:majorGridlines/>
        <c:numFmt formatCode="General" sourceLinked="1"/>
        <c:majorTickMark val="out"/>
        <c:minorTickMark val="none"/>
        <c:tickLblPos val="nextTo"/>
        <c:crossAx val="98043392"/>
        <c:crosses val="autoZero"/>
        <c:crossBetween val="between"/>
      </c:valAx>
      <c:valAx>
        <c:axId val="98063104"/>
        <c:scaling>
          <c:orientation val="minMax"/>
        </c:scaling>
        <c:delete val="0"/>
        <c:axPos val="r"/>
        <c:numFmt formatCode="General" sourceLinked="1"/>
        <c:majorTickMark val="out"/>
        <c:minorTickMark val="none"/>
        <c:tickLblPos val="nextTo"/>
        <c:crossAx val="98064640"/>
        <c:crosses val="max"/>
        <c:crossBetween val="between"/>
      </c:valAx>
      <c:catAx>
        <c:axId val="98064640"/>
        <c:scaling>
          <c:orientation val="minMax"/>
        </c:scaling>
        <c:delete val="1"/>
        <c:axPos val="b"/>
        <c:numFmt formatCode="General" sourceLinked="1"/>
        <c:majorTickMark val="out"/>
        <c:minorTickMark val="none"/>
        <c:tickLblPos val="none"/>
        <c:crossAx val="98063104"/>
        <c:crosses val="autoZero"/>
        <c:auto val="1"/>
        <c:lblAlgn val="ctr"/>
        <c:lblOffset val="100"/>
        <c:noMultiLvlLbl val="0"/>
      </c:catAx>
    </c:plotArea>
    <c:legend>
      <c:legendPos val="b"/>
      <c:overlay val="0"/>
    </c:legend>
    <c:plotVisOnly val="1"/>
    <c:dispBlanksAs val="gap"/>
    <c:showDLblsOverMax val="0"/>
  </c:chart>
  <c:txPr>
    <a:bodyPr/>
    <a:lstStyle/>
    <a:p>
      <a:pPr>
        <a:defRPr sz="1200">
          <a:latin typeface="Times New Roman" pitchFamily="18" charset="0"/>
          <a:cs typeface="Times New Roman" pitchFamily="18" charset="0"/>
        </a:defRPr>
      </a:pPr>
      <a:endParaRPr lang="ru-RU"/>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tx>
            <c:strRef>
              <c:f>Лист2!$D$42</c:f>
              <c:strCache>
                <c:ptCount val="1"/>
                <c:pt idx="0">
                  <c:v>Середньорічний курс (грн/дол.)</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Лист2!$C$43:$C$45</c:f>
              <c:numCache>
                <c:formatCode>General</c:formatCode>
                <c:ptCount val="3"/>
                <c:pt idx="0">
                  <c:v>2022</c:v>
                </c:pt>
                <c:pt idx="1">
                  <c:v>2023</c:v>
                </c:pt>
                <c:pt idx="2">
                  <c:v>2024</c:v>
                </c:pt>
              </c:numCache>
            </c:numRef>
          </c:cat>
          <c:val>
            <c:numRef>
              <c:f>Лист2!$D$43:$D$45</c:f>
              <c:numCache>
                <c:formatCode>General</c:formatCode>
                <c:ptCount val="3"/>
                <c:pt idx="0">
                  <c:v>34.590000000000003</c:v>
                </c:pt>
                <c:pt idx="1">
                  <c:v>36.409999999999997</c:v>
                </c:pt>
                <c:pt idx="2">
                  <c:v>40.15</c:v>
                </c:pt>
              </c:numCache>
            </c:numRef>
          </c:val>
          <c:extLst>
            <c:ext xmlns:c16="http://schemas.microsoft.com/office/drawing/2014/chart" uri="{C3380CC4-5D6E-409C-BE32-E72D297353CC}">
              <c16:uniqueId val="{00000000-54BD-438D-A462-C4E7B94DF551}"/>
            </c:ext>
          </c:extLst>
        </c:ser>
        <c:ser>
          <c:idx val="1"/>
          <c:order val="1"/>
          <c:tx>
            <c:strRef>
              <c:f>Лист2!$E$42</c:f>
              <c:strCache>
                <c:ptCount val="1"/>
                <c:pt idx="0">
                  <c:v>Курс на кінець року (грн/дол.)</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Лист2!$C$43:$C$45</c:f>
              <c:numCache>
                <c:formatCode>General</c:formatCode>
                <c:ptCount val="3"/>
                <c:pt idx="0">
                  <c:v>2022</c:v>
                </c:pt>
                <c:pt idx="1">
                  <c:v>2023</c:v>
                </c:pt>
                <c:pt idx="2">
                  <c:v>2024</c:v>
                </c:pt>
              </c:numCache>
            </c:numRef>
          </c:cat>
          <c:val>
            <c:numRef>
              <c:f>Лист2!$E$43:$E$45</c:f>
              <c:numCache>
                <c:formatCode>General</c:formatCode>
                <c:ptCount val="3"/>
                <c:pt idx="0">
                  <c:v>36.57</c:v>
                </c:pt>
                <c:pt idx="1">
                  <c:v>38.31</c:v>
                </c:pt>
                <c:pt idx="2">
                  <c:v>42.04</c:v>
                </c:pt>
              </c:numCache>
            </c:numRef>
          </c:val>
          <c:extLst>
            <c:ext xmlns:c16="http://schemas.microsoft.com/office/drawing/2014/chart" uri="{C3380CC4-5D6E-409C-BE32-E72D297353CC}">
              <c16:uniqueId val="{00000001-54BD-438D-A462-C4E7B94DF551}"/>
            </c:ext>
          </c:extLst>
        </c:ser>
        <c:dLbls>
          <c:showLegendKey val="0"/>
          <c:showVal val="0"/>
          <c:showCatName val="0"/>
          <c:showSerName val="0"/>
          <c:showPercent val="0"/>
          <c:showBubbleSize val="0"/>
        </c:dLbls>
        <c:gapWidth val="150"/>
        <c:axId val="98077696"/>
        <c:axId val="98104064"/>
      </c:barChart>
      <c:catAx>
        <c:axId val="98077696"/>
        <c:scaling>
          <c:orientation val="minMax"/>
        </c:scaling>
        <c:delete val="0"/>
        <c:axPos val="l"/>
        <c:numFmt formatCode="General" sourceLinked="1"/>
        <c:majorTickMark val="out"/>
        <c:minorTickMark val="none"/>
        <c:tickLblPos val="nextTo"/>
        <c:crossAx val="98104064"/>
        <c:crosses val="autoZero"/>
        <c:auto val="1"/>
        <c:lblAlgn val="ctr"/>
        <c:lblOffset val="100"/>
        <c:noMultiLvlLbl val="0"/>
      </c:catAx>
      <c:valAx>
        <c:axId val="98104064"/>
        <c:scaling>
          <c:orientation val="minMax"/>
        </c:scaling>
        <c:delete val="0"/>
        <c:axPos val="b"/>
        <c:majorGridlines/>
        <c:numFmt formatCode="General" sourceLinked="1"/>
        <c:majorTickMark val="out"/>
        <c:minorTickMark val="none"/>
        <c:tickLblPos val="nextTo"/>
        <c:crossAx val="98077696"/>
        <c:crosses val="autoZero"/>
        <c:crossBetween val="between"/>
      </c:valAx>
    </c:plotArea>
    <c:legend>
      <c:legendPos val="b"/>
      <c:overlay val="0"/>
    </c:legend>
    <c:plotVisOnly val="1"/>
    <c:dispBlanksAs val="gap"/>
    <c:showDLblsOverMax val="0"/>
  </c:chart>
  <c:txPr>
    <a:bodyPr/>
    <a:lstStyle/>
    <a:p>
      <a:pPr>
        <a:defRPr sz="1200">
          <a:latin typeface="Times New Roman" pitchFamily="18" charset="0"/>
          <a:cs typeface="Times New Roman" pitchFamily="18" charset="0"/>
        </a:defRPr>
      </a:pPr>
      <a:endParaRPr lang="ru-RU"/>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1"/>
          <c:order val="1"/>
          <c:tx>
            <c:strRef>
              <c:f>Лист2!$E$61</c:f>
              <c:strCache>
                <c:ptCount val="1"/>
                <c:pt idx="0">
                  <c:v>Продаж</c:v>
                </c:pt>
              </c:strCache>
            </c:strRef>
          </c:tx>
          <c:invertIfNegative val="0"/>
          <c:dLbls>
            <c:dLbl>
              <c:idx val="1"/>
              <c:layout>
                <c:manualLayout>
                  <c:x val="-2.1286885967812801E-2"/>
                  <c:y val="1.084010840108404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DA4-442C-8ECD-B0AC1B9293C6}"/>
                </c:ext>
              </c:extLst>
            </c:dLbl>
            <c:dLbl>
              <c:idx val="2"/>
              <c:layout>
                <c:manualLayout>
                  <c:x val="-2.7092400322670802E-2"/>
                  <c:y val="7.2267389340560338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DA4-442C-8ECD-B0AC1B9293C6}"/>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Лист2!$C$62:$C$64</c:f>
              <c:numCache>
                <c:formatCode>General</c:formatCode>
                <c:ptCount val="3"/>
                <c:pt idx="0">
                  <c:v>2022</c:v>
                </c:pt>
                <c:pt idx="1">
                  <c:v>2023</c:v>
                </c:pt>
                <c:pt idx="2">
                  <c:v>2024</c:v>
                </c:pt>
              </c:numCache>
            </c:numRef>
          </c:cat>
          <c:val>
            <c:numRef>
              <c:f>Лист2!$E$62:$E$64</c:f>
              <c:numCache>
                <c:formatCode>General</c:formatCode>
                <c:ptCount val="3"/>
                <c:pt idx="0">
                  <c:v>26380.59</c:v>
                </c:pt>
                <c:pt idx="1">
                  <c:v>28829.73</c:v>
                </c:pt>
                <c:pt idx="2">
                  <c:v>35312.639999999999</c:v>
                </c:pt>
              </c:numCache>
            </c:numRef>
          </c:val>
          <c:extLst>
            <c:ext xmlns:c16="http://schemas.microsoft.com/office/drawing/2014/chart" uri="{C3380CC4-5D6E-409C-BE32-E72D297353CC}">
              <c16:uniqueId val="{00000002-FDA4-442C-8ECD-B0AC1B9293C6}"/>
            </c:ext>
          </c:extLst>
        </c:ser>
        <c:ser>
          <c:idx val="2"/>
          <c:order val="2"/>
          <c:tx>
            <c:strRef>
              <c:f>Лист2!$F$61</c:f>
              <c:strCache>
                <c:ptCount val="1"/>
                <c:pt idx="0">
                  <c:v>Сальдо (продаж – купівля)</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Лист2!$C$62:$C$64</c:f>
              <c:numCache>
                <c:formatCode>General</c:formatCode>
                <c:ptCount val="3"/>
                <c:pt idx="0">
                  <c:v>2022</c:v>
                </c:pt>
                <c:pt idx="1">
                  <c:v>2023</c:v>
                </c:pt>
                <c:pt idx="2">
                  <c:v>2024</c:v>
                </c:pt>
              </c:numCache>
            </c:numRef>
          </c:cat>
          <c:val>
            <c:numRef>
              <c:f>Лист2!$F$62:$F$64</c:f>
              <c:numCache>
                <c:formatCode>General</c:formatCode>
                <c:ptCount val="3"/>
                <c:pt idx="0">
                  <c:v>23112.639999999901</c:v>
                </c:pt>
                <c:pt idx="1">
                  <c:v>28609.88</c:v>
                </c:pt>
                <c:pt idx="2">
                  <c:v>35186.36</c:v>
                </c:pt>
              </c:numCache>
            </c:numRef>
          </c:val>
          <c:extLst>
            <c:ext xmlns:c16="http://schemas.microsoft.com/office/drawing/2014/chart" uri="{C3380CC4-5D6E-409C-BE32-E72D297353CC}">
              <c16:uniqueId val="{00000003-FDA4-442C-8ECD-B0AC1B9293C6}"/>
            </c:ext>
          </c:extLst>
        </c:ser>
        <c:dLbls>
          <c:showLegendKey val="0"/>
          <c:showVal val="0"/>
          <c:showCatName val="0"/>
          <c:showSerName val="0"/>
          <c:showPercent val="0"/>
          <c:showBubbleSize val="0"/>
        </c:dLbls>
        <c:gapWidth val="150"/>
        <c:axId val="111509504"/>
        <c:axId val="111511040"/>
      </c:barChart>
      <c:lineChart>
        <c:grouping val="standard"/>
        <c:varyColors val="0"/>
        <c:ser>
          <c:idx val="0"/>
          <c:order val="0"/>
          <c:tx>
            <c:strRef>
              <c:f>Лист2!$D$61</c:f>
              <c:strCache>
                <c:ptCount val="1"/>
                <c:pt idx="0">
                  <c:v>Купівля</c:v>
                </c:pt>
              </c:strCache>
            </c:strRef>
          </c:tx>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Лист2!$C$62:$C$64</c:f>
              <c:numCache>
                <c:formatCode>General</c:formatCode>
                <c:ptCount val="3"/>
                <c:pt idx="0">
                  <c:v>2022</c:v>
                </c:pt>
                <c:pt idx="1">
                  <c:v>2023</c:v>
                </c:pt>
                <c:pt idx="2">
                  <c:v>2024</c:v>
                </c:pt>
              </c:numCache>
            </c:numRef>
          </c:cat>
          <c:val>
            <c:numRef>
              <c:f>Лист2!$D$62:$D$64</c:f>
              <c:numCache>
                <c:formatCode>General</c:formatCode>
                <c:ptCount val="3"/>
                <c:pt idx="0">
                  <c:v>3267.95</c:v>
                </c:pt>
                <c:pt idx="1">
                  <c:v>219.85</c:v>
                </c:pt>
                <c:pt idx="2">
                  <c:v>126.28</c:v>
                </c:pt>
              </c:numCache>
            </c:numRef>
          </c:val>
          <c:smooth val="0"/>
          <c:extLst>
            <c:ext xmlns:c16="http://schemas.microsoft.com/office/drawing/2014/chart" uri="{C3380CC4-5D6E-409C-BE32-E72D297353CC}">
              <c16:uniqueId val="{00000004-FDA4-442C-8ECD-B0AC1B9293C6}"/>
            </c:ext>
          </c:extLst>
        </c:ser>
        <c:dLbls>
          <c:showLegendKey val="0"/>
          <c:showVal val="0"/>
          <c:showCatName val="0"/>
          <c:showSerName val="0"/>
          <c:showPercent val="0"/>
          <c:showBubbleSize val="0"/>
        </c:dLbls>
        <c:marker val="1"/>
        <c:smooth val="0"/>
        <c:axId val="111522560"/>
        <c:axId val="111512576"/>
      </c:lineChart>
      <c:catAx>
        <c:axId val="111509504"/>
        <c:scaling>
          <c:orientation val="minMax"/>
        </c:scaling>
        <c:delete val="0"/>
        <c:axPos val="b"/>
        <c:numFmt formatCode="General" sourceLinked="1"/>
        <c:majorTickMark val="out"/>
        <c:minorTickMark val="none"/>
        <c:tickLblPos val="nextTo"/>
        <c:crossAx val="111511040"/>
        <c:crosses val="autoZero"/>
        <c:auto val="1"/>
        <c:lblAlgn val="ctr"/>
        <c:lblOffset val="100"/>
        <c:noMultiLvlLbl val="0"/>
      </c:catAx>
      <c:valAx>
        <c:axId val="111511040"/>
        <c:scaling>
          <c:orientation val="minMax"/>
        </c:scaling>
        <c:delete val="0"/>
        <c:axPos val="l"/>
        <c:majorGridlines/>
        <c:numFmt formatCode="General" sourceLinked="1"/>
        <c:majorTickMark val="out"/>
        <c:minorTickMark val="none"/>
        <c:tickLblPos val="nextTo"/>
        <c:crossAx val="111509504"/>
        <c:crosses val="autoZero"/>
        <c:crossBetween val="between"/>
      </c:valAx>
      <c:valAx>
        <c:axId val="111512576"/>
        <c:scaling>
          <c:orientation val="minMax"/>
        </c:scaling>
        <c:delete val="0"/>
        <c:axPos val="r"/>
        <c:numFmt formatCode="General" sourceLinked="1"/>
        <c:majorTickMark val="out"/>
        <c:minorTickMark val="none"/>
        <c:tickLblPos val="nextTo"/>
        <c:crossAx val="111522560"/>
        <c:crosses val="max"/>
        <c:crossBetween val="between"/>
      </c:valAx>
      <c:catAx>
        <c:axId val="111522560"/>
        <c:scaling>
          <c:orientation val="minMax"/>
        </c:scaling>
        <c:delete val="1"/>
        <c:axPos val="b"/>
        <c:numFmt formatCode="General" sourceLinked="1"/>
        <c:majorTickMark val="out"/>
        <c:minorTickMark val="none"/>
        <c:tickLblPos val="none"/>
        <c:crossAx val="111512576"/>
        <c:crosses val="autoZero"/>
        <c:auto val="1"/>
        <c:lblAlgn val="ctr"/>
        <c:lblOffset val="100"/>
        <c:noMultiLvlLbl val="0"/>
      </c:catAx>
    </c:plotArea>
    <c:legend>
      <c:legendPos val="b"/>
      <c:overlay val="0"/>
    </c:legend>
    <c:plotVisOnly val="1"/>
    <c:dispBlanksAs val="zero"/>
    <c:showDLblsOverMax val="0"/>
  </c:chart>
  <c:txPr>
    <a:bodyPr/>
    <a:lstStyle/>
    <a:p>
      <a:pPr>
        <a:defRPr sz="1200">
          <a:latin typeface="Times New Roman" pitchFamily="18" charset="0"/>
          <a:cs typeface="Times New Roman" pitchFamily="18" charset="0"/>
        </a:defRPr>
      </a:pPr>
      <a:endParaRPr lang="ru-RU"/>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1"/>
          <c:order val="1"/>
          <c:tx>
            <c:strRef>
              <c:f>[Книга1.xlsx]Лист2!$E$78</c:f>
              <c:strCache>
                <c:ptCount val="1"/>
                <c:pt idx="0">
                  <c:v>Інфляція, %</c:v>
                </c:pt>
              </c:strCache>
            </c:strRef>
          </c:tx>
          <c:invertIfNegative val="0"/>
          <c:cat>
            <c:numRef>
              <c:f>[Книга1.xlsx]Лист2!$C$79:$C$81</c:f>
              <c:numCache>
                <c:formatCode>General</c:formatCode>
                <c:ptCount val="3"/>
                <c:pt idx="0">
                  <c:v>2022</c:v>
                </c:pt>
                <c:pt idx="1">
                  <c:v>2023</c:v>
                </c:pt>
                <c:pt idx="2">
                  <c:v>2024</c:v>
                </c:pt>
              </c:numCache>
            </c:numRef>
          </c:cat>
          <c:val>
            <c:numRef>
              <c:f>[Книга1.xlsx]Лист2!$E$79:$E$81</c:f>
              <c:numCache>
                <c:formatCode>General</c:formatCode>
                <c:ptCount val="3"/>
                <c:pt idx="0">
                  <c:v>26.6</c:v>
                </c:pt>
                <c:pt idx="1">
                  <c:v>5.0999999999999996</c:v>
                </c:pt>
                <c:pt idx="2">
                  <c:v>8.4</c:v>
                </c:pt>
              </c:numCache>
            </c:numRef>
          </c:val>
          <c:extLst>
            <c:ext xmlns:c16="http://schemas.microsoft.com/office/drawing/2014/chart" uri="{C3380CC4-5D6E-409C-BE32-E72D297353CC}">
              <c16:uniqueId val="{00000000-EA1E-4A5A-96CB-274FA67D3942}"/>
            </c:ext>
          </c:extLst>
        </c:ser>
        <c:ser>
          <c:idx val="2"/>
          <c:order val="2"/>
          <c:tx>
            <c:strRef>
              <c:f>[Книга1.xlsx]Лист2!$F$78</c:f>
              <c:strCache>
                <c:ptCount val="1"/>
                <c:pt idx="0">
                  <c:v>Рівень обмінного курсу (грн/дол., середньорічний)</c:v>
                </c:pt>
              </c:strCache>
            </c:strRef>
          </c:tx>
          <c:invertIfNegative val="0"/>
          <c:cat>
            <c:numRef>
              <c:f>[Книга1.xlsx]Лист2!$C$79:$C$81</c:f>
              <c:numCache>
                <c:formatCode>General</c:formatCode>
                <c:ptCount val="3"/>
                <c:pt idx="0">
                  <c:v>2022</c:v>
                </c:pt>
                <c:pt idx="1">
                  <c:v>2023</c:v>
                </c:pt>
                <c:pt idx="2">
                  <c:v>2024</c:v>
                </c:pt>
              </c:numCache>
            </c:numRef>
          </c:cat>
          <c:val>
            <c:numRef>
              <c:f>[Книга1.xlsx]Лист2!$F$79:$F$81</c:f>
              <c:numCache>
                <c:formatCode>General</c:formatCode>
                <c:ptCount val="3"/>
                <c:pt idx="0">
                  <c:v>34.590000000000003</c:v>
                </c:pt>
                <c:pt idx="1">
                  <c:v>36.409999999999997</c:v>
                </c:pt>
                <c:pt idx="2">
                  <c:v>40.15</c:v>
                </c:pt>
              </c:numCache>
            </c:numRef>
          </c:val>
          <c:extLst>
            <c:ext xmlns:c16="http://schemas.microsoft.com/office/drawing/2014/chart" uri="{C3380CC4-5D6E-409C-BE32-E72D297353CC}">
              <c16:uniqueId val="{00000001-EA1E-4A5A-96CB-274FA67D3942}"/>
            </c:ext>
          </c:extLst>
        </c:ser>
        <c:ser>
          <c:idx val="3"/>
          <c:order val="3"/>
          <c:tx>
            <c:strRef>
              <c:f>[Книга1.xlsx]Лист2!$G$78</c:f>
              <c:strCache>
                <c:ptCount val="1"/>
                <c:pt idx="0">
                  <c:v>Золотовалютні резерви, млрд дол.</c:v>
                </c:pt>
              </c:strCache>
            </c:strRef>
          </c:tx>
          <c:invertIfNegative val="0"/>
          <c:cat>
            <c:numRef>
              <c:f>[Книга1.xlsx]Лист2!$C$79:$C$81</c:f>
              <c:numCache>
                <c:formatCode>General</c:formatCode>
                <c:ptCount val="3"/>
                <c:pt idx="0">
                  <c:v>2022</c:v>
                </c:pt>
                <c:pt idx="1">
                  <c:v>2023</c:v>
                </c:pt>
                <c:pt idx="2">
                  <c:v>2024</c:v>
                </c:pt>
              </c:numCache>
            </c:numRef>
          </c:cat>
          <c:val>
            <c:numRef>
              <c:f>[Книга1.xlsx]Лист2!$G$79:$G$81</c:f>
              <c:numCache>
                <c:formatCode>General</c:formatCode>
                <c:ptCount val="3"/>
                <c:pt idx="0">
                  <c:v>28.5</c:v>
                </c:pt>
                <c:pt idx="1">
                  <c:v>39</c:v>
                </c:pt>
                <c:pt idx="2">
                  <c:v>44.5</c:v>
                </c:pt>
              </c:numCache>
            </c:numRef>
          </c:val>
          <c:extLst>
            <c:ext xmlns:c16="http://schemas.microsoft.com/office/drawing/2014/chart" uri="{C3380CC4-5D6E-409C-BE32-E72D297353CC}">
              <c16:uniqueId val="{00000002-EA1E-4A5A-96CB-274FA67D3942}"/>
            </c:ext>
          </c:extLst>
        </c:ser>
        <c:dLbls>
          <c:showLegendKey val="0"/>
          <c:showVal val="0"/>
          <c:showCatName val="0"/>
          <c:showSerName val="0"/>
          <c:showPercent val="0"/>
          <c:showBubbleSize val="0"/>
        </c:dLbls>
        <c:gapWidth val="150"/>
        <c:axId val="111591808"/>
        <c:axId val="111593344"/>
      </c:barChart>
      <c:lineChart>
        <c:grouping val="standard"/>
        <c:varyColors val="0"/>
        <c:ser>
          <c:idx val="0"/>
          <c:order val="0"/>
          <c:tx>
            <c:strRef>
              <c:f>[Книга1.xlsx]Лист2!$D$78</c:f>
              <c:strCache>
                <c:ptCount val="1"/>
                <c:pt idx="0">
                  <c:v>ВВП, млрд грн</c:v>
                </c:pt>
              </c:strCache>
            </c:strRef>
          </c:tx>
          <c:cat>
            <c:numRef>
              <c:f>[Книга1.xlsx]Лист2!$C$79:$C$81</c:f>
              <c:numCache>
                <c:formatCode>General</c:formatCode>
                <c:ptCount val="3"/>
                <c:pt idx="0">
                  <c:v>2022</c:v>
                </c:pt>
                <c:pt idx="1">
                  <c:v>2023</c:v>
                </c:pt>
                <c:pt idx="2">
                  <c:v>2024</c:v>
                </c:pt>
              </c:numCache>
            </c:numRef>
          </c:cat>
          <c:val>
            <c:numRef>
              <c:f>[Книга1.xlsx]Лист2!$D$79:$D$81</c:f>
              <c:numCache>
                <c:formatCode>General</c:formatCode>
                <c:ptCount val="3"/>
                <c:pt idx="0">
                  <c:v>4635.5</c:v>
                </c:pt>
                <c:pt idx="1">
                  <c:v>5204.8999999999996</c:v>
                </c:pt>
                <c:pt idx="2">
                  <c:v>6020</c:v>
                </c:pt>
              </c:numCache>
            </c:numRef>
          </c:val>
          <c:smooth val="0"/>
          <c:extLst>
            <c:ext xmlns:c16="http://schemas.microsoft.com/office/drawing/2014/chart" uri="{C3380CC4-5D6E-409C-BE32-E72D297353CC}">
              <c16:uniqueId val="{00000003-EA1E-4A5A-96CB-274FA67D3942}"/>
            </c:ext>
          </c:extLst>
        </c:ser>
        <c:ser>
          <c:idx val="4"/>
          <c:order val="4"/>
          <c:tx>
            <c:strRef>
              <c:f>[Книга1.xlsx]Лист2!$H$78</c:f>
              <c:strCache>
                <c:ptCount val="1"/>
                <c:pt idx="0">
                  <c:v>Сальдо інтервенцій НБУ, млн дол.</c:v>
                </c:pt>
              </c:strCache>
            </c:strRef>
          </c:tx>
          <c:cat>
            <c:numRef>
              <c:f>[Книга1.xlsx]Лист2!$C$79:$C$81</c:f>
              <c:numCache>
                <c:formatCode>General</c:formatCode>
                <c:ptCount val="3"/>
                <c:pt idx="0">
                  <c:v>2022</c:v>
                </c:pt>
                <c:pt idx="1">
                  <c:v>2023</c:v>
                </c:pt>
                <c:pt idx="2">
                  <c:v>2024</c:v>
                </c:pt>
              </c:numCache>
            </c:numRef>
          </c:cat>
          <c:val>
            <c:numRef>
              <c:f>[Книга1.xlsx]Лист2!$H$79:$H$81</c:f>
              <c:numCache>
                <c:formatCode>General</c:formatCode>
                <c:ptCount val="3"/>
                <c:pt idx="0">
                  <c:v>23112.7</c:v>
                </c:pt>
                <c:pt idx="1">
                  <c:v>28609.9</c:v>
                </c:pt>
                <c:pt idx="2">
                  <c:v>35186.300000000003</c:v>
                </c:pt>
              </c:numCache>
            </c:numRef>
          </c:val>
          <c:smooth val="0"/>
          <c:extLst>
            <c:ext xmlns:c16="http://schemas.microsoft.com/office/drawing/2014/chart" uri="{C3380CC4-5D6E-409C-BE32-E72D297353CC}">
              <c16:uniqueId val="{00000004-EA1E-4A5A-96CB-274FA67D3942}"/>
            </c:ext>
          </c:extLst>
        </c:ser>
        <c:dLbls>
          <c:showLegendKey val="0"/>
          <c:showVal val="0"/>
          <c:showCatName val="0"/>
          <c:showSerName val="0"/>
          <c:showPercent val="0"/>
          <c:showBubbleSize val="0"/>
        </c:dLbls>
        <c:marker val="1"/>
        <c:smooth val="0"/>
        <c:axId val="111678592"/>
        <c:axId val="111594880"/>
      </c:lineChart>
      <c:catAx>
        <c:axId val="111591808"/>
        <c:scaling>
          <c:orientation val="minMax"/>
        </c:scaling>
        <c:delete val="0"/>
        <c:axPos val="b"/>
        <c:numFmt formatCode="General" sourceLinked="1"/>
        <c:majorTickMark val="none"/>
        <c:minorTickMark val="none"/>
        <c:tickLblPos val="nextTo"/>
        <c:crossAx val="111593344"/>
        <c:crosses val="autoZero"/>
        <c:auto val="1"/>
        <c:lblAlgn val="ctr"/>
        <c:lblOffset val="100"/>
        <c:noMultiLvlLbl val="0"/>
      </c:catAx>
      <c:valAx>
        <c:axId val="111593344"/>
        <c:scaling>
          <c:orientation val="minMax"/>
        </c:scaling>
        <c:delete val="0"/>
        <c:axPos val="l"/>
        <c:majorGridlines/>
        <c:numFmt formatCode="General" sourceLinked="1"/>
        <c:majorTickMark val="none"/>
        <c:minorTickMark val="none"/>
        <c:tickLblPos val="nextTo"/>
        <c:crossAx val="111591808"/>
        <c:crosses val="autoZero"/>
        <c:crossBetween val="between"/>
      </c:valAx>
      <c:valAx>
        <c:axId val="111594880"/>
        <c:scaling>
          <c:orientation val="minMax"/>
        </c:scaling>
        <c:delete val="0"/>
        <c:axPos val="r"/>
        <c:numFmt formatCode="General" sourceLinked="1"/>
        <c:majorTickMark val="out"/>
        <c:minorTickMark val="none"/>
        <c:tickLblPos val="nextTo"/>
        <c:crossAx val="111678592"/>
        <c:crosses val="max"/>
        <c:crossBetween val="between"/>
      </c:valAx>
      <c:catAx>
        <c:axId val="111678592"/>
        <c:scaling>
          <c:orientation val="minMax"/>
        </c:scaling>
        <c:delete val="1"/>
        <c:axPos val="b"/>
        <c:numFmt formatCode="General" sourceLinked="1"/>
        <c:majorTickMark val="out"/>
        <c:minorTickMark val="none"/>
        <c:tickLblPos val="none"/>
        <c:crossAx val="111594880"/>
        <c:crosses val="autoZero"/>
        <c:auto val="1"/>
        <c:lblAlgn val="ctr"/>
        <c:lblOffset val="100"/>
        <c:noMultiLvlLbl val="0"/>
      </c:catAx>
      <c:dTable>
        <c:showHorzBorder val="1"/>
        <c:showVertBorder val="1"/>
        <c:showOutline val="1"/>
        <c:showKeys val="1"/>
      </c:dTable>
    </c:plotArea>
    <c:plotVisOnly val="1"/>
    <c:dispBlanksAs val="gap"/>
    <c:showDLblsOverMax val="0"/>
  </c:chart>
  <c:txPr>
    <a:bodyPr/>
    <a:lstStyle/>
    <a:p>
      <a:pPr>
        <a:defRPr sz="1200">
          <a:latin typeface="Times New Roman" pitchFamily="18" charset="0"/>
          <a:cs typeface="Times New Roman" pitchFamily="18" charset="0"/>
        </a:defRPr>
      </a:pPr>
      <a:endParaRPr lang="ru-RU"/>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45DA4D3-91E8-431C-BFC0-C2C8067A164A}" type="doc">
      <dgm:prSet loTypeId="urn:microsoft.com/office/officeart/2005/8/layout/cycle3" loCatId="cycle" qsTypeId="urn:microsoft.com/office/officeart/2005/8/quickstyle/simple1" qsCatId="simple" csTypeId="urn:microsoft.com/office/officeart/2005/8/colors/accent0_1" csCatId="mainScheme" phldr="1"/>
      <dgm:spPr/>
      <dgm:t>
        <a:bodyPr/>
        <a:lstStyle/>
        <a:p>
          <a:endParaRPr lang="ru-RU"/>
        </a:p>
      </dgm:t>
    </dgm:pt>
    <dgm:pt modelId="{1F194E12-3A33-418A-AA48-7511D996D69E}">
      <dgm:prSet phldrT="[Текст]" custT="1"/>
      <dgm:spPr/>
      <dgm:t>
        <a:bodyPr/>
        <a:lstStyle/>
        <a:p>
          <a:pPr algn="ctr">
            <a:lnSpc>
              <a:spcPct val="100000"/>
            </a:lnSpc>
            <a:spcBef>
              <a:spcPts val="0"/>
            </a:spcBef>
            <a:spcAft>
              <a:spcPts val="0"/>
            </a:spcAft>
          </a:pPr>
          <a:r>
            <a:rPr lang="ru-RU" sz="1200">
              <a:latin typeface="Times New Roman" pitchFamily="18" charset="0"/>
              <a:cs typeface="Times New Roman" pitchFamily="18" charset="0"/>
            </a:rPr>
            <a:t>корупція, діяльність правоохоронних органів та судової системи;</a:t>
          </a:r>
        </a:p>
      </dgm:t>
    </dgm:pt>
    <dgm:pt modelId="{9B829922-28E1-49E3-BE8C-B85C481F669C}" type="parTrans" cxnId="{07B12867-3E13-41B8-910B-B9E7FD61E098}">
      <dgm:prSet/>
      <dgm:spPr/>
      <dgm:t>
        <a:bodyPr/>
        <a:lstStyle/>
        <a:p>
          <a:pPr algn="ctr">
            <a:lnSpc>
              <a:spcPct val="100000"/>
            </a:lnSpc>
            <a:spcBef>
              <a:spcPts val="0"/>
            </a:spcBef>
            <a:spcAft>
              <a:spcPts val="0"/>
            </a:spcAft>
          </a:pPr>
          <a:endParaRPr lang="ru-RU" sz="1200">
            <a:latin typeface="Times New Roman" pitchFamily="18" charset="0"/>
            <a:cs typeface="Times New Roman" pitchFamily="18" charset="0"/>
          </a:endParaRPr>
        </a:p>
      </dgm:t>
    </dgm:pt>
    <dgm:pt modelId="{945DE450-B763-494F-85E9-25C7F8CD5FBF}" type="sibTrans" cxnId="{07B12867-3E13-41B8-910B-B9E7FD61E098}">
      <dgm:prSet/>
      <dgm:spPr/>
      <dgm:t>
        <a:bodyPr/>
        <a:lstStyle/>
        <a:p>
          <a:pPr algn="ctr">
            <a:lnSpc>
              <a:spcPct val="100000"/>
            </a:lnSpc>
            <a:spcBef>
              <a:spcPts val="0"/>
            </a:spcBef>
            <a:spcAft>
              <a:spcPts val="0"/>
            </a:spcAft>
          </a:pPr>
          <a:endParaRPr lang="ru-RU" sz="1200">
            <a:latin typeface="Times New Roman" pitchFamily="18" charset="0"/>
            <a:cs typeface="Times New Roman" pitchFamily="18" charset="0"/>
          </a:endParaRPr>
        </a:p>
      </dgm:t>
    </dgm:pt>
    <dgm:pt modelId="{43B0ECBC-D274-4687-8A4A-F373A1AAD263}">
      <dgm:prSet phldrT="[Текст]" custT="1"/>
      <dgm:spPr/>
      <dgm:t>
        <a:bodyPr/>
        <a:lstStyle/>
        <a:p>
          <a:pPr algn="ctr">
            <a:lnSpc>
              <a:spcPct val="100000"/>
            </a:lnSpc>
            <a:spcBef>
              <a:spcPts val="0"/>
            </a:spcBef>
            <a:spcAft>
              <a:spcPts val="0"/>
            </a:spcAft>
          </a:pPr>
          <a:r>
            <a:rPr lang="ru-RU" sz="1200">
              <a:latin typeface="Times New Roman" pitchFamily="18" charset="0"/>
              <a:cs typeface="Times New Roman" pitchFamily="18" charset="0"/>
            </a:rPr>
            <a:t>стан співпраці з міжнародними фінансовими організаціями;</a:t>
          </a:r>
        </a:p>
      </dgm:t>
    </dgm:pt>
    <dgm:pt modelId="{DDF4B521-CD02-42F7-B8E1-2376AFBB5CBE}" type="parTrans" cxnId="{70FA7C3E-92EB-43CF-8056-067D123B2A46}">
      <dgm:prSet/>
      <dgm:spPr/>
      <dgm:t>
        <a:bodyPr/>
        <a:lstStyle/>
        <a:p>
          <a:pPr algn="ctr">
            <a:lnSpc>
              <a:spcPct val="100000"/>
            </a:lnSpc>
            <a:spcBef>
              <a:spcPts val="0"/>
            </a:spcBef>
            <a:spcAft>
              <a:spcPts val="0"/>
            </a:spcAft>
          </a:pPr>
          <a:endParaRPr lang="ru-RU" sz="1200">
            <a:latin typeface="Times New Roman" pitchFamily="18" charset="0"/>
            <a:cs typeface="Times New Roman" pitchFamily="18" charset="0"/>
          </a:endParaRPr>
        </a:p>
      </dgm:t>
    </dgm:pt>
    <dgm:pt modelId="{D50F0F10-1753-46DC-983E-6EF6063D7E64}" type="sibTrans" cxnId="{70FA7C3E-92EB-43CF-8056-067D123B2A46}">
      <dgm:prSet/>
      <dgm:spPr/>
      <dgm:t>
        <a:bodyPr/>
        <a:lstStyle/>
        <a:p>
          <a:pPr algn="ctr">
            <a:lnSpc>
              <a:spcPct val="100000"/>
            </a:lnSpc>
            <a:spcBef>
              <a:spcPts val="0"/>
            </a:spcBef>
            <a:spcAft>
              <a:spcPts val="0"/>
            </a:spcAft>
          </a:pPr>
          <a:endParaRPr lang="ru-RU" sz="1200">
            <a:latin typeface="Times New Roman" pitchFamily="18" charset="0"/>
            <a:cs typeface="Times New Roman" pitchFamily="18" charset="0"/>
          </a:endParaRPr>
        </a:p>
      </dgm:t>
    </dgm:pt>
    <dgm:pt modelId="{C8E2C05C-114D-4564-AC75-A0447CC31059}">
      <dgm:prSet phldrT="[Текст]" custT="1"/>
      <dgm:spPr/>
      <dgm:t>
        <a:bodyPr/>
        <a:lstStyle/>
        <a:p>
          <a:pPr algn="ctr">
            <a:lnSpc>
              <a:spcPct val="100000"/>
            </a:lnSpc>
            <a:spcBef>
              <a:spcPts val="0"/>
            </a:spcBef>
            <a:spcAft>
              <a:spcPts val="0"/>
            </a:spcAft>
          </a:pPr>
          <a:r>
            <a:rPr lang="ru-RU" sz="1200">
              <a:latin typeface="Times New Roman" pitchFamily="18" charset="0"/>
              <a:cs typeface="Times New Roman" pitchFamily="18" charset="0"/>
            </a:rPr>
            <a:t>шахрайство та кібернетичні загрози.</a:t>
          </a:r>
        </a:p>
      </dgm:t>
    </dgm:pt>
    <dgm:pt modelId="{9675F159-4561-49A6-8058-0AFE9EE2CB81}" type="parTrans" cxnId="{5D75CCAF-2892-4774-8D95-5AEC343D9795}">
      <dgm:prSet/>
      <dgm:spPr/>
      <dgm:t>
        <a:bodyPr/>
        <a:lstStyle/>
        <a:p>
          <a:pPr algn="ctr">
            <a:lnSpc>
              <a:spcPct val="100000"/>
            </a:lnSpc>
            <a:spcBef>
              <a:spcPts val="0"/>
            </a:spcBef>
            <a:spcAft>
              <a:spcPts val="0"/>
            </a:spcAft>
          </a:pPr>
          <a:endParaRPr lang="ru-RU" sz="1200">
            <a:latin typeface="Times New Roman" pitchFamily="18" charset="0"/>
            <a:cs typeface="Times New Roman" pitchFamily="18" charset="0"/>
          </a:endParaRPr>
        </a:p>
      </dgm:t>
    </dgm:pt>
    <dgm:pt modelId="{284855F1-C351-4352-BAF9-B8A39B8DA685}" type="sibTrans" cxnId="{5D75CCAF-2892-4774-8D95-5AEC343D9795}">
      <dgm:prSet/>
      <dgm:spPr/>
      <dgm:t>
        <a:bodyPr/>
        <a:lstStyle/>
        <a:p>
          <a:pPr algn="ctr">
            <a:lnSpc>
              <a:spcPct val="100000"/>
            </a:lnSpc>
            <a:spcBef>
              <a:spcPts val="0"/>
            </a:spcBef>
            <a:spcAft>
              <a:spcPts val="0"/>
            </a:spcAft>
          </a:pPr>
          <a:endParaRPr lang="ru-RU" sz="1200">
            <a:latin typeface="Times New Roman" pitchFamily="18" charset="0"/>
            <a:cs typeface="Times New Roman" pitchFamily="18" charset="0"/>
          </a:endParaRPr>
        </a:p>
      </dgm:t>
    </dgm:pt>
    <dgm:pt modelId="{E598D224-F353-4111-8ED4-FAD6EF1682D8}">
      <dgm:prSet phldrT="[Текст]" custT="1"/>
      <dgm:spPr/>
      <dgm:t>
        <a:bodyPr/>
        <a:lstStyle/>
        <a:p>
          <a:pPr algn="ctr">
            <a:lnSpc>
              <a:spcPct val="100000"/>
            </a:lnSpc>
            <a:spcBef>
              <a:spcPts val="0"/>
            </a:spcBef>
            <a:spcAft>
              <a:spcPts val="0"/>
            </a:spcAft>
          </a:pPr>
          <a:r>
            <a:rPr lang="ru-RU" sz="1200">
              <a:latin typeface="Times New Roman" pitchFamily="18" charset="0"/>
              <a:cs typeface="Times New Roman" pitchFamily="18" charset="0"/>
            </a:rPr>
            <a:t>стан захисту прав кредиторів та інвесторів;</a:t>
          </a:r>
        </a:p>
      </dgm:t>
    </dgm:pt>
    <dgm:pt modelId="{E7857694-6C28-4704-AF28-B828F1FFDA9C}" type="parTrans" cxnId="{9795C650-029A-46F6-867D-3AE96FDD3E3E}">
      <dgm:prSet/>
      <dgm:spPr/>
      <dgm:t>
        <a:bodyPr/>
        <a:lstStyle/>
        <a:p>
          <a:pPr algn="ctr">
            <a:lnSpc>
              <a:spcPct val="100000"/>
            </a:lnSpc>
            <a:spcBef>
              <a:spcPts val="0"/>
            </a:spcBef>
            <a:spcAft>
              <a:spcPts val="0"/>
            </a:spcAft>
          </a:pPr>
          <a:endParaRPr lang="ru-RU" sz="1200">
            <a:latin typeface="Times New Roman" pitchFamily="18" charset="0"/>
            <a:cs typeface="Times New Roman" pitchFamily="18" charset="0"/>
          </a:endParaRPr>
        </a:p>
      </dgm:t>
    </dgm:pt>
    <dgm:pt modelId="{2367F0F5-E447-4F12-AF4F-5CC1DD897DFB}" type="sibTrans" cxnId="{9795C650-029A-46F6-867D-3AE96FDD3E3E}">
      <dgm:prSet/>
      <dgm:spPr/>
      <dgm:t>
        <a:bodyPr/>
        <a:lstStyle/>
        <a:p>
          <a:pPr algn="ctr">
            <a:lnSpc>
              <a:spcPct val="100000"/>
            </a:lnSpc>
            <a:spcBef>
              <a:spcPts val="0"/>
            </a:spcBef>
            <a:spcAft>
              <a:spcPts val="0"/>
            </a:spcAft>
          </a:pPr>
          <a:endParaRPr lang="ru-RU" sz="1200">
            <a:latin typeface="Times New Roman" pitchFamily="18" charset="0"/>
            <a:cs typeface="Times New Roman" pitchFamily="18" charset="0"/>
          </a:endParaRPr>
        </a:p>
      </dgm:t>
    </dgm:pt>
    <dgm:pt modelId="{C087E572-F99B-4C85-9419-C3679589A139}">
      <dgm:prSet phldrT="[Текст]" custT="1"/>
      <dgm:spPr/>
      <dgm:t>
        <a:bodyPr/>
        <a:lstStyle/>
        <a:p>
          <a:pPr algn="ctr">
            <a:lnSpc>
              <a:spcPct val="100000"/>
            </a:lnSpc>
            <a:spcBef>
              <a:spcPts val="0"/>
            </a:spcBef>
            <a:spcAft>
              <a:spcPts val="0"/>
            </a:spcAft>
          </a:pPr>
          <a:r>
            <a:rPr lang="ru-RU" sz="1200">
              <a:latin typeface="Times New Roman" pitchFamily="18" charset="0"/>
              <a:cs typeface="Times New Roman" pitchFamily="18" charset="0"/>
            </a:rPr>
            <a:t>політична та соціальна ситуація в Україні;</a:t>
          </a:r>
        </a:p>
      </dgm:t>
    </dgm:pt>
    <dgm:pt modelId="{415F6DE6-4108-411A-A180-5E98DDAD24B4}" type="parTrans" cxnId="{AAA3B248-CD52-48E0-8A13-7EAFBFCCB3FD}">
      <dgm:prSet/>
      <dgm:spPr/>
      <dgm:t>
        <a:bodyPr/>
        <a:lstStyle/>
        <a:p>
          <a:pPr algn="ctr">
            <a:lnSpc>
              <a:spcPct val="100000"/>
            </a:lnSpc>
            <a:spcBef>
              <a:spcPts val="0"/>
            </a:spcBef>
            <a:spcAft>
              <a:spcPts val="0"/>
            </a:spcAft>
          </a:pPr>
          <a:endParaRPr lang="ru-RU" sz="1200">
            <a:latin typeface="Times New Roman" pitchFamily="18" charset="0"/>
            <a:cs typeface="Times New Roman" pitchFamily="18" charset="0"/>
          </a:endParaRPr>
        </a:p>
      </dgm:t>
    </dgm:pt>
    <dgm:pt modelId="{E0E8FAE5-22C9-4438-BEA5-D523C8DF321C}" type="sibTrans" cxnId="{AAA3B248-CD52-48E0-8A13-7EAFBFCCB3FD}">
      <dgm:prSet/>
      <dgm:spPr/>
      <dgm:t>
        <a:bodyPr/>
        <a:lstStyle/>
        <a:p>
          <a:pPr algn="ctr">
            <a:lnSpc>
              <a:spcPct val="100000"/>
            </a:lnSpc>
            <a:spcBef>
              <a:spcPts val="0"/>
            </a:spcBef>
            <a:spcAft>
              <a:spcPts val="0"/>
            </a:spcAft>
          </a:pPr>
          <a:endParaRPr lang="ru-RU" sz="1200">
            <a:latin typeface="Times New Roman" pitchFamily="18" charset="0"/>
            <a:cs typeface="Times New Roman" pitchFamily="18" charset="0"/>
          </a:endParaRPr>
        </a:p>
      </dgm:t>
    </dgm:pt>
    <dgm:pt modelId="{685B24A6-1B48-4CF0-9977-1BC2FC539BBF}" type="pres">
      <dgm:prSet presAssocID="{E45DA4D3-91E8-431C-BFC0-C2C8067A164A}" presName="Name0" presStyleCnt="0">
        <dgm:presLayoutVars>
          <dgm:dir/>
          <dgm:resizeHandles val="exact"/>
        </dgm:presLayoutVars>
      </dgm:prSet>
      <dgm:spPr/>
      <dgm:t>
        <a:bodyPr/>
        <a:lstStyle/>
        <a:p>
          <a:endParaRPr lang="ru-RU"/>
        </a:p>
      </dgm:t>
    </dgm:pt>
    <dgm:pt modelId="{6F7C0ABE-191B-4F44-8B07-A1BAA7071890}" type="pres">
      <dgm:prSet presAssocID="{E45DA4D3-91E8-431C-BFC0-C2C8067A164A}" presName="cycle" presStyleCnt="0"/>
      <dgm:spPr/>
    </dgm:pt>
    <dgm:pt modelId="{513217C0-4D07-4A8D-84A7-8A7136674E84}" type="pres">
      <dgm:prSet presAssocID="{1F194E12-3A33-418A-AA48-7511D996D69E}" presName="nodeFirstNode" presStyleLbl="node1" presStyleIdx="0" presStyleCnt="5">
        <dgm:presLayoutVars>
          <dgm:bulletEnabled val="1"/>
        </dgm:presLayoutVars>
      </dgm:prSet>
      <dgm:spPr/>
      <dgm:t>
        <a:bodyPr/>
        <a:lstStyle/>
        <a:p>
          <a:endParaRPr lang="ru-RU"/>
        </a:p>
      </dgm:t>
    </dgm:pt>
    <dgm:pt modelId="{6A2D9836-BFAB-45C2-A5D1-B2785744B8B1}" type="pres">
      <dgm:prSet presAssocID="{945DE450-B763-494F-85E9-25C7F8CD5FBF}" presName="sibTransFirstNode" presStyleLbl="bgShp" presStyleIdx="0" presStyleCnt="1"/>
      <dgm:spPr/>
      <dgm:t>
        <a:bodyPr/>
        <a:lstStyle/>
        <a:p>
          <a:endParaRPr lang="ru-RU"/>
        </a:p>
      </dgm:t>
    </dgm:pt>
    <dgm:pt modelId="{AFA29D5B-D764-4B41-B559-78AC9A5C231C}" type="pres">
      <dgm:prSet presAssocID="{43B0ECBC-D274-4687-8A4A-F373A1AAD263}" presName="nodeFollowingNodes" presStyleLbl="node1" presStyleIdx="1" presStyleCnt="5">
        <dgm:presLayoutVars>
          <dgm:bulletEnabled val="1"/>
        </dgm:presLayoutVars>
      </dgm:prSet>
      <dgm:spPr/>
      <dgm:t>
        <a:bodyPr/>
        <a:lstStyle/>
        <a:p>
          <a:endParaRPr lang="ru-RU"/>
        </a:p>
      </dgm:t>
    </dgm:pt>
    <dgm:pt modelId="{2A89AD31-8342-4ACD-A5CD-A8DF35EAB7A2}" type="pres">
      <dgm:prSet presAssocID="{C8E2C05C-114D-4564-AC75-A0447CC31059}" presName="nodeFollowingNodes" presStyleLbl="node1" presStyleIdx="2" presStyleCnt="5">
        <dgm:presLayoutVars>
          <dgm:bulletEnabled val="1"/>
        </dgm:presLayoutVars>
      </dgm:prSet>
      <dgm:spPr/>
      <dgm:t>
        <a:bodyPr/>
        <a:lstStyle/>
        <a:p>
          <a:endParaRPr lang="ru-RU"/>
        </a:p>
      </dgm:t>
    </dgm:pt>
    <dgm:pt modelId="{0DF6D403-4E2C-4A12-B2D2-FCADDBE3ECBC}" type="pres">
      <dgm:prSet presAssocID="{E598D224-F353-4111-8ED4-FAD6EF1682D8}" presName="nodeFollowingNodes" presStyleLbl="node1" presStyleIdx="3" presStyleCnt="5">
        <dgm:presLayoutVars>
          <dgm:bulletEnabled val="1"/>
        </dgm:presLayoutVars>
      </dgm:prSet>
      <dgm:spPr/>
      <dgm:t>
        <a:bodyPr/>
        <a:lstStyle/>
        <a:p>
          <a:endParaRPr lang="ru-RU"/>
        </a:p>
      </dgm:t>
    </dgm:pt>
    <dgm:pt modelId="{1A0E493D-B75F-4435-8DD3-3949E8BDBA47}" type="pres">
      <dgm:prSet presAssocID="{C087E572-F99B-4C85-9419-C3679589A139}" presName="nodeFollowingNodes" presStyleLbl="node1" presStyleIdx="4" presStyleCnt="5">
        <dgm:presLayoutVars>
          <dgm:bulletEnabled val="1"/>
        </dgm:presLayoutVars>
      </dgm:prSet>
      <dgm:spPr/>
      <dgm:t>
        <a:bodyPr/>
        <a:lstStyle/>
        <a:p>
          <a:endParaRPr lang="ru-RU"/>
        </a:p>
      </dgm:t>
    </dgm:pt>
  </dgm:ptLst>
  <dgm:cxnLst>
    <dgm:cxn modelId="{70FA7C3E-92EB-43CF-8056-067D123B2A46}" srcId="{E45DA4D3-91E8-431C-BFC0-C2C8067A164A}" destId="{43B0ECBC-D274-4687-8A4A-F373A1AAD263}" srcOrd="1" destOrd="0" parTransId="{DDF4B521-CD02-42F7-B8E1-2376AFBB5CBE}" sibTransId="{D50F0F10-1753-46DC-983E-6EF6063D7E64}"/>
    <dgm:cxn modelId="{5D75CCAF-2892-4774-8D95-5AEC343D9795}" srcId="{E45DA4D3-91E8-431C-BFC0-C2C8067A164A}" destId="{C8E2C05C-114D-4564-AC75-A0447CC31059}" srcOrd="2" destOrd="0" parTransId="{9675F159-4561-49A6-8058-0AFE9EE2CB81}" sibTransId="{284855F1-C351-4352-BAF9-B8A39B8DA685}"/>
    <dgm:cxn modelId="{4EF6F6BF-10BD-43F2-85BD-6AA9901E3C2F}" type="presOf" srcId="{945DE450-B763-494F-85E9-25C7F8CD5FBF}" destId="{6A2D9836-BFAB-45C2-A5D1-B2785744B8B1}" srcOrd="0" destOrd="0" presId="urn:microsoft.com/office/officeart/2005/8/layout/cycle3"/>
    <dgm:cxn modelId="{9795C650-029A-46F6-867D-3AE96FDD3E3E}" srcId="{E45DA4D3-91E8-431C-BFC0-C2C8067A164A}" destId="{E598D224-F353-4111-8ED4-FAD6EF1682D8}" srcOrd="3" destOrd="0" parTransId="{E7857694-6C28-4704-AF28-B828F1FFDA9C}" sibTransId="{2367F0F5-E447-4F12-AF4F-5CC1DD897DFB}"/>
    <dgm:cxn modelId="{6E3CFF32-C324-4209-AF18-1E4AD1D6C97F}" type="presOf" srcId="{C087E572-F99B-4C85-9419-C3679589A139}" destId="{1A0E493D-B75F-4435-8DD3-3949E8BDBA47}" srcOrd="0" destOrd="0" presId="urn:microsoft.com/office/officeart/2005/8/layout/cycle3"/>
    <dgm:cxn modelId="{07B12867-3E13-41B8-910B-B9E7FD61E098}" srcId="{E45DA4D3-91E8-431C-BFC0-C2C8067A164A}" destId="{1F194E12-3A33-418A-AA48-7511D996D69E}" srcOrd="0" destOrd="0" parTransId="{9B829922-28E1-49E3-BE8C-B85C481F669C}" sibTransId="{945DE450-B763-494F-85E9-25C7F8CD5FBF}"/>
    <dgm:cxn modelId="{9953C0BD-4A9B-4E79-B922-2811023951BD}" type="presOf" srcId="{E45DA4D3-91E8-431C-BFC0-C2C8067A164A}" destId="{685B24A6-1B48-4CF0-9977-1BC2FC539BBF}" srcOrd="0" destOrd="0" presId="urn:microsoft.com/office/officeart/2005/8/layout/cycle3"/>
    <dgm:cxn modelId="{F4ABFFDB-AF97-48FE-B942-F2E5503DE515}" type="presOf" srcId="{1F194E12-3A33-418A-AA48-7511D996D69E}" destId="{513217C0-4D07-4A8D-84A7-8A7136674E84}" srcOrd="0" destOrd="0" presId="urn:microsoft.com/office/officeart/2005/8/layout/cycle3"/>
    <dgm:cxn modelId="{4B2A1A56-BCB1-4E71-9A38-0E66EA0176F4}" type="presOf" srcId="{43B0ECBC-D274-4687-8A4A-F373A1AAD263}" destId="{AFA29D5B-D764-4B41-B559-78AC9A5C231C}" srcOrd="0" destOrd="0" presId="urn:microsoft.com/office/officeart/2005/8/layout/cycle3"/>
    <dgm:cxn modelId="{4C6034C2-7DB6-4D55-928E-5713D74847CA}" type="presOf" srcId="{C8E2C05C-114D-4564-AC75-A0447CC31059}" destId="{2A89AD31-8342-4ACD-A5CD-A8DF35EAB7A2}" srcOrd="0" destOrd="0" presId="urn:microsoft.com/office/officeart/2005/8/layout/cycle3"/>
    <dgm:cxn modelId="{AAA3B248-CD52-48E0-8A13-7EAFBFCCB3FD}" srcId="{E45DA4D3-91E8-431C-BFC0-C2C8067A164A}" destId="{C087E572-F99B-4C85-9419-C3679589A139}" srcOrd="4" destOrd="0" parTransId="{415F6DE6-4108-411A-A180-5E98DDAD24B4}" sibTransId="{E0E8FAE5-22C9-4438-BEA5-D523C8DF321C}"/>
    <dgm:cxn modelId="{12ACDD45-66B3-48B9-BABA-F5315702772B}" type="presOf" srcId="{E598D224-F353-4111-8ED4-FAD6EF1682D8}" destId="{0DF6D403-4E2C-4A12-B2D2-FCADDBE3ECBC}" srcOrd="0" destOrd="0" presId="urn:microsoft.com/office/officeart/2005/8/layout/cycle3"/>
    <dgm:cxn modelId="{84E9AA7F-B910-436B-A959-0129717D8991}" type="presParOf" srcId="{685B24A6-1B48-4CF0-9977-1BC2FC539BBF}" destId="{6F7C0ABE-191B-4F44-8B07-A1BAA7071890}" srcOrd="0" destOrd="0" presId="urn:microsoft.com/office/officeart/2005/8/layout/cycle3"/>
    <dgm:cxn modelId="{4E6E2FBC-B8C8-4136-B97B-6CCADCFC8683}" type="presParOf" srcId="{6F7C0ABE-191B-4F44-8B07-A1BAA7071890}" destId="{513217C0-4D07-4A8D-84A7-8A7136674E84}" srcOrd="0" destOrd="0" presId="urn:microsoft.com/office/officeart/2005/8/layout/cycle3"/>
    <dgm:cxn modelId="{FC5A3FC4-EC34-4FA5-875D-A9DA34B11C57}" type="presParOf" srcId="{6F7C0ABE-191B-4F44-8B07-A1BAA7071890}" destId="{6A2D9836-BFAB-45C2-A5D1-B2785744B8B1}" srcOrd="1" destOrd="0" presId="urn:microsoft.com/office/officeart/2005/8/layout/cycle3"/>
    <dgm:cxn modelId="{B09A2DC7-35C5-45AB-8084-7E83513CE4FB}" type="presParOf" srcId="{6F7C0ABE-191B-4F44-8B07-A1BAA7071890}" destId="{AFA29D5B-D764-4B41-B559-78AC9A5C231C}" srcOrd="2" destOrd="0" presId="urn:microsoft.com/office/officeart/2005/8/layout/cycle3"/>
    <dgm:cxn modelId="{260F52C2-F848-4901-B6F5-709477C499FF}" type="presParOf" srcId="{6F7C0ABE-191B-4F44-8B07-A1BAA7071890}" destId="{2A89AD31-8342-4ACD-A5CD-A8DF35EAB7A2}" srcOrd="3" destOrd="0" presId="urn:microsoft.com/office/officeart/2005/8/layout/cycle3"/>
    <dgm:cxn modelId="{CB0FBE1A-568E-4516-8ECC-CD75ADFF748E}" type="presParOf" srcId="{6F7C0ABE-191B-4F44-8B07-A1BAA7071890}" destId="{0DF6D403-4E2C-4A12-B2D2-FCADDBE3ECBC}" srcOrd="4" destOrd="0" presId="urn:microsoft.com/office/officeart/2005/8/layout/cycle3"/>
    <dgm:cxn modelId="{2F912AF7-C7A3-4AF0-A548-0C24FB34A061}" type="presParOf" srcId="{6F7C0ABE-191B-4F44-8B07-A1BAA7071890}" destId="{1A0E493D-B75F-4435-8DD3-3949E8BDBA47}" srcOrd="5" destOrd="0" presId="urn:microsoft.com/office/officeart/2005/8/layout/cycle3"/>
  </dgm:cxnLst>
  <dgm:bg>
    <a:noFill/>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A2D9836-BFAB-45C2-A5D1-B2785744B8B1}">
      <dsp:nvSpPr>
        <dsp:cNvPr id="0" name=""/>
        <dsp:cNvSpPr/>
      </dsp:nvSpPr>
      <dsp:spPr>
        <a:xfrm>
          <a:off x="1052706" y="-17373"/>
          <a:ext cx="3380987" cy="3380987"/>
        </a:xfrm>
        <a:prstGeom prst="circularArrow">
          <a:avLst>
            <a:gd name="adj1" fmla="val 5544"/>
            <a:gd name="adj2" fmla="val 330680"/>
            <a:gd name="adj3" fmla="val 13838335"/>
            <a:gd name="adj4" fmla="val 17348097"/>
            <a:gd name="adj5" fmla="val 5757"/>
          </a:avLst>
        </a:prstGeom>
        <a:solidFill>
          <a:schemeClr val="dk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513217C0-4D07-4A8D-84A7-8A7136674E84}">
      <dsp:nvSpPr>
        <dsp:cNvPr id="0" name=""/>
        <dsp:cNvSpPr/>
      </dsp:nvSpPr>
      <dsp:spPr>
        <a:xfrm>
          <a:off x="1973014" y="1487"/>
          <a:ext cx="1540371" cy="770185"/>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100000"/>
            </a:lnSpc>
            <a:spcBef>
              <a:spcPct val="0"/>
            </a:spcBef>
            <a:spcAft>
              <a:spcPts val="0"/>
            </a:spcAft>
          </a:pPr>
          <a:r>
            <a:rPr lang="ru-RU" sz="1200" kern="1200">
              <a:latin typeface="Times New Roman" pitchFamily="18" charset="0"/>
              <a:cs typeface="Times New Roman" pitchFamily="18" charset="0"/>
            </a:rPr>
            <a:t>корупція, діяльність правоохоронних органів та судової системи;</a:t>
          </a:r>
        </a:p>
      </dsp:txBody>
      <dsp:txXfrm>
        <a:off x="2010611" y="39084"/>
        <a:ext cx="1465177" cy="694991"/>
      </dsp:txXfrm>
    </dsp:sp>
    <dsp:sp modelId="{AFA29D5B-D764-4B41-B559-78AC9A5C231C}">
      <dsp:nvSpPr>
        <dsp:cNvPr id="0" name=""/>
        <dsp:cNvSpPr/>
      </dsp:nvSpPr>
      <dsp:spPr>
        <a:xfrm>
          <a:off x="3344234" y="997736"/>
          <a:ext cx="1540371" cy="770185"/>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100000"/>
            </a:lnSpc>
            <a:spcBef>
              <a:spcPct val="0"/>
            </a:spcBef>
            <a:spcAft>
              <a:spcPts val="0"/>
            </a:spcAft>
          </a:pPr>
          <a:r>
            <a:rPr lang="ru-RU" sz="1200" kern="1200">
              <a:latin typeface="Times New Roman" pitchFamily="18" charset="0"/>
              <a:cs typeface="Times New Roman" pitchFamily="18" charset="0"/>
            </a:rPr>
            <a:t>стан співпраці з міжнародними фінансовими організаціями;</a:t>
          </a:r>
        </a:p>
      </dsp:txBody>
      <dsp:txXfrm>
        <a:off x="3381831" y="1035333"/>
        <a:ext cx="1465177" cy="694991"/>
      </dsp:txXfrm>
    </dsp:sp>
    <dsp:sp modelId="{2A89AD31-8342-4ACD-A5CD-A8DF35EAB7A2}">
      <dsp:nvSpPr>
        <dsp:cNvPr id="0" name=""/>
        <dsp:cNvSpPr/>
      </dsp:nvSpPr>
      <dsp:spPr>
        <a:xfrm>
          <a:off x="2820474" y="2609702"/>
          <a:ext cx="1540371" cy="770185"/>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100000"/>
            </a:lnSpc>
            <a:spcBef>
              <a:spcPct val="0"/>
            </a:spcBef>
            <a:spcAft>
              <a:spcPts val="0"/>
            </a:spcAft>
          </a:pPr>
          <a:r>
            <a:rPr lang="ru-RU" sz="1200" kern="1200">
              <a:latin typeface="Times New Roman" pitchFamily="18" charset="0"/>
              <a:cs typeface="Times New Roman" pitchFamily="18" charset="0"/>
            </a:rPr>
            <a:t>шахрайство та кібернетичні загрози.</a:t>
          </a:r>
        </a:p>
      </dsp:txBody>
      <dsp:txXfrm>
        <a:off x="2858071" y="2647299"/>
        <a:ext cx="1465177" cy="694991"/>
      </dsp:txXfrm>
    </dsp:sp>
    <dsp:sp modelId="{0DF6D403-4E2C-4A12-B2D2-FCADDBE3ECBC}">
      <dsp:nvSpPr>
        <dsp:cNvPr id="0" name=""/>
        <dsp:cNvSpPr/>
      </dsp:nvSpPr>
      <dsp:spPr>
        <a:xfrm>
          <a:off x="1125553" y="2609702"/>
          <a:ext cx="1540371" cy="770185"/>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100000"/>
            </a:lnSpc>
            <a:spcBef>
              <a:spcPct val="0"/>
            </a:spcBef>
            <a:spcAft>
              <a:spcPts val="0"/>
            </a:spcAft>
          </a:pPr>
          <a:r>
            <a:rPr lang="ru-RU" sz="1200" kern="1200">
              <a:latin typeface="Times New Roman" pitchFamily="18" charset="0"/>
              <a:cs typeface="Times New Roman" pitchFamily="18" charset="0"/>
            </a:rPr>
            <a:t>стан захисту прав кредиторів та інвесторів;</a:t>
          </a:r>
        </a:p>
      </dsp:txBody>
      <dsp:txXfrm>
        <a:off x="1163150" y="2647299"/>
        <a:ext cx="1465177" cy="694991"/>
      </dsp:txXfrm>
    </dsp:sp>
    <dsp:sp modelId="{1A0E493D-B75F-4435-8DD3-3949E8BDBA47}">
      <dsp:nvSpPr>
        <dsp:cNvPr id="0" name=""/>
        <dsp:cNvSpPr/>
      </dsp:nvSpPr>
      <dsp:spPr>
        <a:xfrm>
          <a:off x="601794" y="997736"/>
          <a:ext cx="1540371" cy="770185"/>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100000"/>
            </a:lnSpc>
            <a:spcBef>
              <a:spcPct val="0"/>
            </a:spcBef>
            <a:spcAft>
              <a:spcPts val="0"/>
            </a:spcAft>
          </a:pPr>
          <a:r>
            <a:rPr lang="ru-RU" sz="1200" kern="1200">
              <a:latin typeface="Times New Roman" pitchFamily="18" charset="0"/>
              <a:cs typeface="Times New Roman" pitchFamily="18" charset="0"/>
            </a:rPr>
            <a:t>політична та соціальна ситуація в Україні;</a:t>
          </a:r>
        </a:p>
      </dsp:txBody>
      <dsp:txXfrm>
        <a:off x="639391" y="1035333"/>
        <a:ext cx="1465177" cy="694991"/>
      </dsp:txXfrm>
    </dsp:sp>
  </dsp:spTree>
</dsp:drawing>
</file>

<file path=word/diagrams/layout1.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0DAE7F2-AABB-47C7-AF8F-1A57F6C590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25271</Words>
  <Characters>144045</Characters>
  <Application>Microsoft Office Word</Application>
  <DocSecurity>0</DocSecurity>
  <Lines>1200</Lines>
  <Paragraphs>337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168979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dc:creator>
  <cp:lastModifiedBy>Пользователь Windows</cp:lastModifiedBy>
  <cp:revision>3</cp:revision>
  <cp:lastPrinted>2025-11-12T10:23:00Z</cp:lastPrinted>
  <dcterms:created xsi:type="dcterms:W3CDTF">2025-12-24T20:34:00Z</dcterms:created>
  <dcterms:modified xsi:type="dcterms:W3CDTF">2025-12-24T20:34:00Z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e1ba29c662584d5e88fa288a5fd721d2</vt:lpwstr>
  </property>
</Properties>
</file>