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5C18" w:rsidRPr="004E794D" w:rsidRDefault="00FB5C18" w:rsidP="00FB5C18">
      <w:pPr>
        <w:spacing w:after="0" w:line="240" w:lineRule="auto"/>
        <w:jc w:val="center"/>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Одеський національний університет імені І. І. Мечникова</w:t>
      </w:r>
    </w:p>
    <w:p w:rsidR="00FB5C18" w:rsidRPr="004E794D" w:rsidRDefault="00FB5C18" w:rsidP="00FB5C18">
      <w:pPr>
        <w:spacing w:after="0" w:line="240" w:lineRule="auto"/>
        <w:jc w:val="center"/>
        <w:rPr>
          <w:rFonts w:ascii="Times New Roman" w:eastAsia="Times New Roman" w:hAnsi="Times New Roman" w:cs="Times New Roman"/>
          <w:sz w:val="20"/>
          <w:lang w:val="ru-RU"/>
        </w:rPr>
      </w:pPr>
      <w:r w:rsidRPr="004E794D">
        <w:rPr>
          <w:rFonts w:ascii="Times New Roman" w:eastAsia="Times New Roman" w:hAnsi="Times New Roman" w:cs="Times New Roman"/>
          <w:sz w:val="20"/>
          <w:lang w:val="ru-RU"/>
        </w:rPr>
        <w:t>(повне найменування вищого навчального закладу)</w:t>
      </w:r>
    </w:p>
    <w:p w:rsidR="00FB5C18" w:rsidRPr="004E794D" w:rsidRDefault="00FB5C18" w:rsidP="00FB5C18">
      <w:pPr>
        <w:spacing w:before="240" w:after="0" w:line="240" w:lineRule="auto"/>
        <w:jc w:val="center"/>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Інститут соціальних наук</w:t>
      </w:r>
    </w:p>
    <w:p w:rsidR="00FB5C18" w:rsidRPr="004E794D" w:rsidRDefault="00FB5C18" w:rsidP="00FB5C18">
      <w:pPr>
        <w:spacing w:after="0" w:line="240" w:lineRule="auto"/>
        <w:jc w:val="center"/>
        <w:rPr>
          <w:rFonts w:ascii="Times New Roman" w:eastAsia="Times New Roman" w:hAnsi="Times New Roman" w:cs="Times New Roman"/>
          <w:sz w:val="20"/>
          <w:lang w:val="ru-RU"/>
        </w:rPr>
      </w:pPr>
      <w:r w:rsidRPr="004E794D">
        <w:rPr>
          <w:rFonts w:ascii="Times New Roman" w:eastAsia="Times New Roman" w:hAnsi="Times New Roman" w:cs="Times New Roman"/>
          <w:sz w:val="20"/>
          <w:lang w:val="ru-RU"/>
        </w:rPr>
        <w:t>(повне найменування інституту/факультету)</w:t>
      </w:r>
    </w:p>
    <w:p w:rsidR="00FB5C18" w:rsidRPr="004E794D" w:rsidRDefault="00FB5C18" w:rsidP="00FB5C18">
      <w:pPr>
        <w:spacing w:before="240" w:after="0" w:line="240" w:lineRule="auto"/>
        <w:jc w:val="center"/>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Кафедра міжнародних відносин</w:t>
      </w:r>
    </w:p>
    <w:p w:rsidR="00FB5C18" w:rsidRPr="004E794D" w:rsidRDefault="00FB5C18" w:rsidP="00FB5C18">
      <w:pPr>
        <w:spacing w:after="0" w:line="240" w:lineRule="auto"/>
        <w:jc w:val="center"/>
        <w:rPr>
          <w:rFonts w:ascii="Times New Roman" w:eastAsia="Times New Roman" w:hAnsi="Times New Roman" w:cs="Times New Roman"/>
          <w:sz w:val="20"/>
          <w:lang w:val="ru-RU"/>
        </w:rPr>
      </w:pPr>
      <w:r w:rsidRPr="004E794D">
        <w:rPr>
          <w:rFonts w:ascii="Times New Roman" w:eastAsia="Times New Roman" w:hAnsi="Times New Roman" w:cs="Times New Roman"/>
          <w:sz w:val="20"/>
          <w:lang w:val="ru-RU"/>
        </w:rPr>
        <w:t>(повна назва кафедри)</w:t>
      </w:r>
    </w:p>
    <w:p w:rsidR="00FB5C18" w:rsidRPr="004E794D" w:rsidRDefault="00FB5C18" w:rsidP="00FB5C18">
      <w:pPr>
        <w:spacing w:after="0" w:line="240" w:lineRule="auto"/>
        <w:rPr>
          <w:rFonts w:ascii="Times New Roman" w:eastAsia="Times New Roman" w:hAnsi="Times New Roman" w:cs="Times New Roman"/>
          <w:b/>
          <w:spacing w:val="60"/>
          <w:sz w:val="40"/>
          <w:lang w:val="ru-RU"/>
        </w:rPr>
      </w:pPr>
    </w:p>
    <w:p w:rsidR="00FB5C18" w:rsidRPr="004E794D" w:rsidRDefault="00FB5C18" w:rsidP="00FB5C18">
      <w:pPr>
        <w:spacing w:after="0" w:line="240" w:lineRule="auto"/>
        <w:jc w:val="center"/>
        <w:rPr>
          <w:rFonts w:ascii="Times New Roman" w:eastAsia="Times New Roman" w:hAnsi="Times New Roman" w:cs="Times New Roman"/>
          <w:b/>
          <w:spacing w:val="60"/>
          <w:sz w:val="32"/>
          <w:lang w:val="ru-RU"/>
        </w:rPr>
      </w:pPr>
      <w:r w:rsidRPr="004E794D">
        <w:rPr>
          <w:rFonts w:ascii="Times New Roman" w:eastAsia="Times New Roman" w:hAnsi="Times New Roman" w:cs="Times New Roman"/>
          <w:b/>
          <w:spacing w:val="60"/>
          <w:sz w:val="32"/>
          <w:lang w:val="ru-RU"/>
        </w:rPr>
        <w:t>Дипломна робота</w:t>
      </w:r>
    </w:p>
    <w:p w:rsidR="00FB5C18" w:rsidRPr="004E794D" w:rsidRDefault="00FB5C18" w:rsidP="00FB5C18">
      <w:pPr>
        <w:spacing w:before="240" w:after="0" w:line="240" w:lineRule="auto"/>
        <w:ind w:left="1134" w:right="850"/>
        <w:jc w:val="center"/>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бакалавра</w:t>
      </w:r>
    </w:p>
    <w:p w:rsidR="00FB5C18" w:rsidRPr="004E794D" w:rsidRDefault="00FB5C18" w:rsidP="00FB5C18">
      <w:pPr>
        <w:spacing w:after="0" w:line="240" w:lineRule="auto"/>
        <w:rPr>
          <w:rFonts w:ascii="Times New Roman" w:eastAsia="Times New Roman" w:hAnsi="Times New Roman" w:cs="Times New Roman"/>
          <w:sz w:val="24"/>
          <w:lang w:val="ru-RU"/>
        </w:rPr>
      </w:pPr>
      <w:r w:rsidRPr="004E794D">
        <w:rPr>
          <w:rFonts w:ascii="Times New Roman" w:eastAsia="Times New Roman" w:hAnsi="Times New Roman" w:cs="Times New Roman"/>
          <w:sz w:val="28"/>
          <w:lang w:val="ru-RU"/>
        </w:rPr>
        <w:t xml:space="preserve">на тему: </w:t>
      </w:r>
      <w:r w:rsidRPr="004E794D">
        <w:rPr>
          <w:rFonts w:ascii="Times New Roman" w:eastAsia="Times New Roman" w:hAnsi="Times New Roman" w:cs="Times New Roman"/>
          <w:b/>
          <w:sz w:val="28"/>
          <w:u w:val="single"/>
          <w:lang w:val="ru-RU"/>
        </w:rPr>
        <w:t>«Сирійська криза: регіональній та міжнародний аспекти»</w:t>
      </w:r>
    </w:p>
    <w:p w:rsidR="00FB5C18" w:rsidRPr="004E794D" w:rsidRDefault="00FB5C18" w:rsidP="00FB5C18">
      <w:pPr>
        <w:tabs>
          <w:tab w:val="right" w:pos="9355"/>
        </w:tabs>
        <w:spacing w:after="0" w:line="240" w:lineRule="auto"/>
        <w:jc w:val="center"/>
        <w:rPr>
          <w:rFonts w:ascii="Times New Roman" w:eastAsia="Times New Roman" w:hAnsi="Times New Roman" w:cs="Times New Roman"/>
          <w:sz w:val="28"/>
          <w:u w:val="single"/>
          <w:lang w:val="ru-RU"/>
        </w:rPr>
      </w:pPr>
    </w:p>
    <w:p w:rsidR="00FB5C18" w:rsidRPr="00067646" w:rsidRDefault="00FB5C18" w:rsidP="00FB5C18">
      <w:pPr>
        <w:tabs>
          <w:tab w:val="right" w:pos="9355"/>
        </w:tabs>
        <w:spacing w:after="0" w:line="240" w:lineRule="auto"/>
        <w:jc w:val="center"/>
        <w:rPr>
          <w:rFonts w:ascii="Times New Roman" w:eastAsia="Times New Roman" w:hAnsi="Times New Roman" w:cs="Times New Roman"/>
          <w:sz w:val="24"/>
          <w:u w:val="single"/>
        </w:rPr>
      </w:pPr>
      <w:r w:rsidRPr="00067646">
        <w:rPr>
          <w:rFonts w:ascii="Times New Roman" w:eastAsia="Times New Roman" w:hAnsi="Times New Roman" w:cs="Times New Roman"/>
          <w:sz w:val="24"/>
          <w:u w:val="single"/>
        </w:rPr>
        <w:t>«Syrian crisis: regional and international aspects»</w:t>
      </w:r>
    </w:p>
    <w:p w:rsidR="00FB5C18" w:rsidRPr="00067646" w:rsidRDefault="00FB5C18" w:rsidP="00FB5C18">
      <w:pPr>
        <w:tabs>
          <w:tab w:val="right" w:pos="9355"/>
        </w:tabs>
        <w:spacing w:after="0" w:line="240" w:lineRule="auto"/>
        <w:jc w:val="center"/>
        <w:rPr>
          <w:rFonts w:ascii="Times New Roman" w:eastAsia="Times New Roman" w:hAnsi="Times New Roman" w:cs="Times New Roman"/>
          <w:sz w:val="24"/>
          <w:u w:val="single"/>
        </w:rPr>
      </w:pPr>
    </w:p>
    <w:p w:rsidR="00FB5C18" w:rsidRPr="00067646" w:rsidRDefault="00FB5C18" w:rsidP="00FB5C18">
      <w:pPr>
        <w:tabs>
          <w:tab w:val="right" w:pos="9355"/>
        </w:tabs>
        <w:spacing w:after="0" w:line="240" w:lineRule="auto"/>
        <w:rPr>
          <w:rFonts w:ascii="Times New Roman" w:eastAsia="Times New Roman" w:hAnsi="Times New Roman" w:cs="Times New Roman"/>
          <w:sz w:val="28"/>
          <w:u w:val="single"/>
        </w:rPr>
      </w:pPr>
    </w:p>
    <w:p w:rsidR="00FB5C18" w:rsidRPr="004E794D" w:rsidRDefault="00FB5C18" w:rsidP="00FB5C18">
      <w:pPr>
        <w:spacing w:after="0" w:line="240" w:lineRule="auto"/>
        <w:rPr>
          <w:rFonts w:ascii="Times New Roman" w:eastAsia="Times New Roman" w:hAnsi="Times New Roman" w:cs="Times New Roman"/>
          <w:sz w:val="28"/>
          <w:lang w:val="ru-RU"/>
        </w:rPr>
      </w:pPr>
      <w:r w:rsidRPr="00067646">
        <w:rPr>
          <w:rFonts w:ascii="Times New Roman" w:eastAsia="Times New Roman" w:hAnsi="Times New Roman" w:cs="Times New Roman"/>
          <w:sz w:val="28"/>
        </w:rPr>
        <w:t xml:space="preserve">                                 </w:t>
      </w:r>
      <w:r w:rsidRPr="00067646">
        <w:rPr>
          <w:rFonts w:ascii="Times New Roman" w:eastAsia="Times New Roman" w:hAnsi="Times New Roman" w:cs="Times New Roman"/>
          <w:sz w:val="28"/>
        </w:rPr>
        <w:tab/>
      </w:r>
      <w:r w:rsidRPr="004E794D">
        <w:rPr>
          <w:rFonts w:ascii="Times New Roman" w:eastAsia="Times New Roman" w:hAnsi="Times New Roman" w:cs="Times New Roman"/>
          <w:sz w:val="28"/>
          <w:lang w:val="ru-RU"/>
        </w:rPr>
        <w:t>Виконав: студент 4 курсу</w:t>
      </w:r>
    </w:p>
    <w:p w:rsidR="00FB5C18" w:rsidRPr="004E794D" w:rsidRDefault="00FB5C18" w:rsidP="00FB5C18">
      <w:pPr>
        <w:spacing w:after="0" w:line="240" w:lineRule="auto"/>
        <w:ind w:left="2124"/>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 xml:space="preserve">  </w:t>
      </w:r>
      <w:r w:rsidRPr="004E794D">
        <w:rPr>
          <w:rFonts w:ascii="Times New Roman" w:eastAsia="Times New Roman" w:hAnsi="Times New Roman" w:cs="Times New Roman"/>
          <w:sz w:val="28"/>
          <w:lang w:val="ru-RU"/>
        </w:rPr>
        <w:tab/>
        <w:t>денної форми навчання</w:t>
      </w:r>
    </w:p>
    <w:p w:rsidR="00FB5C18" w:rsidRPr="004E794D" w:rsidRDefault="00FB5C18" w:rsidP="00FB5C18">
      <w:pPr>
        <w:spacing w:after="0" w:line="240"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 xml:space="preserve">                                 </w:t>
      </w:r>
      <w:r w:rsidRPr="004E794D">
        <w:rPr>
          <w:rFonts w:ascii="Times New Roman" w:eastAsia="Times New Roman" w:hAnsi="Times New Roman" w:cs="Times New Roman"/>
          <w:sz w:val="28"/>
          <w:lang w:val="ru-RU"/>
        </w:rPr>
        <w:tab/>
        <w:t xml:space="preserve">напряму підготовки </w:t>
      </w:r>
    </w:p>
    <w:p w:rsidR="00FB5C18" w:rsidRPr="004E794D" w:rsidRDefault="00FB5C18" w:rsidP="00FB5C18">
      <w:pPr>
        <w:spacing w:after="0" w:line="240" w:lineRule="auto"/>
        <w:ind w:left="2124" w:firstLine="708"/>
        <w:rPr>
          <w:rFonts w:ascii="Times New Roman" w:eastAsia="Times New Roman" w:hAnsi="Times New Roman" w:cs="Times New Roman"/>
          <w:sz w:val="28"/>
          <w:u w:val="single"/>
          <w:vertAlign w:val="subscript"/>
          <w:lang w:val="ru-RU"/>
        </w:rPr>
      </w:pPr>
      <w:r w:rsidRPr="004E794D">
        <w:rPr>
          <w:rFonts w:ascii="Times New Roman" w:eastAsia="Times New Roman" w:hAnsi="Times New Roman" w:cs="Times New Roman"/>
          <w:sz w:val="28"/>
          <w:u w:val="single"/>
          <w:lang w:val="ru-RU"/>
        </w:rPr>
        <w:t>6.030201  Міжнародні відносини</w:t>
      </w:r>
    </w:p>
    <w:p w:rsidR="00FB5C18" w:rsidRPr="004E794D" w:rsidRDefault="00FB5C18" w:rsidP="00FB5C18">
      <w:pPr>
        <w:spacing w:after="0" w:line="240" w:lineRule="auto"/>
        <w:ind w:left="2829"/>
        <w:rPr>
          <w:rFonts w:ascii="Times New Roman" w:eastAsia="Times New Roman" w:hAnsi="Times New Roman" w:cs="Times New Roman"/>
          <w:sz w:val="28"/>
          <w:vertAlign w:val="subscript"/>
          <w:lang w:val="ru-RU"/>
        </w:rPr>
      </w:pPr>
      <w:r w:rsidRPr="004E794D">
        <w:rPr>
          <w:rFonts w:ascii="Times New Roman" w:eastAsia="Times New Roman" w:hAnsi="Times New Roman" w:cs="Times New Roman"/>
          <w:sz w:val="28"/>
          <w:vertAlign w:val="subscript"/>
          <w:lang w:val="ru-RU"/>
        </w:rPr>
        <w:t>(шифр і назва напряму підготовки або спеціальності)</w:t>
      </w:r>
    </w:p>
    <w:p w:rsidR="00FB5C18" w:rsidRPr="004E794D" w:rsidRDefault="00FB5C18" w:rsidP="00FB5C18">
      <w:pPr>
        <w:spacing w:after="0" w:line="240" w:lineRule="auto"/>
        <w:rPr>
          <w:rFonts w:ascii="Times New Roman" w:eastAsia="Times New Roman" w:hAnsi="Times New Roman" w:cs="Times New Roman"/>
          <w:sz w:val="28"/>
          <w:u w:val="single"/>
          <w:lang w:val="ru-RU"/>
        </w:rPr>
      </w:pPr>
      <w:r w:rsidRPr="004E794D">
        <w:rPr>
          <w:rFonts w:ascii="Times New Roman" w:eastAsia="Times New Roman" w:hAnsi="Times New Roman" w:cs="Times New Roman"/>
          <w:sz w:val="28"/>
          <w:lang w:val="ru-RU"/>
        </w:rPr>
        <w:t xml:space="preserve">                                </w:t>
      </w:r>
      <w:r w:rsidRPr="004E794D">
        <w:rPr>
          <w:rFonts w:ascii="Times New Roman" w:eastAsia="Times New Roman" w:hAnsi="Times New Roman" w:cs="Times New Roman"/>
          <w:sz w:val="28"/>
          <w:lang w:val="ru-RU"/>
        </w:rPr>
        <w:tab/>
      </w:r>
      <w:r w:rsidRPr="004E794D">
        <w:rPr>
          <w:rFonts w:ascii="Times New Roman" w:eastAsia="Times New Roman" w:hAnsi="Times New Roman" w:cs="Times New Roman"/>
          <w:sz w:val="28"/>
          <w:u w:val="single"/>
          <w:lang w:val="ru-RU"/>
        </w:rPr>
        <w:t>Єрмаков Антон Геннадійович</w:t>
      </w:r>
    </w:p>
    <w:p w:rsidR="00FB5C18" w:rsidRPr="004E794D" w:rsidRDefault="00FB5C18" w:rsidP="00FB5C18">
      <w:pPr>
        <w:spacing w:after="0" w:line="240" w:lineRule="auto"/>
        <w:rPr>
          <w:rFonts w:ascii="Times New Roman" w:eastAsia="Times New Roman" w:hAnsi="Times New Roman" w:cs="Times New Roman"/>
          <w:sz w:val="20"/>
          <w:vertAlign w:val="subscript"/>
          <w:lang w:val="ru-RU"/>
        </w:rPr>
      </w:pPr>
      <w:r w:rsidRPr="004E794D">
        <w:rPr>
          <w:rFonts w:ascii="Times New Roman" w:eastAsia="Times New Roman" w:hAnsi="Times New Roman" w:cs="Times New Roman"/>
          <w:sz w:val="28"/>
          <w:vertAlign w:val="subscript"/>
          <w:lang w:val="ru-RU"/>
        </w:rPr>
        <w:tab/>
      </w:r>
      <w:r w:rsidRPr="004E794D">
        <w:rPr>
          <w:rFonts w:ascii="Times New Roman" w:eastAsia="Times New Roman" w:hAnsi="Times New Roman" w:cs="Times New Roman"/>
          <w:sz w:val="28"/>
          <w:vertAlign w:val="subscript"/>
          <w:lang w:val="ru-RU"/>
        </w:rPr>
        <w:tab/>
      </w:r>
      <w:r w:rsidRPr="004E794D">
        <w:rPr>
          <w:rFonts w:ascii="Times New Roman" w:eastAsia="Times New Roman" w:hAnsi="Times New Roman" w:cs="Times New Roman"/>
          <w:sz w:val="28"/>
          <w:vertAlign w:val="subscript"/>
          <w:lang w:val="ru-RU"/>
        </w:rPr>
        <w:tab/>
      </w:r>
      <w:r w:rsidRPr="004E794D">
        <w:rPr>
          <w:rFonts w:ascii="Times New Roman" w:eastAsia="Times New Roman" w:hAnsi="Times New Roman" w:cs="Times New Roman"/>
          <w:sz w:val="28"/>
          <w:vertAlign w:val="subscript"/>
          <w:lang w:val="ru-RU"/>
        </w:rPr>
        <w:tab/>
      </w:r>
      <w:r w:rsidRPr="004E794D">
        <w:rPr>
          <w:rFonts w:ascii="Times New Roman" w:eastAsia="Times New Roman" w:hAnsi="Times New Roman" w:cs="Times New Roman"/>
          <w:sz w:val="28"/>
          <w:vertAlign w:val="subscript"/>
          <w:lang w:val="ru-RU"/>
        </w:rPr>
        <w:tab/>
        <w:t>(прізвище,ім’я,по-батькові)</w:t>
      </w:r>
    </w:p>
    <w:p w:rsidR="00FB5C18" w:rsidRPr="004E794D" w:rsidRDefault="00FB5C18" w:rsidP="00FB5C18">
      <w:pPr>
        <w:spacing w:after="0" w:line="240" w:lineRule="auto"/>
        <w:rPr>
          <w:rFonts w:ascii="Times New Roman" w:eastAsia="Times New Roman" w:hAnsi="Times New Roman" w:cs="Times New Roman"/>
          <w:sz w:val="20"/>
          <w:vertAlign w:val="subscript"/>
          <w:lang w:val="ru-RU"/>
        </w:rPr>
      </w:pPr>
    </w:p>
    <w:p w:rsidR="00FB5C18" w:rsidRPr="004E794D" w:rsidRDefault="00FB5C18" w:rsidP="00FB5C18">
      <w:pPr>
        <w:spacing w:after="0" w:line="240" w:lineRule="auto"/>
        <w:ind w:left="2124" w:firstLine="708"/>
        <w:rPr>
          <w:rFonts w:ascii="Times New Roman" w:eastAsia="Times New Roman" w:hAnsi="Times New Roman" w:cs="Times New Roman"/>
          <w:sz w:val="20"/>
          <w:lang w:val="ru-RU"/>
        </w:rPr>
      </w:pPr>
    </w:p>
    <w:p w:rsidR="00FB5C18" w:rsidRPr="00FB5C18" w:rsidRDefault="00FB5C18" w:rsidP="00FB5C18">
      <w:pPr>
        <w:spacing w:after="0" w:line="240" w:lineRule="auto"/>
        <w:ind w:left="2124" w:firstLine="708"/>
        <w:rPr>
          <w:rFonts w:ascii="Times New Roman" w:eastAsia="Times New Roman" w:hAnsi="Times New Roman" w:cs="Times New Roman"/>
          <w:sz w:val="28"/>
          <w:lang w:val="ru-RU"/>
        </w:rPr>
      </w:pPr>
      <w:r w:rsidRPr="004E794D">
        <w:rPr>
          <w:rFonts w:ascii="Times New Roman" w:eastAsia="Times New Roman" w:hAnsi="Times New Roman" w:cs="Times New Roman"/>
          <w:sz w:val="20"/>
          <w:lang w:val="ru-RU"/>
        </w:rPr>
        <w:t xml:space="preserve"> </w:t>
      </w:r>
      <w:r w:rsidRPr="004E794D">
        <w:rPr>
          <w:rFonts w:ascii="Times New Roman" w:eastAsia="Times New Roman" w:hAnsi="Times New Roman" w:cs="Times New Roman"/>
          <w:sz w:val="28"/>
          <w:lang w:val="ru-RU"/>
        </w:rPr>
        <w:t xml:space="preserve">Керівник  </w:t>
      </w:r>
      <w:r w:rsidRPr="004E794D">
        <w:rPr>
          <w:rFonts w:ascii="Times New Roman" w:eastAsia="Times New Roman" w:hAnsi="Times New Roman" w:cs="Times New Roman"/>
          <w:sz w:val="28"/>
          <w:u w:val="single"/>
          <w:lang w:val="ru-RU"/>
        </w:rPr>
        <w:t xml:space="preserve">к. політ. н. доц. </w:t>
      </w:r>
      <w:r w:rsidRPr="00FB5C18">
        <w:rPr>
          <w:rFonts w:ascii="Times New Roman" w:eastAsia="Times New Roman" w:hAnsi="Times New Roman" w:cs="Times New Roman"/>
          <w:sz w:val="28"/>
          <w:u w:val="single"/>
          <w:lang w:val="ru-RU"/>
        </w:rPr>
        <w:t>Захарченко А.М.</w:t>
      </w:r>
    </w:p>
    <w:p w:rsidR="00FB5C18" w:rsidRPr="004E794D" w:rsidRDefault="00FB5C18" w:rsidP="00FB5C18">
      <w:pPr>
        <w:spacing w:after="0" w:line="240" w:lineRule="auto"/>
        <w:ind w:left="2124" w:firstLine="708"/>
        <w:rPr>
          <w:rFonts w:ascii="Times New Roman" w:eastAsia="Times New Roman" w:hAnsi="Times New Roman" w:cs="Times New Roman"/>
          <w:sz w:val="20"/>
          <w:vertAlign w:val="subscript"/>
          <w:lang w:val="ru-RU"/>
        </w:rPr>
      </w:pPr>
      <w:r w:rsidRPr="004E794D">
        <w:rPr>
          <w:rFonts w:ascii="Times New Roman" w:eastAsia="Times New Roman" w:hAnsi="Times New Roman" w:cs="Times New Roman"/>
          <w:sz w:val="28"/>
          <w:lang w:val="ru-RU"/>
        </w:rPr>
        <w:t>(</w:t>
      </w:r>
      <w:r w:rsidRPr="004E794D">
        <w:rPr>
          <w:rFonts w:ascii="Times New Roman" w:eastAsia="Times New Roman" w:hAnsi="Times New Roman" w:cs="Times New Roman"/>
          <w:sz w:val="20"/>
          <w:lang w:val="ru-RU"/>
        </w:rPr>
        <w:t>науковий ступінь, вчене звання,прізвище та ініціали, підпис)</w:t>
      </w:r>
    </w:p>
    <w:p w:rsidR="00FB5C18" w:rsidRPr="004E794D" w:rsidRDefault="00FB5C18" w:rsidP="00FB5C18">
      <w:pPr>
        <w:tabs>
          <w:tab w:val="left" w:pos="5245"/>
          <w:tab w:val="right" w:pos="9355"/>
        </w:tabs>
        <w:spacing w:before="120" w:after="0" w:line="240"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 xml:space="preserve">                                         Рецензент </w:t>
      </w:r>
      <w:r w:rsidRPr="004E794D">
        <w:rPr>
          <w:rFonts w:ascii="Times New Roman" w:eastAsia="Times New Roman" w:hAnsi="Times New Roman" w:cs="Times New Roman"/>
          <w:sz w:val="28"/>
          <w:u w:val="single"/>
          <w:lang w:val="ru-RU"/>
        </w:rPr>
        <w:t>ст. викл. Побле Д.К.</w:t>
      </w:r>
    </w:p>
    <w:p w:rsidR="00FB5C18" w:rsidRPr="004E794D" w:rsidRDefault="00FB5C18" w:rsidP="00FB5C18">
      <w:pPr>
        <w:tabs>
          <w:tab w:val="left" w:pos="5245"/>
          <w:tab w:val="right" w:pos="9355"/>
        </w:tabs>
        <w:spacing w:before="120" w:after="0" w:line="240" w:lineRule="auto"/>
        <w:rPr>
          <w:rFonts w:ascii="Times New Roman" w:eastAsia="Times New Roman" w:hAnsi="Times New Roman" w:cs="Times New Roman"/>
          <w:sz w:val="28"/>
          <w:vertAlign w:val="subscript"/>
          <w:lang w:val="ru-RU"/>
        </w:rPr>
      </w:pPr>
      <w:r w:rsidRPr="004E794D">
        <w:rPr>
          <w:rFonts w:ascii="Times New Roman" w:eastAsia="Times New Roman" w:hAnsi="Times New Roman" w:cs="Times New Roman"/>
          <w:sz w:val="28"/>
          <w:vertAlign w:val="subscript"/>
          <w:lang w:val="ru-RU"/>
        </w:rPr>
        <w:t xml:space="preserve">                                                              </w:t>
      </w:r>
      <w:r w:rsidRPr="004E794D">
        <w:rPr>
          <w:rFonts w:ascii="Times New Roman" w:eastAsia="Times New Roman" w:hAnsi="Times New Roman" w:cs="Times New Roman"/>
          <w:sz w:val="28"/>
          <w:lang w:val="ru-RU"/>
        </w:rPr>
        <w:t>(</w:t>
      </w:r>
      <w:r w:rsidRPr="004E794D">
        <w:rPr>
          <w:rFonts w:ascii="Times New Roman" w:eastAsia="Times New Roman" w:hAnsi="Times New Roman" w:cs="Times New Roman"/>
          <w:sz w:val="20"/>
          <w:lang w:val="ru-RU"/>
        </w:rPr>
        <w:t>науковий ступінь, вчене звання,прізвище та ініціали)</w:t>
      </w:r>
    </w:p>
    <w:p w:rsidR="00FB5C18" w:rsidRPr="004E794D" w:rsidRDefault="00FB5C18" w:rsidP="00FB5C18">
      <w:pPr>
        <w:spacing w:after="0" w:line="240" w:lineRule="auto"/>
        <w:rPr>
          <w:rFonts w:ascii="Times New Roman" w:eastAsia="Times New Roman" w:hAnsi="Times New Roman" w:cs="Times New Roman"/>
          <w:sz w:val="28"/>
          <w:lang w:val="ru-RU"/>
        </w:rPr>
      </w:pPr>
    </w:p>
    <w:p w:rsidR="00FB5C18" w:rsidRPr="004E794D" w:rsidRDefault="00FB5C18" w:rsidP="00FB5C18">
      <w:pPr>
        <w:spacing w:after="0" w:line="240" w:lineRule="auto"/>
        <w:ind w:left="3969"/>
        <w:rPr>
          <w:rFonts w:ascii="Times New Roman" w:eastAsia="Times New Roman" w:hAnsi="Times New Roman" w:cs="Times New Roman"/>
          <w:sz w:val="28"/>
          <w:lang w:val="ru-RU"/>
        </w:rPr>
      </w:pPr>
    </w:p>
    <w:tbl>
      <w:tblPr>
        <w:tblW w:w="0" w:type="auto"/>
        <w:jc w:val="center"/>
        <w:tblCellMar>
          <w:left w:w="10" w:type="dxa"/>
          <w:right w:w="10" w:type="dxa"/>
        </w:tblCellMar>
        <w:tblLook w:val="0000" w:firstRow="0" w:lastRow="0" w:firstColumn="0" w:lastColumn="0" w:noHBand="0" w:noVBand="0"/>
      </w:tblPr>
      <w:tblGrid>
        <w:gridCol w:w="4721"/>
        <w:gridCol w:w="4634"/>
      </w:tblGrid>
      <w:tr w:rsidR="00FB5C18" w:rsidTr="004E4C21">
        <w:trPr>
          <w:trHeight w:val="1"/>
          <w:jc w:val="center"/>
        </w:trPr>
        <w:tc>
          <w:tcPr>
            <w:tcW w:w="5082" w:type="dxa"/>
            <w:tcBorders>
              <w:top w:val="single" w:sz="0" w:space="0" w:color="836967"/>
              <w:left w:val="single" w:sz="0" w:space="0" w:color="836967"/>
              <w:bottom w:val="single" w:sz="0" w:space="0" w:color="836967"/>
              <w:right w:val="single" w:sz="0" w:space="0" w:color="836967"/>
            </w:tcBorders>
            <w:shd w:val="clear" w:color="000000" w:fill="FFFFFF"/>
            <w:tcMar>
              <w:left w:w="108" w:type="dxa"/>
              <w:right w:w="108" w:type="dxa"/>
            </w:tcMar>
          </w:tcPr>
          <w:p w:rsidR="00FB5C18" w:rsidRPr="004E794D" w:rsidRDefault="00FB5C18" w:rsidP="004E4C21">
            <w:pPr>
              <w:spacing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Рекомендовано до захисту:</w:t>
            </w:r>
          </w:p>
          <w:p w:rsidR="00FB5C18" w:rsidRPr="004E794D" w:rsidRDefault="00FB5C18" w:rsidP="004E4C21">
            <w:pPr>
              <w:spacing w:before="120"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Протокол засідання кафедри</w:t>
            </w:r>
          </w:p>
          <w:p w:rsidR="00FB5C18" w:rsidRPr="004E794D" w:rsidRDefault="00FB5C18" w:rsidP="004E4C21">
            <w:pPr>
              <w:spacing w:before="120" w:after="0" w:line="256" w:lineRule="auto"/>
              <w:rPr>
                <w:rFonts w:ascii="Times New Roman" w:eastAsia="Times New Roman" w:hAnsi="Times New Roman" w:cs="Times New Roman"/>
                <w:sz w:val="28"/>
                <w:lang w:val="ru-RU"/>
              </w:rPr>
            </w:pPr>
            <w:r w:rsidRPr="004E794D">
              <w:rPr>
                <w:rFonts w:ascii="Segoe UI Symbol" w:eastAsia="Segoe UI Symbol" w:hAnsi="Segoe UI Symbol" w:cs="Segoe UI Symbol"/>
                <w:sz w:val="28"/>
                <w:lang w:val="ru-RU"/>
              </w:rPr>
              <w:t>№</w:t>
            </w:r>
            <w:r w:rsidRPr="004E794D">
              <w:rPr>
                <w:rFonts w:ascii="Times New Roman" w:eastAsia="Times New Roman" w:hAnsi="Times New Roman" w:cs="Times New Roman"/>
                <w:sz w:val="28"/>
                <w:lang w:val="ru-RU"/>
              </w:rPr>
              <w:t xml:space="preserve"> ___ від ___________ р. </w:t>
            </w:r>
          </w:p>
          <w:p w:rsidR="00FB5C18" w:rsidRPr="004E794D" w:rsidRDefault="00FB5C18" w:rsidP="004E4C21">
            <w:pPr>
              <w:spacing w:before="600"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Завідувач кафедри</w:t>
            </w:r>
          </w:p>
          <w:p w:rsidR="00FB5C18" w:rsidRPr="004E794D" w:rsidRDefault="00FB5C18" w:rsidP="004E4C21">
            <w:pPr>
              <w:tabs>
                <w:tab w:val="left" w:pos="1168"/>
                <w:tab w:val="left" w:pos="3861"/>
              </w:tabs>
              <w:spacing w:before="360" w:after="0" w:line="256" w:lineRule="auto"/>
              <w:rPr>
                <w:rFonts w:ascii="Times New Roman" w:eastAsia="Times New Roman" w:hAnsi="Times New Roman" w:cs="Times New Roman"/>
                <w:sz w:val="28"/>
                <w:u w:val="single"/>
                <w:lang w:val="ru-RU"/>
              </w:rPr>
            </w:pPr>
            <w:r w:rsidRPr="004E794D">
              <w:rPr>
                <w:rFonts w:ascii="Times New Roman" w:eastAsia="Times New Roman" w:hAnsi="Times New Roman" w:cs="Times New Roman"/>
                <w:sz w:val="28"/>
                <w:u w:val="single"/>
                <w:lang w:val="ru-RU"/>
              </w:rPr>
              <w:tab/>
            </w:r>
            <w:r w:rsidRPr="004E794D">
              <w:rPr>
                <w:rFonts w:ascii="Times New Roman" w:eastAsia="Times New Roman" w:hAnsi="Times New Roman" w:cs="Times New Roman"/>
                <w:sz w:val="28"/>
                <w:lang w:val="ru-RU"/>
              </w:rPr>
              <w:t xml:space="preserve">            Брусиловська О.І.</w:t>
            </w:r>
          </w:p>
          <w:p w:rsidR="00FB5C18" w:rsidRDefault="00FB5C18" w:rsidP="004E4C21">
            <w:pPr>
              <w:tabs>
                <w:tab w:val="left" w:pos="284"/>
                <w:tab w:val="left" w:pos="1767"/>
              </w:tabs>
              <w:spacing w:after="0" w:line="256" w:lineRule="auto"/>
            </w:pPr>
            <w:r w:rsidRPr="004E794D">
              <w:rPr>
                <w:rFonts w:ascii="Times New Roman" w:eastAsia="Times New Roman" w:hAnsi="Times New Roman" w:cs="Times New Roman"/>
                <w:sz w:val="20"/>
                <w:lang w:val="ru-RU"/>
              </w:rPr>
              <w:tab/>
            </w:r>
            <w:r>
              <w:rPr>
                <w:rFonts w:ascii="Times New Roman" w:eastAsia="Times New Roman" w:hAnsi="Times New Roman" w:cs="Times New Roman"/>
                <w:sz w:val="20"/>
              </w:rPr>
              <w:t>(підпис)</w:t>
            </w:r>
            <w:r>
              <w:rPr>
                <w:rFonts w:ascii="Times New Roman" w:eastAsia="Times New Roman" w:hAnsi="Times New Roman" w:cs="Times New Roman"/>
                <w:sz w:val="20"/>
              </w:rPr>
              <w:tab/>
            </w:r>
          </w:p>
        </w:tc>
        <w:tc>
          <w:tcPr>
            <w:tcW w:w="4786" w:type="dxa"/>
            <w:tcBorders>
              <w:top w:val="single" w:sz="0" w:space="0" w:color="836967"/>
              <w:left w:val="single" w:sz="0" w:space="0" w:color="836967"/>
              <w:bottom w:val="single" w:sz="0" w:space="0" w:color="836967"/>
              <w:right w:val="single" w:sz="0" w:space="0" w:color="836967"/>
            </w:tcBorders>
            <w:shd w:val="clear" w:color="000000" w:fill="FFFFFF"/>
            <w:tcMar>
              <w:left w:w="108" w:type="dxa"/>
              <w:right w:w="108" w:type="dxa"/>
            </w:tcMar>
          </w:tcPr>
          <w:p w:rsidR="00FB5C18" w:rsidRPr="004E794D" w:rsidRDefault="00FB5C18" w:rsidP="004E4C21">
            <w:pPr>
              <w:tabs>
                <w:tab w:val="right" w:pos="4462"/>
              </w:tabs>
              <w:spacing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 xml:space="preserve">Захищено на засіданні ЕК </w:t>
            </w:r>
            <w:r w:rsidRPr="004E794D">
              <w:rPr>
                <w:rFonts w:ascii="Segoe UI Symbol" w:eastAsia="Segoe UI Symbol" w:hAnsi="Segoe UI Symbol" w:cs="Segoe UI Symbol"/>
                <w:sz w:val="28"/>
                <w:lang w:val="ru-RU"/>
              </w:rPr>
              <w:t>№</w:t>
            </w:r>
            <w:r w:rsidRPr="004E794D">
              <w:rPr>
                <w:rFonts w:ascii="Times New Roman" w:eastAsia="Times New Roman" w:hAnsi="Times New Roman" w:cs="Times New Roman"/>
                <w:sz w:val="28"/>
                <w:lang w:val="ru-RU"/>
              </w:rPr>
              <w:t>_____</w:t>
            </w:r>
          </w:p>
          <w:p w:rsidR="00FB5C18" w:rsidRPr="004E794D" w:rsidRDefault="00FB5C18" w:rsidP="004E4C21">
            <w:pPr>
              <w:tabs>
                <w:tab w:val="right" w:pos="4462"/>
              </w:tabs>
              <w:spacing w:before="120"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 xml:space="preserve">протокол </w:t>
            </w:r>
            <w:r w:rsidRPr="004E794D">
              <w:rPr>
                <w:rFonts w:ascii="Segoe UI Symbol" w:eastAsia="Segoe UI Symbol" w:hAnsi="Segoe UI Symbol" w:cs="Segoe UI Symbol"/>
                <w:sz w:val="28"/>
                <w:lang w:val="ru-RU"/>
              </w:rPr>
              <w:t>№</w:t>
            </w:r>
            <w:r w:rsidRPr="004E794D">
              <w:rPr>
                <w:rFonts w:ascii="Times New Roman" w:eastAsia="Times New Roman" w:hAnsi="Times New Roman" w:cs="Times New Roman"/>
                <w:sz w:val="28"/>
                <w:lang w:val="ru-RU"/>
              </w:rPr>
              <w:t xml:space="preserve"> ___ від ____________ р.</w:t>
            </w:r>
            <w:r w:rsidRPr="004E794D">
              <w:rPr>
                <w:rFonts w:ascii="Times New Roman" w:eastAsia="Times New Roman" w:hAnsi="Times New Roman" w:cs="Times New Roman"/>
                <w:sz w:val="28"/>
                <w:lang w:val="ru-RU"/>
              </w:rPr>
              <w:tab/>
            </w:r>
          </w:p>
          <w:p w:rsidR="00FB5C18" w:rsidRPr="00FB5C18" w:rsidRDefault="00FB5C18" w:rsidP="004E4C21">
            <w:pPr>
              <w:tabs>
                <w:tab w:val="right" w:pos="4462"/>
              </w:tabs>
              <w:spacing w:before="120" w:after="0" w:line="256" w:lineRule="auto"/>
              <w:rPr>
                <w:rFonts w:ascii="Times New Roman" w:eastAsia="Times New Roman" w:hAnsi="Times New Roman" w:cs="Times New Roman"/>
                <w:sz w:val="28"/>
                <w:lang w:val="ru-RU"/>
              </w:rPr>
            </w:pPr>
            <w:r w:rsidRPr="00FB5C18">
              <w:rPr>
                <w:rFonts w:ascii="Times New Roman" w:eastAsia="Times New Roman" w:hAnsi="Times New Roman" w:cs="Times New Roman"/>
                <w:sz w:val="28"/>
                <w:lang w:val="ru-RU"/>
              </w:rPr>
              <w:t>Оцінка______________/___</w:t>
            </w:r>
            <w:r w:rsidRPr="00FB5C18">
              <w:rPr>
                <w:rFonts w:ascii="Times New Roman" w:eastAsia="Times New Roman" w:hAnsi="Times New Roman" w:cs="Times New Roman"/>
                <w:sz w:val="20"/>
                <w:lang w:val="ru-RU"/>
              </w:rPr>
              <w:tab/>
            </w:r>
            <w:r w:rsidRPr="00FB5C18">
              <w:rPr>
                <w:rFonts w:ascii="Times New Roman" w:eastAsia="Times New Roman" w:hAnsi="Times New Roman" w:cs="Times New Roman"/>
                <w:sz w:val="28"/>
                <w:lang w:val="ru-RU"/>
              </w:rPr>
              <w:t>___/____</w:t>
            </w:r>
          </w:p>
          <w:p w:rsidR="00FB5C18" w:rsidRPr="00FB5C18" w:rsidRDefault="00FB5C18" w:rsidP="004E4C21">
            <w:pPr>
              <w:spacing w:after="0" w:line="256" w:lineRule="auto"/>
              <w:jc w:val="center"/>
              <w:rPr>
                <w:rFonts w:ascii="Times New Roman" w:eastAsia="Times New Roman" w:hAnsi="Times New Roman" w:cs="Times New Roman"/>
                <w:sz w:val="20"/>
                <w:lang w:val="ru-RU"/>
              </w:rPr>
            </w:pPr>
            <w:r w:rsidRPr="00FB5C18">
              <w:rPr>
                <w:rFonts w:ascii="Times New Roman" w:eastAsia="Times New Roman" w:hAnsi="Times New Roman" w:cs="Times New Roman"/>
                <w:sz w:val="20"/>
                <w:lang w:val="ru-RU"/>
              </w:rPr>
              <w:t>(за національною шкалою, шкалою ЕСТ</w:t>
            </w:r>
            <w:r>
              <w:rPr>
                <w:rFonts w:ascii="Times New Roman" w:eastAsia="Times New Roman" w:hAnsi="Times New Roman" w:cs="Times New Roman"/>
                <w:sz w:val="20"/>
              </w:rPr>
              <w:t>S</w:t>
            </w:r>
            <w:r w:rsidRPr="00FB5C18">
              <w:rPr>
                <w:rFonts w:ascii="Times New Roman" w:eastAsia="Times New Roman" w:hAnsi="Times New Roman" w:cs="Times New Roman"/>
                <w:sz w:val="20"/>
                <w:lang w:val="ru-RU"/>
              </w:rPr>
              <w:t>, бали)</w:t>
            </w:r>
          </w:p>
          <w:p w:rsidR="00FB5C18" w:rsidRPr="004E794D" w:rsidRDefault="00FB5C18" w:rsidP="004E4C21">
            <w:pPr>
              <w:spacing w:before="360" w:after="0" w:line="256" w:lineRule="auto"/>
              <w:rPr>
                <w:rFonts w:ascii="Times New Roman" w:eastAsia="Times New Roman" w:hAnsi="Times New Roman" w:cs="Times New Roman"/>
                <w:sz w:val="28"/>
                <w:lang w:val="ru-RU"/>
              </w:rPr>
            </w:pPr>
            <w:r w:rsidRPr="004E794D">
              <w:rPr>
                <w:rFonts w:ascii="Times New Roman" w:eastAsia="Times New Roman" w:hAnsi="Times New Roman" w:cs="Times New Roman"/>
                <w:sz w:val="28"/>
                <w:lang w:val="ru-RU"/>
              </w:rPr>
              <w:t>Голова ЕК</w:t>
            </w:r>
          </w:p>
          <w:p w:rsidR="00FB5C18" w:rsidRPr="004E794D" w:rsidRDefault="00FB5C18" w:rsidP="004E4C21">
            <w:pPr>
              <w:tabs>
                <w:tab w:val="left" w:pos="1446"/>
                <w:tab w:val="right" w:pos="4462"/>
              </w:tabs>
              <w:spacing w:before="360" w:after="0" w:line="256" w:lineRule="auto"/>
              <w:rPr>
                <w:rFonts w:ascii="Times New Roman" w:eastAsia="Times New Roman" w:hAnsi="Times New Roman" w:cs="Times New Roman"/>
                <w:sz w:val="28"/>
                <w:u w:val="single"/>
                <w:lang w:val="ru-RU"/>
              </w:rPr>
            </w:pPr>
            <w:r w:rsidRPr="004E794D">
              <w:rPr>
                <w:rFonts w:ascii="Times New Roman" w:eastAsia="Times New Roman" w:hAnsi="Times New Roman" w:cs="Times New Roman"/>
                <w:sz w:val="28"/>
                <w:u w:val="single"/>
                <w:lang w:val="ru-RU"/>
              </w:rPr>
              <w:tab/>
            </w:r>
            <w:r w:rsidRPr="004E794D">
              <w:rPr>
                <w:rFonts w:ascii="Times New Roman" w:eastAsia="Times New Roman" w:hAnsi="Times New Roman" w:cs="Times New Roman"/>
                <w:sz w:val="28"/>
                <w:lang w:val="ru-RU"/>
              </w:rPr>
              <w:t xml:space="preserve">             Брусиловська О.І.</w:t>
            </w:r>
          </w:p>
          <w:p w:rsidR="00FB5C18" w:rsidRDefault="00FB5C18" w:rsidP="004E4C21">
            <w:pPr>
              <w:tabs>
                <w:tab w:val="left" w:pos="454"/>
                <w:tab w:val="left" w:pos="2155"/>
              </w:tabs>
              <w:spacing w:after="0" w:line="256" w:lineRule="auto"/>
            </w:pPr>
            <w:r w:rsidRPr="004E794D">
              <w:rPr>
                <w:rFonts w:ascii="Times New Roman" w:eastAsia="Times New Roman" w:hAnsi="Times New Roman" w:cs="Times New Roman"/>
                <w:sz w:val="20"/>
                <w:lang w:val="ru-RU"/>
              </w:rPr>
              <w:tab/>
            </w:r>
            <w:r>
              <w:rPr>
                <w:rFonts w:ascii="Times New Roman" w:eastAsia="Times New Roman" w:hAnsi="Times New Roman" w:cs="Times New Roman"/>
                <w:sz w:val="20"/>
              </w:rPr>
              <w:t>(підпис)</w:t>
            </w:r>
            <w:r>
              <w:rPr>
                <w:rFonts w:ascii="Times New Roman" w:eastAsia="Times New Roman" w:hAnsi="Times New Roman" w:cs="Times New Roman"/>
                <w:sz w:val="20"/>
              </w:rPr>
              <w:tab/>
            </w:r>
          </w:p>
        </w:tc>
      </w:tr>
      <w:tr w:rsidR="00FB5C18" w:rsidTr="004E4C21">
        <w:trPr>
          <w:trHeight w:val="1"/>
          <w:jc w:val="center"/>
        </w:trPr>
        <w:tc>
          <w:tcPr>
            <w:tcW w:w="5082" w:type="dxa"/>
            <w:tcBorders>
              <w:top w:val="single" w:sz="0" w:space="0" w:color="836967"/>
              <w:left w:val="single" w:sz="0" w:space="0" w:color="836967"/>
              <w:bottom w:val="single" w:sz="0" w:space="0" w:color="836967"/>
              <w:right w:val="single" w:sz="0" w:space="0" w:color="836967"/>
            </w:tcBorders>
            <w:shd w:val="clear" w:color="000000" w:fill="FFFFFF"/>
            <w:tcMar>
              <w:left w:w="108" w:type="dxa"/>
              <w:right w:w="108" w:type="dxa"/>
            </w:tcMar>
          </w:tcPr>
          <w:p w:rsidR="00FB5C18" w:rsidRDefault="00FB5C18" w:rsidP="004E4C21">
            <w:pPr>
              <w:spacing w:after="0" w:line="256" w:lineRule="auto"/>
              <w:rPr>
                <w:rFonts w:ascii="Calibri" w:eastAsia="Calibri" w:hAnsi="Calibri" w:cs="Calibri"/>
              </w:rPr>
            </w:pPr>
          </w:p>
        </w:tc>
        <w:tc>
          <w:tcPr>
            <w:tcW w:w="4786" w:type="dxa"/>
            <w:tcBorders>
              <w:top w:val="single" w:sz="0" w:space="0" w:color="836967"/>
              <w:left w:val="single" w:sz="0" w:space="0" w:color="836967"/>
              <w:bottom w:val="single" w:sz="0" w:space="0" w:color="836967"/>
              <w:right w:val="single" w:sz="0" w:space="0" w:color="836967"/>
            </w:tcBorders>
            <w:shd w:val="clear" w:color="000000" w:fill="FFFFFF"/>
            <w:tcMar>
              <w:left w:w="108" w:type="dxa"/>
              <w:right w:w="108" w:type="dxa"/>
            </w:tcMar>
          </w:tcPr>
          <w:p w:rsidR="00FB5C18" w:rsidRDefault="00FB5C18" w:rsidP="004E4C21">
            <w:pPr>
              <w:spacing w:after="0" w:line="256" w:lineRule="auto"/>
              <w:rPr>
                <w:rFonts w:ascii="Calibri" w:eastAsia="Calibri" w:hAnsi="Calibri" w:cs="Calibri"/>
              </w:rPr>
            </w:pPr>
          </w:p>
        </w:tc>
      </w:tr>
    </w:tbl>
    <w:p w:rsidR="00FB5C18" w:rsidRDefault="00FB5C18" w:rsidP="00FB5C18">
      <w:pPr>
        <w:spacing w:after="0" w:line="240" w:lineRule="auto"/>
        <w:jc w:val="center"/>
        <w:rPr>
          <w:rFonts w:ascii="Times New Roman" w:eastAsia="Times New Roman" w:hAnsi="Times New Roman" w:cs="Times New Roman"/>
          <w:b/>
          <w:sz w:val="28"/>
        </w:rPr>
      </w:pPr>
    </w:p>
    <w:p w:rsidR="00FB5C18" w:rsidRPr="00067646" w:rsidRDefault="00FB5C18" w:rsidP="00FB5C18">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Одеса – 2017</w:t>
      </w:r>
    </w:p>
    <w:p w:rsidR="00FB5C18" w:rsidRPr="00BB0527" w:rsidRDefault="00FB5C18" w:rsidP="00FB5C18">
      <w:pPr>
        <w:spacing w:line="360" w:lineRule="auto"/>
        <w:jc w:val="center"/>
        <w:rPr>
          <w:rFonts w:ascii="Times New Roman" w:eastAsia="Cambria" w:hAnsi="Times New Roman" w:cs="Times New Roman"/>
          <w:b/>
          <w:bCs/>
          <w:sz w:val="28"/>
          <w:szCs w:val="28"/>
          <w:lang w:val="ru-RU"/>
        </w:rPr>
      </w:pPr>
      <w:r w:rsidRPr="00BB0527">
        <w:rPr>
          <w:rFonts w:ascii="Times New Roman" w:eastAsia="Cambria" w:hAnsi="Times New Roman" w:cs="Times New Roman"/>
          <w:b/>
          <w:bCs/>
          <w:sz w:val="28"/>
          <w:szCs w:val="28"/>
          <w:lang w:val="ru-RU"/>
        </w:rPr>
        <w:t>СОДЕРЖАНИЕ</w:t>
      </w:r>
    </w:p>
    <w:p w:rsidR="00FB5C18" w:rsidRPr="00BB0527" w:rsidRDefault="00FB5C18" w:rsidP="00FB5C18">
      <w:pPr>
        <w:spacing w:line="360" w:lineRule="auto"/>
        <w:jc w:val="center"/>
        <w:rPr>
          <w:rFonts w:ascii="Times New Roman" w:eastAsia="Cambria" w:hAnsi="Times New Roman" w:cs="Times New Roman"/>
          <w:b/>
          <w:bCs/>
          <w:sz w:val="28"/>
          <w:szCs w:val="28"/>
          <w:lang w:val="ru-RU"/>
        </w:rPr>
      </w:pPr>
    </w:p>
    <w:p w:rsidR="00FB5C18" w:rsidRPr="00BB0527" w:rsidRDefault="00FB5C18" w:rsidP="00FB5C18">
      <w:pPr>
        <w:spacing w:line="360" w:lineRule="auto"/>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Введение…………….………………………………………………………….3</w:t>
      </w:r>
    </w:p>
    <w:p w:rsidR="00FB5C18" w:rsidRPr="00622104" w:rsidRDefault="00FB5C18" w:rsidP="00FB5C18">
      <w:pPr>
        <w:spacing w:line="360" w:lineRule="auto"/>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Глава 1. Причины и внутренние акторы</w:t>
      </w:r>
      <w:r w:rsidRPr="00FB5C18">
        <w:rPr>
          <w:rFonts w:ascii="Times New Roman" w:eastAsia="Cambria" w:hAnsi="Times New Roman" w:cs="Times New Roman"/>
          <w:sz w:val="28"/>
          <w:szCs w:val="28"/>
          <w:lang w:val="ru-RU"/>
        </w:rPr>
        <w:t xml:space="preserve"> гражданской войны в Сирии…....</w:t>
      </w:r>
      <w:r w:rsidRPr="00622104">
        <w:rPr>
          <w:rFonts w:ascii="Times New Roman" w:eastAsia="Cambria" w:hAnsi="Times New Roman" w:cs="Times New Roman"/>
          <w:sz w:val="28"/>
          <w:szCs w:val="28"/>
          <w:lang w:val="ru-RU"/>
        </w:rPr>
        <w:t>7</w:t>
      </w:r>
    </w:p>
    <w:p w:rsidR="00FB5C18" w:rsidRPr="00622104" w:rsidRDefault="00FB5C18" w:rsidP="00FB5C18">
      <w:pPr>
        <w:spacing w:line="360" w:lineRule="auto"/>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Глава 2. Региональный аспект конфл</w:t>
      </w:r>
      <w:r w:rsidRPr="00FB5C18">
        <w:rPr>
          <w:rFonts w:ascii="Times New Roman" w:eastAsia="Cambria" w:hAnsi="Times New Roman" w:cs="Times New Roman"/>
          <w:sz w:val="28"/>
          <w:szCs w:val="28"/>
          <w:lang w:val="ru-RU"/>
        </w:rPr>
        <w:t>икта в Сирии…..……...…...………...2</w:t>
      </w:r>
      <w:r w:rsidRPr="00622104">
        <w:rPr>
          <w:rFonts w:ascii="Times New Roman" w:eastAsia="Cambria" w:hAnsi="Times New Roman" w:cs="Times New Roman"/>
          <w:sz w:val="28"/>
          <w:szCs w:val="28"/>
          <w:lang w:val="ru-RU"/>
        </w:rPr>
        <w:t>2</w:t>
      </w:r>
    </w:p>
    <w:p w:rsidR="00FB5C18" w:rsidRPr="00622104" w:rsidRDefault="00FB5C18" w:rsidP="00FB5C18">
      <w:pPr>
        <w:spacing w:line="360" w:lineRule="auto"/>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Глава 3. Роль глобальных акторов в сирийском кризисе…………..……...</w:t>
      </w:r>
      <w:r w:rsidRPr="00622104">
        <w:rPr>
          <w:rFonts w:ascii="Times New Roman" w:eastAsia="Cambria" w:hAnsi="Times New Roman" w:cs="Times New Roman"/>
          <w:sz w:val="28"/>
          <w:szCs w:val="28"/>
          <w:lang w:val="ru-RU"/>
        </w:rPr>
        <w:t>38</w:t>
      </w:r>
    </w:p>
    <w:p w:rsidR="00FB5C18" w:rsidRPr="004E794D" w:rsidRDefault="00FB5C18" w:rsidP="00FB5C18">
      <w:pPr>
        <w:spacing w:line="360" w:lineRule="auto"/>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Заключ</w:t>
      </w:r>
      <w:r w:rsidRPr="004E794D">
        <w:rPr>
          <w:rFonts w:ascii="Times New Roman" w:eastAsia="Cambria" w:hAnsi="Times New Roman" w:cs="Times New Roman"/>
          <w:sz w:val="28"/>
          <w:szCs w:val="28"/>
          <w:lang w:val="ru-RU"/>
        </w:rPr>
        <w:t>ение……………………………………………………………………52</w:t>
      </w:r>
    </w:p>
    <w:p w:rsidR="00FB5C18" w:rsidRPr="00622104" w:rsidRDefault="00FB5C18" w:rsidP="00FB5C18">
      <w:pPr>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Список изученных источников…………………………...</w:t>
      </w:r>
      <w:r w:rsidRPr="004E794D">
        <w:rPr>
          <w:rFonts w:ascii="Times New Roman" w:eastAsia="Cambria" w:hAnsi="Times New Roman" w:cs="Times New Roman"/>
          <w:sz w:val="28"/>
          <w:szCs w:val="28"/>
          <w:lang w:val="ru-RU"/>
        </w:rPr>
        <w:t>…………………57</w:t>
      </w: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BB0527" w:rsidRDefault="00FB5C18" w:rsidP="00FB5C18">
      <w:pPr>
        <w:jc w:val="both"/>
        <w:rPr>
          <w:rFonts w:ascii="Times New Roman"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4E794D" w:rsidRDefault="00FB5C18" w:rsidP="00FB5C18">
      <w:pPr>
        <w:rPr>
          <w:rFonts w:ascii="Times New Roman" w:eastAsia="Cambria" w:hAnsi="Times New Roman" w:cs="Times New Roman"/>
          <w:sz w:val="28"/>
          <w:szCs w:val="28"/>
          <w:lang w:val="ru-RU"/>
        </w:rPr>
      </w:pPr>
    </w:p>
    <w:p w:rsidR="00FB5C18" w:rsidRPr="00BB0527" w:rsidRDefault="00FB5C18" w:rsidP="00FB5C18">
      <w:pPr>
        <w:jc w:val="center"/>
        <w:rPr>
          <w:rFonts w:ascii="Times New Roman" w:eastAsia="Cambria" w:hAnsi="Times New Roman" w:cs="Times New Roman"/>
          <w:b/>
          <w:bCs/>
          <w:sz w:val="28"/>
          <w:szCs w:val="28"/>
          <w:lang w:val="ru-RU"/>
        </w:rPr>
      </w:pPr>
      <w:r w:rsidRPr="00BB0527">
        <w:rPr>
          <w:rFonts w:ascii="Times New Roman" w:eastAsia="Cambria" w:hAnsi="Times New Roman" w:cs="Times New Roman"/>
          <w:b/>
          <w:bCs/>
          <w:sz w:val="28"/>
          <w:szCs w:val="28"/>
          <w:lang w:val="ru-RU"/>
        </w:rPr>
        <w:lastRenderedPageBreak/>
        <w:t>ВВЕДЕНИЕ</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Темой данной дипломной работы является «Сирийский кризис: международный и региональный аспекты».</w:t>
      </w:r>
    </w:p>
    <w:p w:rsidR="00FB5C18" w:rsidRDefault="00FB5C18" w:rsidP="00FB5C18">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Отличительной чертой сирийского кризиса является то, что по сравнению с другими событиями «Арабской весны» режим не был свергнут и все еще борется за свое существование.  Сегодня, гражданская война в Сирии является одним из ключевых событий в регионе Ближнего Востока. На фоне сирийского кризиса ярче всего прослеживается противостояние Турции, КСА и Ирана за региональное лидерство. </w:t>
      </w:r>
    </w:p>
    <w:p w:rsidR="00FB5C18" w:rsidRPr="00794A30" w:rsidRDefault="00FB5C18" w:rsidP="00FB5C18">
      <w:pPr>
        <w:spacing w:after="0" w:line="360" w:lineRule="auto"/>
        <w:ind w:firstLine="720"/>
        <w:jc w:val="both"/>
        <w:rPr>
          <w:rFonts w:ascii="Times New Roman" w:eastAsia="Times New Roman" w:hAnsi="Times New Roman" w:cs="Times New Roman"/>
          <w:sz w:val="28"/>
          <w:szCs w:val="28"/>
          <w:lang w:val="ru-RU" w:eastAsia="ru-RU"/>
        </w:rPr>
      </w:pPr>
      <w:r w:rsidRPr="00794A30">
        <w:rPr>
          <w:rFonts w:ascii="Times New Roman" w:eastAsia="Times New Roman" w:hAnsi="Times New Roman" w:cs="Times New Roman"/>
          <w:sz w:val="28"/>
          <w:szCs w:val="28"/>
          <w:lang w:val="ru-RU" w:eastAsia="ru-RU"/>
        </w:rPr>
        <w:t>Также уникальность данного противостояния обусловлена участием в нем третьей, совершенно новой и уникальной для современных международных отношений стороны - ИГИЛ. Так что в рамках Сирийского кризиса ведется борьба с одной из важнейших проблем современности - международным терроризмом.</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eastAsia="ru-RU"/>
        </w:rPr>
      </w:pPr>
      <w:r w:rsidRPr="00794A30">
        <w:rPr>
          <w:rFonts w:ascii="Times New Roman" w:eastAsia="Times New Roman" w:hAnsi="Times New Roman" w:cs="Times New Roman"/>
          <w:sz w:val="28"/>
          <w:szCs w:val="28"/>
          <w:lang w:val="ru-RU" w:eastAsia="ru-RU"/>
        </w:rPr>
        <w:t>На междунаро</w:t>
      </w:r>
      <w:r>
        <w:rPr>
          <w:rFonts w:ascii="Times New Roman" w:eastAsia="Times New Roman" w:hAnsi="Times New Roman" w:cs="Times New Roman"/>
          <w:sz w:val="28"/>
          <w:szCs w:val="28"/>
          <w:lang w:val="ru-RU" w:eastAsia="ru-RU"/>
        </w:rPr>
        <w:t>дном уровне, на данный момент, с</w:t>
      </w:r>
      <w:r w:rsidRPr="00794A30">
        <w:rPr>
          <w:rFonts w:ascii="Times New Roman" w:eastAsia="Times New Roman" w:hAnsi="Times New Roman" w:cs="Times New Roman"/>
          <w:sz w:val="28"/>
          <w:szCs w:val="28"/>
          <w:lang w:val="ru-RU" w:eastAsia="ru-RU"/>
        </w:rPr>
        <w:t xml:space="preserve">ирийский кризис является одной из самых насущных и обсуждаемых проблем. В контексте данного конфликта ярко выражается </w:t>
      </w:r>
      <w:r>
        <w:rPr>
          <w:rFonts w:ascii="Times New Roman" w:eastAsia="Times New Roman" w:hAnsi="Times New Roman" w:cs="Times New Roman"/>
          <w:sz w:val="28"/>
          <w:szCs w:val="28"/>
          <w:lang w:val="ru-RU" w:eastAsia="ru-RU"/>
        </w:rPr>
        <w:t>американо-российское противостояние</w:t>
      </w:r>
      <w:r w:rsidRPr="00794A30">
        <w:rPr>
          <w:rFonts w:ascii="Times New Roman" w:eastAsia="Times New Roman" w:hAnsi="Times New Roman" w:cs="Times New Roman"/>
          <w:sz w:val="28"/>
          <w:szCs w:val="28"/>
          <w:lang w:val="ru-RU" w:eastAsia="ru-RU"/>
        </w:rPr>
        <w:t xml:space="preserve">, а также </w:t>
      </w:r>
      <w:r>
        <w:rPr>
          <w:rFonts w:ascii="Times New Roman" w:eastAsia="Times New Roman" w:hAnsi="Times New Roman" w:cs="Times New Roman"/>
          <w:sz w:val="28"/>
          <w:szCs w:val="28"/>
          <w:lang w:val="ru-RU" w:eastAsia="ru-RU"/>
        </w:rPr>
        <w:t>кризис современной</w:t>
      </w:r>
      <w:r w:rsidRPr="00794A30">
        <w:rPr>
          <w:rFonts w:ascii="Times New Roman" w:eastAsia="Times New Roman" w:hAnsi="Times New Roman" w:cs="Times New Roman"/>
          <w:sz w:val="28"/>
          <w:szCs w:val="28"/>
          <w:lang w:val="ru-RU" w:eastAsia="ru-RU"/>
        </w:rPr>
        <w:t xml:space="preserve"> системы международных отношений и О</w:t>
      </w:r>
      <w:r>
        <w:rPr>
          <w:rFonts w:ascii="Times New Roman" w:eastAsia="Times New Roman" w:hAnsi="Times New Roman" w:cs="Times New Roman"/>
          <w:sz w:val="28"/>
          <w:szCs w:val="28"/>
          <w:lang w:val="ru-RU" w:eastAsia="ru-RU"/>
        </w:rPr>
        <w:t xml:space="preserve">ОН. </w:t>
      </w:r>
    </w:p>
    <w:p w:rsidR="00FB5C18" w:rsidRPr="00BB0527" w:rsidRDefault="00FB5C18" w:rsidP="00FB5C18">
      <w:pPr>
        <w:suppressAutoHyphens/>
        <w:spacing w:after="0" w:line="360" w:lineRule="auto"/>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            Целью данной работы является комплексный анализ регионального и международного аспектов сирийского кризиса. </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В соответствии с поставленной целью сформулированы следующие задачи:</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выявить причины и предпосылки сирийского кризиса; </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проанализировать основных акторов конфликта внутри САР; </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изучить курдский фактор в гражданской войне в Сирии;</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исследовать региональный аспект конфликта, в частности, роль Турции, КСА и Ирана;</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проанализировать особую позицию Израиля по сирийскому кризису;</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изучить международный аспект гражданской войны, в особенности, противостояние США и РФ в рамках данного конфликта;</w:t>
      </w:r>
    </w:p>
    <w:p w:rsidR="00FB5C18" w:rsidRPr="00BB0527" w:rsidRDefault="00FB5C18" w:rsidP="00FB5C18">
      <w:pPr>
        <w:numPr>
          <w:ilvl w:val="0"/>
          <w:numId w:val="1"/>
        </w:numPr>
        <w:pBdr>
          <w:top w:val="nil"/>
          <w:left w:val="nil"/>
          <w:bottom w:val="nil"/>
          <w:right w:val="nil"/>
          <w:between w:val="nil"/>
          <w:bar w:val="nil"/>
        </w:pBdr>
        <w:spacing w:after="0" w:line="360" w:lineRule="auto"/>
        <w:ind w:left="283" w:hanging="283"/>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lastRenderedPageBreak/>
        <w:t xml:space="preserve">проанализировать особенности попыток разрешения кризиса в ООН. </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В ходе написания дипломной работы был задействован широкий круг источников и литературы.  </w:t>
      </w:r>
    </w:p>
    <w:p w:rsidR="00FB5C18" w:rsidRPr="00BB0527" w:rsidRDefault="00FB5C18" w:rsidP="00FB5C18">
      <w:pPr>
        <w:spacing w:after="0" w:line="360" w:lineRule="auto"/>
        <w:ind w:firstLine="708"/>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Опорными источниками стали резолюции Совета Безопасности ООН, в частности № 2118 [28], посвященная вопросу химического оружия в Сирии, а также урегулированию инцидента в Гуте. Была изучена резолюция СБ ООН № 2139 [29], осуждающая нарушения международного гуманитарного права всеми сторонами конфликта. Важным источником при написании работы также стало «Обращение Служителя Двух Святынь к братьям в Сирии» (на арабском языке), которое определяет позицию Саудовской Аравии по данному          кризису [58]. Также для изучения регионального аспекта кризиса было изучено «Заявление чрезвычайной сессии Министерского Совета      ЛАГ» [56].</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При написании работы были изучены монографии и статьи российских, украинских, белорусских, арабских и американских исследователей. </w:t>
      </w:r>
    </w:p>
    <w:p w:rsidR="00FB5C18" w:rsidRPr="00BB0527" w:rsidRDefault="00FB5C18" w:rsidP="00FB5C18">
      <w:pPr>
        <w:spacing w:after="0" w:line="360" w:lineRule="auto"/>
        <w:ind w:firstLine="708"/>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 Среди работ, посвящённых причинам кризиса в Сирии, прежде всего, следует выделить монографию российских исследователей     Исаева Л.М. и Шишкиной А.Р., которая представляет комплексное исследование предпосылок и причин кризиса на всех направлениях,          а также исследование его особенностей и отличий от других событий арабской весны [14]. Также, при анализе внутренних акторов кризиса, была полезна совместная работа российских политологов Никулиной Я.С. и Сейфиевой Е.Н, [24]. Для анализа феномена «ИГИЛ» и его          влияния на гражданскую войну в САР была использована статья                 Степановой Е.А. [33].</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Одним из ключевых игроков сирийского кризиса на данный момент являются курды, и в то же время, курдский вопрос в САР является только частью актуальной проблемы современности – курдского самоопределения. При исследовании данной темы были использованы работы как российских – Мазур О.А. [23], Кизюков С. [16] так и американских, Парк Б. [51], исследователей. </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lastRenderedPageBreak/>
        <w:t xml:space="preserve">Широкое освещение в трудах отечественных политологов, в частности, Кравчука О.А. [19], Кадима А.А. [15], и их зарубежных     коллег – Филлипса С. [52], получили сирийско-турецкие отношения, а также влияние Турции на ход гражданской войны в САР. </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Не меньший интерес учёных был прикован к политике КСА и, вследствие, ЛАГ в отношении данного конфликта. В этой группе следует выделить украинского исследователя Антонюка Ю. [2] и его белорусской коллеги Шевелевой М.В. [40], которые в своих трудах детально анализируют реакцию и меры, предпринятые ЛАГ по отношению к сирийскому кризису. Также стоит выделить работу Косач Г.Г. [17] в которой дан подробный анализ влияния КСА на гражданскую войну в Сирии.</w:t>
      </w:r>
    </w:p>
    <w:p w:rsidR="00FB5C18" w:rsidRPr="00BB0527" w:rsidRDefault="00FB5C18" w:rsidP="00FB5C18">
      <w:pPr>
        <w:spacing w:after="0" w:line="360" w:lineRule="auto"/>
        <w:ind w:firstLine="708"/>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Особенности политики Израиля на сирийском направлении были почерпнуты из статей Васнецова Е.С. [4], и Кота Р. [18]. Исследователи констатируют особую, двойственную позицию Тель-Авива по отношению к режиму Б. Асада. </w:t>
      </w:r>
    </w:p>
    <w:p w:rsidR="00FB5C18" w:rsidRPr="00BB0527" w:rsidRDefault="00FB5C18" w:rsidP="00FB5C18">
      <w:pPr>
        <w:spacing w:after="0" w:line="360" w:lineRule="auto"/>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           Одним из ключевых союзников режима, несомненно,              можно назвать ИРИ. Многовекторность и особенность этого           сотрудничества  детально проанализировали различные авторы: из                            Украины – Голуб В. [6]; США – Фултон, Фраско, Фаррар-Велман [44];                          Австралии – Сайкал А. [53]. Существенное влияние на ход событий в Сирии оказывает политика США. Эволюция американо-сирийских отношений в контексте гражданской войны представлена в работах украинских авторов   Денисенко А. [7] и Худолий А.О. [37], а также российского политолога  Ржевской Н.Ф. [30]. Развитие сирийского кризиса в рамках развития российско–американских отношений посвящены статьи                Восновича О.С. [5] и Евсеева В.В. [9]. </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Особенности сотрудничества режима Б. Асада с его традиционным международным союзником – Россией, изложены в статьях как представителей постсоветского пространства – Шуляка С.В. [40],      Исаева Л.М. [13], Сатановского Е. [32], так и арабского автора        Сиддики Ф. Р. [54]. </w:t>
      </w:r>
      <w:r w:rsidRPr="00BB0527">
        <w:rPr>
          <w:rFonts w:ascii="Times New Roman" w:hAnsi="Times New Roman" w:cs="Times New Roman"/>
          <w:sz w:val="28"/>
          <w:szCs w:val="28"/>
          <w:lang w:val="ru-RU"/>
        </w:rPr>
        <w:lastRenderedPageBreak/>
        <w:t>Внешняя политика другого союзника режима на международной арене</w:t>
      </w:r>
      <w:r w:rsidRPr="00BB0527">
        <w:rPr>
          <w:rFonts w:ascii="Times New Roman" w:hAnsi="Times New Roman" w:cs="Times New Roman"/>
          <w:lang w:val="ru-RU"/>
        </w:rPr>
        <w:t xml:space="preserve"> </w:t>
      </w:r>
      <w:r w:rsidRPr="00BB0527">
        <w:rPr>
          <w:rFonts w:ascii="Times New Roman" w:hAnsi="Times New Roman" w:cs="Times New Roman"/>
          <w:sz w:val="28"/>
          <w:szCs w:val="28"/>
          <w:lang w:val="ru-RU"/>
        </w:rPr>
        <w:t>–  Китая, освящена в статье Рубо О.П. [31].</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Роль ООН, а также попытки процесса мирного урегулирования были рассмотрены в ряде статей различных отечественных и зарубежных авторов, среди которых: Кулаков А.А. [20], Тригуб П.М. [34], </w:t>
      </w:r>
      <w:r>
        <w:rPr>
          <w:rFonts w:ascii="Times New Roman" w:hAnsi="Times New Roman" w:cs="Times New Roman"/>
          <w:sz w:val="28"/>
          <w:szCs w:val="28"/>
          <w:lang w:val="ru-RU"/>
        </w:rPr>
        <w:t xml:space="preserve">               </w:t>
      </w:r>
      <w:r w:rsidRPr="00BB0527">
        <w:rPr>
          <w:rFonts w:ascii="Times New Roman" w:hAnsi="Times New Roman" w:cs="Times New Roman"/>
          <w:sz w:val="28"/>
          <w:szCs w:val="28"/>
          <w:lang w:val="ru-RU"/>
        </w:rPr>
        <w:t>Чеков А. [39], Маккормак Т. [50], Хиннербуш Р. и Зартман И.В. [46].</w:t>
      </w:r>
    </w:p>
    <w:p w:rsidR="00FB5C18" w:rsidRPr="00BB0527" w:rsidRDefault="00FB5C18" w:rsidP="00FB5C18">
      <w:pPr>
        <w:spacing w:after="0" w:line="360" w:lineRule="auto"/>
        <w:ind w:firstLine="720"/>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Хронологические рамки работы охватывают период с 2011-го года по 30 декабря 2016г. Нижняя хронологическая рамка обусловлена началом антиправительственных выступлений в САР. Верхняя хронологическая рамка связана с заключением перемирия между сторонами 30 декабря. Слишком стремительные изменения начала 2017 г. и недостаток объективной информации не дают возможности качественно проанализировать ситуацию в Сирии на данном этапе. Также любые попытки описать данные события будут носить характер прогнозирования, что не является целью этой работы.</w:t>
      </w:r>
    </w:p>
    <w:p w:rsidR="00FB5C18" w:rsidRPr="00BB0527" w:rsidRDefault="00FB5C18" w:rsidP="00FB5C18">
      <w:pPr>
        <w:spacing w:after="0" w:line="360" w:lineRule="auto"/>
        <w:jc w:val="both"/>
        <w:rPr>
          <w:rFonts w:ascii="Times New Roman" w:eastAsia="Times New Roman" w:hAnsi="Times New Roman" w:cs="Times New Roman"/>
          <w:sz w:val="28"/>
          <w:szCs w:val="28"/>
          <w:lang w:val="ru-RU"/>
        </w:rPr>
      </w:pPr>
      <w:r w:rsidRPr="00BB0527">
        <w:rPr>
          <w:rFonts w:ascii="Times New Roman" w:eastAsia="Times New Roman" w:hAnsi="Times New Roman" w:cs="Times New Roman"/>
          <w:sz w:val="28"/>
          <w:szCs w:val="28"/>
          <w:lang w:val="ru-RU"/>
        </w:rPr>
        <w:tab/>
        <w:t>Дипломная работа состоит из введения</w:t>
      </w:r>
      <w:r w:rsidRPr="00BB0527">
        <w:rPr>
          <w:rFonts w:ascii="Times New Roman" w:hAnsi="Times New Roman" w:cs="Times New Roman"/>
          <w:sz w:val="28"/>
          <w:szCs w:val="28"/>
          <w:lang w:val="ru-RU"/>
        </w:rPr>
        <w:t xml:space="preserve">, трёх основных глав, заключения и списка изученных источников. </w:t>
      </w:r>
    </w:p>
    <w:p w:rsidR="00FB5C18" w:rsidRPr="00BB0527" w:rsidRDefault="00FB5C18" w:rsidP="00FB5C18">
      <w:pPr>
        <w:spacing w:after="0" w:line="360" w:lineRule="auto"/>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           В первой главе «</w:t>
      </w:r>
      <w:r w:rsidRPr="00BB0527">
        <w:rPr>
          <w:rFonts w:ascii="Times New Roman" w:eastAsia="Cambria" w:hAnsi="Times New Roman" w:cs="Times New Roman"/>
          <w:sz w:val="28"/>
          <w:szCs w:val="28"/>
          <w:lang w:val="ru-RU"/>
        </w:rPr>
        <w:t>Причины и внутренние акторы гражданской войны в Сирии</w:t>
      </w:r>
      <w:r w:rsidRPr="00BB0527">
        <w:rPr>
          <w:rFonts w:ascii="Times New Roman" w:hAnsi="Times New Roman" w:cs="Times New Roman"/>
          <w:sz w:val="28"/>
          <w:szCs w:val="28"/>
          <w:lang w:val="ru-RU"/>
        </w:rPr>
        <w:t>» анализируются предпосылки и причины сирийского кризиса. Также в данной главе дается характеристика основным внутренним акторам конфликта, в особенности рассматривается курдский фактор.</w:t>
      </w:r>
    </w:p>
    <w:p w:rsidR="00FB5C18" w:rsidRPr="00BB0527" w:rsidRDefault="00FB5C18" w:rsidP="00FB5C18">
      <w:pPr>
        <w:spacing w:after="0" w:line="360" w:lineRule="auto"/>
        <w:ind w:firstLine="708"/>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Во второй главе «Региональный аспект конфликта в Сирии» исследуется политика региональных держав в отношении гражданской войны в САР. В частности, рассматривается «особая позиция» Израиля в отношении режима Б. Асада.</w:t>
      </w:r>
    </w:p>
    <w:p w:rsidR="00FB5C18" w:rsidRPr="004E794D" w:rsidRDefault="00FB5C18" w:rsidP="00FB5C18">
      <w:pPr>
        <w:spacing w:after="0" w:line="360" w:lineRule="auto"/>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         В третьей главе «</w:t>
      </w:r>
      <w:r w:rsidRPr="00BB0527">
        <w:rPr>
          <w:rFonts w:ascii="Times New Roman" w:eastAsia="Cambria" w:hAnsi="Times New Roman" w:cs="Times New Roman"/>
          <w:sz w:val="28"/>
          <w:szCs w:val="28"/>
          <w:lang w:val="ru-RU"/>
        </w:rPr>
        <w:t>Роль глобальных акторов в сирийском кризисе</w:t>
      </w:r>
      <w:r w:rsidRPr="00BB0527">
        <w:rPr>
          <w:rFonts w:ascii="Times New Roman" w:hAnsi="Times New Roman" w:cs="Times New Roman"/>
          <w:sz w:val="28"/>
          <w:szCs w:val="28"/>
          <w:lang w:val="ru-RU"/>
        </w:rPr>
        <w:t>» изучается положение конфликта в САР на международной арене, а также особенности отношений между ведущими мировыми акторами в его контексте.</w:t>
      </w:r>
    </w:p>
    <w:p w:rsidR="00354B83" w:rsidRDefault="00354B83" w:rsidP="00FB5C18">
      <w:pPr>
        <w:rPr>
          <w:lang w:val="ru-RU"/>
        </w:rPr>
      </w:pPr>
    </w:p>
    <w:p w:rsidR="00FB5C18" w:rsidRDefault="00FB5C18" w:rsidP="00FB5C18">
      <w:pPr>
        <w:rPr>
          <w:lang w:val="ru-RU"/>
        </w:rPr>
      </w:pPr>
    </w:p>
    <w:p w:rsidR="00FB5C18" w:rsidRPr="00BB0527" w:rsidRDefault="00FB5C18" w:rsidP="00FB5C18">
      <w:pPr>
        <w:spacing w:line="360" w:lineRule="auto"/>
        <w:ind w:firstLine="720"/>
        <w:jc w:val="center"/>
        <w:rPr>
          <w:rFonts w:ascii="Times New Roman" w:eastAsia="Cambria" w:hAnsi="Times New Roman" w:cs="Times New Roman"/>
          <w:b/>
          <w:bCs/>
          <w:sz w:val="28"/>
          <w:szCs w:val="28"/>
          <w:lang w:val="ru-RU"/>
        </w:rPr>
      </w:pPr>
      <w:r w:rsidRPr="00BB0527">
        <w:rPr>
          <w:rFonts w:ascii="Times New Roman" w:eastAsia="Cambria" w:hAnsi="Times New Roman" w:cs="Times New Roman"/>
          <w:b/>
          <w:bCs/>
          <w:sz w:val="28"/>
          <w:szCs w:val="28"/>
          <w:lang w:val="ru-RU"/>
        </w:rPr>
        <w:lastRenderedPageBreak/>
        <w:t>ЗАКЛЮЧЕНИЕ</w:t>
      </w:r>
    </w:p>
    <w:p w:rsidR="00FB5C18" w:rsidRPr="00BB0527" w:rsidRDefault="00FB5C18" w:rsidP="00FB5C18">
      <w:pPr>
        <w:spacing w:after="0" w:line="360" w:lineRule="auto"/>
        <w:ind w:firstLine="578"/>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По результатам проведенного исследования можно сделать следующие выводы.</w:t>
      </w:r>
    </w:p>
    <w:p w:rsidR="00FB5C18" w:rsidRPr="00BB0527" w:rsidRDefault="00FB5C18" w:rsidP="00FB5C18">
      <w:pPr>
        <w:spacing w:after="0" w:line="360" w:lineRule="auto"/>
        <w:ind w:firstLine="709"/>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Сирийский кризис имел множество предпосылок, которые можно разделить на 3 группы - социальные, экономические и политические. Спектр социальных проблем Сирии довольно широк. Во-первых, страна с суннитским большинством управлялась алавитским (ответвление шиизма) меньшинством. Во-вторых, на территории Сирии проживает ряд этносов и религиозных меньшинств, что еще больше увеличивает потенциальную конфликтогенность. В-третьих, «молодежный бугор» в стране был на   пике – то есть огромное количество молодых людей было готово к переменам. Также стоит отметить засуху и неурожай середины двухтысячных, ударившие в основном по суннитскому населению. С точки зрения экономики, после распада СССР Сирия лишилась своего основного донора и стране пришлось искать выход из этого положения. Хотя реформы Б. Асада и начали давать свои плоды, ВВП на кануне кризиса показывал стабильный рост, уменьшение средней продолжительности жизни указывало на ухудшение экономического положения в стране.</w:t>
      </w:r>
    </w:p>
    <w:p w:rsidR="00FB5C18" w:rsidRPr="00BB0527" w:rsidRDefault="00FB5C18" w:rsidP="00FB5C18">
      <w:pPr>
        <w:spacing w:after="0" w:line="360" w:lineRule="auto"/>
        <w:ind w:firstLine="709"/>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Одной из основных причин кризиса являлось практически пятидесятилетнее пребывание у власти алавитского режима и клана Асадов (нынешний президент унаследовал власть от отца). Как и в любой ближневосточной стране в Сирии процветала коррупция, которая только ухудшала отношение к режиму. Закрытость политической элиты Сирии тоже в своей степени стала стимулом для не-алавитского большинства бороться за власть. Стоит упомянуть, что алавитский режим не является религиозным, а просто представляет собой скорее социальную группу. Необходимо добавить, что режим опирался на силовые структуры, в которых работали только алавиты. Именно их действия и привычка к превышению полномочий на начальных стадиях конфликта сыграли негативную роль.</w:t>
      </w:r>
    </w:p>
    <w:p w:rsidR="00FB5C18" w:rsidRPr="00BB0527" w:rsidRDefault="00FB5C18" w:rsidP="00FB5C18">
      <w:pPr>
        <w:spacing w:after="0" w:line="360" w:lineRule="auto"/>
        <w:ind w:firstLine="709"/>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lastRenderedPageBreak/>
        <w:t xml:space="preserve">В сирийском кризисе режиму противостоит оппозиция, которую условно можно разделить на 2 части – умеренную и исламистскую. Умеренная представлена СНС и ССА, их цель – свержение режима и проведение демократических выборов. Исламистская представлена объединением «Исламский фронт», и ее цель формирование исламского правительства. Также стоит отметить отделившуюся от «исламского фронта» террористическую организацию «Фронт ан-Нусра», одну из мощнейших группировок оппозиции, целью которой является установление на территории Сирии исламского государства на подобии Афганистана времен правления «Талибана». Своеобразным, не находящимся ни под чьим влиянием актором, является террористическая организация ИГИЛ. И хотя она сейчас теряет свою мощь, данная организация продолжает представлять угрозу не только Сирии, но и всему мировому сообществу. </w:t>
      </w:r>
    </w:p>
    <w:p w:rsidR="00FB5C18" w:rsidRPr="00BB0527" w:rsidRDefault="00FB5C18" w:rsidP="00FB5C18">
      <w:pPr>
        <w:spacing w:after="0" w:line="360" w:lineRule="auto"/>
        <w:ind w:firstLine="709"/>
        <w:jc w:val="both"/>
        <w:rPr>
          <w:rFonts w:ascii="Times New Roman" w:eastAsia="Times New Roman" w:hAnsi="Times New Roman" w:cs="Times New Roman"/>
          <w:sz w:val="28"/>
          <w:szCs w:val="28"/>
          <w:lang w:val="ru-RU"/>
        </w:rPr>
      </w:pPr>
      <w:r w:rsidRPr="00BB0527">
        <w:rPr>
          <w:rFonts w:ascii="Times New Roman" w:hAnsi="Times New Roman" w:cs="Times New Roman"/>
          <w:sz w:val="28"/>
          <w:szCs w:val="28"/>
          <w:lang w:val="ru-RU"/>
        </w:rPr>
        <w:t xml:space="preserve">На данный момент, курды, по праву, зарекомендовали себя как полноценного регионального игрока. Особенность их позиции заключается в том, что еще в 2012 курды фактически получили автономию и действуют независимо как от режима, так и от вооруженной оппозиции. 2014-1015 гг. показали курдов как самых эффективных борцов с ИГИЛ на ближнем востоке, что придало им весу на дипломатической арене. Стоит отметить что курды – желанный союзник всех акторов кризиса, кроме Турции, для которой их успех будет прямой угрозой. Сейчас основным союзником сирийских курдов, не смотря на свои союзнические отношения с Турцией, являются США. </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Сирийский кризис является важнейшим событием современности для региона. Его исход повлияет на будущее региона и расстановку сил в нем. Основными региональными акторами, влияющими на кризис являются: Иран, поддерживающий режим; Турция с КСА, поддерживающие оппозицию; Израиль, который преследует свои цели. </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Иран активно выступил в защиту режима и действует согласно договору о стратегическом партнерстве. Исламская республика помогает режиму путем поставок вооружения, военных советников, также на стороне режима воюет </w:t>
      </w:r>
      <w:r w:rsidRPr="00BB0527">
        <w:rPr>
          <w:rFonts w:ascii="Times New Roman" w:eastAsia="Cambria" w:hAnsi="Times New Roman" w:cs="Times New Roman"/>
          <w:sz w:val="28"/>
          <w:szCs w:val="28"/>
          <w:lang w:val="ru-RU"/>
        </w:rPr>
        <w:lastRenderedPageBreak/>
        <w:t>корпус Стражей исламской революции. ИРИ категорически выступает против интернационализации конфликта, с другой стороны использует свое влияние на Ирак и «Хизбаллу» для помощи режиму. Для Ирана победа Б. Асада жизненно необходима, ведь он поставил на карту слишком многое. Поражение может означать провал концепции «Шиитского полумесяца», ведь потеряв Сирию, Иран потеряет и влияние на Ливан. Также будет поставлен под угрозу союз с «Хизбаллой», как это произошло с ХАМАС. Это все в совокупности может привести к потере регионального лидерства.</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Что касается акторов поддерживающих оппозицию, то исход кризиса для них не менее важен. Саудовская Аравия, в основном выступала как спонсор оппозиции и выражала ей политическую поддержку вместе с ЛАГ. Саудовцы заинтересованы к приходу к власти в Сирии дружественного им и не лояльного Ирану суннитского режима.   Турция с самого начала конфликта поддерживала оппозицию и вместе с КСА поддерживали интернационализацию конфликта. Однако, турецкое правительство не решалось на прямое вмешательство в конфликт до конца 2016г., что обуславливалось целым рядом факторов, в том числе и операцией ВКС Российской Федерации. К настоящему времени основными вызовами для турецкого руководства по итогам гражданской войны в Сирии стали курдский вопрос, проблема беженцев и усиление внутренней террористической угрозы. В данный момент вооруженные силы Турции проводят на территории Сирии операцию «Щит Евфрата», официальной целью которой является борьба с ИГИЛ, а фактически - борьба с курдами. </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Израиль, в свою очередь, в Сирийском кризисе преследует свои прагматические цели. Хотя фактически Израиль и Сирия находятся в состоянии войны, сохранение предсказуемого светского режима Б. Асада выгоднее для Тель-Авива, чем приход к власти нового, непредсказуемого и, скорее всего, исламистского режима. Однако Израиль осознает опасность, исходящую из длительного конфликта на своих границах, в частности, приобретение боевого опыта бойцами «Хизбаллы», поэтому Израиль пытается </w:t>
      </w:r>
      <w:r w:rsidRPr="00BB0527">
        <w:rPr>
          <w:rFonts w:ascii="Times New Roman" w:eastAsia="Cambria" w:hAnsi="Times New Roman" w:cs="Times New Roman"/>
          <w:sz w:val="28"/>
          <w:szCs w:val="28"/>
          <w:lang w:val="ru-RU"/>
        </w:rPr>
        <w:lastRenderedPageBreak/>
        <w:t>по возможности ослабить военную инфраструктуру Сирии, а также бороться с «Хизбаллой».</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Борьба за Сирию на международной арене ведется между двумя лагерями, представленными Россией и Китаем с одной стороны, и США    и ЕС с другой. Россия всесторонне поддерживает режим Б. Асада, в особенности на международной арене и внутри страны посредством своих ВКС. Необходимо заметить, что для РФ участие в сирийском кризисе является, во-первых – средством для преодоления международной изоляции и снятия с себя клейма «агрессора». Во-вторых </w:t>
      </w:r>
      <w:r w:rsidRPr="00BB0527">
        <w:rPr>
          <w:rFonts w:ascii="Times New Roman" w:hAnsi="Times New Roman" w:cs="Times New Roman"/>
          <w:sz w:val="28"/>
          <w:szCs w:val="28"/>
          <w:lang w:val="ru-RU"/>
        </w:rPr>
        <w:t>–</w:t>
      </w:r>
      <w:r w:rsidRPr="00BB0527">
        <w:rPr>
          <w:rFonts w:ascii="Times New Roman" w:eastAsia="Cambria" w:hAnsi="Times New Roman" w:cs="Times New Roman"/>
          <w:sz w:val="28"/>
          <w:szCs w:val="28"/>
          <w:lang w:val="ru-RU"/>
        </w:rPr>
        <w:t xml:space="preserve"> средством закрепления на Ближнем Востоке и Средиземном море (т.к. Сирия - последний союзник и стратегический партнер РФ в регионе, в частности на территории САР расположена российская военно-морская база в Тартусе). В-третьих </w:t>
      </w:r>
      <w:r w:rsidRPr="00BB0527">
        <w:rPr>
          <w:rFonts w:ascii="Times New Roman" w:hAnsi="Times New Roman" w:cs="Times New Roman"/>
          <w:sz w:val="28"/>
          <w:szCs w:val="28"/>
          <w:lang w:val="ru-RU"/>
        </w:rPr>
        <w:t>–</w:t>
      </w:r>
      <w:r w:rsidRPr="00BB0527">
        <w:rPr>
          <w:rFonts w:ascii="Times New Roman" w:eastAsia="Cambria" w:hAnsi="Times New Roman" w:cs="Times New Roman"/>
          <w:sz w:val="28"/>
          <w:szCs w:val="28"/>
          <w:lang w:val="ru-RU"/>
        </w:rPr>
        <w:t xml:space="preserve"> это средство поддержания экономики страны,        т.к. конфликт в Сирии позволил увеличить продажи вооружения и поддерживать статус основного поставщика энергоресурсов в ЕС. </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Китай ограничивает свои действия политической поддержкой режима, что обусловлено прагматичным, сугубо экономическим подходом к кризису. Для Китая смена режима будет означать нестабильность в регионе, которая приведет к  ухудшению поставок жизненно необходимых энергоресурсов для растущей экономики.</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В свою очередь США и Европейские страны поддерживают оппозицию в основном на политическом и снабженческом уровнях, хотя вопрос о военной интервенции в Сирию ставился не один раз. Стоит отметить что позиция стран запада представляется иррациональной, так как светские государства, по сути, поддерживают смещение предсказуемого светского режима и выступают за замену его непредсказуемым теократическим режимом. На данном этапе западные страны присутствуют в Сирии в качестве участников коалиции по борьбе с ИГИЛ.</w:t>
      </w:r>
    </w:p>
    <w:p w:rsidR="00FB5C18" w:rsidRPr="00BB0527" w:rsidRDefault="00FB5C18" w:rsidP="00FB5C18">
      <w:pPr>
        <w:spacing w:after="0" w:line="360" w:lineRule="auto"/>
        <w:ind w:firstLine="720"/>
        <w:jc w:val="both"/>
        <w:rPr>
          <w:rFonts w:ascii="Times New Roman" w:eastAsia="Cambria" w:hAnsi="Times New Roman" w:cs="Times New Roman"/>
          <w:sz w:val="28"/>
          <w:szCs w:val="28"/>
          <w:lang w:val="ru-RU"/>
        </w:rPr>
      </w:pPr>
      <w:r w:rsidRPr="00BB0527">
        <w:rPr>
          <w:rFonts w:ascii="Times New Roman" w:eastAsia="Cambria" w:hAnsi="Times New Roman" w:cs="Times New Roman"/>
          <w:sz w:val="28"/>
          <w:szCs w:val="28"/>
          <w:lang w:val="ru-RU"/>
        </w:rPr>
        <w:t xml:space="preserve">Попытки международного мирного разрешения кризиса показали несостоятельность ООН в современном постбиполярном мире. В частности, </w:t>
      </w:r>
      <w:r w:rsidRPr="00BB0527">
        <w:rPr>
          <w:rFonts w:ascii="Times New Roman" w:eastAsia="Cambria" w:hAnsi="Times New Roman" w:cs="Times New Roman"/>
          <w:sz w:val="28"/>
          <w:szCs w:val="28"/>
          <w:lang w:val="ru-RU"/>
        </w:rPr>
        <w:lastRenderedPageBreak/>
        <w:t>право вето постоянного члена Совета Безопасности не дало принять международному сообществу конкретных действий по Сирии. Однако стоит отметить и позитивные моменты, такие как: отказ САР от химического оружия и присоединение её к ОЗХО, создание Международной коалиции по борьбе с ИГИЛ. На данный момент на территории Сирии действует самое продолжительное прекращение огня между оппозицией и правительством, достигнутое, в отличие от предыдущих, при посредничестве РФ, Турции и ИРИ (отсутствие США обусловлено сменой кабинетов).</w:t>
      </w:r>
    </w:p>
    <w:p w:rsidR="00FB5C18" w:rsidRPr="00BB0527" w:rsidRDefault="00FB5C18" w:rsidP="00FB5C18">
      <w:pPr>
        <w:spacing w:after="0" w:line="360" w:lineRule="auto"/>
        <w:jc w:val="both"/>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caps/>
          <w:sz w:val="28"/>
          <w:szCs w:val="28"/>
          <w:lang w:val="ru-RU"/>
        </w:rPr>
      </w:pPr>
    </w:p>
    <w:p w:rsidR="00FB5C18" w:rsidRPr="00067646" w:rsidRDefault="00FB5C18" w:rsidP="00FB5C18">
      <w:pPr>
        <w:spacing w:line="360" w:lineRule="auto"/>
        <w:rPr>
          <w:rFonts w:ascii="Times New Roman" w:eastAsia="Cambria" w:hAnsi="Times New Roman" w:cs="Times New Roman"/>
          <w:caps/>
          <w:sz w:val="28"/>
          <w:szCs w:val="28"/>
          <w:lang w:val="ru-RU"/>
        </w:rPr>
      </w:pPr>
    </w:p>
    <w:p w:rsidR="00FB5C18" w:rsidRPr="00067646" w:rsidRDefault="00FB5C18" w:rsidP="00FB5C18">
      <w:pPr>
        <w:spacing w:line="360" w:lineRule="auto"/>
        <w:rPr>
          <w:rFonts w:ascii="Times New Roman" w:eastAsia="Cambria" w:hAnsi="Times New Roman" w:cs="Times New Roman"/>
          <w:caps/>
          <w:sz w:val="28"/>
          <w:szCs w:val="28"/>
          <w:lang w:val="ru-RU"/>
        </w:rPr>
      </w:pPr>
    </w:p>
    <w:p w:rsidR="00FB5C18" w:rsidRPr="00067646" w:rsidRDefault="00FB5C18" w:rsidP="00FB5C18">
      <w:pPr>
        <w:spacing w:line="360" w:lineRule="auto"/>
        <w:rPr>
          <w:rFonts w:ascii="Times New Roman" w:eastAsia="Cambria" w:hAnsi="Times New Roman" w:cs="Times New Roman"/>
          <w:caps/>
          <w:sz w:val="28"/>
          <w:szCs w:val="28"/>
          <w:lang w:val="ru-RU"/>
        </w:rPr>
      </w:pPr>
    </w:p>
    <w:p w:rsidR="00FB5C18" w:rsidRPr="004E794D" w:rsidRDefault="00FB5C18" w:rsidP="00FB5C18">
      <w:pPr>
        <w:spacing w:line="360" w:lineRule="auto"/>
        <w:rPr>
          <w:rFonts w:ascii="Times New Roman" w:eastAsia="Cambria" w:hAnsi="Times New Roman" w:cs="Times New Roman"/>
          <w:caps/>
          <w:sz w:val="28"/>
          <w:szCs w:val="28"/>
          <w:lang w:val="ru-RU"/>
        </w:rPr>
      </w:pPr>
    </w:p>
    <w:p w:rsidR="00FB5C18" w:rsidRPr="004E794D" w:rsidRDefault="00FB5C18" w:rsidP="00FB5C18">
      <w:pPr>
        <w:spacing w:line="360" w:lineRule="auto"/>
        <w:rPr>
          <w:rFonts w:ascii="Times New Roman" w:eastAsia="Cambria" w:hAnsi="Times New Roman" w:cs="Times New Roman"/>
          <w:caps/>
          <w:sz w:val="28"/>
          <w:szCs w:val="28"/>
          <w:lang w:val="ru-RU"/>
        </w:rPr>
      </w:pPr>
    </w:p>
    <w:p w:rsidR="00FB5C18" w:rsidRPr="004E794D" w:rsidRDefault="00FB5C18" w:rsidP="00FB5C18">
      <w:pPr>
        <w:spacing w:line="360" w:lineRule="auto"/>
        <w:rPr>
          <w:rFonts w:ascii="Times New Roman" w:eastAsia="Cambria" w:hAnsi="Times New Roman" w:cs="Times New Roman"/>
          <w:caps/>
          <w:sz w:val="28"/>
          <w:szCs w:val="28"/>
          <w:lang w:val="ru-RU"/>
        </w:rPr>
      </w:pPr>
    </w:p>
    <w:p w:rsidR="00FB5C18" w:rsidRPr="004E794D" w:rsidRDefault="00FB5C18" w:rsidP="00FB5C18">
      <w:pPr>
        <w:spacing w:line="360" w:lineRule="auto"/>
        <w:rPr>
          <w:rFonts w:ascii="Times New Roman" w:eastAsia="Cambria" w:hAnsi="Times New Roman" w:cs="Times New Roman"/>
          <w:caps/>
          <w:sz w:val="28"/>
          <w:szCs w:val="28"/>
          <w:lang w:val="ru-RU"/>
        </w:rPr>
      </w:pPr>
    </w:p>
    <w:p w:rsidR="00FB5C18" w:rsidRPr="004E794D" w:rsidRDefault="00FB5C18" w:rsidP="00FB5C18">
      <w:pPr>
        <w:spacing w:line="360" w:lineRule="auto"/>
        <w:rPr>
          <w:rFonts w:ascii="Times New Roman" w:eastAsia="Cambria" w:hAnsi="Times New Roman" w:cs="Times New Roman"/>
          <w:caps/>
          <w:sz w:val="28"/>
          <w:szCs w:val="28"/>
          <w:lang w:val="ru-RU"/>
        </w:rPr>
      </w:pPr>
    </w:p>
    <w:p w:rsidR="00FB5C18" w:rsidRPr="00BB0527" w:rsidRDefault="00FB5C18" w:rsidP="00FB5C18">
      <w:pPr>
        <w:spacing w:line="360" w:lineRule="auto"/>
        <w:jc w:val="center"/>
        <w:rPr>
          <w:rFonts w:ascii="Times New Roman" w:eastAsia="Cambria" w:hAnsi="Times New Roman" w:cs="Times New Roman"/>
          <w:b/>
          <w:bCs/>
          <w:caps/>
          <w:sz w:val="28"/>
          <w:szCs w:val="28"/>
        </w:rPr>
      </w:pPr>
      <w:r w:rsidRPr="00BB0527">
        <w:rPr>
          <w:rFonts w:ascii="Times New Roman" w:eastAsia="Cambria" w:hAnsi="Times New Roman" w:cs="Times New Roman"/>
          <w:b/>
          <w:bCs/>
          <w:caps/>
          <w:sz w:val="28"/>
          <w:szCs w:val="28"/>
          <w:lang w:val="ru-RU"/>
        </w:rPr>
        <w:t>Список иЗУЧЕнных источников</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lastRenderedPageBreak/>
        <w:t>Али А. О. А. Позиция иракского правительства в отношении сирийского кризиса в контексте независимой внешней политики Ирака после 2003 г. // Журнал международного права и международных отношений. - 2014. - №4. - С.21-27.</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Антонюк Ю. Зростання впливу країн Перської затоки на міжнародні відносини на близькому сході та їх вплив на Арабську весну // Шевченківська весна. - 2013. - С. 12-13.</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Безвершенко А. С. Громадянська війна в Сирії як складова геополітичного протистояння // Міжнародні відносини Серія «Політичні науки». - 2016. - №. </w:t>
      </w:r>
      <w:r w:rsidRPr="00BB0527">
        <w:rPr>
          <w:rFonts w:ascii="Times New Roman" w:eastAsia="Cambria" w:hAnsi="Times New Roman" w:cs="Times New Roman"/>
          <w:color w:val="231F20"/>
          <w:sz w:val="28"/>
          <w:szCs w:val="28"/>
          <w:u w:color="231F20"/>
        </w:rPr>
        <w:t>11. - С.46-56.</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Васнецова Е.С. Россия и Израиль в Сирийском кризисе // Вестник РУДН. </w:t>
      </w:r>
      <w:r w:rsidRPr="00BB0527">
        <w:rPr>
          <w:rFonts w:ascii="Times New Roman" w:eastAsia="Cambria" w:hAnsi="Times New Roman" w:cs="Times New Roman"/>
          <w:color w:val="231F20"/>
          <w:sz w:val="28"/>
          <w:szCs w:val="28"/>
          <w:u w:color="231F20"/>
        </w:rPr>
        <w:t>Серия: Политология. - 2016. - №. 2. - С. 7-14.</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Вонсович О. С. Перспективи врегулювання конфлікту в Сирії у контексті загострення російсько-американських відносин //</w:t>
      </w:r>
      <w:r w:rsidRPr="00BB0527">
        <w:rPr>
          <w:rFonts w:ascii="Times New Roman" w:eastAsia="Cambria" w:hAnsi="Times New Roman" w:cs="Times New Roman"/>
          <w:color w:val="231F20"/>
          <w:sz w:val="28"/>
          <w:szCs w:val="28"/>
          <w:u w:color="231F20"/>
        </w:rPr>
        <w:t> </w:t>
      </w:r>
      <w:hyperlink r:id="rId5" w:history="1">
        <w:r w:rsidRPr="00067646">
          <w:rPr>
            <w:rStyle w:val="Hyperlink1"/>
            <w:rFonts w:eastAsia="Arial Unicode MS"/>
            <w:lang w:val="ru-RU"/>
          </w:rPr>
          <w:t>Грані</w:t>
        </w:r>
      </w:hyperlink>
      <w:r w:rsidRPr="00BB0527">
        <w:rPr>
          <w:rFonts w:ascii="Times New Roman" w:eastAsia="Cambria" w:hAnsi="Times New Roman" w:cs="Times New Roman"/>
          <w:color w:val="231F20"/>
          <w:sz w:val="28"/>
          <w:szCs w:val="28"/>
          <w:u w:color="231F20"/>
          <w:lang w:val="ru-RU"/>
        </w:rPr>
        <w:t>. - 2016. - № 138. - С. 66-71.</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Голуб В. Роль Ірану у врегулюванні сирійського конфлікту // Наукові записки Національного університету «Острозька академія». </w:t>
      </w:r>
      <w:r w:rsidRPr="00BB0527">
        <w:rPr>
          <w:rFonts w:ascii="Times New Roman" w:eastAsia="Cambria" w:hAnsi="Times New Roman" w:cs="Times New Roman"/>
          <w:color w:val="231F20"/>
          <w:sz w:val="28"/>
          <w:szCs w:val="28"/>
          <w:u w:color="231F20"/>
        </w:rPr>
        <w:t>Серія «Міжнародні відносини». - 2013. - №3. - С. 182-191.</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Денисенко А. Політика Сполучених Штатів Америки щодо військово-політичного конфлікту у Сирії // Емінак. - 2015. - №. </w:t>
      </w:r>
      <w:r w:rsidRPr="00BB0527">
        <w:rPr>
          <w:rFonts w:ascii="Times New Roman" w:eastAsia="Cambria" w:hAnsi="Times New Roman" w:cs="Times New Roman"/>
          <w:color w:val="231F20"/>
          <w:sz w:val="28"/>
          <w:szCs w:val="28"/>
          <w:u w:color="231F20"/>
        </w:rPr>
        <w:t>4. - С. 104-110.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Евсеев В.В., Харитонова Д. В. Российско-турецкие отношения в свете сирийского кризиса // Научно-аналитический журнал обозреватель.-2016. - №. </w:t>
      </w:r>
      <w:r w:rsidRPr="00BB0527">
        <w:rPr>
          <w:rFonts w:ascii="Times New Roman" w:eastAsia="Cambria" w:hAnsi="Times New Roman" w:cs="Times New Roman"/>
          <w:color w:val="231F20"/>
          <w:sz w:val="28"/>
          <w:szCs w:val="28"/>
          <w:u w:color="231F20"/>
        </w:rPr>
        <w:t>2. – С.25-40.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Евсеев В.В. Сирийский кризис под углом российско-американских отношений // Геополитический журнал. - 2013. - №2. - С. 39-47.</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lastRenderedPageBreak/>
        <w:t xml:space="preserve">Иванов С. «Женева-2» и будущее Сирии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ru</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journal</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neo</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org</w:t>
      </w:r>
      <w:r w:rsidRPr="00BB0527">
        <w:rPr>
          <w:rFonts w:ascii="Times New Roman" w:eastAsia="Cambria" w:hAnsi="Times New Roman" w:cs="Times New Roman"/>
          <w:color w:val="231F20"/>
          <w:sz w:val="28"/>
          <w:szCs w:val="28"/>
          <w:u w:color="231F20"/>
          <w:lang w:val="ru-RU"/>
        </w:rPr>
        <w:t>/2013/11/14/</w:t>
      </w:r>
      <w:r w:rsidRPr="00BB0527">
        <w:rPr>
          <w:rFonts w:ascii="Times New Roman" w:eastAsia="Cambria" w:hAnsi="Times New Roman" w:cs="Times New Roman"/>
          <w:color w:val="231F20"/>
          <w:sz w:val="28"/>
          <w:szCs w:val="28"/>
          <w:u w:color="231F20"/>
        </w:rPr>
        <w:t>rus</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zheneva</w:t>
      </w:r>
      <w:r w:rsidRPr="00BB0527">
        <w:rPr>
          <w:rFonts w:ascii="Times New Roman" w:eastAsia="Cambria" w:hAnsi="Times New Roman" w:cs="Times New Roman"/>
          <w:color w:val="231F20"/>
          <w:sz w:val="28"/>
          <w:szCs w:val="28"/>
          <w:u w:color="231F20"/>
          <w:lang w:val="ru-RU"/>
        </w:rPr>
        <w:t>-2-</w:t>
      </w:r>
      <w:r w:rsidRPr="00BB0527">
        <w:rPr>
          <w:rFonts w:ascii="Times New Roman" w:eastAsia="Cambria" w:hAnsi="Times New Roman" w:cs="Times New Roman"/>
          <w:color w:val="231F20"/>
          <w:sz w:val="28"/>
          <w:szCs w:val="28"/>
          <w:u w:color="231F20"/>
        </w:rPr>
        <w:t>i</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budushhee</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sirii</w:t>
      </w:r>
      <w:r w:rsidRPr="00BB0527">
        <w:rPr>
          <w:rFonts w:ascii="Times New Roman" w:eastAsia="Cambria" w:hAnsi="Times New Roman" w:cs="Times New Roman"/>
          <w:color w:val="231F20"/>
          <w:sz w:val="28"/>
          <w:szCs w:val="28"/>
          <w:u w:color="231F20"/>
          <w:lang w:val="ru-RU"/>
        </w:rPr>
        <w:t>/</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Ирхин А.А. Сирийски конфликт в региональной и мировой политике // Вісник СевНТУ. </w:t>
      </w:r>
      <w:r w:rsidRPr="00BB0527">
        <w:rPr>
          <w:rFonts w:ascii="Times New Roman" w:eastAsia="Cambria" w:hAnsi="Times New Roman" w:cs="Times New Roman"/>
          <w:color w:val="231F20"/>
          <w:sz w:val="28"/>
          <w:szCs w:val="28"/>
          <w:u w:color="231F20"/>
        </w:rPr>
        <w:t>Серія: Політологія. – 2014. - № 145 - С.224-228.</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Исаев Л. М. Политический кризис в арабских странах: опыт оценки и типологизации. - М.: Наука, 2014. - 126с.</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Исаев Л.М. Исправленная ошибка: почему отзывают войска из Сирии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www</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forbes</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ru</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mneniya</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column</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mir</w:t>
      </w:r>
      <w:r w:rsidRPr="00BB0527">
        <w:rPr>
          <w:rFonts w:ascii="Times New Roman" w:eastAsia="Cambria" w:hAnsi="Times New Roman" w:cs="Times New Roman"/>
          <w:color w:val="231F20"/>
          <w:sz w:val="28"/>
          <w:szCs w:val="28"/>
          <w:u w:color="231F20"/>
          <w:lang w:val="ru-RU"/>
        </w:rPr>
        <w:t>/315065-</w:t>
      </w:r>
      <w:r w:rsidRPr="00BB0527">
        <w:rPr>
          <w:rFonts w:ascii="Times New Roman" w:eastAsia="Cambria" w:hAnsi="Times New Roman" w:cs="Times New Roman"/>
          <w:color w:val="231F20"/>
          <w:sz w:val="28"/>
          <w:szCs w:val="28"/>
          <w:u w:color="231F20"/>
        </w:rPr>
        <w:t>ispravlennaya</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oshibka</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pochemuotzyvayut</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voiska</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iz</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sirii</w:t>
      </w:r>
      <w:r w:rsidRPr="00BB0527">
        <w:rPr>
          <w:rFonts w:ascii="Times New Roman" w:eastAsia="Cambria" w:hAnsi="Times New Roman" w:cs="Times New Roman"/>
          <w:color w:val="231F20"/>
          <w:sz w:val="28"/>
          <w:szCs w:val="28"/>
          <w:u w:color="231F20"/>
          <w:lang w:val="ru-RU"/>
        </w:rPr>
        <w:t xml:space="preserve">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 Исаев, Л.М., Шишкина А.Р. Сирия и Йемен: Неоконченные революции. - М.: Книжный дом «ЛИБРОКОМ», 2012. - 264 с.</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Кадім А.  Нормалізація турецько-сирійських відносин на зламі ХХ-ХХІ ст. // Актуальні проблеми міжнародних відносин. - 2016. - - №. </w:t>
      </w:r>
      <w:r w:rsidRPr="00BB0527">
        <w:rPr>
          <w:rFonts w:ascii="Times New Roman" w:eastAsia="Cambria" w:hAnsi="Times New Roman" w:cs="Times New Roman"/>
          <w:color w:val="231F20"/>
          <w:sz w:val="28"/>
          <w:szCs w:val="28"/>
          <w:u w:color="231F20"/>
        </w:rPr>
        <w:t>126. - С. 24-34.</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Кизюков С. Курдская проблема во внешней политике Турции // Космополис. - 2007. - № 2. - С. 18 - 23.</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Косач Г. Г. Эволюция внешней политики Саудовской Аравии после «Арабской весны» // Вестник Нижегородского университета им. </w:t>
      </w:r>
      <w:r w:rsidRPr="00BB0527">
        <w:rPr>
          <w:rFonts w:ascii="Times New Roman" w:eastAsia="Cambria" w:hAnsi="Times New Roman" w:cs="Times New Roman"/>
          <w:color w:val="231F20"/>
          <w:sz w:val="28"/>
          <w:szCs w:val="28"/>
          <w:u w:color="231F20"/>
        </w:rPr>
        <w:t>НИ Лобачевского. - 2015. - №. 3. - С. 134-142.</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Кот Р. Особливості позиції Ізраїлю щодо громадянської війни в Сирії //Міжнародні відносини і туризм: сучасність та ретроспектива: збірник матеріалів Першої міжнародної науково-практичної конференції студентів та молодих вчених. - 2013. - № 3. - С. 15-18.</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Кравчук О. А. Сирійсько-турецькі відносини у контексті системи близькосхідних міжнародних відносин // Актуальні проблеми міжнародних відносин. - 2017. - №.128. - С. 28-39.</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lastRenderedPageBreak/>
        <w:t>Кулаков А. А. Сутність переговорного процесу в контексті сирійського питання  // Проблеми міжнародних відносин. - 2013. - №6 -С. 112.</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Купрейчук В. Ю. Вплив</w:t>
      </w:r>
      <w:r w:rsidRPr="00BB0527">
        <w:rPr>
          <w:rFonts w:ascii="Times New Roman"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lang w:val="ru-RU"/>
        </w:rPr>
        <w:t xml:space="preserve"> сирійського конфлікту на політичні процеси близькосхідного регіону // Актуальні проблеми міжнародних відносин. - 2015 - №124 - С.78-82.</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Магєррамова Ю. А. Засоби досягнення КСА та ІРІ регіонального лідерства // Міжнародні відносини. </w:t>
      </w:r>
      <w:r w:rsidRPr="00BB0527">
        <w:rPr>
          <w:rFonts w:ascii="Times New Roman" w:eastAsia="Cambria" w:hAnsi="Times New Roman" w:cs="Times New Roman"/>
          <w:color w:val="231F20"/>
          <w:sz w:val="28"/>
          <w:szCs w:val="28"/>
          <w:u w:color="231F20"/>
        </w:rPr>
        <w:t>Серія «Політичні науки». - 2015. - №7 - С.112 - 114.</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Мазур О. А. Перспективы решения курдского вопроса в Сирии // Вестник Забайкальского государственного университета. - 2016.  </w:t>
      </w:r>
      <w:r w:rsidRPr="00BB0527">
        <w:rPr>
          <w:rFonts w:ascii="Times New Roman" w:eastAsia="Cambria" w:hAnsi="Times New Roman" w:cs="Times New Roman"/>
          <w:color w:val="231F20"/>
          <w:sz w:val="28"/>
          <w:szCs w:val="28"/>
          <w:u w:color="231F20"/>
        </w:rPr>
        <w:t>- №4. – С.35-42.</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Никулина Я. С., Сейфиева Е. Н. Причины и перспективы развития конфликта в Сирии // Дискурс-Пи. - 2016.  </w:t>
      </w:r>
      <w:r w:rsidRPr="00BB0527">
        <w:rPr>
          <w:rFonts w:ascii="Times New Roman" w:eastAsia="Cambria" w:hAnsi="Times New Roman" w:cs="Times New Roman"/>
          <w:color w:val="231F20"/>
          <w:sz w:val="28"/>
          <w:szCs w:val="28"/>
          <w:u w:color="231F20"/>
        </w:rPr>
        <w:t>- №1 - С.55- 64.</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Новоскольцев Г. Тероризм як глобальна проблема сучасності // Вісник Дніпропетровського університету. </w:t>
      </w:r>
      <w:r w:rsidRPr="00BB0527">
        <w:rPr>
          <w:rFonts w:ascii="Times New Roman" w:eastAsia="Cambria" w:hAnsi="Times New Roman" w:cs="Times New Roman"/>
          <w:color w:val="231F20"/>
          <w:sz w:val="28"/>
          <w:szCs w:val="28"/>
          <w:u w:color="231F20"/>
        </w:rPr>
        <w:t>Серія: філософія, соціологія, політологія. - 2016. - №. 2. - С. 43-52.</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ООН: обе стороны конфликта совершали военные преступления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top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rbc</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ru</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politics</w:t>
      </w:r>
      <w:r w:rsidRPr="00BB0527">
        <w:rPr>
          <w:rFonts w:ascii="Times New Roman" w:eastAsia="Cambria" w:hAnsi="Times New Roman" w:cs="Times New Roman"/>
          <w:color w:val="231F20"/>
          <w:sz w:val="28"/>
          <w:szCs w:val="28"/>
          <w:u w:color="231F20"/>
          <w:lang w:val="ru-RU"/>
        </w:rPr>
        <w:t>/18/02/2013/845671.</w:t>
      </w:r>
      <w:r w:rsidRPr="00BB0527">
        <w:rPr>
          <w:rFonts w:ascii="Times New Roman" w:eastAsia="Cambria" w:hAnsi="Times New Roman" w:cs="Times New Roman"/>
          <w:color w:val="231F20"/>
          <w:sz w:val="28"/>
          <w:szCs w:val="28"/>
          <w:u w:color="231F20"/>
        </w:rPr>
        <w:t>shtml</w:t>
      </w:r>
      <w:r w:rsidRPr="00BB0527">
        <w:rPr>
          <w:rFonts w:ascii="Times New Roman" w:eastAsia="Cambria" w:hAnsi="Times New Roman" w:cs="Times New Roman"/>
          <w:color w:val="231F20"/>
          <w:sz w:val="28"/>
          <w:szCs w:val="28"/>
          <w:u w:color="231F20"/>
          <w:lang w:val="ru-RU"/>
        </w:rPr>
        <w:t xml:space="preserve">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Ради Турции НАТО посылает в Средиземноморье корабли и военные самолеты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www</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hurriyet</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com</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tr</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nato</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akdenize</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ucak</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ve</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savas</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gemileri</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gonderiyor</w:t>
      </w:r>
      <w:r w:rsidRPr="00BB0527">
        <w:rPr>
          <w:rFonts w:ascii="Times New Roman" w:eastAsia="Cambria" w:hAnsi="Times New Roman" w:cs="Times New Roman"/>
          <w:color w:val="231F20"/>
          <w:sz w:val="28"/>
          <w:szCs w:val="28"/>
          <w:u w:color="231F20"/>
          <w:lang w:val="ru-RU"/>
        </w:rPr>
        <w:t>-40021595</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Резолюция № 2118. // </w:t>
      </w:r>
      <w:r w:rsidRPr="00BB0527">
        <w:rPr>
          <w:rFonts w:ascii="Times New Roman" w:eastAsia="Cambria" w:hAnsi="Times New Roman" w:cs="Times New Roman"/>
          <w:color w:val="231F20"/>
          <w:sz w:val="28"/>
          <w:szCs w:val="28"/>
          <w:u w:color="231F20"/>
        </w:rPr>
        <w:t>https</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documents</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ddsny</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un</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org</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doc</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UNDOC</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GEN</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N</w:t>
      </w:r>
      <w:r w:rsidRPr="00BB0527">
        <w:rPr>
          <w:rFonts w:ascii="Times New Roman" w:eastAsia="Cambria" w:hAnsi="Times New Roman" w:cs="Times New Roman"/>
          <w:color w:val="231F20"/>
          <w:sz w:val="28"/>
          <w:szCs w:val="28"/>
          <w:u w:color="231F20"/>
          <w:lang w:val="ru-RU"/>
        </w:rPr>
        <w:t>13/489/25/</w:t>
      </w:r>
      <w:r w:rsidRPr="00BB0527">
        <w:rPr>
          <w:rFonts w:ascii="Times New Roman" w:eastAsia="Cambria" w:hAnsi="Times New Roman" w:cs="Times New Roman"/>
          <w:color w:val="231F20"/>
          <w:sz w:val="28"/>
          <w:szCs w:val="28"/>
          <w:u w:color="231F20"/>
        </w:rPr>
        <w:t>PDF</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N</w:t>
      </w:r>
      <w:r w:rsidRPr="00BB0527">
        <w:rPr>
          <w:rFonts w:ascii="Times New Roman" w:eastAsia="Cambria" w:hAnsi="Times New Roman" w:cs="Times New Roman"/>
          <w:color w:val="231F20"/>
          <w:sz w:val="28"/>
          <w:szCs w:val="28"/>
          <w:u w:color="231F20"/>
          <w:lang w:val="ru-RU"/>
        </w:rPr>
        <w:t>1348925.</w:t>
      </w:r>
      <w:r w:rsidRPr="00BB0527">
        <w:rPr>
          <w:rFonts w:ascii="Times New Roman" w:eastAsia="Cambria" w:hAnsi="Times New Roman" w:cs="Times New Roman"/>
          <w:color w:val="231F20"/>
          <w:sz w:val="28"/>
          <w:szCs w:val="28"/>
          <w:u w:color="231F20"/>
        </w:rPr>
        <w:t>pdf</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 xml:space="preserve">OpenElement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Резолюция № 2139 // </w:t>
      </w:r>
      <w:r w:rsidRPr="00BB0527">
        <w:rPr>
          <w:rFonts w:ascii="Times New Roman" w:eastAsia="Cambria" w:hAnsi="Times New Roman" w:cs="Times New Roman"/>
          <w:color w:val="231F20"/>
          <w:sz w:val="28"/>
          <w:szCs w:val="28"/>
          <w:u w:color="231F20"/>
        </w:rPr>
        <w:t>https</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documents</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ddsny</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un</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org</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doc</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UNDOC</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GEN</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N</w:t>
      </w:r>
      <w:r w:rsidRPr="00BB0527">
        <w:rPr>
          <w:rFonts w:ascii="Times New Roman" w:eastAsia="Cambria" w:hAnsi="Times New Roman" w:cs="Times New Roman"/>
          <w:color w:val="231F20"/>
          <w:sz w:val="28"/>
          <w:szCs w:val="28"/>
          <w:u w:color="231F20"/>
          <w:lang w:val="ru-RU"/>
        </w:rPr>
        <w:t>14/243/41/</w:t>
      </w:r>
      <w:r w:rsidRPr="00BB0527">
        <w:rPr>
          <w:rFonts w:ascii="Times New Roman" w:eastAsia="Cambria" w:hAnsi="Times New Roman" w:cs="Times New Roman"/>
          <w:color w:val="231F20"/>
          <w:sz w:val="28"/>
          <w:szCs w:val="28"/>
          <w:u w:color="231F20"/>
        </w:rPr>
        <w:t>PDF</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N</w:t>
      </w:r>
      <w:r w:rsidRPr="00BB0527">
        <w:rPr>
          <w:rFonts w:ascii="Times New Roman" w:eastAsia="Cambria" w:hAnsi="Times New Roman" w:cs="Times New Roman"/>
          <w:color w:val="231F20"/>
          <w:sz w:val="28"/>
          <w:szCs w:val="28"/>
          <w:u w:color="231F20"/>
          <w:lang w:val="ru-RU"/>
        </w:rPr>
        <w:t>1424341.</w:t>
      </w:r>
      <w:r w:rsidRPr="00BB0527">
        <w:rPr>
          <w:rFonts w:ascii="Times New Roman" w:eastAsia="Cambria" w:hAnsi="Times New Roman" w:cs="Times New Roman"/>
          <w:color w:val="231F20"/>
          <w:sz w:val="28"/>
          <w:szCs w:val="28"/>
          <w:u w:color="231F20"/>
        </w:rPr>
        <w:t>pdf</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OpenElement</w:t>
      </w:r>
      <w:r w:rsidRPr="00BB0527">
        <w:rPr>
          <w:rFonts w:ascii="Times New Roman" w:eastAsia="Cambria" w:hAnsi="Times New Roman" w:cs="Times New Roman"/>
          <w:color w:val="231F20"/>
          <w:sz w:val="28"/>
          <w:szCs w:val="28"/>
          <w:u w:color="231F20"/>
          <w:lang w:val="ru-RU"/>
        </w:rPr>
        <w:t xml:space="preserve">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lastRenderedPageBreak/>
        <w:t xml:space="preserve">Ржевська Н. Ф. Оновлена стратегія США: реалії та очікування //Міжнародні відносини. </w:t>
      </w:r>
      <w:r w:rsidRPr="00BB0527">
        <w:rPr>
          <w:rFonts w:ascii="Times New Roman" w:eastAsia="Cambria" w:hAnsi="Times New Roman" w:cs="Times New Roman"/>
          <w:color w:val="231F20"/>
          <w:sz w:val="28"/>
          <w:szCs w:val="28"/>
          <w:u w:color="231F20"/>
        </w:rPr>
        <w:t>Серія «Політичні науки». - 2015. - №6 - С.156-160.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Рубо О. П. Позиция Китая по сирийскому кризису // </w:t>
      </w:r>
      <w:hyperlink r:id="rId6" w:history="1">
        <w:r w:rsidRPr="00BB0527">
          <w:rPr>
            <w:rStyle w:val="Hyperlink1"/>
            <w:rFonts w:eastAsia="Arial Unicode MS"/>
          </w:rPr>
          <w:t>http</w:t>
        </w:r>
        <w:r w:rsidRPr="00067646">
          <w:rPr>
            <w:rStyle w:val="Hyperlink1"/>
            <w:rFonts w:eastAsia="Arial Unicode MS"/>
            <w:lang w:val="ru-RU"/>
          </w:rPr>
          <w:t>://</w:t>
        </w:r>
        <w:r w:rsidRPr="00BB0527">
          <w:rPr>
            <w:rStyle w:val="Hyperlink1"/>
            <w:rFonts w:eastAsia="Arial Unicode MS"/>
          </w:rPr>
          <w:t>elib</w:t>
        </w:r>
        <w:r w:rsidRPr="00067646">
          <w:rPr>
            <w:rStyle w:val="Hyperlink1"/>
            <w:rFonts w:eastAsia="Arial Unicode MS"/>
            <w:lang w:val="ru-RU"/>
          </w:rPr>
          <w:t>.</w:t>
        </w:r>
        <w:r w:rsidRPr="00BB0527">
          <w:rPr>
            <w:rStyle w:val="Hyperlink1"/>
            <w:rFonts w:eastAsia="Arial Unicode MS"/>
          </w:rPr>
          <w:t>bsu</w:t>
        </w:r>
        <w:r w:rsidRPr="00067646">
          <w:rPr>
            <w:rStyle w:val="Hyperlink1"/>
            <w:rFonts w:eastAsia="Arial Unicode MS"/>
            <w:lang w:val="ru-RU"/>
          </w:rPr>
          <w:t>.</w:t>
        </w:r>
        <w:r w:rsidRPr="00BB0527">
          <w:rPr>
            <w:rStyle w:val="Hyperlink1"/>
            <w:rFonts w:eastAsia="Arial Unicode MS"/>
          </w:rPr>
          <w:t>by</w:t>
        </w:r>
        <w:r w:rsidRPr="00067646">
          <w:rPr>
            <w:rStyle w:val="Hyperlink1"/>
            <w:rFonts w:eastAsia="Arial Unicode MS"/>
            <w:lang w:val="ru-RU"/>
          </w:rPr>
          <w:t>/</w:t>
        </w:r>
        <w:r w:rsidRPr="00BB0527">
          <w:rPr>
            <w:rStyle w:val="Hyperlink1"/>
            <w:rFonts w:eastAsia="Arial Unicode MS"/>
          </w:rPr>
          <w:t>handle</w:t>
        </w:r>
        <w:r w:rsidRPr="00067646">
          <w:rPr>
            <w:rStyle w:val="Hyperlink1"/>
            <w:rFonts w:eastAsia="Arial Unicode MS"/>
            <w:lang w:val="ru-RU"/>
          </w:rPr>
          <w:t>/123456789/108362</w:t>
        </w:r>
      </w:hyperlink>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Сатановский Е.Я. Плюс-минус Асад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vpk</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news</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ru</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articles</w:t>
      </w:r>
      <w:r w:rsidRPr="00BB0527">
        <w:rPr>
          <w:rFonts w:ascii="Times New Roman" w:eastAsia="Cambria" w:hAnsi="Times New Roman" w:cs="Times New Roman"/>
          <w:color w:val="231F20"/>
          <w:sz w:val="28"/>
          <w:szCs w:val="28"/>
          <w:u w:color="231F20"/>
          <w:lang w:val="ru-RU"/>
        </w:rPr>
        <w:t xml:space="preserve">/8598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Степанова Е. А. ИГИЛ и транснациональный исламистский терроризм // Пути к миру и безопасности. - 2014. - №. </w:t>
      </w:r>
      <w:r w:rsidRPr="00BB0527">
        <w:rPr>
          <w:rFonts w:ascii="Times New Roman" w:eastAsia="Cambria" w:hAnsi="Times New Roman" w:cs="Times New Roman"/>
          <w:color w:val="231F20"/>
          <w:sz w:val="28"/>
          <w:szCs w:val="28"/>
          <w:u w:color="231F20"/>
        </w:rPr>
        <w:t>2. - С. 47-49.</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Тригуб П. М. Сирійське питання в раді безпеки ООН (серпень–вересень 2013 р.) // Научные труды. - 2013. - №. </w:t>
      </w:r>
      <w:r w:rsidRPr="00BB0527">
        <w:rPr>
          <w:rFonts w:ascii="Times New Roman" w:eastAsia="Cambria" w:hAnsi="Times New Roman" w:cs="Times New Roman"/>
          <w:color w:val="231F20"/>
          <w:sz w:val="28"/>
          <w:szCs w:val="28"/>
          <w:u w:color="231F20"/>
        </w:rPr>
        <w:t>4. - С. 35-45.</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Тригуб П. М., Лукіна Т. І. Розвиток курдської проблеми в Туреччині //Наукові праці. </w:t>
      </w:r>
      <w:r w:rsidRPr="00BB0527">
        <w:rPr>
          <w:rFonts w:ascii="Times New Roman" w:eastAsia="Cambria" w:hAnsi="Times New Roman" w:cs="Times New Roman"/>
          <w:color w:val="231F20"/>
          <w:sz w:val="28"/>
          <w:szCs w:val="28"/>
          <w:u w:color="231F20"/>
        </w:rPr>
        <w:t>Історія. -2015. - №. 251. - С.211-218.</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Харыбин А. Н. Современные геополитические конфликты // Общество: политика, экономика, право. - 2015. - №. </w:t>
      </w:r>
      <w:r w:rsidRPr="00BB0527">
        <w:rPr>
          <w:rFonts w:ascii="Times New Roman" w:eastAsia="Cambria" w:hAnsi="Times New Roman" w:cs="Times New Roman"/>
          <w:color w:val="231F20"/>
          <w:sz w:val="28"/>
          <w:szCs w:val="28"/>
          <w:u w:color="231F20"/>
        </w:rPr>
        <w:t>1. – С.91-97</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lang w:val="ru-RU"/>
        </w:rPr>
        <w:t xml:space="preserve"> Худолій А. О. Зовнішня політика США у світлі сирійського конфлікту</w:t>
      </w:r>
      <w:r w:rsidRPr="00BB0527">
        <w:rPr>
          <w:rFonts w:ascii="Times New Roman" w:eastAsia="Cambria" w:hAnsi="Times New Roman" w:cs="Times New Roman"/>
          <w:color w:val="231F20"/>
          <w:sz w:val="28"/>
          <w:szCs w:val="28"/>
          <w:u w:color="231F20"/>
        </w:rPr>
        <w:t> </w:t>
      </w:r>
      <w:r w:rsidRPr="00BB0527">
        <w:rPr>
          <w:rFonts w:ascii="Times New Roman" w:eastAsia="Cambria" w:hAnsi="Times New Roman" w:cs="Times New Roman"/>
          <w:color w:val="231F20"/>
          <w:sz w:val="28"/>
          <w:szCs w:val="28"/>
          <w:u w:color="231F20"/>
          <w:lang w:val="ru-RU"/>
        </w:rPr>
        <w:t xml:space="preserve"> //</w:t>
      </w:r>
      <w:r w:rsidRPr="00BB0527">
        <w:rPr>
          <w:rFonts w:ascii="Times New Roman" w:eastAsia="Cambria" w:hAnsi="Times New Roman" w:cs="Times New Roman"/>
          <w:color w:val="231F20"/>
          <w:sz w:val="28"/>
          <w:szCs w:val="28"/>
          <w:u w:color="231F20"/>
        </w:rPr>
        <w:t> </w:t>
      </w:r>
      <w:hyperlink r:id="rId7" w:history="1">
        <w:r w:rsidRPr="00067646">
          <w:rPr>
            <w:rStyle w:val="Hyperlink1"/>
            <w:rFonts w:eastAsia="Arial Unicode MS"/>
            <w:lang w:val="ru-RU"/>
          </w:rPr>
          <w:t xml:space="preserve">Наукові праці. </w:t>
        </w:r>
        <w:r w:rsidRPr="00BB0527">
          <w:rPr>
            <w:rStyle w:val="Hyperlink1"/>
            <w:rFonts w:eastAsia="Arial Unicode MS"/>
          </w:rPr>
          <w:t>Серія : Політологія</w:t>
        </w:r>
      </w:hyperlink>
      <w:r w:rsidRPr="00BB0527">
        <w:rPr>
          <w:rFonts w:ascii="Times New Roman" w:eastAsia="Cambria" w:hAnsi="Times New Roman" w:cs="Times New Roman"/>
          <w:color w:val="231F20"/>
          <w:sz w:val="28"/>
          <w:szCs w:val="28"/>
          <w:u w:color="231F20"/>
        </w:rPr>
        <w:t>. - 2014. -  №216. - С. 52-55.</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Цирфа Ю. Основні виклики сучасності: ООН пропонує сценарій глобальних рішень // Віче. - 2013. - №19. - С. 8-9.</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Чеков А. Мировой опыт химического разоружения: уроки для Сирии // Индекс безопасности. - 2014. - №1. - С. 95-100.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t xml:space="preserve">Шевелева М. В. Деятельность Лиги арабских государств по урегулированию кризиса в Сирии в 2011-2013 гг. // </w:t>
      </w:r>
      <w:r w:rsidRPr="00BB0527">
        <w:rPr>
          <w:rFonts w:ascii="Times New Roman" w:eastAsia="Cambria" w:hAnsi="Times New Roman" w:cs="Times New Roman"/>
          <w:color w:val="231F20"/>
          <w:sz w:val="28"/>
          <w:szCs w:val="28"/>
          <w:u w:color="231F20"/>
        </w:rPr>
        <w:t>http</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elib</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bsu</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by</w:t>
      </w:r>
      <w:r w:rsidRPr="00BB0527">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handle</w:t>
      </w:r>
      <w:r w:rsidRPr="00BB0527">
        <w:rPr>
          <w:rFonts w:ascii="Times New Roman" w:eastAsia="Cambria" w:hAnsi="Times New Roman" w:cs="Times New Roman"/>
          <w:color w:val="231F20"/>
          <w:sz w:val="28"/>
          <w:szCs w:val="28"/>
          <w:u w:color="231F20"/>
          <w:lang w:val="ru-RU"/>
        </w:rPr>
        <w:t xml:space="preserve">/123456789/88763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eastAsia="Cambria" w:hAnsi="Times New Roman" w:cs="Times New Roman"/>
          <w:color w:val="231F20"/>
          <w:sz w:val="28"/>
          <w:szCs w:val="28"/>
          <w:u w:color="231F20"/>
          <w:lang w:val="ru-RU"/>
        </w:rPr>
        <w:lastRenderedPageBreak/>
        <w:t>Шуляк С. В. Мотиви російського збройного втручання у громадянську війну в Сирії (глобальний вимір) // Гілея: науковий вісник. - 2016. - №.115 - С. 485-488.</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 xml:space="preserve">All of Syria’s Chemical Weapons Material Removed // http://opcw. unmissions. org/ LinkClick. aspx?fileticket=pbq2 OEoBdL8%3d &amp;tabid=54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Bakke P. C., Kuypers J. A. The Syrian Civil War, International Outreach, and a Clash of Worldviews // KB Journal. - 2016. - №. 2 – P.77-81.</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 xml:space="preserve">Fulton W., Frasco R., Farrar-Wellman A. Syria - Iran foreign relations // </w:t>
      </w:r>
      <w:hyperlink r:id="rId8" w:history="1">
        <w:r w:rsidRPr="00BB0527">
          <w:rPr>
            <w:rStyle w:val="Hyperlink1"/>
            <w:rFonts w:eastAsia="Arial Unicode MS"/>
          </w:rPr>
          <w:t>http://www.irantracker.org/foreign-relations/syria-iranforeign-relations</w:t>
        </w:r>
      </w:hyperlink>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Haddad B. Syrias Stalemate: The Limit of Regime Resiliance // Middle East Policy. - 2012. - № 1. - P. 3 -10.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Hinnebusch R., Zartman I. W. UN mediation in the Syrian crisis: from Kofi Annan to Lakhdar Brahimi // https://papers.ssrn.com/sol3/papers.cfm?abstract_id=2893359</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 xml:space="preserve">Jayakumar K. Syria – to intervene or not to intervene //  http://www.transconflict.com/2013/08/syria-humanitarian-intervention-298/ </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Kirchner M., Baş Ş. Chaldiran Conceptualizing Iranian-Turkish Relations after the Arab Spring // Springer Fachmedien Wiesbaden. - 2017. - P. 163-176.</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Lawson F. H. Syria’s civil war and the reconfiguration of regional politics. - New York: Palgrave Macmillan, 2016. - 135p.</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McCormack T. Chemical Weapons and Other Atrocities: Contrasting Responses to the Syrian Crisis // International Law Studies. - 2016. - №1 - P.16 - 24.</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lastRenderedPageBreak/>
        <w:t>Park B. Conflict, Democratization and the Kurds in the Middle East: Turkey, Iran, Iraq and Syria. - New York: Palgrave Macmillan,  2014.  - 212p.</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Phillips C. Turkey's Syria problem // Juncture. - 2012. - №. 2. - P. 137-140.</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Saikal A. Iran and the Changing Regional Strategic Environment.  - New York: Palgrave Macmillan, 2016. - 141p.</w:t>
      </w:r>
    </w:p>
    <w:p w:rsidR="00FB5C18" w:rsidRPr="00BB0527" w:rsidRDefault="00FB5C18" w:rsidP="00FB5C18">
      <w:pPr>
        <w:pStyle w:val="a3"/>
        <w:numPr>
          <w:ilvl w:val="0"/>
          <w:numId w:val="2"/>
        </w:numPr>
        <w:spacing w:line="360" w:lineRule="auto"/>
        <w:ind w:left="283" w:hanging="283"/>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 xml:space="preserve"> Siddiqui F. R. Evolution of Syrian Crisis and Analyzing the Role of Russia:A Game Changer // http://icwa.in/pdfs/IB/2014/EvolutionofSyrianCrisisIB14012016.pdf</w:t>
      </w:r>
    </w:p>
    <w:p w:rsidR="00FB5C18" w:rsidRPr="00BB0527" w:rsidRDefault="00FB5C18" w:rsidP="00FB5C18">
      <w:pPr>
        <w:pStyle w:val="a3"/>
        <w:numPr>
          <w:ilvl w:val="0"/>
          <w:numId w:val="2"/>
        </w:numPr>
        <w:spacing w:line="360" w:lineRule="auto"/>
        <w:ind w:left="283" w:hanging="283"/>
        <w:jc w:val="both"/>
        <w:rPr>
          <w:rFonts w:ascii="Times New Roman" w:eastAsia="Times New Roman" w:hAnsi="Times New Roman" w:cs="Times New Roman"/>
          <w:color w:val="231F20"/>
          <w:sz w:val="28"/>
          <w:szCs w:val="28"/>
          <w:u w:color="231F20"/>
        </w:rPr>
      </w:pPr>
      <w:r w:rsidRPr="00BB0527">
        <w:rPr>
          <w:rFonts w:ascii="Times New Roman" w:eastAsia="Cambria" w:hAnsi="Times New Roman" w:cs="Times New Roman"/>
          <w:color w:val="231F20"/>
          <w:sz w:val="28"/>
          <w:szCs w:val="28"/>
          <w:u w:color="231F20"/>
        </w:rPr>
        <w:t>World Bank. 2017. World Development Indicators Online // http://data.worldbank.org/country/syrian-arab-republic?view=chart</w:t>
      </w:r>
    </w:p>
    <w:p w:rsidR="00FB5C18" w:rsidRPr="00BB0527"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rPr>
      </w:pPr>
      <w:r w:rsidRPr="00BB0527">
        <w:rPr>
          <w:rFonts w:ascii="Times New Roman" w:hAnsi="Times New Roman" w:cs="Times New Roman"/>
          <w:sz w:val="28"/>
          <w:szCs w:val="28"/>
          <w:shd w:val="clear" w:color="auto" w:fill="FFFFFF"/>
          <w:rtl/>
          <w:cs/>
        </w:rPr>
        <w:t>البيان الصدر ان اجتماع مجلس جمعة الدول العربية بشأن تطورات الوضع في سوريا</w:t>
      </w:r>
      <w:r w:rsidRPr="00BB0527">
        <w:rPr>
          <w:rFonts w:ascii="Times New Roman" w:eastAsia="Cambria" w:hAnsi="Times New Roman" w:cs="Times New Roman"/>
          <w:color w:val="231F20"/>
          <w:sz w:val="28"/>
          <w:szCs w:val="28"/>
          <w:u w:color="231F20"/>
        </w:rPr>
        <w:t xml:space="preserve"> (Заявление о чрезвычайной сессии Министерского Совета Лиги арабских государств о развитии положения в Сирии) // http://www.arableagueonline.org/wps/wcm/connect/At-Tahalufad-duvvalij yudashshin amalijyatahu (на арабском языке)</w:t>
      </w:r>
    </w:p>
    <w:p w:rsidR="00FB5C18" w:rsidRPr="004E794D"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sz w:val="28"/>
          <w:szCs w:val="28"/>
          <w:u w:color="231F20"/>
          <w:lang w:val="ru-RU"/>
        </w:rPr>
      </w:pPr>
      <w:r w:rsidRPr="00BB0527">
        <w:rPr>
          <w:rFonts w:ascii="Times New Roman" w:hAnsi="Times New Roman" w:cs="Times New Roman"/>
          <w:sz w:val="28"/>
          <w:szCs w:val="28"/>
          <w:shd w:val="clear" w:color="auto" w:fill="FFFFFF"/>
          <w:rtl/>
          <w:cs/>
        </w:rPr>
        <w:t>التحالف الدولي يدشن عملياته في سوريا بـ</w:t>
      </w:r>
      <w:r w:rsidRPr="004E794D">
        <w:rPr>
          <w:rFonts w:ascii="Times New Roman" w:hAnsi="Times New Roman" w:cs="Times New Roman"/>
          <w:sz w:val="28"/>
          <w:szCs w:val="28"/>
          <w:shd w:val="clear" w:color="auto" w:fill="FFFFFF"/>
          <w:lang w:val="ru-RU"/>
        </w:rPr>
        <w:t xml:space="preserve">50 </w:t>
      </w:r>
      <w:r w:rsidRPr="00BB0527">
        <w:rPr>
          <w:rFonts w:ascii="Times New Roman" w:hAnsi="Times New Roman" w:cs="Times New Roman"/>
          <w:sz w:val="28"/>
          <w:szCs w:val="28"/>
          <w:shd w:val="clear" w:color="auto" w:fill="FFFFFF"/>
          <w:rtl/>
          <w:cs/>
        </w:rPr>
        <w:t>غارة</w:t>
      </w:r>
      <w:r w:rsidRPr="004E794D">
        <w:rPr>
          <w:rFonts w:ascii="Times New Roman" w:eastAsia="Cambria" w:hAnsi="Times New Roman" w:cs="Times New Roman"/>
          <w:color w:val="231F20"/>
          <w:sz w:val="28"/>
          <w:szCs w:val="28"/>
          <w:u w:color="231F20"/>
          <w:lang w:val="ru-RU"/>
        </w:rPr>
        <w:t xml:space="preserve"> (Международная коалиция начинает действовать в Сирии, совершив 50 вылетов) //  </w:t>
      </w:r>
      <w:r w:rsidRPr="00BB0527">
        <w:rPr>
          <w:rFonts w:ascii="Times New Roman" w:eastAsia="Cambria" w:hAnsi="Times New Roman" w:cs="Times New Roman"/>
          <w:color w:val="231F20"/>
          <w:sz w:val="28"/>
          <w:szCs w:val="28"/>
          <w:u w:color="231F20"/>
        </w:rPr>
        <w:t>http</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classic</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aawsat</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com</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details</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asp</w:t>
      </w:r>
      <w:r w:rsidRPr="004E794D">
        <w:rPr>
          <w:rFonts w:ascii="Times New Roman" w:eastAsia="Cambria" w:hAnsi="Times New Roman" w:cs="Times New Roman"/>
          <w:color w:val="231F20"/>
          <w:sz w:val="28"/>
          <w:szCs w:val="28"/>
          <w:u w:color="231F20"/>
          <w:lang w:val="ru-RU"/>
        </w:rPr>
        <w:t>?</w:t>
      </w:r>
      <w:r w:rsidRPr="00BB0527">
        <w:rPr>
          <w:rFonts w:ascii="Times New Roman" w:eastAsia="Cambria" w:hAnsi="Times New Roman" w:cs="Times New Roman"/>
          <w:color w:val="231F20"/>
          <w:sz w:val="28"/>
          <w:szCs w:val="28"/>
          <w:u w:color="231F20"/>
        </w:rPr>
        <w:t>section</w:t>
      </w:r>
      <w:r w:rsidRPr="004E794D">
        <w:rPr>
          <w:rFonts w:ascii="Times New Roman" w:eastAsia="Cambria" w:hAnsi="Times New Roman" w:cs="Times New Roman"/>
          <w:color w:val="231F20"/>
          <w:sz w:val="28"/>
          <w:szCs w:val="28"/>
          <w:u w:color="231F20"/>
          <w:lang w:val="ru-RU"/>
        </w:rPr>
        <w:t>=4&amp;</w:t>
      </w:r>
      <w:r w:rsidRPr="00BB0527">
        <w:rPr>
          <w:rFonts w:ascii="Times New Roman" w:eastAsia="Cambria" w:hAnsi="Times New Roman" w:cs="Times New Roman"/>
          <w:color w:val="231F20"/>
          <w:sz w:val="28"/>
          <w:szCs w:val="28"/>
          <w:u w:color="231F20"/>
        </w:rPr>
        <w:t>issueno</w:t>
      </w:r>
      <w:r w:rsidRPr="004E794D">
        <w:rPr>
          <w:rFonts w:ascii="Times New Roman" w:eastAsia="Cambria" w:hAnsi="Times New Roman" w:cs="Times New Roman"/>
          <w:color w:val="231F20"/>
          <w:sz w:val="28"/>
          <w:szCs w:val="28"/>
          <w:u w:color="231F20"/>
          <w:lang w:val="ru-RU"/>
        </w:rPr>
        <w:t>=13084&amp;</w:t>
      </w:r>
      <w:r w:rsidRPr="00BB0527">
        <w:rPr>
          <w:rFonts w:ascii="Times New Roman" w:eastAsia="Cambria" w:hAnsi="Times New Roman" w:cs="Times New Roman"/>
          <w:color w:val="231F20"/>
          <w:sz w:val="28"/>
          <w:szCs w:val="28"/>
          <w:u w:color="231F20"/>
        </w:rPr>
        <w:t>article</w:t>
      </w:r>
      <w:r w:rsidRPr="004E794D">
        <w:rPr>
          <w:rFonts w:ascii="Times New Roman" w:eastAsia="Cambria" w:hAnsi="Times New Roman" w:cs="Times New Roman"/>
          <w:color w:val="231F20"/>
          <w:sz w:val="28"/>
          <w:szCs w:val="28"/>
          <w:u w:color="231F20"/>
          <w:lang w:val="ru-RU"/>
        </w:rPr>
        <w:t>=788302 (на арабском языке)</w:t>
      </w:r>
    </w:p>
    <w:p w:rsidR="00FB5C18" w:rsidRPr="004E794D" w:rsidRDefault="00FB5C18" w:rsidP="00FB5C18">
      <w:pPr>
        <w:pStyle w:val="a3"/>
        <w:numPr>
          <w:ilvl w:val="0"/>
          <w:numId w:val="2"/>
        </w:numPr>
        <w:spacing w:line="360" w:lineRule="auto"/>
        <w:ind w:left="283" w:firstLine="797"/>
        <w:jc w:val="both"/>
        <w:rPr>
          <w:rFonts w:ascii="Times New Roman" w:eastAsia="Times New Roman" w:hAnsi="Times New Roman" w:cs="Times New Roman"/>
          <w:color w:val="231F20"/>
          <w:lang w:val="ru-RU"/>
        </w:rPr>
      </w:pPr>
      <w:r w:rsidRPr="00BB0527">
        <w:rPr>
          <w:rFonts w:ascii="Times New Roman" w:hAnsi="Times New Roman" w:cs="Times New Roman"/>
          <w:sz w:val="28"/>
          <w:szCs w:val="28"/>
          <w:shd w:val="clear" w:color="auto" w:fill="FFFFFF"/>
          <w:rtl/>
          <w:cs/>
        </w:rPr>
        <w:t>كلمة خادم الحرمين الى الاشقاء في سوريا</w:t>
      </w:r>
      <w:r w:rsidRPr="004E794D">
        <w:rPr>
          <w:rFonts w:ascii="Times New Roman" w:eastAsia="Cambria" w:hAnsi="Times New Roman" w:cs="Times New Roman"/>
          <w:color w:val="231F20"/>
          <w:sz w:val="28"/>
          <w:szCs w:val="28"/>
          <w:u w:color="231F20"/>
          <w:lang w:val="ru-RU"/>
        </w:rPr>
        <w:t xml:space="preserve"> (Обращение Служителя Двух Святынь к братьям в Сирии) // </w:t>
      </w:r>
      <w:hyperlink r:id="rId9" w:history="1">
        <w:r w:rsidRPr="00BB0527">
          <w:rPr>
            <w:rStyle w:val="Hyperlink1"/>
            <w:rFonts w:eastAsia="Arial Unicode MS"/>
          </w:rPr>
          <w:t>http</w:t>
        </w:r>
        <w:r w:rsidRPr="004E794D">
          <w:rPr>
            <w:rStyle w:val="Hyperlink1"/>
            <w:rFonts w:eastAsia="Arial Unicode MS"/>
            <w:lang w:val="ru-RU"/>
          </w:rPr>
          <w:t>://</w:t>
        </w:r>
        <w:r w:rsidRPr="00BB0527">
          <w:rPr>
            <w:rStyle w:val="Hyperlink1"/>
            <w:rFonts w:eastAsia="Arial Unicode MS"/>
          </w:rPr>
          <w:t>mofa</w:t>
        </w:r>
        <w:r w:rsidRPr="004E794D">
          <w:rPr>
            <w:rStyle w:val="Hyperlink1"/>
            <w:rFonts w:eastAsia="Arial Unicode MS"/>
            <w:lang w:val="ru-RU"/>
          </w:rPr>
          <w:t>.</w:t>
        </w:r>
        <w:r w:rsidRPr="00BB0527">
          <w:rPr>
            <w:rStyle w:val="Hyperlink1"/>
            <w:rFonts w:eastAsia="Arial Unicode MS"/>
          </w:rPr>
          <w:t>gov</w:t>
        </w:r>
        <w:r w:rsidRPr="004E794D">
          <w:rPr>
            <w:rStyle w:val="Hyperlink1"/>
            <w:rFonts w:eastAsia="Arial Unicode MS"/>
            <w:lang w:val="ru-RU"/>
          </w:rPr>
          <w:t>.</w:t>
        </w:r>
        <w:r w:rsidRPr="00BB0527">
          <w:rPr>
            <w:rStyle w:val="Hyperlink1"/>
            <w:rFonts w:eastAsia="Arial Unicode MS"/>
          </w:rPr>
          <w:t>sa</w:t>
        </w:r>
        <w:r w:rsidRPr="004E794D">
          <w:rPr>
            <w:rStyle w:val="Hyperlink1"/>
            <w:rFonts w:eastAsia="Arial Unicode MS"/>
            <w:lang w:val="ru-RU"/>
          </w:rPr>
          <w:t>/</w:t>
        </w:r>
        <w:r w:rsidRPr="00BB0527">
          <w:rPr>
            <w:rStyle w:val="Hyperlink1"/>
            <w:rFonts w:eastAsia="Arial Unicode MS"/>
          </w:rPr>
          <w:t>ServicesAndInformation</w:t>
        </w:r>
        <w:r w:rsidRPr="004E794D">
          <w:rPr>
            <w:rStyle w:val="Hyperlink1"/>
            <w:rFonts w:eastAsia="Arial Unicode MS"/>
            <w:lang w:val="ru-RU"/>
          </w:rPr>
          <w:t>/</w:t>
        </w:r>
        <w:r w:rsidRPr="00BB0527">
          <w:rPr>
            <w:rStyle w:val="Hyperlink1"/>
            <w:rFonts w:eastAsia="Arial Unicode MS"/>
          </w:rPr>
          <w:t>news</w:t>
        </w:r>
        <w:r w:rsidRPr="004E794D">
          <w:rPr>
            <w:rStyle w:val="Hyperlink1"/>
            <w:rFonts w:eastAsia="Arial Unicode MS"/>
            <w:lang w:val="ru-RU"/>
          </w:rPr>
          <w:t>/</w:t>
        </w:r>
        <w:r w:rsidRPr="00BB0527">
          <w:rPr>
            <w:rStyle w:val="Hyperlink1"/>
            <w:rFonts w:eastAsia="Arial Unicode MS"/>
          </w:rPr>
          <w:t>TwoHolyMosquesSpeeches</w:t>
        </w:r>
        <w:r w:rsidRPr="004E794D">
          <w:rPr>
            <w:rStyle w:val="Hyperlink1"/>
            <w:rFonts w:eastAsia="Arial Unicode MS"/>
            <w:lang w:val="ru-RU"/>
          </w:rPr>
          <w:t>/</w:t>
        </w:r>
        <w:r w:rsidRPr="00BB0527">
          <w:rPr>
            <w:rStyle w:val="Hyperlink1"/>
            <w:rFonts w:eastAsia="Arial Unicode MS"/>
          </w:rPr>
          <w:t>Pages</w:t>
        </w:r>
        <w:r w:rsidRPr="004E794D">
          <w:rPr>
            <w:rStyle w:val="Hyperlink1"/>
            <w:rFonts w:eastAsia="Arial Unicode MS"/>
            <w:lang w:val="ru-RU"/>
          </w:rPr>
          <w:t>/891042.</w:t>
        </w:r>
        <w:r w:rsidRPr="00BB0527">
          <w:rPr>
            <w:rStyle w:val="Hyperlink1"/>
            <w:rFonts w:eastAsia="Arial Unicode MS"/>
          </w:rPr>
          <w:t>aspx</w:t>
        </w:r>
      </w:hyperlink>
      <w:r w:rsidRPr="004E794D">
        <w:rPr>
          <w:rFonts w:ascii="Times New Roman" w:eastAsia="Cambria" w:hAnsi="Times New Roman" w:cs="Times New Roman"/>
          <w:color w:val="231F20"/>
          <w:sz w:val="28"/>
          <w:szCs w:val="28"/>
          <w:u w:color="231F20"/>
          <w:lang w:val="ru-RU"/>
        </w:rPr>
        <w:t xml:space="preserve"> (на арабском языке)</w:t>
      </w:r>
    </w:p>
    <w:p w:rsidR="00FB5C18" w:rsidRDefault="00FB5C18" w:rsidP="00FB5C18">
      <w:pPr>
        <w:rPr>
          <w:lang w:val="ru-RU"/>
        </w:rPr>
      </w:pPr>
      <w:bookmarkStart w:id="0" w:name="_GoBack"/>
      <w:bookmarkEnd w:id="0"/>
    </w:p>
    <w:p w:rsidR="00FB5C18" w:rsidRPr="00FB5C18" w:rsidRDefault="00FB5C18" w:rsidP="00FB5C18">
      <w:pPr>
        <w:rPr>
          <w:lang w:val="ru-RU"/>
        </w:rPr>
      </w:pPr>
    </w:p>
    <w:sectPr w:rsidR="00FB5C18" w:rsidRPr="00FB5C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266E78"/>
    <w:multiLevelType w:val="multilevel"/>
    <w:tmpl w:val="7F5665FE"/>
    <w:styleLink w:val="List0"/>
    <w:lvl w:ilvl="0">
      <w:start w:val="1"/>
      <w:numFmt w:val="decimal"/>
      <w:lvlText w:val="%1)"/>
      <w:lvlJc w:val="left"/>
      <w:pPr>
        <w:tabs>
          <w:tab w:val="num" w:pos="360"/>
        </w:tabs>
        <w:ind w:left="360" w:hanging="360"/>
      </w:pPr>
      <w:rPr>
        <w:position w:val="0"/>
        <w:sz w:val="28"/>
        <w:szCs w:val="28"/>
        <w:lang w:val="ru-RU"/>
      </w:rPr>
    </w:lvl>
    <w:lvl w:ilvl="1">
      <w:start w:val="1"/>
      <w:numFmt w:val="lowerLetter"/>
      <w:lvlText w:val="%2."/>
      <w:lvlJc w:val="left"/>
      <w:pPr>
        <w:tabs>
          <w:tab w:val="num" w:pos="1140"/>
        </w:tabs>
        <w:ind w:left="1140" w:hanging="420"/>
      </w:pPr>
      <w:rPr>
        <w:position w:val="0"/>
        <w:sz w:val="28"/>
        <w:szCs w:val="28"/>
        <w:lang w:val="ru-RU"/>
      </w:rPr>
    </w:lvl>
    <w:lvl w:ilvl="2">
      <w:start w:val="1"/>
      <w:numFmt w:val="lowerRoman"/>
      <w:lvlText w:val="%3."/>
      <w:lvlJc w:val="left"/>
      <w:pPr>
        <w:tabs>
          <w:tab w:val="num" w:pos="1849"/>
        </w:tabs>
        <w:ind w:left="1849" w:hanging="345"/>
      </w:pPr>
      <w:rPr>
        <w:position w:val="0"/>
        <w:sz w:val="28"/>
        <w:szCs w:val="28"/>
        <w:lang w:val="ru-RU"/>
      </w:rPr>
    </w:lvl>
    <w:lvl w:ilvl="3">
      <w:start w:val="1"/>
      <w:numFmt w:val="decimal"/>
      <w:lvlText w:val="%4."/>
      <w:lvlJc w:val="left"/>
      <w:pPr>
        <w:tabs>
          <w:tab w:val="num" w:pos="2580"/>
        </w:tabs>
        <w:ind w:left="2580" w:hanging="420"/>
      </w:pPr>
      <w:rPr>
        <w:position w:val="0"/>
        <w:sz w:val="28"/>
        <w:szCs w:val="28"/>
        <w:lang w:val="ru-RU"/>
      </w:rPr>
    </w:lvl>
    <w:lvl w:ilvl="4">
      <w:start w:val="1"/>
      <w:numFmt w:val="lowerLetter"/>
      <w:lvlText w:val="%5."/>
      <w:lvlJc w:val="left"/>
      <w:pPr>
        <w:tabs>
          <w:tab w:val="num" w:pos="3300"/>
        </w:tabs>
        <w:ind w:left="3300" w:hanging="420"/>
      </w:pPr>
      <w:rPr>
        <w:position w:val="0"/>
        <w:sz w:val="28"/>
        <w:szCs w:val="28"/>
        <w:lang w:val="ru-RU"/>
      </w:rPr>
    </w:lvl>
    <w:lvl w:ilvl="5">
      <w:start w:val="1"/>
      <w:numFmt w:val="lowerRoman"/>
      <w:lvlText w:val="%6."/>
      <w:lvlJc w:val="left"/>
      <w:pPr>
        <w:tabs>
          <w:tab w:val="num" w:pos="4009"/>
        </w:tabs>
        <w:ind w:left="4009" w:hanging="345"/>
      </w:pPr>
      <w:rPr>
        <w:position w:val="0"/>
        <w:sz w:val="28"/>
        <w:szCs w:val="28"/>
        <w:lang w:val="ru-RU"/>
      </w:rPr>
    </w:lvl>
    <w:lvl w:ilvl="6">
      <w:start w:val="1"/>
      <w:numFmt w:val="decimal"/>
      <w:lvlText w:val="%7."/>
      <w:lvlJc w:val="left"/>
      <w:pPr>
        <w:tabs>
          <w:tab w:val="num" w:pos="4740"/>
        </w:tabs>
        <w:ind w:left="4740" w:hanging="420"/>
      </w:pPr>
      <w:rPr>
        <w:position w:val="0"/>
        <w:sz w:val="28"/>
        <w:szCs w:val="28"/>
        <w:lang w:val="ru-RU"/>
      </w:rPr>
    </w:lvl>
    <w:lvl w:ilvl="7">
      <w:start w:val="1"/>
      <w:numFmt w:val="lowerLetter"/>
      <w:lvlText w:val="%8."/>
      <w:lvlJc w:val="left"/>
      <w:pPr>
        <w:tabs>
          <w:tab w:val="num" w:pos="5460"/>
        </w:tabs>
        <w:ind w:left="5460" w:hanging="420"/>
      </w:pPr>
      <w:rPr>
        <w:position w:val="0"/>
        <w:sz w:val="28"/>
        <w:szCs w:val="28"/>
        <w:lang w:val="ru-RU"/>
      </w:rPr>
    </w:lvl>
    <w:lvl w:ilvl="8">
      <w:start w:val="1"/>
      <w:numFmt w:val="lowerRoman"/>
      <w:lvlText w:val="%9."/>
      <w:lvlJc w:val="left"/>
      <w:pPr>
        <w:tabs>
          <w:tab w:val="num" w:pos="6169"/>
        </w:tabs>
        <w:ind w:left="6169" w:hanging="345"/>
      </w:pPr>
      <w:rPr>
        <w:position w:val="0"/>
        <w:sz w:val="28"/>
        <w:szCs w:val="28"/>
        <w:lang w:val="ru-RU"/>
      </w:rPr>
    </w:lvl>
  </w:abstractNum>
  <w:abstractNum w:abstractNumId="1">
    <w:nsid w:val="371D1408"/>
    <w:multiLevelType w:val="multilevel"/>
    <w:tmpl w:val="37C258B2"/>
    <w:styleLink w:val="List1"/>
    <w:lvl w:ilvl="0">
      <w:start w:val="1"/>
      <w:numFmt w:val="decimal"/>
      <w:lvlText w:val="%1."/>
      <w:lvlJc w:val="left"/>
      <w:pPr>
        <w:tabs>
          <w:tab w:val="num" w:pos="360"/>
        </w:tabs>
        <w:ind w:left="360" w:hanging="360"/>
      </w:pPr>
      <w:rPr>
        <w:rFonts w:ascii="Times New Roman" w:eastAsia="Times New Roman" w:hAnsi="Times New Roman" w:cs="Times New Roman"/>
        <w:color w:val="231F20"/>
        <w:position w:val="0"/>
        <w:sz w:val="28"/>
        <w:szCs w:val="28"/>
        <w:u w:color="231F20"/>
      </w:rPr>
    </w:lvl>
    <w:lvl w:ilvl="1">
      <w:start w:val="1"/>
      <w:numFmt w:val="lowerLetter"/>
      <w:lvlText w:val="%2."/>
      <w:lvlJc w:val="left"/>
      <w:pPr>
        <w:tabs>
          <w:tab w:val="num" w:pos="573"/>
        </w:tabs>
        <w:ind w:left="573" w:hanging="420"/>
      </w:pPr>
      <w:rPr>
        <w:rFonts w:ascii="Cambria" w:eastAsia="Cambria" w:hAnsi="Cambria" w:cs="Cambria"/>
        <w:color w:val="231F20"/>
        <w:position w:val="0"/>
        <w:sz w:val="28"/>
        <w:szCs w:val="28"/>
        <w:u w:color="231F20"/>
      </w:rPr>
    </w:lvl>
    <w:lvl w:ilvl="2">
      <w:start w:val="1"/>
      <w:numFmt w:val="lowerRoman"/>
      <w:lvlText w:val="%3."/>
      <w:lvlJc w:val="left"/>
      <w:pPr>
        <w:tabs>
          <w:tab w:val="num" w:pos="1282"/>
        </w:tabs>
        <w:ind w:left="1282" w:hanging="345"/>
      </w:pPr>
      <w:rPr>
        <w:rFonts w:ascii="Cambria" w:eastAsia="Cambria" w:hAnsi="Cambria" w:cs="Cambria"/>
        <w:color w:val="231F20"/>
        <w:position w:val="0"/>
        <w:sz w:val="28"/>
        <w:szCs w:val="28"/>
        <w:u w:color="231F20"/>
      </w:rPr>
    </w:lvl>
    <w:lvl w:ilvl="3">
      <w:start w:val="1"/>
      <w:numFmt w:val="decimal"/>
      <w:lvlText w:val="%4."/>
      <w:lvlJc w:val="left"/>
      <w:pPr>
        <w:tabs>
          <w:tab w:val="num" w:pos="2013"/>
        </w:tabs>
        <w:ind w:left="2013" w:hanging="420"/>
      </w:pPr>
      <w:rPr>
        <w:rFonts w:ascii="Cambria" w:eastAsia="Cambria" w:hAnsi="Cambria" w:cs="Cambria"/>
        <w:color w:val="231F20"/>
        <w:position w:val="0"/>
        <w:sz w:val="28"/>
        <w:szCs w:val="28"/>
        <w:u w:color="231F20"/>
      </w:rPr>
    </w:lvl>
    <w:lvl w:ilvl="4">
      <w:start w:val="1"/>
      <w:numFmt w:val="lowerLetter"/>
      <w:lvlText w:val="%5."/>
      <w:lvlJc w:val="left"/>
      <w:pPr>
        <w:tabs>
          <w:tab w:val="num" w:pos="2733"/>
        </w:tabs>
        <w:ind w:left="2733" w:hanging="420"/>
      </w:pPr>
      <w:rPr>
        <w:rFonts w:ascii="Cambria" w:eastAsia="Cambria" w:hAnsi="Cambria" w:cs="Cambria"/>
        <w:color w:val="231F20"/>
        <w:position w:val="0"/>
        <w:sz w:val="28"/>
        <w:szCs w:val="28"/>
        <w:u w:color="231F20"/>
      </w:rPr>
    </w:lvl>
    <w:lvl w:ilvl="5">
      <w:start w:val="1"/>
      <w:numFmt w:val="lowerRoman"/>
      <w:lvlText w:val="%6."/>
      <w:lvlJc w:val="left"/>
      <w:pPr>
        <w:tabs>
          <w:tab w:val="num" w:pos="3442"/>
        </w:tabs>
        <w:ind w:left="3442" w:hanging="345"/>
      </w:pPr>
      <w:rPr>
        <w:rFonts w:ascii="Cambria" w:eastAsia="Cambria" w:hAnsi="Cambria" w:cs="Cambria"/>
        <w:color w:val="231F20"/>
        <w:position w:val="0"/>
        <w:sz w:val="28"/>
        <w:szCs w:val="28"/>
        <w:u w:color="231F20"/>
      </w:rPr>
    </w:lvl>
    <w:lvl w:ilvl="6">
      <w:start w:val="1"/>
      <w:numFmt w:val="decimal"/>
      <w:lvlText w:val="%7."/>
      <w:lvlJc w:val="left"/>
      <w:pPr>
        <w:tabs>
          <w:tab w:val="num" w:pos="4173"/>
        </w:tabs>
        <w:ind w:left="4173" w:hanging="420"/>
      </w:pPr>
      <w:rPr>
        <w:rFonts w:ascii="Cambria" w:eastAsia="Cambria" w:hAnsi="Cambria" w:cs="Cambria"/>
        <w:color w:val="231F20"/>
        <w:position w:val="0"/>
        <w:sz w:val="28"/>
        <w:szCs w:val="28"/>
        <w:u w:color="231F20"/>
      </w:rPr>
    </w:lvl>
    <w:lvl w:ilvl="7">
      <w:start w:val="1"/>
      <w:numFmt w:val="lowerLetter"/>
      <w:lvlText w:val="%8."/>
      <w:lvlJc w:val="left"/>
      <w:pPr>
        <w:tabs>
          <w:tab w:val="num" w:pos="4893"/>
        </w:tabs>
        <w:ind w:left="4893" w:hanging="420"/>
      </w:pPr>
      <w:rPr>
        <w:rFonts w:ascii="Cambria" w:eastAsia="Cambria" w:hAnsi="Cambria" w:cs="Cambria"/>
        <w:color w:val="231F20"/>
        <w:position w:val="0"/>
        <w:sz w:val="28"/>
        <w:szCs w:val="28"/>
        <w:u w:color="231F20"/>
      </w:rPr>
    </w:lvl>
    <w:lvl w:ilvl="8">
      <w:start w:val="1"/>
      <w:numFmt w:val="lowerRoman"/>
      <w:lvlText w:val="%9."/>
      <w:lvlJc w:val="left"/>
      <w:pPr>
        <w:tabs>
          <w:tab w:val="num" w:pos="5602"/>
        </w:tabs>
        <w:ind w:left="5602" w:hanging="345"/>
      </w:pPr>
      <w:rPr>
        <w:rFonts w:ascii="Cambria" w:eastAsia="Cambria" w:hAnsi="Cambria" w:cs="Cambria"/>
        <w:color w:val="231F20"/>
        <w:position w:val="0"/>
        <w:sz w:val="28"/>
        <w:szCs w:val="28"/>
        <w:u w:color="231F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E8A"/>
    <w:rsid w:val="00354B83"/>
    <w:rsid w:val="00444E8A"/>
    <w:rsid w:val="00FB5C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3120E8-87B3-4828-A99B-5093C03BC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C18"/>
    <w:pPr>
      <w:spacing w:after="200" w:line="276" w:lineRule="auto"/>
    </w:pPr>
    <w:rPr>
      <w:rFonts w:eastAsiaTheme="minorEastAsia"/>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List0">
    <w:name w:val="List 0"/>
    <w:basedOn w:val="a2"/>
    <w:rsid w:val="00FB5C18"/>
    <w:pPr>
      <w:numPr>
        <w:numId w:val="1"/>
      </w:numPr>
    </w:pPr>
  </w:style>
  <w:style w:type="paragraph" w:styleId="a3">
    <w:name w:val="List Paragraph"/>
    <w:rsid w:val="00FB5C18"/>
    <w:pPr>
      <w:pBdr>
        <w:top w:val="nil"/>
        <w:left w:val="nil"/>
        <w:bottom w:val="nil"/>
        <w:right w:val="nil"/>
        <w:between w:val="nil"/>
        <w:bar w:val="nil"/>
      </w:pBdr>
      <w:spacing w:after="200" w:line="276" w:lineRule="auto"/>
      <w:ind w:left="720"/>
    </w:pPr>
    <w:rPr>
      <w:rFonts w:ascii="Arial Unicode MS" w:eastAsia="Arial Unicode MS" w:hAnsi="Century Gothic" w:cs="Arial Unicode MS"/>
      <w:color w:val="000000"/>
      <w:u w:color="000000"/>
      <w:bdr w:val="nil"/>
      <w:lang w:val="en-US" w:eastAsia="en-GB"/>
    </w:rPr>
  </w:style>
  <w:style w:type="numbering" w:customStyle="1" w:styleId="List1">
    <w:name w:val="List 1"/>
    <w:basedOn w:val="a2"/>
    <w:rsid w:val="00FB5C18"/>
    <w:pPr>
      <w:numPr>
        <w:numId w:val="2"/>
      </w:numPr>
    </w:pPr>
  </w:style>
  <w:style w:type="character" w:customStyle="1" w:styleId="Hyperlink1">
    <w:name w:val="Hyperlink.1"/>
    <w:basedOn w:val="a0"/>
    <w:rsid w:val="00FB5C18"/>
    <w:rPr>
      <w:rFonts w:ascii="Cambria" w:eastAsia="Cambria" w:hAnsi="Cambria" w:cs="Cambria"/>
      <w:color w:val="231F20"/>
      <w:sz w:val="28"/>
      <w:szCs w:val="28"/>
      <w:u w:color="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antracker.org/foreign-relations/syria-iranforeign-relations"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25D0%259669683:%25D0%259F%25D0%25BE%25D0%25BB%25D1%2596%25D1%2582%25D0%25BE%25D0%25B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lib.bsu.by/handle/123456789/108362" TargetMode="External"/><Relationship Id="rId11" Type="http://schemas.openxmlformats.org/officeDocument/2006/relationships/theme" Target="theme/theme1.xm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25D0%25966989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mofa.gov.sa/ServicesAndInformation/news/TwoHolyMosquesSpeeches/Pages/891042.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3922</Words>
  <Characters>22357</Characters>
  <Application>Microsoft Office Word</Application>
  <DocSecurity>0</DocSecurity>
  <Lines>186</Lines>
  <Paragraphs>52</Paragraphs>
  <ScaleCrop>false</ScaleCrop>
  <Company/>
  <LinksUpToDate>false</LinksUpToDate>
  <CharactersWithSpaces>26227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2018-04-19T10:27:00Z</dcterms:created>
  <dcterms:modified xsi:type="dcterms:W3CDTF">2018-04-19T10:34:00Z</dcterms:modified>
</cp:coreProperties>
</file>