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293" w:rsidRDefault="00AE5B8E" w:rsidP="00446293">
      <w:pPr>
        <w:pBdr>
          <w:bottom w:val="single" w:sz="4" w:space="1" w:color="auto"/>
        </w:pBdr>
        <w:jc w:val="center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5762099</wp:posOffset>
                </wp:positionH>
                <wp:positionV relativeFrom="paragraph">
                  <wp:posOffset>-396437</wp:posOffset>
                </wp:positionV>
                <wp:extent cx="252249" cy="236483"/>
                <wp:effectExtent l="0" t="0" r="14605" b="1143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249" cy="236483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1" o:spid="_x0000_s1026" style="position:absolute;margin-left:453.7pt;margin-top:-31.2pt;width:19.85pt;height:18.6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" fillcolor="white [3212]" strokecolor="white [3212]" strokeweight="2pt"/>
            </w:pict>
          </mc:Fallback>
        </mc:AlternateContent>
      </w:r>
      <w:r w:rsidR="00446293">
        <w:rPr>
          <w:sz w:val="28"/>
          <w:szCs w:val="28"/>
        </w:rPr>
        <w:t>Одеський національний університет імені І. І. Мечникова</w:t>
      </w:r>
    </w:p>
    <w:p w:rsidR="00446293" w:rsidRDefault="00446293" w:rsidP="00446293">
      <w:pPr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вищого навчального закладу)</w:t>
      </w:r>
    </w:p>
    <w:p w:rsidR="00446293" w:rsidRDefault="00446293" w:rsidP="00446293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Факультет міжнародних відносин, політології та соціології</w:t>
      </w:r>
    </w:p>
    <w:p w:rsidR="00446293" w:rsidRDefault="00446293" w:rsidP="00446293">
      <w:pPr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інституту/факультету)</w:t>
      </w:r>
    </w:p>
    <w:p w:rsidR="00446293" w:rsidRDefault="00446293" w:rsidP="00446293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Кафедра </w:t>
      </w:r>
      <w:r>
        <w:rPr>
          <w:sz w:val="28"/>
          <w:szCs w:val="28"/>
          <w:lang w:val="uk-UA"/>
        </w:rPr>
        <w:t>міжнародних відносин</w:t>
      </w:r>
    </w:p>
    <w:p w:rsidR="00446293" w:rsidRDefault="00446293" w:rsidP="00446293">
      <w:pPr>
        <w:jc w:val="center"/>
        <w:rPr>
          <w:sz w:val="20"/>
          <w:szCs w:val="20"/>
        </w:rPr>
      </w:pPr>
      <w:r>
        <w:rPr>
          <w:sz w:val="20"/>
          <w:szCs w:val="20"/>
        </w:rPr>
        <w:t>(повна назва кафедри)</w:t>
      </w:r>
    </w:p>
    <w:p w:rsidR="00446293" w:rsidRDefault="00446293" w:rsidP="00446293">
      <w:pPr>
        <w:rPr>
          <w:b/>
          <w:spacing w:val="60"/>
          <w:sz w:val="40"/>
          <w:szCs w:val="40"/>
        </w:rPr>
      </w:pPr>
    </w:p>
    <w:p w:rsidR="00446293" w:rsidRDefault="00446293" w:rsidP="00446293">
      <w:pPr>
        <w:jc w:val="center"/>
        <w:rPr>
          <w:b/>
          <w:spacing w:val="60"/>
          <w:sz w:val="32"/>
          <w:szCs w:val="32"/>
        </w:rPr>
      </w:pPr>
      <w:r>
        <w:rPr>
          <w:b/>
          <w:spacing w:val="60"/>
          <w:sz w:val="32"/>
          <w:szCs w:val="32"/>
        </w:rPr>
        <w:t>Дипломна робота</w:t>
      </w:r>
    </w:p>
    <w:p w:rsidR="00446293" w:rsidRPr="009727F5" w:rsidRDefault="00446293" w:rsidP="00446293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здобуття ступеня вищої освіти «магістр»</w:t>
      </w:r>
    </w:p>
    <w:p w:rsidR="00446293" w:rsidRDefault="00446293" w:rsidP="00446293">
      <w:pPr>
        <w:tabs>
          <w:tab w:val="right" w:pos="9355"/>
        </w:tabs>
        <w:jc w:val="center"/>
        <w:rPr>
          <w:sz w:val="28"/>
          <w:szCs w:val="28"/>
          <w:lang w:val="uk-UA"/>
        </w:rPr>
      </w:pPr>
    </w:p>
    <w:p w:rsidR="00446293" w:rsidRPr="00D81AE0" w:rsidRDefault="00446293" w:rsidP="00446293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  <w:r>
        <w:rPr>
          <w:sz w:val="28"/>
          <w:szCs w:val="28"/>
        </w:rPr>
        <w:t xml:space="preserve">на тему: </w:t>
      </w:r>
      <w:r w:rsidRPr="00917919">
        <w:rPr>
          <w:b/>
          <w:sz w:val="28"/>
          <w:szCs w:val="28"/>
          <w:u w:val="single"/>
        </w:rPr>
        <w:t>«</w:t>
      </w:r>
      <w:r w:rsidRPr="003D4F0D">
        <w:rPr>
          <w:b/>
          <w:sz w:val="28"/>
          <w:szCs w:val="28"/>
          <w:u w:val="single"/>
        </w:rPr>
        <w:t>Політика Іра</w:t>
      </w:r>
      <w:r>
        <w:rPr>
          <w:b/>
          <w:sz w:val="28"/>
          <w:szCs w:val="28"/>
          <w:u w:val="single"/>
        </w:rPr>
        <w:t>ну щодо країн Центральної Азії</w:t>
      </w:r>
      <w:r w:rsidRPr="00917919">
        <w:rPr>
          <w:b/>
          <w:sz w:val="28"/>
          <w:szCs w:val="28"/>
          <w:u w:val="single"/>
        </w:rPr>
        <w:t>»</w:t>
      </w:r>
    </w:p>
    <w:p w:rsidR="00446293" w:rsidRPr="00D81AE0" w:rsidRDefault="00446293" w:rsidP="00446293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</w:p>
    <w:p w:rsidR="00446293" w:rsidRPr="0060489C" w:rsidRDefault="00446293" w:rsidP="00446293">
      <w:pPr>
        <w:tabs>
          <w:tab w:val="right" w:pos="9355"/>
        </w:tabs>
        <w:jc w:val="center"/>
        <w:rPr>
          <w:u w:val="single"/>
          <w:lang w:val="uk-UA"/>
        </w:rPr>
      </w:pPr>
      <w:r w:rsidRPr="00107D0E">
        <w:rPr>
          <w:u w:val="single"/>
          <w:lang w:val="en-US"/>
        </w:rPr>
        <w:t>«</w:t>
      </w:r>
      <w:r w:rsidRPr="003D4F0D">
        <w:rPr>
          <w:u w:val="single"/>
          <w:lang w:val="en-US"/>
        </w:rPr>
        <w:t>Iran’s forei</w:t>
      </w:r>
      <w:r>
        <w:rPr>
          <w:u w:val="single"/>
          <w:lang w:val="en-US"/>
        </w:rPr>
        <w:t xml:space="preserve">gn policy towards the stats of </w:t>
      </w:r>
      <w:r>
        <w:rPr>
          <w:u w:val="single"/>
          <w:lang w:val="uk-UA"/>
        </w:rPr>
        <w:t>С</w:t>
      </w:r>
      <w:r>
        <w:rPr>
          <w:u w:val="single"/>
          <w:lang w:val="en-US"/>
        </w:rPr>
        <w:t>entral A</w:t>
      </w:r>
      <w:r w:rsidRPr="003D4F0D">
        <w:rPr>
          <w:u w:val="single"/>
          <w:lang w:val="en-US"/>
        </w:rPr>
        <w:t>sia</w:t>
      </w:r>
      <w:r w:rsidRPr="00107D0E">
        <w:rPr>
          <w:u w:val="single"/>
          <w:lang w:val="en-US"/>
        </w:rPr>
        <w:t>»</w:t>
      </w:r>
    </w:p>
    <w:p w:rsidR="00446293" w:rsidRPr="003D4F0D" w:rsidRDefault="00446293" w:rsidP="00446293">
      <w:pPr>
        <w:tabs>
          <w:tab w:val="right" w:pos="9355"/>
        </w:tabs>
        <w:jc w:val="center"/>
        <w:rPr>
          <w:u w:val="single"/>
          <w:lang w:val="uk-UA"/>
        </w:rPr>
      </w:pPr>
    </w:p>
    <w:p w:rsidR="00446293" w:rsidRPr="009727F5" w:rsidRDefault="00446293" w:rsidP="00446293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446293" w:rsidRPr="00107D0E" w:rsidRDefault="00446293" w:rsidP="00446293">
      <w:pPr>
        <w:rPr>
          <w:sz w:val="28"/>
          <w:szCs w:val="28"/>
        </w:rPr>
      </w:pPr>
      <w:r w:rsidRPr="00446293">
        <w:rPr>
          <w:sz w:val="28"/>
          <w:szCs w:val="28"/>
          <w:lang w:val="en-US"/>
        </w:rPr>
        <w:t xml:space="preserve">                                 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</w:rPr>
        <w:t>Виконала: студентка</w:t>
      </w:r>
      <w:r>
        <w:rPr>
          <w:sz w:val="28"/>
          <w:szCs w:val="28"/>
          <w:lang w:val="uk-UA"/>
        </w:rPr>
        <w:t xml:space="preserve"> </w:t>
      </w:r>
    </w:p>
    <w:p w:rsidR="00446293" w:rsidRDefault="00446293" w:rsidP="00446293">
      <w:pPr>
        <w:ind w:left="2124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ab/>
        <w:t>денної</w:t>
      </w:r>
      <w:r>
        <w:rPr>
          <w:sz w:val="28"/>
          <w:szCs w:val="28"/>
        </w:rPr>
        <w:t xml:space="preserve"> форми навчання</w:t>
      </w:r>
    </w:p>
    <w:p w:rsidR="00446293" w:rsidRPr="00BC109A" w:rsidRDefault="00446293" w:rsidP="00446293">
      <w:pPr>
        <w:rPr>
          <w:sz w:val="28"/>
          <w:szCs w:val="28"/>
          <w:u w:val="single"/>
          <w:lang w:val="uk-UA"/>
        </w:rPr>
      </w:pPr>
      <w:r>
        <w:rPr>
          <w:sz w:val="28"/>
          <w:szCs w:val="28"/>
        </w:rPr>
        <w:t xml:space="preserve">                                  </w:t>
      </w:r>
      <w:r w:rsidRPr="00107D0E">
        <w:rPr>
          <w:sz w:val="28"/>
          <w:szCs w:val="28"/>
        </w:rPr>
        <w:t xml:space="preserve">      </w:t>
      </w:r>
      <w:r w:rsidRPr="00BC109A">
        <w:rPr>
          <w:sz w:val="28"/>
          <w:szCs w:val="28"/>
          <w:u w:val="single"/>
          <w:lang w:val="uk-UA"/>
        </w:rPr>
        <w:t xml:space="preserve">спеціальності 291 – «Міжнародні відносини, </w:t>
      </w:r>
    </w:p>
    <w:p w:rsidR="00446293" w:rsidRPr="00BC109A" w:rsidRDefault="00446293" w:rsidP="00446293">
      <w:pPr>
        <w:ind w:left="2124" w:firstLine="708"/>
        <w:rPr>
          <w:sz w:val="28"/>
          <w:szCs w:val="28"/>
          <w:u w:val="single"/>
          <w:vertAlign w:val="subscript"/>
          <w:lang w:val="uk-UA"/>
        </w:rPr>
      </w:pPr>
      <w:r>
        <w:rPr>
          <w:sz w:val="28"/>
          <w:szCs w:val="28"/>
          <w:u w:val="single"/>
          <w:lang w:val="uk-UA"/>
        </w:rPr>
        <w:t>суспільні комунікації та регіональні студії</w:t>
      </w:r>
    </w:p>
    <w:p w:rsidR="00446293" w:rsidRPr="00B90D21" w:rsidRDefault="00446293" w:rsidP="00446293">
      <w:pPr>
        <w:spacing w:line="120" w:lineRule="auto"/>
        <w:ind w:left="2829"/>
        <w:rPr>
          <w:sz w:val="28"/>
          <w:szCs w:val="28"/>
          <w:vertAlign w:val="subscript"/>
          <w:lang w:val="uk-UA"/>
        </w:rPr>
      </w:pPr>
      <w:r w:rsidRPr="00B90D21">
        <w:rPr>
          <w:sz w:val="28"/>
          <w:szCs w:val="28"/>
          <w:vertAlign w:val="subscript"/>
          <w:lang w:val="uk-UA"/>
        </w:rPr>
        <w:t>(шифр і назва напряму підготовки або спеціальності</w:t>
      </w:r>
      <w:r>
        <w:rPr>
          <w:sz w:val="28"/>
          <w:szCs w:val="28"/>
          <w:vertAlign w:val="subscript"/>
          <w:lang w:val="uk-UA"/>
        </w:rPr>
        <w:t>)</w:t>
      </w:r>
    </w:p>
    <w:p w:rsidR="00446293" w:rsidRPr="00917919" w:rsidRDefault="00446293" w:rsidP="00446293">
      <w:pPr>
        <w:rPr>
          <w:sz w:val="28"/>
          <w:szCs w:val="28"/>
          <w:u w:val="single"/>
          <w:lang w:val="uk-UA"/>
        </w:rPr>
      </w:pPr>
      <w:r w:rsidRPr="00446293">
        <w:rPr>
          <w:sz w:val="28"/>
          <w:szCs w:val="28"/>
          <w:lang w:val="uk-UA"/>
        </w:rPr>
        <w:t xml:space="preserve">                                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u w:val="single"/>
          <w:lang w:val="uk-UA"/>
        </w:rPr>
        <w:t>Сутула Анастасія Євгенівна</w:t>
      </w:r>
      <w:r w:rsidRPr="00917919">
        <w:rPr>
          <w:sz w:val="28"/>
          <w:szCs w:val="28"/>
          <w:u w:val="single"/>
          <w:lang w:val="uk-UA"/>
        </w:rPr>
        <w:t xml:space="preserve"> </w:t>
      </w:r>
    </w:p>
    <w:p w:rsidR="00446293" w:rsidRDefault="00446293" w:rsidP="00446293">
      <w:pPr>
        <w:spacing w:line="120" w:lineRule="auto"/>
        <w:rPr>
          <w:sz w:val="20"/>
          <w:szCs w:val="20"/>
          <w:vertAlign w:val="subscript"/>
          <w:lang w:val="uk-UA"/>
        </w:rPr>
      </w:pP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  <w:t>(прізвище,ім’я,по-батькові)</w:t>
      </w:r>
    </w:p>
    <w:p w:rsidR="00446293" w:rsidRDefault="00446293" w:rsidP="00446293">
      <w:pPr>
        <w:spacing w:line="168" w:lineRule="auto"/>
        <w:rPr>
          <w:sz w:val="20"/>
          <w:szCs w:val="20"/>
          <w:vertAlign w:val="subscript"/>
          <w:lang w:val="uk-UA"/>
        </w:rPr>
      </w:pPr>
    </w:p>
    <w:p w:rsidR="00446293" w:rsidRDefault="00446293" w:rsidP="00446293">
      <w:pPr>
        <w:spacing w:line="168" w:lineRule="auto"/>
        <w:ind w:left="2124" w:firstLine="708"/>
        <w:rPr>
          <w:sz w:val="20"/>
          <w:szCs w:val="20"/>
          <w:lang w:val="uk-UA"/>
        </w:rPr>
      </w:pPr>
    </w:p>
    <w:p w:rsidR="00446293" w:rsidRPr="00632A58" w:rsidRDefault="00446293" w:rsidP="00446293">
      <w:pPr>
        <w:spacing w:line="168" w:lineRule="auto"/>
        <w:ind w:left="2124" w:firstLine="708"/>
        <w:rPr>
          <w:sz w:val="28"/>
          <w:szCs w:val="28"/>
          <w:lang w:val="uk-UA"/>
        </w:rPr>
      </w:pPr>
      <w:r w:rsidRPr="00EB303E">
        <w:rPr>
          <w:sz w:val="20"/>
          <w:szCs w:val="20"/>
          <w:lang w:val="uk-UA"/>
        </w:rPr>
        <w:t xml:space="preserve"> </w:t>
      </w:r>
      <w:r w:rsidRPr="00EB303E">
        <w:rPr>
          <w:sz w:val="28"/>
          <w:szCs w:val="28"/>
          <w:lang w:val="uk-UA"/>
        </w:rPr>
        <w:t>Керівник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u w:val="single"/>
          <w:lang w:val="uk-UA"/>
        </w:rPr>
        <w:t>к.істор. н., доц.Глебов В.В</w:t>
      </w:r>
      <w:r w:rsidRPr="0060489C">
        <w:rPr>
          <w:sz w:val="28"/>
          <w:szCs w:val="28"/>
          <w:u w:val="single"/>
          <w:lang w:val="uk-UA"/>
        </w:rPr>
        <w:t>.</w:t>
      </w:r>
      <w:r>
        <w:rPr>
          <w:sz w:val="28"/>
          <w:szCs w:val="28"/>
          <w:u w:val="single"/>
          <w:lang w:val="uk-UA"/>
        </w:rPr>
        <w:t xml:space="preserve">   </w:t>
      </w:r>
      <w:r>
        <w:rPr>
          <w:sz w:val="28"/>
          <w:szCs w:val="28"/>
          <w:lang w:val="uk-UA"/>
        </w:rPr>
        <w:t xml:space="preserve">  _________</w:t>
      </w:r>
    </w:p>
    <w:p w:rsidR="00446293" w:rsidRPr="00AB609D" w:rsidRDefault="00446293" w:rsidP="00446293">
      <w:pPr>
        <w:spacing w:line="168" w:lineRule="auto"/>
        <w:ind w:left="2124" w:firstLine="708"/>
        <w:rPr>
          <w:sz w:val="20"/>
          <w:szCs w:val="20"/>
          <w:vertAlign w:val="subscript"/>
          <w:lang w:val="uk-UA"/>
        </w:rPr>
      </w:pPr>
      <w:r>
        <w:rPr>
          <w:sz w:val="28"/>
          <w:szCs w:val="28"/>
          <w:lang w:val="uk-UA"/>
        </w:rPr>
        <w:t xml:space="preserve">      (</w:t>
      </w:r>
      <w:r w:rsidRPr="00AB609D">
        <w:rPr>
          <w:sz w:val="20"/>
          <w:szCs w:val="20"/>
          <w:lang w:val="uk-UA"/>
        </w:rPr>
        <w:t>науковий ступінь</w:t>
      </w:r>
      <w:r>
        <w:rPr>
          <w:sz w:val="20"/>
          <w:szCs w:val="20"/>
          <w:lang w:val="uk-UA"/>
        </w:rPr>
        <w:t>, вчене звання,прізвище та ініціали, підпис)</w:t>
      </w:r>
    </w:p>
    <w:p w:rsidR="00446293" w:rsidRDefault="00446293" w:rsidP="00446293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AB609D">
        <w:rPr>
          <w:sz w:val="28"/>
          <w:szCs w:val="28"/>
          <w:lang w:val="uk-UA"/>
        </w:rPr>
        <w:t xml:space="preserve">                  </w:t>
      </w:r>
      <w:r>
        <w:rPr>
          <w:sz w:val="28"/>
          <w:szCs w:val="28"/>
          <w:lang w:val="uk-UA"/>
        </w:rPr>
        <w:t xml:space="preserve">                       Рецензент </w:t>
      </w:r>
      <w:r>
        <w:rPr>
          <w:sz w:val="28"/>
          <w:szCs w:val="28"/>
          <w:u w:val="single"/>
          <w:lang w:val="uk-UA"/>
        </w:rPr>
        <w:t>к.політ</w:t>
      </w:r>
      <w:r w:rsidRPr="0060489C">
        <w:rPr>
          <w:sz w:val="28"/>
          <w:szCs w:val="28"/>
          <w:u w:val="single"/>
          <w:lang w:val="uk-UA"/>
        </w:rPr>
        <w:t>. н., доц.</w:t>
      </w:r>
      <w:r>
        <w:rPr>
          <w:sz w:val="28"/>
          <w:szCs w:val="28"/>
          <w:u w:val="single"/>
          <w:lang w:val="uk-UA"/>
        </w:rPr>
        <w:t xml:space="preserve"> Захарченко А.М.</w:t>
      </w:r>
    </w:p>
    <w:p w:rsidR="00446293" w:rsidRPr="0012669D" w:rsidRDefault="00446293" w:rsidP="00446293">
      <w:pPr>
        <w:tabs>
          <w:tab w:val="left" w:pos="5245"/>
          <w:tab w:val="right" w:pos="9355"/>
        </w:tabs>
        <w:spacing w:before="120" w:line="120" w:lineRule="auto"/>
        <w:rPr>
          <w:sz w:val="28"/>
          <w:szCs w:val="28"/>
          <w:vertAlign w:val="subscript"/>
          <w:lang w:val="uk-UA"/>
        </w:rPr>
      </w:pPr>
      <w:r>
        <w:rPr>
          <w:sz w:val="28"/>
          <w:szCs w:val="28"/>
          <w:vertAlign w:val="subscript"/>
          <w:lang w:val="uk-UA"/>
        </w:rPr>
        <w:t xml:space="preserve">                                                              </w:t>
      </w:r>
      <w:r>
        <w:rPr>
          <w:sz w:val="28"/>
          <w:szCs w:val="28"/>
          <w:lang w:val="uk-UA"/>
        </w:rPr>
        <w:t>(</w:t>
      </w:r>
      <w:r w:rsidRPr="00AB609D">
        <w:rPr>
          <w:sz w:val="20"/>
          <w:szCs w:val="20"/>
          <w:lang w:val="uk-UA"/>
        </w:rPr>
        <w:t>науковий ступінь</w:t>
      </w:r>
      <w:r>
        <w:rPr>
          <w:sz w:val="20"/>
          <w:szCs w:val="20"/>
          <w:lang w:val="uk-UA"/>
        </w:rPr>
        <w:t>, вчене звання,прізвище та ініціали)</w:t>
      </w:r>
    </w:p>
    <w:p w:rsidR="00446293" w:rsidRDefault="00446293" w:rsidP="00446293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</w:p>
    <w:p w:rsidR="00446293" w:rsidRDefault="00446293" w:rsidP="00446293">
      <w:pPr>
        <w:ind w:left="3969"/>
        <w:rPr>
          <w:sz w:val="28"/>
          <w:szCs w:val="28"/>
        </w:rPr>
      </w:pPr>
    </w:p>
    <w:p w:rsidR="00446293" w:rsidRDefault="00446293" w:rsidP="00446293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446293" w:rsidTr="003D1FD1">
        <w:trPr>
          <w:jc w:val="center"/>
        </w:trPr>
        <w:tc>
          <w:tcPr>
            <w:tcW w:w="4967" w:type="dxa"/>
            <w:hideMark/>
          </w:tcPr>
          <w:p w:rsidR="00446293" w:rsidRDefault="00446293" w:rsidP="003D1FD1">
            <w:pPr>
              <w:spacing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Рекомендовано до захисту:</w:t>
            </w:r>
          </w:p>
          <w:p w:rsidR="00446293" w:rsidRDefault="00446293" w:rsidP="003D1FD1">
            <w:pPr>
              <w:spacing w:before="12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Протокол</w:t>
            </w:r>
            <w:r>
              <w:rPr>
                <w:sz w:val="28"/>
                <w:szCs w:val="28"/>
                <w:lang w:val="uk-UA" w:eastAsia="en-US"/>
              </w:rPr>
              <w:t xml:space="preserve"> </w:t>
            </w:r>
            <w:r>
              <w:rPr>
                <w:sz w:val="28"/>
                <w:szCs w:val="28"/>
                <w:lang w:eastAsia="en-US"/>
              </w:rPr>
              <w:t>засідання кафедри</w:t>
            </w:r>
          </w:p>
          <w:p w:rsidR="00446293" w:rsidRDefault="00446293" w:rsidP="003D1FD1">
            <w:pPr>
              <w:spacing w:before="12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№ ___ від _______</w:t>
            </w:r>
            <w:r>
              <w:rPr>
                <w:sz w:val="28"/>
                <w:szCs w:val="28"/>
                <w:lang w:val="uk-UA" w:eastAsia="en-US"/>
              </w:rPr>
              <w:t>2018</w:t>
            </w:r>
            <w:r>
              <w:rPr>
                <w:sz w:val="28"/>
                <w:szCs w:val="28"/>
                <w:lang w:eastAsia="en-US"/>
              </w:rPr>
              <w:t xml:space="preserve">р. </w:t>
            </w:r>
          </w:p>
          <w:p w:rsidR="00446293" w:rsidRPr="00E762FD" w:rsidRDefault="00446293" w:rsidP="003D1FD1">
            <w:pPr>
              <w:spacing w:before="600" w:line="256" w:lineRule="auto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eastAsia="en-US"/>
              </w:rPr>
              <w:t>Зав</w:t>
            </w:r>
            <w:r>
              <w:rPr>
                <w:sz w:val="28"/>
                <w:szCs w:val="28"/>
                <w:lang w:val="uk-UA" w:eastAsia="en-US"/>
              </w:rPr>
              <w:t>ідувач</w:t>
            </w:r>
            <w:r>
              <w:rPr>
                <w:sz w:val="28"/>
                <w:szCs w:val="28"/>
                <w:lang w:eastAsia="en-US"/>
              </w:rPr>
              <w:t xml:space="preserve"> кафедр</w:t>
            </w:r>
            <w:r>
              <w:rPr>
                <w:sz w:val="28"/>
                <w:szCs w:val="28"/>
                <w:lang w:val="uk-UA" w:eastAsia="en-US"/>
              </w:rPr>
              <w:t>и</w:t>
            </w:r>
          </w:p>
          <w:p w:rsidR="00446293" w:rsidRDefault="00446293" w:rsidP="003D1FD1">
            <w:pPr>
              <w:tabs>
                <w:tab w:val="left" w:pos="1168"/>
                <w:tab w:val="left" w:pos="3861"/>
              </w:tabs>
              <w:spacing w:before="360" w:line="256" w:lineRule="auto"/>
              <w:rPr>
                <w:sz w:val="28"/>
                <w:szCs w:val="28"/>
                <w:u w:val="single"/>
                <w:lang w:val="uk-UA" w:eastAsia="en-US"/>
              </w:rPr>
            </w:pPr>
            <w:r>
              <w:rPr>
                <w:sz w:val="28"/>
                <w:szCs w:val="28"/>
                <w:u w:val="single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 xml:space="preserve">            </w:t>
            </w:r>
            <w:r>
              <w:rPr>
                <w:sz w:val="28"/>
                <w:szCs w:val="28"/>
                <w:lang w:val="uk-UA" w:eastAsia="en-US"/>
              </w:rPr>
              <w:t>Брусиловська О.І.</w:t>
            </w:r>
          </w:p>
          <w:p w:rsidR="00446293" w:rsidRDefault="00446293" w:rsidP="003D1FD1">
            <w:pPr>
              <w:tabs>
                <w:tab w:val="left" w:pos="284"/>
                <w:tab w:val="left" w:pos="1767"/>
              </w:tabs>
              <w:spacing w:line="25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ab/>
              <w:t>(підпис)</w:t>
            </w:r>
            <w:r>
              <w:rPr>
                <w:sz w:val="20"/>
                <w:szCs w:val="20"/>
                <w:lang w:eastAsia="en-US"/>
              </w:rPr>
              <w:tab/>
            </w:r>
          </w:p>
        </w:tc>
        <w:tc>
          <w:tcPr>
            <w:tcW w:w="4678" w:type="dxa"/>
            <w:hideMark/>
          </w:tcPr>
          <w:p w:rsidR="00446293" w:rsidRPr="008548BE" w:rsidRDefault="00446293" w:rsidP="003D1FD1">
            <w:pPr>
              <w:tabs>
                <w:tab w:val="right" w:pos="4462"/>
              </w:tabs>
              <w:spacing w:line="256" w:lineRule="auto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eastAsia="en-US"/>
              </w:rPr>
              <w:t>Захищено на засіданні ЕК №_</w:t>
            </w:r>
            <w:r>
              <w:rPr>
                <w:sz w:val="28"/>
                <w:szCs w:val="28"/>
                <w:lang w:val="uk-UA" w:eastAsia="en-US"/>
              </w:rPr>
              <w:t>_</w:t>
            </w:r>
            <w:r w:rsidRPr="008548BE">
              <w:rPr>
                <w:sz w:val="28"/>
                <w:szCs w:val="28"/>
                <w:u w:val="single"/>
                <w:lang w:val="uk-UA" w:eastAsia="en-US"/>
              </w:rPr>
              <w:t>3</w:t>
            </w:r>
            <w:r>
              <w:rPr>
                <w:sz w:val="28"/>
                <w:szCs w:val="28"/>
                <w:lang w:val="uk-UA" w:eastAsia="en-US"/>
              </w:rPr>
              <w:t>__</w:t>
            </w:r>
          </w:p>
          <w:p w:rsidR="00446293" w:rsidRDefault="00446293" w:rsidP="003D1FD1">
            <w:pPr>
              <w:tabs>
                <w:tab w:val="right" w:pos="4462"/>
              </w:tabs>
              <w:spacing w:before="12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протокол № ___ від </w:t>
            </w:r>
            <w:r>
              <w:rPr>
                <w:sz w:val="28"/>
                <w:szCs w:val="28"/>
                <w:lang w:val="uk-UA" w:eastAsia="en-US"/>
              </w:rPr>
              <w:t>______2018</w:t>
            </w:r>
            <w:r>
              <w:rPr>
                <w:sz w:val="28"/>
                <w:szCs w:val="28"/>
                <w:lang w:eastAsia="en-US"/>
              </w:rPr>
              <w:t xml:space="preserve"> р.</w:t>
            </w:r>
            <w:r>
              <w:rPr>
                <w:sz w:val="28"/>
                <w:szCs w:val="28"/>
                <w:lang w:eastAsia="en-US"/>
              </w:rPr>
              <w:tab/>
            </w:r>
          </w:p>
          <w:p w:rsidR="00446293" w:rsidRDefault="00446293" w:rsidP="003D1FD1">
            <w:pPr>
              <w:tabs>
                <w:tab w:val="right" w:pos="4462"/>
              </w:tabs>
              <w:spacing w:before="12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Оцінка______________/___</w:t>
            </w:r>
            <w:r>
              <w:rPr>
                <w:sz w:val="20"/>
                <w:szCs w:val="20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>___/____</w:t>
            </w:r>
          </w:p>
          <w:p w:rsidR="00446293" w:rsidRDefault="00446293" w:rsidP="003D1FD1">
            <w:pPr>
              <w:spacing w:line="25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(за національною шкалою, шкалою ЕСТ</w:t>
            </w:r>
            <w:r>
              <w:rPr>
                <w:sz w:val="20"/>
                <w:szCs w:val="20"/>
                <w:lang w:val="en-US" w:eastAsia="en-US"/>
              </w:rPr>
              <w:t>S</w:t>
            </w:r>
            <w:r>
              <w:rPr>
                <w:sz w:val="20"/>
                <w:szCs w:val="20"/>
                <w:lang w:eastAsia="en-US"/>
              </w:rPr>
              <w:t>, бали)</w:t>
            </w:r>
          </w:p>
          <w:p w:rsidR="00446293" w:rsidRDefault="00446293" w:rsidP="003D1FD1">
            <w:pPr>
              <w:spacing w:before="36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Голова ЕК</w:t>
            </w:r>
          </w:p>
          <w:p w:rsidR="00446293" w:rsidRDefault="00446293" w:rsidP="003D1FD1">
            <w:pPr>
              <w:tabs>
                <w:tab w:val="left" w:pos="1446"/>
                <w:tab w:val="right" w:pos="4462"/>
              </w:tabs>
              <w:spacing w:before="360" w:line="256" w:lineRule="auto"/>
              <w:rPr>
                <w:sz w:val="28"/>
                <w:szCs w:val="28"/>
                <w:u w:val="single"/>
                <w:lang w:val="uk-UA" w:eastAsia="en-US"/>
              </w:rPr>
            </w:pPr>
            <w:r>
              <w:rPr>
                <w:sz w:val="28"/>
                <w:szCs w:val="28"/>
                <w:u w:val="single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 xml:space="preserve">             </w:t>
            </w:r>
            <w:r>
              <w:rPr>
                <w:sz w:val="28"/>
                <w:szCs w:val="28"/>
                <w:lang w:val="uk-UA" w:eastAsia="en-US"/>
              </w:rPr>
              <w:t>Брусиловська О.І.</w:t>
            </w:r>
          </w:p>
          <w:p w:rsidR="00446293" w:rsidRDefault="00446293" w:rsidP="003D1FD1">
            <w:pPr>
              <w:tabs>
                <w:tab w:val="left" w:pos="454"/>
                <w:tab w:val="left" w:pos="2155"/>
              </w:tabs>
              <w:spacing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ab/>
              <w:t>(підпис)</w:t>
            </w:r>
            <w:r>
              <w:rPr>
                <w:sz w:val="20"/>
                <w:szCs w:val="20"/>
                <w:lang w:eastAsia="en-US"/>
              </w:rPr>
              <w:tab/>
            </w:r>
          </w:p>
        </w:tc>
      </w:tr>
      <w:tr w:rsidR="00446293" w:rsidTr="003D1FD1">
        <w:trPr>
          <w:jc w:val="center"/>
        </w:trPr>
        <w:tc>
          <w:tcPr>
            <w:tcW w:w="4967" w:type="dxa"/>
          </w:tcPr>
          <w:p w:rsidR="00446293" w:rsidRDefault="00446293" w:rsidP="003D1FD1">
            <w:pPr>
              <w:spacing w:line="256" w:lineRule="auto"/>
              <w:rPr>
                <w:sz w:val="28"/>
                <w:szCs w:val="28"/>
                <w:lang w:eastAsia="en-US"/>
              </w:rPr>
            </w:pPr>
          </w:p>
        </w:tc>
        <w:tc>
          <w:tcPr>
            <w:tcW w:w="4678" w:type="dxa"/>
          </w:tcPr>
          <w:p w:rsidR="00446293" w:rsidRDefault="00446293" w:rsidP="003D1FD1">
            <w:pPr>
              <w:spacing w:line="256" w:lineRule="auto"/>
              <w:rPr>
                <w:sz w:val="28"/>
                <w:szCs w:val="28"/>
                <w:lang w:eastAsia="en-US"/>
              </w:rPr>
            </w:pPr>
          </w:p>
        </w:tc>
      </w:tr>
    </w:tbl>
    <w:p w:rsidR="00446293" w:rsidRPr="009727F5" w:rsidRDefault="00446293" w:rsidP="00446293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>Одеса</w:t>
      </w:r>
      <w:r>
        <w:rPr>
          <w:b/>
          <w:sz w:val="28"/>
          <w:szCs w:val="28"/>
          <w:lang w:val="en-US"/>
        </w:rPr>
        <w:t xml:space="preserve"> –</w:t>
      </w:r>
      <w:r>
        <w:rPr>
          <w:b/>
          <w:sz w:val="28"/>
          <w:szCs w:val="28"/>
        </w:rPr>
        <w:t xml:space="preserve"> 201</w:t>
      </w:r>
      <w:r>
        <w:rPr>
          <w:b/>
          <w:sz w:val="28"/>
          <w:szCs w:val="28"/>
          <w:lang w:val="uk-UA"/>
        </w:rPr>
        <w:t>8</w:t>
      </w:r>
    </w:p>
    <w:p w:rsidR="00AE5B8E" w:rsidRDefault="00AE5B8E" w:rsidP="00AE5B8E">
      <w:pPr>
        <w:spacing w:line="720" w:lineRule="auto"/>
        <w:ind w:firstLine="709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720" w:lineRule="auto"/>
        <w:ind w:firstLine="709"/>
        <w:jc w:val="center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EAFE5BB" wp14:editId="4D0D1C63">
                <wp:simplePos x="0" y="0"/>
                <wp:positionH relativeFrom="column">
                  <wp:posOffset>5772150</wp:posOffset>
                </wp:positionH>
                <wp:positionV relativeFrom="paragraph">
                  <wp:posOffset>-354330</wp:posOffset>
                </wp:positionV>
                <wp:extent cx="252095" cy="236220"/>
                <wp:effectExtent l="0" t="0" r="14605" b="1143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95" cy="23622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2" o:spid="_x0000_s1026" style="position:absolute;margin-left:454.5pt;margin-top:-27.9pt;width:19.85pt;height:18.6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" fillcolor="white [3212]" strokecolor="white [3212]" strokeweight="2pt"/>
            </w:pict>
          </mc:Fallback>
        </mc:AlternateContent>
      </w:r>
      <w:r>
        <w:rPr>
          <w:rFonts w:asciiTheme="majorBidi" w:hAnsiTheme="majorBidi" w:cstheme="majorBidi"/>
          <w:sz w:val="28"/>
          <w:szCs w:val="28"/>
          <w:lang w:val="uk-UA"/>
        </w:rPr>
        <w:t>ЗМІСТ</w:t>
      </w:r>
    </w:p>
    <w:p w:rsidR="00AE5B8E" w:rsidRPr="00082999" w:rsidRDefault="00AE5B8E" w:rsidP="00AE5B8E">
      <w:p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ВСТУП……………………………………………………………………………3</w:t>
      </w:r>
      <w:r w:rsidRPr="00082999">
        <w:rPr>
          <w:rFonts w:asciiTheme="majorBidi" w:hAnsiTheme="majorBidi" w:cstheme="majorBidi"/>
          <w:sz w:val="28"/>
          <w:szCs w:val="28"/>
          <w:lang w:val="uk-UA"/>
        </w:rPr>
        <w:t xml:space="preserve">       </w:t>
      </w:r>
    </w:p>
    <w:p w:rsidR="00AE5B8E" w:rsidRPr="00826583" w:rsidRDefault="00AE5B8E" w:rsidP="00AE5B8E">
      <w:pPr>
        <w:spacing w:line="360" w:lineRule="auto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РОЗДІЛ 1</w:t>
      </w:r>
      <w:r w:rsidRPr="00B00332">
        <w:rPr>
          <w:rFonts w:asciiTheme="majorBidi" w:hAnsiTheme="majorBidi" w:cstheme="majorBidi"/>
          <w:sz w:val="28"/>
          <w:szCs w:val="28"/>
          <w:lang w:val="uk-UA"/>
        </w:rPr>
        <w:t xml:space="preserve">. </w:t>
      </w:r>
      <w:r>
        <w:rPr>
          <w:rFonts w:asciiTheme="majorBidi" w:hAnsiTheme="majorBidi" w:cstheme="majorBidi"/>
          <w:sz w:val="28"/>
          <w:szCs w:val="28"/>
          <w:lang w:val="uk-UA"/>
        </w:rPr>
        <w:t>ТЕОРЕТИЧНІ ЗАСАДИ ДОСЛІДЖЕННЯ ПОЛІТИКИ ІРАНУ ЩОДО КРАЇН ЦЕНТРАЛЬНОЇ АЗІЇ……………………………………………</w:t>
      </w:r>
      <w:r w:rsidRPr="00826583">
        <w:rPr>
          <w:rFonts w:asciiTheme="majorBidi" w:hAnsiTheme="majorBidi" w:cstheme="majorBidi"/>
          <w:sz w:val="28"/>
          <w:szCs w:val="28"/>
          <w:lang w:val="uk-UA"/>
        </w:rPr>
        <w:t>6</w:t>
      </w:r>
    </w:p>
    <w:p w:rsidR="00AE5B8E" w:rsidRPr="00826583" w:rsidRDefault="00AE5B8E" w:rsidP="00AE5B8E">
      <w:pPr>
        <w:spacing w:line="360" w:lineRule="auto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 xml:space="preserve">РОЗДІЛ </w:t>
      </w:r>
      <w:r w:rsidRPr="00B00332">
        <w:rPr>
          <w:rFonts w:asciiTheme="majorBidi" w:hAnsiTheme="majorBidi" w:cstheme="majorBidi"/>
          <w:sz w:val="28"/>
          <w:szCs w:val="28"/>
          <w:lang w:val="uk-UA"/>
        </w:rPr>
        <w:t>2.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РОЛЬ</w:t>
      </w:r>
      <w:r w:rsidRPr="00B00332">
        <w:rPr>
          <w:rFonts w:asciiTheme="majorBidi" w:hAnsiTheme="majorBidi" w:cstheme="majorBidi"/>
          <w:sz w:val="28"/>
          <w:szCs w:val="28"/>
          <w:lang w:val="uk-UA"/>
        </w:rPr>
        <w:t xml:space="preserve"> ІРІ </w:t>
      </w:r>
      <w:r>
        <w:rPr>
          <w:rFonts w:asciiTheme="majorBidi" w:hAnsiTheme="majorBidi" w:cstheme="majorBidi"/>
          <w:sz w:val="28"/>
          <w:szCs w:val="28"/>
          <w:lang w:val="uk-UA"/>
        </w:rPr>
        <w:t>ТА ЇЇ ВПЛИВ НВ ПОЛІТИЧНІ ПРОЦЕСИ ЦЕНТРАЛЬНОЇ АЗІЇ……………………………………………………………</w:t>
      </w:r>
      <w:r w:rsidRPr="00826583">
        <w:rPr>
          <w:rFonts w:asciiTheme="majorBidi" w:hAnsiTheme="majorBidi" w:cstheme="majorBidi"/>
          <w:sz w:val="28"/>
          <w:szCs w:val="28"/>
          <w:lang w:val="uk-UA"/>
        </w:rPr>
        <w:t>15</w:t>
      </w:r>
    </w:p>
    <w:p w:rsidR="00AE5B8E" w:rsidRPr="00075B1E" w:rsidRDefault="00AE5B8E" w:rsidP="00AE5B8E">
      <w:pPr>
        <w:spacing w:line="360" w:lineRule="auto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 xml:space="preserve">РОЗДІЛ </w:t>
      </w:r>
      <w:r w:rsidRPr="00643AF6">
        <w:rPr>
          <w:rFonts w:asciiTheme="majorBidi" w:hAnsiTheme="majorBidi" w:cstheme="majorBidi"/>
          <w:sz w:val="28"/>
          <w:szCs w:val="28"/>
        </w:rPr>
        <w:t>3.</w:t>
      </w:r>
      <w:r w:rsidRPr="00643AF6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ВЗАЄМОВІДНОСИНИ ІРАНУ У ЦЕНТРАЛЬНО-АЗІЙСЬКОМУ РЕГІОНІ У ХХІ СТ.: ПРОБЛЕМИ ТА ПЕРСПЕКТИВИ……………………</w:t>
      </w:r>
      <w:r w:rsidRPr="00075B1E">
        <w:rPr>
          <w:rFonts w:asciiTheme="majorBidi" w:hAnsiTheme="majorBidi" w:cstheme="majorBidi"/>
          <w:sz w:val="28"/>
          <w:szCs w:val="28"/>
        </w:rPr>
        <w:t>..36</w:t>
      </w:r>
    </w:p>
    <w:p w:rsidR="00AE5B8E" w:rsidRPr="00C60C72" w:rsidRDefault="00AE5B8E" w:rsidP="00AE5B8E">
      <w:p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ВИСНОВКИ……………………………………………………………………</w:t>
      </w:r>
      <w:r w:rsidRPr="00C60C72">
        <w:rPr>
          <w:rFonts w:asciiTheme="majorBidi" w:hAnsiTheme="majorBidi" w:cstheme="majorBidi"/>
          <w:sz w:val="28"/>
          <w:szCs w:val="28"/>
        </w:rPr>
        <w:t>.</w:t>
      </w:r>
      <w:r>
        <w:rPr>
          <w:rFonts w:asciiTheme="majorBidi" w:hAnsiTheme="majorBidi" w:cstheme="majorBidi"/>
          <w:sz w:val="28"/>
          <w:szCs w:val="28"/>
          <w:lang w:val="uk-UA"/>
        </w:rPr>
        <w:t>..</w:t>
      </w:r>
      <w:r w:rsidRPr="00C60C72">
        <w:rPr>
          <w:rFonts w:asciiTheme="majorBidi" w:hAnsiTheme="majorBidi" w:cstheme="majorBidi"/>
          <w:sz w:val="28"/>
          <w:szCs w:val="28"/>
        </w:rPr>
        <w:t>55</w:t>
      </w:r>
    </w:p>
    <w:p w:rsidR="00AE5B8E" w:rsidRPr="00C60C72" w:rsidRDefault="00AE5B8E" w:rsidP="00AE5B8E">
      <w:p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СПИСОК ВИКОРИСТАНИХ ДЖЕРЕЛ………………………………………</w:t>
      </w:r>
      <w:r w:rsidRPr="00C60C72">
        <w:rPr>
          <w:rFonts w:asciiTheme="majorBidi" w:hAnsiTheme="majorBidi" w:cstheme="majorBidi"/>
          <w:sz w:val="28"/>
          <w:szCs w:val="28"/>
        </w:rPr>
        <w:t>58</w:t>
      </w: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4D7F50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3161E6" w:rsidRDefault="00AE5B8E" w:rsidP="00AE5B8E">
      <w:pPr>
        <w:spacing w:line="72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lastRenderedPageBreak/>
        <w:t>ВСТУП</w:t>
      </w:r>
    </w:p>
    <w:p w:rsidR="00AE5B8E" w:rsidRPr="003161E6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3161E6">
        <w:rPr>
          <w:rFonts w:asciiTheme="majorBidi" w:hAnsiTheme="majorBidi" w:cstheme="majorBidi"/>
          <w:sz w:val="28"/>
          <w:szCs w:val="28"/>
          <w:lang w:val="uk-UA"/>
        </w:rPr>
        <w:t>Темою даної дипломної роботи є «Політика Ірану щодо країн Центральної Азії».</w:t>
      </w:r>
    </w:p>
    <w:p w:rsidR="00AE5B8E" w:rsidRPr="003161E6" w:rsidRDefault="00AE5B8E" w:rsidP="00AE5B8E">
      <w:pPr>
        <w:pStyle w:val="a5"/>
        <w:spacing w:before="0" w:beforeAutospacing="0" w:after="0" w:afterAutospacing="0" w:line="360" w:lineRule="auto"/>
        <w:ind w:firstLine="709"/>
        <w:jc w:val="both"/>
        <w:rPr>
          <w:rFonts w:asciiTheme="majorBidi" w:hAnsiTheme="majorBidi" w:cstheme="majorBidi"/>
          <w:color w:val="000000"/>
          <w:sz w:val="18"/>
          <w:szCs w:val="18"/>
          <w:shd w:val="clear" w:color="auto" w:fill="FFFFFF"/>
          <w:lang w:val="uk-UA"/>
        </w:rPr>
      </w:pPr>
      <w:r w:rsidRPr="003161E6">
        <w:rPr>
          <w:rFonts w:asciiTheme="majorBidi" w:hAnsiTheme="majorBidi" w:cstheme="majorBidi"/>
          <w:sz w:val="28"/>
          <w:szCs w:val="28"/>
          <w:lang w:val="uk-UA"/>
        </w:rPr>
        <w:t>Актуальність теми</w:t>
      </w:r>
      <w:r>
        <w:rPr>
          <w:rFonts w:asciiTheme="majorBidi" w:hAnsiTheme="majorBidi" w:cstheme="majorBidi"/>
          <w:sz w:val="28"/>
          <w:szCs w:val="28"/>
          <w:lang w:val="uk-UA"/>
        </w:rPr>
        <w:t>.</w:t>
      </w:r>
      <w:r w:rsidRPr="003161E6">
        <w:rPr>
          <w:rFonts w:asciiTheme="majorBidi" w:hAnsiTheme="majorBidi" w:cstheme="majorBidi"/>
          <w:sz w:val="28"/>
          <w:szCs w:val="28"/>
          <w:lang w:val="uk-UA"/>
        </w:rPr>
        <w:t xml:space="preserve"> Актуальність вивчення розвитку зовнішньої політики Ірану і її впливу на політичні процеси в Центральній Азії визначається специфічним геополітичним і геостратегічним становищем, великою роллю, яку відіграє ця країна в ісламському світі. Також актуальності дослідженню надає прагнення сучасних держав Центральної Азії до активної співпраці з Іраном з багатьох питань. Слід підкреслити, що в концепції зовнішньої політики Ісламської Республіки Іран (ІРІ)  розглядається необхідність розвитку відносин з центрально</w:t>
      </w:r>
      <w:r>
        <w:rPr>
          <w:rFonts w:asciiTheme="majorBidi" w:hAnsiTheme="majorBidi" w:cstheme="majorBidi"/>
          <w:sz w:val="28"/>
          <w:szCs w:val="28"/>
          <w:lang w:val="uk-UA"/>
        </w:rPr>
        <w:t>-</w:t>
      </w:r>
      <w:r w:rsidRPr="003161E6">
        <w:rPr>
          <w:rFonts w:asciiTheme="majorBidi" w:hAnsiTheme="majorBidi" w:cstheme="majorBidi"/>
          <w:sz w:val="28"/>
          <w:szCs w:val="28"/>
          <w:lang w:val="uk-UA"/>
        </w:rPr>
        <w:t>азійськими державами. Роль Центральної Азії в регіональній системі міжнародних відносин значно зросла ще в 90-і роки минулого століття. Це пов'язано, перш за все, з розпадом Радянського Союзу і геополітичними інтересами багатьох країн в Центральній Азії. Виходячи з цього, ІРІ прагне зайняти своє місце в політичному і економічному просторі Центральної Азії і в зв'язку з цим веде активну зовнішню політику в регіоні.</w:t>
      </w:r>
      <w:r w:rsidRPr="003161E6">
        <w:rPr>
          <w:rFonts w:asciiTheme="majorBidi" w:hAnsiTheme="majorBidi" w:cstheme="majorBidi"/>
          <w:color w:val="000000"/>
          <w:sz w:val="18"/>
          <w:szCs w:val="18"/>
          <w:lang w:val="uk-UA"/>
        </w:rPr>
        <w:t xml:space="preserve"> </w:t>
      </w:r>
      <w:r w:rsidRPr="003161E6">
        <w:rPr>
          <w:rFonts w:asciiTheme="majorBidi" w:hAnsiTheme="majorBidi" w:cstheme="majorBidi"/>
          <w:sz w:val="28"/>
          <w:szCs w:val="28"/>
          <w:lang w:val="uk-UA"/>
        </w:rPr>
        <w:t xml:space="preserve">Отже, актуальність дослідження полягає в необхідності теоретичного осмислення досвіду створення ісламської парадигми участі Ісламської Республіки Іран (ІРІ) у сучасних міжнародних процесах, специфіки запропонованих Іраном форматів міжнародної взаємодії і співпраці на регіональному рівні у взаємозв'язку з основними принципами і напрямками розвитку ІРІ в умовах сучасного світу. </w:t>
      </w:r>
    </w:p>
    <w:p w:rsidR="00AE5B8E" w:rsidRPr="003161E6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3161E6">
        <w:rPr>
          <w:rFonts w:asciiTheme="majorBidi" w:hAnsiTheme="majorBidi" w:cstheme="majorBidi"/>
          <w:sz w:val="28"/>
          <w:szCs w:val="28"/>
          <w:lang w:val="uk-UA"/>
        </w:rPr>
        <w:t>Мета дипломного дослідження полягає в тому, щоб на основі аналізу регіональної зовнішньої політики ІРІ визначити місце даної держави в системі внутрішньо регіональних відносин Центральної Азії та зробити висновки про особливості цієї системи.</w:t>
      </w:r>
    </w:p>
    <w:p w:rsidR="00AE5B8E" w:rsidRPr="003161E6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3161E6">
        <w:rPr>
          <w:rFonts w:asciiTheme="majorBidi" w:hAnsiTheme="majorBidi" w:cstheme="majorBidi"/>
          <w:sz w:val="28"/>
          <w:szCs w:val="28"/>
          <w:lang w:val="uk-UA"/>
        </w:rPr>
        <w:t>Для досягнення названої мети поставлені наступні завдання:</w:t>
      </w:r>
    </w:p>
    <w:p w:rsidR="00AE5B8E" w:rsidRPr="003161E6" w:rsidRDefault="00AE5B8E" w:rsidP="00AE5B8E">
      <w:pPr>
        <w:pStyle w:val="a6"/>
        <w:numPr>
          <w:ilvl w:val="0"/>
          <w:numId w:val="1"/>
        </w:numPr>
        <w:spacing w:after="0" w:line="360" w:lineRule="auto"/>
        <w:ind w:left="709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3161E6">
        <w:rPr>
          <w:rFonts w:asciiTheme="majorBidi" w:hAnsiTheme="majorBidi" w:cstheme="majorBidi"/>
          <w:sz w:val="28"/>
          <w:szCs w:val="28"/>
          <w:lang w:val="uk-UA"/>
        </w:rPr>
        <w:t>сформулювати основні методологічні засади дослідження зовнішньої політики держави;</w:t>
      </w:r>
    </w:p>
    <w:p w:rsidR="00AE5B8E" w:rsidRPr="003161E6" w:rsidRDefault="00AE5B8E" w:rsidP="00AE5B8E">
      <w:pPr>
        <w:pStyle w:val="a6"/>
        <w:numPr>
          <w:ilvl w:val="0"/>
          <w:numId w:val="1"/>
        </w:numPr>
        <w:spacing w:after="0" w:line="360" w:lineRule="auto"/>
        <w:ind w:left="709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3161E6">
        <w:rPr>
          <w:rFonts w:asciiTheme="majorBidi" w:hAnsiTheme="majorBidi" w:cstheme="majorBidi"/>
          <w:sz w:val="28"/>
          <w:szCs w:val="28"/>
          <w:lang w:val="uk-UA"/>
        </w:rPr>
        <w:lastRenderedPageBreak/>
        <w:t>визначити роль ІРІ та охарактеризувати її вплив на політичні процеси Центральної Азії;</w:t>
      </w:r>
    </w:p>
    <w:p w:rsidR="00AE5B8E" w:rsidRPr="003161E6" w:rsidRDefault="00AE5B8E" w:rsidP="00AE5B8E">
      <w:pPr>
        <w:pStyle w:val="a6"/>
        <w:numPr>
          <w:ilvl w:val="0"/>
          <w:numId w:val="1"/>
        </w:numPr>
        <w:spacing w:after="0" w:line="360" w:lineRule="auto"/>
        <w:ind w:left="709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3161E6">
        <w:rPr>
          <w:rFonts w:asciiTheme="majorBidi" w:hAnsiTheme="majorBidi" w:cstheme="majorBidi"/>
          <w:sz w:val="28"/>
          <w:szCs w:val="28"/>
          <w:lang w:val="uk-UA"/>
        </w:rPr>
        <w:t>дослідити взаємовідносини Ірану у Центрально-Азійському регіоні у XXI ст. та визначити їх основні проблеми та перспективи.</w:t>
      </w:r>
    </w:p>
    <w:p w:rsidR="00AE5B8E" w:rsidRPr="003161E6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3161E6">
        <w:rPr>
          <w:rFonts w:asciiTheme="majorBidi" w:hAnsiTheme="majorBidi" w:cstheme="majorBidi"/>
          <w:sz w:val="28"/>
          <w:szCs w:val="28"/>
          <w:lang w:val="uk-UA"/>
        </w:rPr>
        <w:t xml:space="preserve">Об'єктом дослідження є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зовнішня політика Ісламської Республіки Іран </w:t>
      </w:r>
      <w:r w:rsidRPr="003161E6">
        <w:rPr>
          <w:rFonts w:asciiTheme="majorBidi" w:hAnsiTheme="majorBidi" w:cstheme="majorBidi"/>
          <w:sz w:val="28"/>
          <w:szCs w:val="28"/>
          <w:lang w:val="uk-UA"/>
        </w:rPr>
        <w:t>як невід'ємної частини історичного процесу прояву держави в світовій політиці.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3161E6">
        <w:rPr>
          <w:rFonts w:asciiTheme="majorBidi" w:hAnsiTheme="majorBidi" w:cstheme="majorBidi"/>
          <w:sz w:val="28"/>
          <w:szCs w:val="28"/>
          <w:lang w:val="uk-UA"/>
        </w:rPr>
        <w:t>Предмет дослідження –</w:t>
      </w:r>
      <w:r w:rsidRPr="006B54DF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зовнішня політика Ірану щодо </w:t>
      </w:r>
      <w:r w:rsidRPr="003161E6">
        <w:rPr>
          <w:rFonts w:asciiTheme="majorBidi" w:hAnsiTheme="majorBidi" w:cstheme="majorBidi"/>
          <w:sz w:val="28"/>
          <w:szCs w:val="28"/>
          <w:lang w:val="uk-UA"/>
        </w:rPr>
        <w:t>Центральної Азії.</w:t>
      </w:r>
    </w:p>
    <w:p w:rsidR="00AE5B8E" w:rsidRPr="003161E6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3161E6">
        <w:rPr>
          <w:rFonts w:asciiTheme="majorBidi" w:hAnsiTheme="majorBidi" w:cstheme="majorBidi"/>
          <w:sz w:val="28"/>
          <w:szCs w:val="28"/>
          <w:lang w:val="uk-UA"/>
        </w:rPr>
        <w:t>Хронологічні рамки дослідження - 1991-2018 рр. Початкова дата обумовлена розпадом СРСР та проголошенням незалежності Центрально-Азійських країн у 1991 р та вихід цих держав на політичну арену як самостійних акторів міжнародних відносин.</w:t>
      </w:r>
    </w:p>
    <w:p w:rsidR="00AE5B8E" w:rsidRPr="003161E6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3161E6">
        <w:rPr>
          <w:rFonts w:asciiTheme="majorBidi" w:hAnsiTheme="majorBidi" w:cstheme="majorBidi"/>
          <w:sz w:val="28"/>
          <w:szCs w:val="28"/>
          <w:lang w:val="uk-UA"/>
        </w:rPr>
        <w:t>Методи дослідження. Метод порівняльно-зіставного аналізу дозволив виявити спадкоємність іранської зовнішньої політики наприкінці ХХ – початку ХХІ ст., дати більш глибоку якісну характеристику феномену зовнішньої політики ІРІ як цілісного явища в сучасних міжнародних відносинах. Також був використаний системний підхід, завдяки якому досліджується конкретна система відносин в регіоні Центральної Азії. Її складають окремі країни - «елементи» системи, що знаходяться в прямого і зворотного зв'язку, дії і протидії, інтеграції та дезінтеграції. Тим самим вони визначають ситуацію в підсистемі «регіон» і впливають на загальну систему міжнародних відносин у світі. Системний підхід дозволив представити комплексне бачення середовища, в якому відбувається реалізація зовнішньої політики держави та визначити співвідношення впливу на неї глобалізаційних чинників.</w:t>
      </w:r>
    </w:p>
    <w:p w:rsidR="00AE5B8E" w:rsidRPr="003161E6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3161E6">
        <w:rPr>
          <w:rFonts w:asciiTheme="majorBidi" w:hAnsiTheme="majorBidi" w:cstheme="majorBidi"/>
          <w:sz w:val="28"/>
          <w:szCs w:val="28"/>
          <w:lang w:val="uk-UA"/>
        </w:rPr>
        <w:t>Наукова новизна дослідження полягає в комплексному дослідженні зовнішньої політики Ірану в якісно нових історичних умовах, набутті подальшого розвитку</w:t>
      </w:r>
      <w:r w:rsidRPr="003161E6">
        <w:rPr>
          <w:rStyle w:val="apple-style-span"/>
          <w:rFonts w:asciiTheme="majorBidi" w:hAnsiTheme="majorBidi" w:cstheme="majorBidi"/>
          <w:sz w:val="28"/>
          <w:szCs w:val="28"/>
          <w:lang w:val="uk-UA"/>
        </w:rPr>
        <w:t xml:space="preserve"> визначення зовнішніх чинників формування полі</w:t>
      </w:r>
      <w:r>
        <w:rPr>
          <w:rStyle w:val="apple-style-span"/>
          <w:rFonts w:asciiTheme="majorBidi" w:hAnsiTheme="majorBidi" w:cstheme="majorBidi"/>
          <w:sz w:val="28"/>
          <w:szCs w:val="28"/>
          <w:lang w:val="uk-UA"/>
        </w:rPr>
        <w:t>тичних процесів Центральної Азії</w:t>
      </w:r>
      <w:r w:rsidRPr="003161E6">
        <w:rPr>
          <w:rStyle w:val="apple-style-span"/>
          <w:rFonts w:asciiTheme="majorBidi" w:hAnsiTheme="majorBidi" w:cstheme="majorBidi"/>
          <w:sz w:val="28"/>
          <w:szCs w:val="28"/>
          <w:lang w:val="uk-UA"/>
        </w:rPr>
        <w:t xml:space="preserve"> та </w:t>
      </w:r>
      <w:r w:rsidRPr="003161E6">
        <w:rPr>
          <w:rStyle w:val="apple-converted-space"/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 xml:space="preserve">удосконаленні результатів аналізу проблем історико-політичних проблем регіону. </w:t>
      </w:r>
    </w:p>
    <w:p w:rsidR="00AE5B8E" w:rsidRPr="003161E6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3161E6">
        <w:rPr>
          <w:rFonts w:asciiTheme="majorBidi" w:hAnsiTheme="majorBidi" w:cstheme="majorBidi"/>
          <w:sz w:val="28"/>
          <w:szCs w:val="28"/>
          <w:lang w:val="uk-UA"/>
        </w:rPr>
        <w:lastRenderedPageBreak/>
        <w:t xml:space="preserve"> Структура роботи включає: вступ, три розділи, висновки та список використаних джерел.</w:t>
      </w:r>
    </w:p>
    <w:p w:rsidR="00AE5B8E" w:rsidRPr="003161E6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3161E6">
        <w:rPr>
          <w:rFonts w:asciiTheme="majorBidi" w:hAnsiTheme="majorBidi" w:cstheme="majorBidi"/>
          <w:sz w:val="28"/>
          <w:szCs w:val="28"/>
          <w:lang w:val="uk-UA"/>
        </w:rPr>
        <w:t>Перший розділ присвячено методологічним цілям дослідження даної роботи.</w:t>
      </w:r>
    </w:p>
    <w:p w:rsidR="00AE5B8E" w:rsidRPr="003161E6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3161E6">
        <w:rPr>
          <w:rFonts w:asciiTheme="majorBidi" w:hAnsiTheme="majorBidi" w:cstheme="majorBidi"/>
          <w:sz w:val="28"/>
          <w:szCs w:val="28"/>
          <w:lang w:val="uk-UA"/>
        </w:rPr>
        <w:t>Другий розділ розкриває роль та місце ІРІ як претендента на регіональне лідерство у Центральній Азії а також надає оцінку її впливу на  політичні процеси на тлі історичних чинників міжнародних відносин, таких як  здобуття незалежності пострадянських держав даного регіону та їх становлення як суб’єктів на міжнародній арені.</w:t>
      </w:r>
    </w:p>
    <w:p w:rsidR="00AE5B8E" w:rsidRPr="003161E6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3161E6">
        <w:rPr>
          <w:rFonts w:asciiTheme="majorBidi" w:hAnsiTheme="majorBidi" w:cstheme="majorBidi"/>
          <w:sz w:val="28"/>
          <w:szCs w:val="28"/>
          <w:lang w:val="uk-UA"/>
        </w:rPr>
        <w:t>Третій розділ характеризує особливості формування відносин як з регіоном у цілому, так і з його кожною окремою виділеною країною та визначає основні проблеми та перспективи їх співробітництва у різноманітних сферах.</w:t>
      </w:r>
    </w:p>
    <w:p w:rsidR="00AE5B8E" w:rsidRPr="003161E6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3161E6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Default="00AE5B8E" w:rsidP="00AE5B8E">
      <w:pPr>
        <w:spacing w:line="360" w:lineRule="auto"/>
        <w:ind w:firstLine="709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Default="00AE5B8E" w:rsidP="00AE5B8E">
      <w:pPr>
        <w:spacing w:line="360" w:lineRule="auto"/>
        <w:ind w:firstLine="709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2370E1" w:rsidRDefault="002370E1" w:rsidP="00AE5B8E">
      <w:pPr>
        <w:spacing w:line="72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B00332" w:rsidRDefault="00AE5B8E" w:rsidP="00AE5B8E">
      <w:pPr>
        <w:spacing w:line="72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  <w:bookmarkStart w:id="0" w:name="_GoBack"/>
      <w:bookmarkEnd w:id="0"/>
      <w:r>
        <w:rPr>
          <w:rFonts w:asciiTheme="majorBidi" w:hAnsiTheme="majorBidi" w:cstheme="majorBidi"/>
          <w:sz w:val="28"/>
          <w:szCs w:val="28"/>
          <w:lang w:val="uk-UA"/>
        </w:rPr>
        <w:lastRenderedPageBreak/>
        <w:t>ВИСНОВКИ</w:t>
      </w: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  <w:r w:rsidRPr="00B00332">
        <w:rPr>
          <w:rFonts w:asciiTheme="majorBidi" w:hAnsiTheme="majorBidi" w:cstheme="majorBidi"/>
          <w:sz w:val="28"/>
          <w:szCs w:val="28"/>
          <w:lang w:val="uk-UA"/>
        </w:rPr>
        <w:t>В ході роботи над заявленої темою були проаналізовані різні аспекти зовнішньої політики Ісламської Республіки Іран, особливості взаємин даної держави в Центральній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Азії, а також роль Ірану та його</w:t>
      </w:r>
      <w:r w:rsidRPr="00B00332">
        <w:rPr>
          <w:rFonts w:asciiTheme="majorBidi" w:hAnsiTheme="majorBidi" w:cstheme="majorBidi"/>
          <w:sz w:val="28"/>
          <w:szCs w:val="28"/>
          <w:lang w:val="uk-UA"/>
        </w:rPr>
        <w:t xml:space="preserve"> Вплив на Політичні процеси регіону. </w:t>
      </w:r>
      <w:r w:rsidRPr="00B00332">
        <w:rPr>
          <w:rFonts w:asciiTheme="majorBidi" w:hAnsiTheme="majorBidi" w:cstheme="majorBidi"/>
          <w:sz w:val="28"/>
          <w:szCs w:val="28"/>
        </w:rPr>
        <w:t>В результаті проведеного дослідження були зроблені наступні висновки.</w:t>
      </w: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00332">
        <w:rPr>
          <w:rFonts w:asciiTheme="majorBidi" w:hAnsiTheme="majorBidi" w:cstheme="majorBidi"/>
          <w:sz w:val="28"/>
          <w:szCs w:val="28"/>
        </w:rPr>
        <w:t>Центральна Азія є одним з найбільш значущих регіонів, де сходяться в протиборстві інтереси багатьох держав не тільки східного, а й західного півкуль. Одним з таких держав є Ісламська Республіка Іран.</w:t>
      </w:r>
      <w:r w:rsidRPr="00B0033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00332">
        <w:rPr>
          <w:rFonts w:asciiTheme="majorBidi" w:hAnsiTheme="majorBidi" w:cstheme="majorBidi"/>
          <w:sz w:val="28"/>
          <w:szCs w:val="28"/>
          <w:lang w:val="uk-UA"/>
        </w:rPr>
        <w:t>В період дії режиму санкцій Заходу зовнішня політика Ісламської республіки Іран у відношенні до пострадянських країн Центральної Азії була спрямована на подолання міжнародної ізоляції і підвищення рівня регіональної і власної безпеки.</w:t>
      </w: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00332">
        <w:rPr>
          <w:rFonts w:asciiTheme="majorBidi" w:hAnsiTheme="majorBidi" w:cstheme="majorBidi"/>
          <w:sz w:val="28"/>
          <w:szCs w:val="28"/>
          <w:lang w:val="uk-UA"/>
        </w:rPr>
        <w:t>Активність Ірану в Центрально-Азійському регіоні і За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кавказзі охоплювала різні сфери </w:t>
      </w:r>
      <w:r w:rsidRPr="00B00332">
        <w:rPr>
          <w:rFonts w:asciiTheme="majorBidi" w:hAnsiTheme="majorBidi" w:cstheme="majorBidi"/>
          <w:sz w:val="28"/>
          <w:szCs w:val="28"/>
          <w:lang w:val="uk-UA"/>
        </w:rPr>
        <w:t>–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00332">
        <w:rPr>
          <w:rFonts w:asciiTheme="majorBidi" w:hAnsiTheme="majorBidi" w:cstheme="majorBidi"/>
          <w:sz w:val="28"/>
          <w:szCs w:val="28"/>
          <w:lang w:val="uk-UA"/>
        </w:rPr>
        <w:t xml:space="preserve"> ідеологічну, культурну, економічну.</w:t>
      </w: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00332">
        <w:rPr>
          <w:rFonts w:asciiTheme="majorBidi" w:hAnsiTheme="majorBidi" w:cstheme="majorBidi"/>
          <w:sz w:val="28"/>
          <w:szCs w:val="28"/>
          <w:lang w:val="uk-UA"/>
        </w:rPr>
        <w:t>Незважаючи на те, що двосторонні відносини були встановлені з усіма країнами зазначеного регіону, співпраця ІРІ з кожної з них знаходилася на різних рівнях, що зумовлено інтересом Ірану до кожної конкретної країни.</w:t>
      </w:r>
    </w:p>
    <w:p w:rsidR="00AE5B8E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00332">
        <w:rPr>
          <w:rFonts w:asciiTheme="majorBidi" w:hAnsiTheme="majorBidi" w:cstheme="majorBidi"/>
          <w:sz w:val="28"/>
          <w:szCs w:val="28"/>
          <w:lang w:val="uk-UA"/>
        </w:rPr>
        <w:t xml:space="preserve">«М'яка сила» Ірану в країнах Центральної Азії виражалася переважно в діяльності іранських культурних центрів на їх території, важлива роль в «експорті іранської культури» була відведена перській мові та літературі. </w:t>
      </w:r>
      <w:r w:rsidRPr="00B00332">
        <w:rPr>
          <w:rFonts w:asciiTheme="majorBidi" w:hAnsiTheme="majorBidi" w:cstheme="majorBidi"/>
          <w:sz w:val="28"/>
          <w:szCs w:val="28"/>
        </w:rPr>
        <w:t>При цьому ІРІ не ставила собі за мету «експорт ісламської революції».</w:t>
      </w: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00332">
        <w:rPr>
          <w:rFonts w:asciiTheme="majorBidi" w:hAnsiTheme="majorBidi" w:cstheme="majorBidi"/>
          <w:sz w:val="28"/>
          <w:szCs w:val="28"/>
          <w:lang w:val="uk-UA"/>
        </w:rPr>
        <w:t>У двосторонніх відносинах з більшістю країн даних регіонів переважав економічний аспект. Економічні інтереси Ірану включали не тільки торгівлю, але і розвиток енергетичної співпраці. Також особливе значення в двосторонніх відносинах Тегеран надавав транспортній сфері.</w:t>
      </w: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00332">
        <w:rPr>
          <w:rFonts w:asciiTheme="majorBidi" w:hAnsiTheme="majorBidi" w:cstheme="majorBidi"/>
          <w:sz w:val="28"/>
          <w:szCs w:val="28"/>
          <w:lang w:val="uk-UA"/>
        </w:rPr>
        <w:t xml:space="preserve">Зняття міжнародних санкцій з Ірану в січні 2016 р означало завершення його ізоляції, могло вплинути на розклад сил в регіоні Центральної Азії та Закавказзя. Іран, який вже давно претендував на регіональне лідерство, в той </w:t>
      </w:r>
      <w:r w:rsidRPr="00B00332">
        <w:rPr>
          <w:rFonts w:asciiTheme="majorBidi" w:hAnsiTheme="majorBidi" w:cstheme="majorBidi"/>
          <w:sz w:val="28"/>
          <w:szCs w:val="28"/>
          <w:lang w:val="uk-UA"/>
        </w:rPr>
        <w:lastRenderedPageBreak/>
        <w:t>же час не заперечуючи лідерства Росії в регіоні, почав проводити більш активну політику.</w:t>
      </w: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00332">
        <w:rPr>
          <w:rFonts w:asciiTheme="majorBidi" w:hAnsiTheme="majorBidi" w:cstheme="majorBidi"/>
          <w:sz w:val="28"/>
          <w:szCs w:val="28"/>
          <w:lang w:val="uk-UA"/>
        </w:rPr>
        <w:t>Після зняття санкцій акцент у зовнішній політиці Тегерана щодо країн Центральної Азії та Закавказзя був зроблений на посиленні економічної взаємодії в регіоні. В цілому регіональна концепція Ірану зводиться до збільшення впливу в Центральній Азії і Закавказзі шляхом розширення двостороннього і багатостороннього торговельно-економічного співробітництва.</w:t>
      </w:r>
    </w:p>
    <w:p w:rsidR="00AE5B8E" w:rsidRPr="00B00332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00332">
        <w:rPr>
          <w:rFonts w:asciiTheme="majorBidi" w:hAnsiTheme="majorBidi" w:cstheme="majorBidi"/>
          <w:sz w:val="28"/>
          <w:szCs w:val="28"/>
        </w:rPr>
        <w:t>У той же час в постсанкціонний період спостерігається погіршення двосторонніх відносин з деякими країнами регіону, такими як Таджикистан і Туркменістан. Взаємодія з такими країнами на сучасному етапі обумовлено завданнями забезпечення безпеки і стабільності в регіоні, в тому числі в рамках міжнародних організацій, наприклад ШОС, і в меншій мірі економічною доцільністю.</w:t>
      </w:r>
    </w:p>
    <w:p w:rsidR="00AE5B8E" w:rsidRPr="00B00332" w:rsidRDefault="00AE5B8E" w:rsidP="00AE5B8E">
      <w:pPr>
        <w:tabs>
          <w:tab w:val="left" w:pos="4050"/>
        </w:tabs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00332">
        <w:rPr>
          <w:rFonts w:asciiTheme="majorBidi" w:hAnsiTheme="majorBidi" w:cstheme="majorBidi"/>
          <w:sz w:val="28"/>
          <w:szCs w:val="28"/>
          <w:lang w:val="uk-UA"/>
        </w:rPr>
        <w:t>Із забезпеченням безпеки і стабільності в Центральній Азії Тегеран завжди пов'язував національну безпеку, тому і раніше виступав з посередницькими ініціативами. Інтерес Ірану до регіональної економічної інтеграції пояснюється можливістю знизити нестабільність в Центральній Азії. Позиція іранського керівництва щодо забезпечення регіональної безпеки без участі позарегіональних акторів залишилася незмінною. Іран проявляє активний інтерес до ШОС, де він має статус спостерігача. У перспективі повноцінне членство в ШОС здатне дати Ірану можливість посилити вплив на формування регіональної системи безпеки Центральної Азії та Закавказзя.</w:t>
      </w:r>
    </w:p>
    <w:p w:rsidR="00AE5B8E" w:rsidRPr="00B00332" w:rsidRDefault="00AE5B8E" w:rsidP="00AE5B8E">
      <w:pPr>
        <w:tabs>
          <w:tab w:val="left" w:pos="4050"/>
        </w:tabs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00332">
        <w:rPr>
          <w:rFonts w:asciiTheme="majorBidi" w:hAnsiTheme="majorBidi" w:cstheme="majorBidi"/>
          <w:sz w:val="28"/>
          <w:szCs w:val="28"/>
          <w:lang w:val="uk-UA"/>
        </w:rPr>
        <w:t>Крім таких загроз, як регіональні конфлікти і втручання зовнішніх сил в регіоні, до спільних загроз відноситься посилення впливу НАТО на регіон Центральної Азії. Також актуальною загрозою для країн є релігійний екстремізм і зокрема загроза з боку Ісламської держави.</w:t>
      </w:r>
    </w:p>
    <w:p w:rsidR="00AE5B8E" w:rsidRPr="00B00332" w:rsidRDefault="00AE5B8E" w:rsidP="00AE5B8E">
      <w:pPr>
        <w:tabs>
          <w:tab w:val="left" w:pos="4050"/>
        </w:tabs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00332">
        <w:rPr>
          <w:rFonts w:asciiTheme="majorBidi" w:hAnsiTheme="majorBidi" w:cstheme="majorBidi"/>
          <w:sz w:val="28"/>
          <w:szCs w:val="28"/>
          <w:lang w:val="uk-UA"/>
        </w:rPr>
        <w:lastRenderedPageBreak/>
        <w:t>В цілому двостороння взаємодія Ірану і країн Центральної Азії та Закавказзя можна охарактеризувати як ситуативне, тобто спрямоване на вирішення конкретних питань.</w:t>
      </w:r>
      <w:r w:rsidRPr="00B00332">
        <w:rPr>
          <w:rFonts w:asciiTheme="majorBidi" w:hAnsiTheme="majorBidi" w:cstheme="majorBidi"/>
          <w:sz w:val="28"/>
          <w:szCs w:val="28"/>
          <w:lang w:val="uk-UA"/>
        </w:rPr>
        <w:tab/>
      </w:r>
    </w:p>
    <w:p w:rsidR="00AE5B8E" w:rsidRDefault="00AE5B8E" w:rsidP="00AE5B8E">
      <w:pPr>
        <w:spacing w:line="360" w:lineRule="auto"/>
        <w:ind w:firstLine="709"/>
        <w:jc w:val="both"/>
        <w:rPr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lang w:val="uk-UA"/>
        </w:rPr>
      </w:pPr>
    </w:p>
    <w:p w:rsidR="00AE5B8E" w:rsidRDefault="00AE5B8E" w:rsidP="00AE5B8E">
      <w:pPr>
        <w:spacing w:line="720" w:lineRule="auto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Default="00AE5B8E" w:rsidP="00AE5B8E">
      <w:pPr>
        <w:spacing w:line="720" w:lineRule="auto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Default="00AE5B8E" w:rsidP="00AE5B8E">
      <w:pPr>
        <w:spacing w:line="720" w:lineRule="auto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Default="00AE5B8E" w:rsidP="00AE5B8E">
      <w:pPr>
        <w:spacing w:line="720" w:lineRule="auto"/>
        <w:rPr>
          <w:rFonts w:asciiTheme="majorBidi" w:hAnsiTheme="majorBidi" w:cstheme="majorBidi"/>
          <w:sz w:val="28"/>
          <w:szCs w:val="28"/>
          <w:lang w:val="uk-UA"/>
        </w:rPr>
      </w:pPr>
    </w:p>
    <w:p w:rsidR="00AE5B8E" w:rsidRPr="00C60C72" w:rsidRDefault="00AE5B8E" w:rsidP="00AE5B8E">
      <w:pPr>
        <w:spacing w:line="720" w:lineRule="auto"/>
        <w:jc w:val="center"/>
        <w:rPr>
          <w:rFonts w:asciiTheme="majorBidi" w:hAnsiTheme="majorBidi" w:cstheme="majorBidi"/>
          <w:sz w:val="28"/>
          <w:szCs w:val="28"/>
        </w:rPr>
      </w:pPr>
    </w:p>
    <w:p w:rsidR="00AE5B8E" w:rsidRPr="00C60C72" w:rsidRDefault="00AE5B8E" w:rsidP="00AE5B8E">
      <w:pPr>
        <w:spacing w:line="720" w:lineRule="auto"/>
        <w:jc w:val="center"/>
        <w:rPr>
          <w:rFonts w:asciiTheme="majorBidi" w:hAnsiTheme="majorBidi" w:cstheme="majorBidi"/>
          <w:sz w:val="28"/>
          <w:szCs w:val="28"/>
        </w:rPr>
      </w:pPr>
    </w:p>
    <w:p w:rsidR="00AE5B8E" w:rsidRPr="00266AC4" w:rsidRDefault="00AE5B8E" w:rsidP="00AE5B8E">
      <w:pPr>
        <w:spacing w:line="72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lastRenderedPageBreak/>
        <w:t>СПИСОК ВИКОРИСТАНИХ ДЖЕРЕЛ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highKashida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Арабаджян А.З. Сверхдержавы и ИРИ (точка зрения). // Отв. ред. Мамедова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Н.М. и Мехди</w:t>
      </w:r>
      <w:r w:rsidRPr="00847DF3">
        <w:rPr>
          <w:rFonts w:asciiTheme="majorBidi" w:hAnsiTheme="majorBidi" w:cstheme="majorBidi"/>
          <w:color w:val="000000"/>
          <w:sz w:val="28"/>
          <w:szCs w:val="28"/>
        </w:rPr>
        <w:br/>
      </w: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Санаи. Иран: ислам и власть. - М., 2002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</w:rPr>
        <w:t>Байзакова К.И. Геополитика стран Центральной Азии // Европейский Союз и Центральная Азия. – Алматы, 2000. – С.10-17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Бигазина А. Этнические конфликты на территории Центральной Азии // Современные проблемы международных отношений: теория и практика: Сб. мат. – Алматы: Казак университетi, 2002. – С.178-180.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</w:rPr>
        <w:t>Борисов Н. Современный политический процесс в Узбекистане: тенденции и перспективы // Центральная Азия и Кавказ. – 2008. – № 2. – С. 159-168</w:t>
      </w:r>
      <w:r>
        <w:rPr>
          <w:rFonts w:asciiTheme="majorBidi" w:hAnsiTheme="majorBidi" w:cstheme="majorBidi"/>
          <w:sz w:val="28"/>
          <w:szCs w:val="28"/>
        </w:rPr>
        <w:t>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</w:rPr>
        <w:t>Борисов Н.А. Между современностью и традицией. Политические альтернативы постсоветской Центральной Азии. – М., 2010. – 369 с.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Варнавский Д. Иран и государства Центральной Азии: генезис, состояние и перспективы сотрудничества // Центральная Азия и Кавказ.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-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 2008.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-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№2(56). С. 145 -  152.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Вартанян А.М. Трансформация внешнеполитической доктирины ИРИ в 1979-2005 гг.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//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 Афганистан, Иран, Пакистан: время виборов и перемен. — 2006.</w:t>
      </w:r>
      <w:r w:rsidRPr="00B3478B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—  С.91-104</w:t>
      </w:r>
      <w:r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Васильев Л.Е. Некоторые особенности политики мировых держав в Центральной Азии // Китай в мировой и региональной политике. История и современность. Вып. XVII, 2012г. - М.: ИДВ РАН, — </w:t>
      </w:r>
      <w:r>
        <w:rPr>
          <w:rFonts w:asciiTheme="majorBidi" w:hAnsiTheme="majorBidi" w:cstheme="majorBidi"/>
          <w:sz w:val="28"/>
          <w:szCs w:val="28"/>
          <w:lang w:val="uk-UA"/>
        </w:rPr>
        <w:t>2012,</w:t>
      </w:r>
      <w:r w:rsidRPr="00B3478B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— с. 140-163.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</w:rPr>
        <w:t>Гали Бутрос Б. Повестка дня для мира. Декларация Генерального секретаря ООН // Вестник МИД РФ. – 1992. – №13-14. – С. 36-48</w:t>
      </w:r>
      <w:r>
        <w:rPr>
          <w:rFonts w:asciiTheme="majorBidi" w:hAnsiTheme="majorBidi" w:cstheme="majorBidi"/>
          <w:sz w:val="28"/>
          <w:szCs w:val="28"/>
        </w:rPr>
        <w:t>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</w:rPr>
        <w:t>Гельман В. Пострадянські політичні трансформації: начерки до теорії // Політична думка. – 2000. – № 2. – С.15-29.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lastRenderedPageBreak/>
        <w:t>Гударзи П.М.</w:t>
      </w:r>
      <w:r w:rsidRPr="00847DF3">
        <w:rPr>
          <w:rFonts w:asciiTheme="majorBidi" w:hAnsiTheme="majorBidi" w:cstheme="majorBidi"/>
          <w:color w:val="000000"/>
          <w:sz w:val="28"/>
          <w:szCs w:val="28"/>
        </w:rPr>
        <w:t xml:space="preserve"> </w:t>
      </w: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Позиция Ирана и России в Центральной Азии и на Кавказе // Аму-Дарья, №4. -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Тегеран,</w:t>
      </w:r>
      <w:r w:rsidRPr="00847DF3">
        <w:rPr>
          <w:rFonts w:asciiTheme="majorBidi" w:hAnsiTheme="majorBidi" w:cstheme="majorBidi"/>
          <w:color w:val="000000"/>
          <w:sz w:val="28"/>
          <w:szCs w:val="28"/>
        </w:rPr>
        <w:t xml:space="preserve"> </w:t>
      </w: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2000. -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С. 148-152.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</w:rPr>
        <w:t>Доклад Генерального директора МАГАТЭ «Осуществление соглашения о гарантиях в связи с ДНЯО в Исламской Республике Иран» от 16 ноября 2009 г.</w:t>
      </w:r>
      <w:r>
        <w:rPr>
          <w:rFonts w:asciiTheme="majorBidi" w:hAnsiTheme="majorBidi" w:cstheme="majorBidi"/>
          <w:sz w:val="28"/>
          <w:szCs w:val="28"/>
        </w:rPr>
        <w:t>. [</w:t>
      </w:r>
      <w:r>
        <w:rPr>
          <w:rFonts w:asciiTheme="majorBidi" w:hAnsiTheme="majorBidi" w:cstheme="majorBidi"/>
          <w:sz w:val="28"/>
          <w:szCs w:val="28"/>
          <w:lang w:val="uk-UA"/>
        </w:rPr>
        <w:t>Електронний ресурс</w:t>
      </w:r>
      <w:r>
        <w:rPr>
          <w:rFonts w:asciiTheme="majorBidi" w:hAnsiTheme="majorBidi" w:cstheme="majorBidi"/>
          <w:sz w:val="28"/>
          <w:szCs w:val="28"/>
        </w:rPr>
        <w:t>]</w:t>
      </w:r>
      <w:r w:rsidRPr="00B3478B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—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Режим доступу: </w:t>
      </w:r>
      <w:r w:rsidRPr="00847DF3">
        <w:rPr>
          <w:rFonts w:asciiTheme="majorBidi" w:hAnsiTheme="majorBidi" w:cstheme="majorBidi"/>
          <w:sz w:val="28"/>
          <w:szCs w:val="28"/>
        </w:rPr>
        <w:t xml:space="preserve"> http://www.i</w:t>
      </w:r>
      <w:r>
        <w:rPr>
          <w:rFonts w:asciiTheme="majorBidi" w:hAnsiTheme="majorBidi" w:cstheme="majorBidi"/>
          <w:sz w:val="28"/>
          <w:szCs w:val="28"/>
        </w:rPr>
        <w:t>aea.org/Publications/Documents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Дорошко М. С., Шпакова Н. В. Геополітичне середовище та геополітична орієнтація країн СНД. Навч. посіб. – К.: Центр учбової літератури, 2011. – 204 с.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Дуднік О. Азербайджансько-іранські взаємовідносини в контексті геополітичної ситуації в Каспійському регіоні // Науковi записки. Збiрник праць молодих вчених та аспiрантiв. — Т. 20. — К., 2010. — С. 502-519</w:t>
      </w:r>
      <w:r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Дунаева Е.В. Внешняя політика ИРИ: Старые подходы и нове веяния.</w:t>
      </w:r>
      <w:r w:rsidRPr="00847DF3">
        <w:rPr>
          <w:rFonts w:asciiTheme="majorBidi" w:hAnsiTheme="majorBidi" w:cstheme="majorBidi"/>
          <w:sz w:val="28"/>
          <w:szCs w:val="28"/>
        </w:rPr>
        <w:t xml:space="preserve"> Ближний восток и современность.</w:t>
      </w:r>
      <w:r w:rsidRPr="00B3478B">
        <w:rPr>
          <w:rFonts w:asciiTheme="majorBidi" w:hAnsiTheme="majorBidi" w:cstheme="majorBidi"/>
          <w:sz w:val="28"/>
          <w:szCs w:val="28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</w:rPr>
        <w:t>№44</w:t>
      </w:r>
      <w:r w:rsidRPr="00B3478B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— </w:t>
      </w:r>
      <w:r w:rsidRPr="00847DF3">
        <w:rPr>
          <w:rFonts w:asciiTheme="majorBidi" w:hAnsiTheme="majorBidi" w:cstheme="majorBidi"/>
          <w:sz w:val="28"/>
          <w:szCs w:val="28"/>
        </w:rPr>
        <w:t>2011.</w:t>
      </w:r>
      <w:r w:rsidRPr="00B3478B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— </w:t>
      </w:r>
      <w:r w:rsidRPr="00847DF3">
        <w:rPr>
          <w:rFonts w:asciiTheme="majorBidi" w:hAnsiTheme="majorBidi" w:cstheme="majorBidi"/>
          <w:sz w:val="28"/>
          <w:szCs w:val="28"/>
        </w:rPr>
        <w:t>С.5-15</w:t>
      </w:r>
      <w:r>
        <w:rPr>
          <w:rFonts w:asciiTheme="majorBidi" w:hAnsiTheme="majorBidi" w:cstheme="majorBidi"/>
          <w:sz w:val="28"/>
          <w:szCs w:val="28"/>
        </w:rPr>
        <w:t>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Ивин А.В. Энергетическая политика Исламской Республики Иран. М.: Издатель Воробьев А.В., 2018. – 120 с.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Иран в мировой политике. XXI век / Отв. ред. Н.М. Мамедова, ред.-сост. М.С. Каменева, И.Е. Федорова; Институт востоковедения РАН. М.: ИВ РАН, Издатель Воробьев А.В.,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–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 2017. – 260 с.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</w:rPr>
        <w:t>Исмаилов Э.М. О геополитической функции «Центральной Евразии» в ХХI веке // Центр. Азия и Кавказ, – 2008. – № 2. – С.14- 29.</w:t>
      </w:r>
    </w:p>
    <w:p w:rsidR="00AE5B8E" w:rsidRPr="00B3478B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Каменева М.С. Персидский язык как фактор культурной интеграции.// Отв. ред. Мамедова Н.М. и Мехди Санаи. Иран: ислам и </w:t>
      </w:r>
      <w:r w:rsidRPr="00B3478B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власть. -М., </w:t>
      </w:r>
    </w:p>
    <w:p w:rsidR="00AE5B8E" w:rsidRPr="00B3478B" w:rsidRDefault="00AE5B8E" w:rsidP="00AE5B8E">
      <w:pPr>
        <w:pStyle w:val="a6"/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– </w:t>
      </w:r>
      <w:r w:rsidRPr="00B3478B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2002.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Катона В. Нефть и газ Каспийского моря: между Европой и Азией: Рабочая тетрадь 39/2017 / Гл. ред. И.С. Иванов; Вып. ред. И.Н. Тимофеев, Т.А. Махмутов, А.В. Пономарева, И.А. Сорокина, М.В. Смекалова. М.: Российский совет по международным делам, 2017. — 68 с.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lastRenderedPageBreak/>
        <w:t>Конституція Ісламської Республіки Іран</w:t>
      </w:r>
      <w:r w:rsidRPr="00847DF3">
        <w:rPr>
          <w:rFonts w:asciiTheme="majorBidi" w:hAnsiTheme="majorBidi" w:cstheme="majorBidi"/>
          <w:sz w:val="28"/>
          <w:szCs w:val="28"/>
        </w:rPr>
        <w:t>. Тегеран</w:t>
      </w:r>
      <w:r>
        <w:rPr>
          <w:rFonts w:asciiTheme="majorBidi" w:hAnsiTheme="majorBidi" w:cstheme="majorBidi"/>
          <w:sz w:val="28"/>
          <w:szCs w:val="28"/>
        </w:rPr>
        <w:t>. [</w:t>
      </w:r>
      <w:r>
        <w:rPr>
          <w:rFonts w:asciiTheme="majorBidi" w:hAnsiTheme="majorBidi" w:cstheme="majorBidi"/>
          <w:sz w:val="28"/>
          <w:szCs w:val="28"/>
          <w:lang w:val="uk-UA"/>
        </w:rPr>
        <w:t>Електронний ресурс</w:t>
      </w:r>
      <w:r>
        <w:rPr>
          <w:rFonts w:asciiTheme="majorBidi" w:hAnsiTheme="majorBidi" w:cstheme="majorBidi"/>
          <w:sz w:val="28"/>
          <w:szCs w:val="28"/>
        </w:rPr>
        <w:t>]</w:t>
      </w:r>
      <w:r w:rsidRPr="00B3478B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—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Режим доступу: </w:t>
      </w:r>
      <w:r w:rsidRPr="00B3478B">
        <w:rPr>
          <w:rFonts w:asciiTheme="majorBidi" w:hAnsiTheme="majorBidi" w:cstheme="majorBidi"/>
          <w:sz w:val="28"/>
          <w:szCs w:val="28"/>
        </w:rPr>
        <w:t>http://www.divan-edalat.ir/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Кривоглава М.З.  Центральна Азія як зона перетину інтересів конкуруючих держав: перспективи суперництва та взаємодії// Держава і право. — 2011. — Вип. 54. — С. 739-743.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Кузьмина Е.М. Внешние экономические интересы как фактор экономического развития Центральной Азии. М.: Институт экономики РАН, — 2013.</w:t>
      </w:r>
      <w:r w:rsidRPr="00B3478B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—  С. 33–38.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Кулагина Л.М. Основные</w:t>
      </w:r>
      <w:r w:rsidRPr="00847DF3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направления ИРИ на современном этапе. '// Отв. ред. Арунова М.Р. Ближний Восток и</w:t>
      </w:r>
      <w:r w:rsidRPr="00847DF3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современность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>,</w:t>
      </w:r>
      <w:r w:rsidRPr="00B3478B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В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>.</w:t>
      </w: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2.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— </w:t>
      </w: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М., 1996. 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Лаумулин М. Исламские игроки на </w:t>
      </w:r>
      <w:r>
        <w:rPr>
          <w:rFonts w:asciiTheme="majorBidi" w:hAnsiTheme="majorBidi" w:cstheme="majorBidi"/>
          <w:sz w:val="28"/>
          <w:szCs w:val="28"/>
          <w:lang w:val="uk-UA"/>
        </w:rPr>
        <w:t>центрально-аз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иатском поле: интересы близлежащих мусульманских государств в странах региона // Центральная Азия и Кавказ. 9—  2003.</w:t>
      </w:r>
      <w:r w:rsidRPr="00B3478B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—№2(26). 9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  С. 63.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Лебедева М.М. «</w:t>
      </w:r>
      <w:r>
        <w:rPr>
          <w:rFonts w:asciiTheme="majorBidi" w:hAnsiTheme="majorBidi" w:cstheme="majorBidi"/>
          <w:sz w:val="28"/>
          <w:szCs w:val="28"/>
          <w:lang w:val="uk-UA"/>
        </w:rPr>
        <w:t>Мягкая сила» в отношении Центральной Азии: учасники и их действия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 // Вестник МГИМО Университета.</w:t>
      </w:r>
      <w:r w:rsidRPr="00B3478B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—  2014. — №5(56) С.49-52.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</w:rPr>
        <w:t>Ляшенко Т.М. До питання регіональної інтеграції в пострадянських країнах Центральної Азії // Інтеграційні процеси в світі. – Чернівці, 2006. – С. 39-51.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</w:rPr>
        <w:t>Ляшенко Т.М. Ісламський фактор у побудові державності країн Центральної Азії: історико-політологічний аспект // Трибуна. – 2009. – № 9-10. – С.33-35.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Ляшеннко Т.М. Громадянське суспільство в країнах Центральної Азії // Наукова збірка ІІІ Курасівськи читання К.: ІПіЕНД ім.І.Ф.Кураса, — 2007. – С.219-228.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highKashida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 Макаренко Т. Центральна Азія: де зіткнулися сила, політика і економіка </w:t>
      </w:r>
      <w:r>
        <w:rPr>
          <w:rFonts w:asciiTheme="majorBidi" w:hAnsiTheme="majorBidi" w:cstheme="majorBidi"/>
          <w:sz w:val="28"/>
          <w:szCs w:val="28"/>
          <w:lang w:val="uk-UA"/>
        </w:rPr>
        <w:t>// НАТО ревю. – 2009. – Вип. 7. [Електронний ресурс</w:t>
      </w:r>
      <w:r>
        <w:rPr>
          <w:rFonts w:asciiTheme="majorBidi" w:hAnsiTheme="majorBidi" w:cstheme="majorBidi"/>
          <w:sz w:val="28"/>
          <w:szCs w:val="28"/>
        </w:rPr>
        <w:t>]</w:t>
      </w:r>
      <w:r w:rsidRPr="00B3478B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—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Режим доступу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:</w:t>
      </w:r>
      <w:r w:rsidRPr="00847DF3">
        <w:rPr>
          <w:rFonts w:asciiTheme="majorBidi" w:hAnsiTheme="majorBidi" w:cstheme="majorBidi"/>
          <w:sz w:val="28"/>
          <w:szCs w:val="28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</w:rPr>
        <w:lastRenderedPageBreak/>
        <w:t>http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://</w:t>
      </w:r>
      <w:r w:rsidRPr="00847DF3">
        <w:rPr>
          <w:rFonts w:asciiTheme="majorBidi" w:hAnsiTheme="majorBidi" w:cstheme="majorBidi"/>
          <w:sz w:val="28"/>
          <w:szCs w:val="28"/>
        </w:rPr>
        <w:t>www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.</w:t>
      </w:r>
      <w:r w:rsidRPr="00847DF3">
        <w:rPr>
          <w:rFonts w:asciiTheme="majorBidi" w:hAnsiTheme="majorBidi" w:cstheme="majorBidi"/>
          <w:sz w:val="28"/>
          <w:szCs w:val="28"/>
        </w:rPr>
        <w:t>nato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.</w:t>
      </w:r>
      <w:r w:rsidRPr="00847DF3">
        <w:rPr>
          <w:rFonts w:asciiTheme="majorBidi" w:hAnsiTheme="majorBidi" w:cstheme="majorBidi"/>
          <w:sz w:val="28"/>
          <w:szCs w:val="28"/>
        </w:rPr>
        <w:t>int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/</w:t>
      </w:r>
      <w:r w:rsidRPr="00847DF3">
        <w:rPr>
          <w:rFonts w:asciiTheme="majorBidi" w:hAnsiTheme="majorBidi" w:cstheme="majorBidi"/>
          <w:sz w:val="28"/>
          <w:szCs w:val="28"/>
        </w:rPr>
        <w:t>docu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/</w:t>
      </w:r>
      <w:r w:rsidRPr="00847DF3">
        <w:rPr>
          <w:rFonts w:asciiTheme="majorBidi" w:hAnsiTheme="majorBidi" w:cstheme="majorBidi"/>
          <w:sz w:val="28"/>
          <w:szCs w:val="28"/>
        </w:rPr>
        <w:t>review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/2009/</w:t>
      </w:r>
      <w:r w:rsidRPr="00847DF3">
        <w:rPr>
          <w:rFonts w:asciiTheme="majorBidi" w:hAnsiTheme="majorBidi" w:cstheme="majorBidi"/>
          <w:sz w:val="28"/>
          <w:szCs w:val="28"/>
        </w:rPr>
        <w:t>Asia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/</w:t>
      </w:r>
      <w:r w:rsidRPr="00847DF3">
        <w:rPr>
          <w:rFonts w:asciiTheme="majorBidi" w:hAnsiTheme="majorBidi" w:cstheme="majorBidi"/>
          <w:sz w:val="28"/>
          <w:szCs w:val="28"/>
        </w:rPr>
        <w:t>central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_</w:t>
      </w:r>
      <w:r w:rsidRPr="00847DF3">
        <w:rPr>
          <w:rFonts w:asciiTheme="majorBidi" w:hAnsiTheme="majorBidi" w:cstheme="majorBidi"/>
          <w:sz w:val="28"/>
          <w:szCs w:val="28"/>
        </w:rPr>
        <w:t>asian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_</w:t>
      </w:r>
      <w:r w:rsidRPr="00847DF3">
        <w:rPr>
          <w:rFonts w:asciiTheme="majorBidi" w:hAnsiTheme="majorBidi" w:cstheme="majorBidi"/>
          <w:sz w:val="28"/>
          <w:szCs w:val="28"/>
        </w:rPr>
        <w:t>geopolitics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/</w:t>
      </w:r>
      <w:r w:rsidRPr="00847DF3">
        <w:rPr>
          <w:rFonts w:asciiTheme="majorBidi" w:hAnsiTheme="majorBidi" w:cstheme="majorBidi"/>
          <w:sz w:val="28"/>
          <w:szCs w:val="28"/>
        </w:rPr>
        <w:t>UK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/ 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Малышева Д. Афганский кризис и постсоветская Центральная Азия // Мировая экономика и международные отношения. — 2017.</w:t>
      </w:r>
      <w:r w:rsidRPr="00670C79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—  Т. 61, №8. С. 14-23.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Мамедова Н.М. Иран в XX веке. Роль государства в экономическом развитии. - М., 1997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Мамедова Н.М. О некоторых проблемах формирования внешней политики ИРИ. </w:t>
      </w:r>
      <w:r w:rsidRPr="00847DF3">
        <w:rPr>
          <w:rFonts w:asciiTheme="majorBidi" w:hAnsiTheme="majorBidi" w:cstheme="majorBidi"/>
          <w:sz w:val="28"/>
          <w:szCs w:val="28"/>
        </w:rPr>
        <w:t>Ближний восток и современность.</w:t>
      </w:r>
      <w:r w:rsidRPr="00670C79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— </w:t>
      </w:r>
      <w:r w:rsidRPr="00847DF3">
        <w:rPr>
          <w:rFonts w:asciiTheme="majorBidi" w:hAnsiTheme="majorBidi" w:cstheme="majorBidi"/>
          <w:sz w:val="28"/>
          <w:szCs w:val="28"/>
        </w:rPr>
        <w:t>2007.</w:t>
      </w:r>
      <w:r w:rsidRPr="00670C79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— </w:t>
      </w:r>
      <w:r w:rsidRPr="00847DF3">
        <w:rPr>
          <w:rFonts w:asciiTheme="majorBidi" w:hAnsiTheme="majorBidi" w:cstheme="majorBidi"/>
          <w:sz w:val="28"/>
          <w:szCs w:val="28"/>
        </w:rPr>
        <w:t xml:space="preserve"> №44.С.75-82</w:t>
      </w:r>
      <w:r>
        <w:rPr>
          <w:rFonts w:asciiTheme="majorBidi" w:hAnsiTheme="majorBidi" w:cstheme="majorBidi"/>
          <w:sz w:val="28"/>
          <w:szCs w:val="28"/>
        </w:rPr>
        <w:t>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Манн С. Решения не должны ущемлять чьих-либо национальных интересов (Международная конференция „Каспий: правовые проблемы”// Международная жизнь.  №4.  — 2002.</w:t>
      </w:r>
      <w:r w:rsidRPr="00670C79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— С. 23.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Махмутова Е.В. Центральная Азия в поисках собственной интеграционной модели // Вестник МГИМО-Университета. — 2018.</w:t>
      </w:r>
      <w:r w:rsidRPr="00670C79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—  №4(61). С. 78-91.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Месамед В. И. Иран - Туркменистан : что впереди ? Институт Ближнего </w:t>
      </w:r>
      <w:r>
        <w:rPr>
          <w:rFonts w:asciiTheme="majorBidi" w:hAnsiTheme="majorBidi" w:cstheme="majorBidi"/>
          <w:sz w:val="28"/>
          <w:szCs w:val="28"/>
          <w:lang w:val="uk-UA"/>
        </w:rPr>
        <w:t>Востока. [Електронний ресурс</w:t>
      </w:r>
      <w:r>
        <w:rPr>
          <w:rFonts w:asciiTheme="majorBidi" w:hAnsiTheme="majorBidi" w:cstheme="majorBidi"/>
          <w:sz w:val="28"/>
          <w:szCs w:val="28"/>
        </w:rPr>
        <w:t>]</w:t>
      </w:r>
      <w:r w:rsidRPr="00B3478B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—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Режим доступу: www.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Ilmes.ru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/rusframe - stat.html 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Мехди Санаи . Взаимоотношения Ирана и Центральной Азии. Тенденции и перспективы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.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— 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М., 2017.</w:t>
      </w:r>
      <w:r w:rsidRPr="00BE427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—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450 с.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Мехди Санаи. Диалог цивилизаций и исламский фактор. // Диалог цивилизаций: исторический опыт и перспективы XXI века. Российско-иранский международный научный симпозиум 1-2 февраля 2002 г. – М.: РУДН, 2002. – С. 25. 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highKashida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Мехди Санаи. Отношения Ирана с 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Центрально-азиатскими странами СНГ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(Социально-</w:t>
      </w:r>
      <w:r w:rsidRPr="00847DF3">
        <w:rPr>
          <w:rFonts w:asciiTheme="majorBidi" w:hAnsiTheme="majorBidi" w:cstheme="majorBidi"/>
          <w:color w:val="000000"/>
          <w:sz w:val="28"/>
          <w:szCs w:val="28"/>
        </w:rPr>
        <w:br/>
      </w: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политичес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кий и экономические аспекты).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— </w:t>
      </w: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М., 2002.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lastRenderedPageBreak/>
        <w:t> Мехршод Шабоби. Взаимоотношения Ирана и Таджикистана со странами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Центральной Азии // Вестник национального Университета. - Душанбе, 2008. - №4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Новейшая история Центральной Азии: Проблемы теории и методологии: сб. статей / Вступ. ст., подгот., отв. ред.-сост. А.К. Аликберов, М.А. Рахимов / Российская акад. наук. Ин-т востоковедения. Ин-т истории АН РУз. М.: Институт востоковедения РАН, 2018. — 304 с.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highKashida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 Основные направления внешней политики Ирана </w:t>
      </w:r>
      <w:r>
        <w:rPr>
          <w:rFonts w:asciiTheme="majorBidi" w:hAnsiTheme="majorBidi" w:cstheme="majorBidi"/>
          <w:sz w:val="28"/>
          <w:szCs w:val="28"/>
          <w:lang w:val="uk-UA"/>
        </w:rPr>
        <w:t>02.11.2011</w:t>
      </w:r>
      <w:r>
        <w:rPr>
          <w:rFonts w:asciiTheme="majorBidi" w:hAnsiTheme="majorBidi" w:cstheme="majorBidi"/>
          <w:sz w:val="28"/>
          <w:szCs w:val="28"/>
        </w:rPr>
        <w:t>. [</w:t>
      </w:r>
      <w:r>
        <w:rPr>
          <w:rFonts w:asciiTheme="majorBidi" w:hAnsiTheme="majorBidi" w:cstheme="majorBidi"/>
          <w:sz w:val="28"/>
          <w:szCs w:val="28"/>
          <w:lang w:val="uk-UA"/>
        </w:rPr>
        <w:t>Електронний ресурс</w:t>
      </w:r>
      <w:r>
        <w:rPr>
          <w:rFonts w:asciiTheme="majorBidi" w:hAnsiTheme="majorBidi" w:cstheme="majorBidi"/>
          <w:sz w:val="28"/>
          <w:szCs w:val="28"/>
        </w:rPr>
        <w:t>]</w:t>
      </w:r>
      <w:r w:rsidRPr="00B3478B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—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Режим доступу: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http://www.iranembassy.co</w:t>
      </w:r>
      <w:r>
        <w:rPr>
          <w:rFonts w:asciiTheme="majorBidi" w:hAnsiTheme="majorBidi" w:cstheme="majorBidi"/>
          <w:sz w:val="28"/>
          <w:szCs w:val="28"/>
          <w:lang w:val="uk-UA"/>
        </w:rPr>
        <w:t>m.ua/Ru/politic/structure.html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Особенности внешней, политики ИРИ на пороге тысячелетия// Отв. ред.</w:t>
      </w:r>
      <w:r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Арунова М.Р. Ближний Восток и современность.-М., 2002.-Выпуск 14.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Партнерство России и Ирана: текущее состояние и перспективы развития. Доклад № 29/2017 / Гл. ред. И. С. Иванов; Российский совет по международным делам (РСМД).</w:t>
      </w:r>
      <w:r w:rsidRPr="00670C79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— М.: НП РСМД, 2017. – 184 с.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Попов Д. С. Таджикистан перед лицом угрозы международного терроризма // Проблемы национальной стратегии. — 2016. — №5(38). С. 126-147.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Программа девятого Правительства. Секретариат Совета по информации Правительства, 23.07-22.08.2005.</w:t>
      </w:r>
      <w:r>
        <w:rPr>
          <w:rFonts w:asciiTheme="majorBidi" w:hAnsiTheme="majorBidi" w:cstheme="majorBidi"/>
          <w:sz w:val="28"/>
          <w:szCs w:val="28"/>
          <w:lang w:val="uk-UA"/>
        </w:rPr>
        <w:t>. [Електронний ресурс</w:t>
      </w:r>
      <w:r>
        <w:rPr>
          <w:rFonts w:asciiTheme="majorBidi" w:hAnsiTheme="majorBidi" w:cstheme="majorBidi"/>
          <w:sz w:val="28"/>
          <w:szCs w:val="28"/>
        </w:rPr>
        <w:t>]</w:t>
      </w:r>
      <w:r w:rsidRPr="00B3478B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—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Режим доступу: http://www.president.ir/fa/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AE5B8E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Проекты сотрудничества и интеграции для Центральной Азии: сравнительный анализ, возможности и перспективы / Под ред. А.А. Князева. Бишкек, 2007. — 296 с.</w:t>
      </w:r>
    </w:p>
    <w:p w:rsidR="00AE5B8E" w:rsidRPr="00987D41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Резолюция 1929 (2010) СБ ООН от 9 июня 2010</w:t>
      </w:r>
      <w:r w:rsidRPr="00987D41">
        <w:rPr>
          <w:rFonts w:asciiTheme="majorBidi" w:hAnsiTheme="majorBidi" w:cstheme="majorBidi"/>
          <w:sz w:val="28"/>
          <w:szCs w:val="28"/>
          <w:lang w:val="uk-UA"/>
        </w:rPr>
        <w:t xml:space="preserve"> г.</w:t>
      </w:r>
      <w:r>
        <w:rPr>
          <w:rFonts w:asciiTheme="majorBidi" w:hAnsiTheme="majorBidi" w:cstheme="majorBidi"/>
          <w:sz w:val="28"/>
          <w:szCs w:val="28"/>
          <w:lang w:val="uk-UA"/>
        </w:rPr>
        <w:t>. [Електронний ресурс</w:t>
      </w:r>
      <w:r>
        <w:rPr>
          <w:rFonts w:asciiTheme="majorBidi" w:hAnsiTheme="majorBidi" w:cstheme="majorBidi"/>
          <w:sz w:val="28"/>
          <w:szCs w:val="28"/>
        </w:rPr>
        <w:t>]</w:t>
      </w:r>
      <w:r w:rsidRPr="00B3478B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—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Режим доступу: </w:t>
      </w:r>
      <w:r w:rsidRPr="00987D41">
        <w:rPr>
          <w:rFonts w:asciiTheme="majorBidi" w:hAnsiTheme="majorBidi" w:cstheme="majorBidi"/>
          <w:sz w:val="28"/>
          <w:szCs w:val="28"/>
          <w:lang w:val="uk-UA"/>
        </w:rPr>
        <w:t>http://zakon.rada.gov.ua/laws/show/995_i86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Риков А.Г. Региональн</w:t>
      </w:r>
      <w:r w:rsidRPr="00847DF3">
        <w:rPr>
          <w:rFonts w:asciiTheme="majorBidi" w:hAnsiTheme="majorBidi" w:cstheme="majorBidi"/>
          <w:sz w:val="28"/>
          <w:szCs w:val="28"/>
        </w:rPr>
        <w:t>ые амбиции новой Иранской дипломатии. Ближний восток и современность.</w:t>
      </w:r>
      <w:r w:rsidRPr="00670C79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— </w:t>
      </w:r>
      <w:r w:rsidRPr="00847DF3">
        <w:rPr>
          <w:rFonts w:asciiTheme="majorBidi" w:hAnsiTheme="majorBidi" w:cstheme="majorBidi"/>
          <w:sz w:val="28"/>
          <w:szCs w:val="28"/>
        </w:rPr>
        <w:t>2007.</w:t>
      </w:r>
      <w:r w:rsidRPr="00670C79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— </w:t>
      </w:r>
      <w:r w:rsidRPr="00847DF3">
        <w:rPr>
          <w:rFonts w:asciiTheme="majorBidi" w:hAnsiTheme="majorBidi" w:cstheme="majorBidi"/>
          <w:sz w:val="28"/>
          <w:szCs w:val="28"/>
        </w:rPr>
        <w:t xml:space="preserve"> №33.С.326-335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lastRenderedPageBreak/>
        <w:t>Рожков И.С. Энергетический фактор как триггер формирования международного режима Каспийского моря на современном этапе // Вестник МГИМО-Университета. — 2018.</w:t>
      </w:r>
      <w:r w:rsidRPr="00670C79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—  №1(58). С. 110-126.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Романюк О. Моделі пос</w:t>
      </w:r>
      <w:r>
        <w:rPr>
          <w:rFonts w:asciiTheme="majorBidi" w:hAnsiTheme="majorBidi" w:cstheme="majorBidi"/>
          <w:sz w:val="28"/>
          <w:szCs w:val="28"/>
          <w:lang w:val="uk-UA"/>
        </w:rPr>
        <w:t>ткомуністичних трансформацій. [Електронний ресурс</w:t>
      </w:r>
      <w:r>
        <w:rPr>
          <w:rFonts w:asciiTheme="majorBidi" w:hAnsiTheme="majorBidi" w:cstheme="majorBidi"/>
          <w:sz w:val="28"/>
          <w:szCs w:val="28"/>
        </w:rPr>
        <w:t>]</w:t>
      </w:r>
      <w:r w:rsidRPr="00B3478B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—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Режим доступу: </w:t>
      </w:r>
      <w:r w:rsidRPr="00847DF3">
        <w:rPr>
          <w:rFonts w:asciiTheme="majorBidi" w:hAnsiTheme="majorBidi" w:cstheme="majorBidi"/>
          <w:sz w:val="28"/>
          <w:szCs w:val="28"/>
        </w:rPr>
        <w:t>http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:// </w:t>
      </w:r>
      <w:r w:rsidRPr="00847DF3">
        <w:rPr>
          <w:rFonts w:asciiTheme="majorBidi" w:hAnsiTheme="majorBidi" w:cstheme="majorBidi"/>
          <w:sz w:val="28"/>
          <w:szCs w:val="28"/>
        </w:rPr>
        <w:t>www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.</w:t>
      </w:r>
      <w:r w:rsidRPr="00847DF3">
        <w:rPr>
          <w:rFonts w:asciiTheme="majorBidi" w:hAnsiTheme="majorBidi" w:cstheme="majorBidi"/>
          <w:sz w:val="28"/>
          <w:szCs w:val="28"/>
        </w:rPr>
        <w:t>politik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.</w:t>
      </w:r>
      <w:r w:rsidRPr="00847DF3">
        <w:rPr>
          <w:rFonts w:asciiTheme="majorBidi" w:hAnsiTheme="majorBidi" w:cstheme="majorBidi"/>
          <w:sz w:val="28"/>
          <w:szCs w:val="28"/>
        </w:rPr>
        <w:t>org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.</w:t>
      </w:r>
      <w:r w:rsidRPr="00847DF3">
        <w:rPr>
          <w:rFonts w:asciiTheme="majorBidi" w:hAnsiTheme="majorBidi" w:cstheme="majorBidi"/>
          <w:sz w:val="28"/>
          <w:szCs w:val="28"/>
        </w:rPr>
        <w:t>ua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</w:rPr>
        <w:t>vid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/</w:t>
      </w:r>
      <w:r w:rsidRPr="00847DF3">
        <w:rPr>
          <w:rFonts w:asciiTheme="majorBidi" w:hAnsiTheme="majorBidi" w:cstheme="majorBidi"/>
          <w:sz w:val="28"/>
          <w:szCs w:val="28"/>
        </w:rPr>
        <w:t>magcontent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.</w:t>
      </w:r>
      <w:r w:rsidRPr="00847DF3">
        <w:rPr>
          <w:rFonts w:asciiTheme="majorBidi" w:hAnsiTheme="majorBidi" w:cstheme="majorBidi"/>
          <w:sz w:val="28"/>
          <w:szCs w:val="28"/>
        </w:rPr>
        <w:t>php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3/?</w:t>
      </w:r>
      <w:r w:rsidRPr="00847DF3">
        <w:rPr>
          <w:rFonts w:asciiTheme="majorBidi" w:hAnsiTheme="majorBidi" w:cstheme="majorBidi"/>
          <w:sz w:val="28"/>
          <w:szCs w:val="28"/>
        </w:rPr>
        <w:t>m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=1&amp;</w:t>
      </w:r>
      <w:r w:rsidRPr="00847DF3">
        <w:rPr>
          <w:rFonts w:asciiTheme="majorBidi" w:hAnsiTheme="majorBidi" w:cstheme="majorBidi"/>
          <w:sz w:val="28"/>
          <w:szCs w:val="28"/>
        </w:rPr>
        <w:t>n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=58&amp;</w:t>
      </w:r>
      <w:r w:rsidRPr="00847DF3">
        <w:rPr>
          <w:rFonts w:asciiTheme="majorBidi" w:hAnsiTheme="majorBidi" w:cstheme="majorBidi"/>
          <w:sz w:val="28"/>
          <w:szCs w:val="28"/>
        </w:rPr>
        <w:t>c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=1236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</w:rPr>
        <w:t>Романюк О. Посткомуністичні трансформації // Політичний менеджмент. – 2005. – №4. – 28-37.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Сажин В.И. Некоторые практические вопросы внешней политики Ирана при </w:t>
      </w:r>
      <w:r>
        <w:rPr>
          <w:rFonts w:asciiTheme="majorBidi" w:hAnsiTheme="majorBidi" w:cstheme="majorBidi"/>
          <w:sz w:val="28"/>
          <w:szCs w:val="28"/>
          <w:lang w:val="uk-UA"/>
        </w:rPr>
        <w:t>президент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те М. </w:t>
      </w:r>
      <w:r w:rsidRPr="00847DF3">
        <w:rPr>
          <w:rFonts w:asciiTheme="majorBidi" w:hAnsiTheme="majorBidi" w:cstheme="majorBidi"/>
          <w:sz w:val="28"/>
          <w:szCs w:val="28"/>
        </w:rPr>
        <w:t>Ближний восток и современность.</w:t>
      </w:r>
      <w:r w:rsidRPr="00670C79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— </w:t>
      </w:r>
      <w:r w:rsidRPr="00847DF3">
        <w:rPr>
          <w:rFonts w:asciiTheme="majorBidi" w:hAnsiTheme="majorBidi" w:cstheme="majorBidi"/>
          <w:sz w:val="28"/>
          <w:szCs w:val="28"/>
        </w:rPr>
        <w:t xml:space="preserve">2007.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— </w:t>
      </w:r>
      <w:r w:rsidRPr="00847DF3">
        <w:rPr>
          <w:rFonts w:asciiTheme="majorBidi" w:hAnsiTheme="majorBidi" w:cstheme="majorBidi"/>
          <w:sz w:val="28"/>
          <w:szCs w:val="28"/>
        </w:rPr>
        <w:t>№33.С.234-242</w:t>
      </w:r>
      <w:r>
        <w:rPr>
          <w:rFonts w:asciiTheme="majorBidi" w:hAnsiTheme="majorBidi" w:cstheme="majorBidi"/>
          <w:sz w:val="28"/>
          <w:szCs w:val="28"/>
        </w:rPr>
        <w:t>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Сидоров О. </w:t>
      </w:r>
      <w:r>
        <w:rPr>
          <w:rFonts w:asciiTheme="majorBidi" w:hAnsiTheme="majorBidi" w:cstheme="majorBidi"/>
          <w:sz w:val="28"/>
          <w:szCs w:val="28"/>
          <w:lang w:val="uk-UA"/>
        </w:rPr>
        <w:t>И</w:t>
      </w:r>
      <w:r>
        <w:rPr>
          <w:rFonts w:asciiTheme="majorBidi" w:hAnsiTheme="majorBidi" w:cstheme="majorBidi"/>
          <w:sz w:val="28"/>
          <w:szCs w:val="28"/>
        </w:rPr>
        <w:t>сламский фактор во внутриполитической стабильности государств Центральной Азии.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 // Центральная Азия и Кавказ.</w:t>
      </w:r>
      <w:r w:rsidRPr="00670C79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—  2007. — №1(49). С. 15-24.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Ткаченко І. Центральна Азія як зона перетину інтересів конкуруючих держав //</w:t>
      </w:r>
      <w:r w:rsidRPr="00847DF3">
        <w:rPr>
          <w:rFonts w:asciiTheme="majorBidi" w:hAnsiTheme="majorBidi" w:cstheme="majorBidi"/>
          <w:sz w:val="28"/>
          <w:szCs w:val="28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Політичний менеджмент. – 2004. – №5(8). – C.114-121</w:t>
      </w:r>
      <w:r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Трансформація політичних систем в країнах Центральної Азії: національний та регіональний аспекти. – К.: ІПіЕНД, 2011. – 288 с.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Умаров А. А. Участие Ирана в стабилизации Афганистана после 2001 г. // Проблемы национальной стратегии. — 2017.</w:t>
      </w:r>
      <w:r w:rsidRPr="00670C79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—  №3(42). С. 73-89.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Филин Н. А. Факторы, влияющие на российско-иранские отношения в начале ХХI в. // Власть. — 2017. — № 3. С. 207-210.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Чихринова А.И. Проблема влияния отношений между Афганистаном и Ираном на политическую обстановку в регионе и способы ее улучшения // Вестник РУДН. Серия: Политология. — 2015, — №2. С. 23-35.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Шарапова С. Треугольник США – Западная Европа – Россия и Центральна Азия // Центральная Азия и Кавказ. –2003. – №1 (25). – С.93-99</w:t>
      </w:r>
      <w:r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lastRenderedPageBreak/>
        <w:t>Шплехер Мартин. Экономика и безопасность государств Центральной Азии после 11 сентября 2001 года: скептический взгляд на ситуацию // Центральная Азия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и Кавказ. №1 (25).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—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2003.</w:t>
      </w:r>
      <w:r w:rsidRPr="00670C79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—  С. 46.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Beddoes </w:t>
      </w:r>
      <w:r w:rsidRPr="00847DF3">
        <w:rPr>
          <w:rFonts w:asciiTheme="majorBidi" w:hAnsiTheme="majorBidi" w:cstheme="majorBidi"/>
          <w:sz w:val="28"/>
          <w:szCs w:val="28"/>
          <w:lang w:val="en-US"/>
        </w:rPr>
        <w:t>Z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. M. Central Asia // Economist. — 1998.</w:t>
      </w:r>
      <w:r w:rsidRPr="00670C79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— Vol. 346. N8054..P.1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Herzig  Edmund.  Regionalism, Iran and Central Asia </w:t>
      </w:r>
      <w:r w:rsidRPr="00847DF3">
        <w:rPr>
          <w:rFonts w:asciiTheme="majorBidi" w:hAnsiTheme="majorBidi" w:cstheme="majorBidi"/>
          <w:sz w:val="28"/>
          <w:szCs w:val="28"/>
          <w:lang w:val="en-US"/>
        </w:rPr>
        <w:t xml:space="preserve">//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International Affairs, Vol</w:t>
      </w:r>
      <w:r w:rsidRPr="00847DF3">
        <w:rPr>
          <w:rFonts w:asciiTheme="majorBidi" w:hAnsiTheme="majorBidi" w:cstheme="majorBidi"/>
          <w:sz w:val="28"/>
          <w:szCs w:val="28"/>
          <w:lang w:val="en-US"/>
        </w:rPr>
        <w:t>.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80,</w:t>
      </w:r>
      <w:r w:rsidRPr="00670C79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— 2004,</w:t>
      </w:r>
      <w:r w:rsidRPr="00670C79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>—  P</w:t>
      </w:r>
      <w:r w:rsidRPr="00847DF3">
        <w:rPr>
          <w:rFonts w:asciiTheme="majorBidi" w:hAnsiTheme="majorBidi" w:cstheme="majorBidi"/>
          <w:sz w:val="28"/>
          <w:szCs w:val="28"/>
          <w:lang w:val="en-US"/>
        </w:rPr>
        <w:t>.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 503–517</w:t>
      </w:r>
      <w:r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>Jones Luong P., Weinthal E. New Friends, New Fears in Central Asia // Foreign Affairs. March/April 2002.</w:t>
      </w:r>
      <w:r w:rsidRPr="00670C79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—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Vol. 81. № 2. P. 72-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79. 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847DF3">
        <w:rPr>
          <w:rFonts w:asciiTheme="majorBidi" w:hAnsiTheme="majorBidi" w:cstheme="majorBidi"/>
          <w:sz w:val="28"/>
          <w:szCs w:val="28"/>
          <w:lang w:val="en-US"/>
        </w:rPr>
        <w:t xml:space="preserve">MOHIADDIN MESBAHI. Iran and Central Asia: paradigm and policy // Central Asian Survey, Vol. 23,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— </w:t>
      </w:r>
      <w:r w:rsidRPr="00847DF3">
        <w:rPr>
          <w:rFonts w:asciiTheme="majorBidi" w:hAnsiTheme="majorBidi" w:cstheme="majorBidi"/>
          <w:sz w:val="28"/>
          <w:szCs w:val="28"/>
          <w:lang w:val="en-US"/>
        </w:rPr>
        <w:t>2004.</w:t>
      </w:r>
      <w:r w:rsidRPr="00670C79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— </w:t>
      </w:r>
      <w:r>
        <w:rPr>
          <w:rFonts w:asciiTheme="majorBidi" w:hAnsiTheme="majorBidi" w:cstheme="majorBidi"/>
          <w:sz w:val="28"/>
          <w:szCs w:val="28"/>
          <w:lang w:val="en-US"/>
        </w:rPr>
        <w:t xml:space="preserve"> P. 109-139</w:t>
      </w:r>
      <w:r w:rsidRPr="00BE4278">
        <w:rPr>
          <w:rFonts w:asciiTheme="majorBidi" w:hAnsiTheme="majorBidi" w:cstheme="majorBidi"/>
          <w:sz w:val="28"/>
          <w:szCs w:val="28"/>
          <w:lang w:val="en-US"/>
        </w:rPr>
        <w:t>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uk-UA"/>
        </w:rPr>
        <w:t xml:space="preserve"> Rywkin M. What Is Central Asia to Us? // American Foreign Policy Interests. – Volume 33, Number 5, 2011. – P.222-229</w:t>
      </w:r>
      <w:r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AE5B8E" w:rsidRPr="00847DF3" w:rsidRDefault="00AE5B8E" w:rsidP="00AE5B8E">
      <w:pPr>
        <w:pStyle w:val="a6"/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847DF3">
        <w:rPr>
          <w:rFonts w:asciiTheme="majorBidi" w:hAnsiTheme="majorBidi" w:cstheme="majorBidi"/>
          <w:sz w:val="28"/>
          <w:szCs w:val="28"/>
          <w:lang w:val="en-US"/>
        </w:rPr>
        <w:t>Smith D. Central Asia: A New Great Game. – Carlisle Baracks: Strategic Studies Institute, 1996. – 40 p</w:t>
      </w:r>
      <w:r w:rsidRPr="00670C79">
        <w:rPr>
          <w:rFonts w:asciiTheme="majorBidi" w:hAnsiTheme="majorBidi" w:cstheme="majorBidi"/>
          <w:sz w:val="28"/>
          <w:szCs w:val="28"/>
          <w:lang w:val="en-US"/>
        </w:rPr>
        <w:t>.</w:t>
      </w:r>
    </w:p>
    <w:p w:rsidR="00AE5B8E" w:rsidRDefault="00AE5B8E" w:rsidP="00AE5B8E">
      <w:pPr>
        <w:spacing w:line="360" w:lineRule="auto"/>
        <w:ind w:firstLine="709"/>
        <w:jc w:val="both"/>
        <w:rPr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lang w:val="uk-UA"/>
        </w:rPr>
      </w:pPr>
    </w:p>
    <w:p w:rsidR="00AE5B8E" w:rsidRDefault="00AE5B8E" w:rsidP="00AE5B8E">
      <w:pPr>
        <w:spacing w:line="360" w:lineRule="auto"/>
        <w:ind w:firstLine="709"/>
        <w:jc w:val="both"/>
        <w:rPr>
          <w:lang w:val="uk-UA"/>
        </w:rPr>
      </w:pPr>
    </w:p>
    <w:p w:rsidR="00AE5B8E" w:rsidRPr="00643AF6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643AF6"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AE5B8E" w:rsidRPr="00643AF6" w:rsidRDefault="00AE5B8E" w:rsidP="00AE5B8E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696495" w:rsidRPr="00446293" w:rsidRDefault="00696495">
      <w:pPr>
        <w:rPr>
          <w:lang w:val="en-US"/>
        </w:rPr>
      </w:pPr>
    </w:p>
    <w:sectPr w:rsidR="00696495" w:rsidRPr="00446293">
      <w:head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3FAC" w:rsidRDefault="00283FAC" w:rsidP="00AE5B8E">
      <w:r>
        <w:separator/>
      </w:r>
    </w:p>
  </w:endnote>
  <w:endnote w:type="continuationSeparator" w:id="0">
    <w:p w:rsidR="00283FAC" w:rsidRDefault="00283FAC" w:rsidP="00AE5B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3FAC" w:rsidRDefault="00283FAC" w:rsidP="00AE5B8E">
      <w:r>
        <w:separator/>
      </w:r>
    </w:p>
  </w:footnote>
  <w:footnote w:type="continuationSeparator" w:id="0">
    <w:p w:rsidR="00283FAC" w:rsidRDefault="00283FAC" w:rsidP="00AE5B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35054836"/>
      <w:docPartObj>
        <w:docPartGallery w:val="Page Numbers (Top of Page)"/>
        <w:docPartUnique/>
      </w:docPartObj>
    </w:sdtPr>
    <w:sdtEndPr/>
    <w:sdtContent>
      <w:p w:rsidR="00AE5B8E" w:rsidRDefault="00AE5B8E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370E1">
          <w:rPr>
            <w:noProof/>
          </w:rPr>
          <w:t>6</w:t>
        </w:r>
        <w:r>
          <w:fldChar w:fldCharType="end"/>
        </w:r>
      </w:p>
    </w:sdtContent>
  </w:sdt>
  <w:p w:rsidR="00AE5B8E" w:rsidRDefault="00AE5B8E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7D30E2"/>
    <w:multiLevelType w:val="hybridMultilevel"/>
    <w:tmpl w:val="E328F296"/>
    <w:lvl w:ilvl="0" w:tplc="3E76C2F6">
      <w:numFmt w:val="bullet"/>
      <w:lvlText w:val="-"/>
      <w:lvlJc w:val="left"/>
      <w:pPr>
        <w:ind w:left="1579" w:hanging="87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467078F2"/>
    <w:multiLevelType w:val="hybridMultilevel"/>
    <w:tmpl w:val="694CE9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6293"/>
    <w:rsid w:val="000004CF"/>
    <w:rsid w:val="000031A3"/>
    <w:rsid w:val="0000393A"/>
    <w:rsid w:val="00022052"/>
    <w:rsid w:val="00026A72"/>
    <w:rsid w:val="00042F29"/>
    <w:rsid w:val="000670E4"/>
    <w:rsid w:val="000C181D"/>
    <w:rsid w:val="000C358B"/>
    <w:rsid w:val="000C7A88"/>
    <w:rsid w:val="000D3696"/>
    <w:rsid w:val="000D62CD"/>
    <w:rsid w:val="000F1A9D"/>
    <w:rsid w:val="000F2A10"/>
    <w:rsid w:val="0010191F"/>
    <w:rsid w:val="00101A74"/>
    <w:rsid w:val="001035B4"/>
    <w:rsid w:val="001138B5"/>
    <w:rsid w:val="001142CF"/>
    <w:rsid w:val="001207D8"/>
    <w:rsid w:val="00127DDD"/>
    <w:rsid w:val="00127F67"/>
    <w:rsid w:val="0013109B"/>
    <w:rsid w:val="00134164"/>
    <w:rsid w:val="001346F5"/>
    <w:rsid w:val="00135944"/>
    <w:rsid w:val="00145A2D"/>
    <w:rsid w:val="00151805"/>
    <w:rsid w:val="00172EC0"/>
    <w:rsid w:val="00172FE0"/>
    <w:rsid w:val="00176DA3"/>
    <w:rsid w:val="0017785A"/>
    <w:rsid w:val="00180457"/>
    <w:rsid w:val="00181B42"/>
    <w:rsid w:val="001B534B"/>
    <w:rsid w:val="001B5618"/>
    <w:rsid w:val="001D77C1"/>
    <w:rsid w:val="001E519A"/>
    <w:rsid w:val="00210AA4"/>
    <w:rsid w:val="00212A5E"/>
    <w:rsid w:val="0021373B"/>
    <w:rsid w:val="00213DDC"/>
    <w:rsid w:val="00233C35"/>
    <w:rsid w:val="002370E1"/>
    <w:rsid w:val="002477EC"/>
    <w:rsid w:val="00257BD0"/>
    <w:rsid w:val="002637C8"/>
    <w:rsid w:val="002662D0"/>
    <w:rsid w:val="00275C5B"/>
    <w:rsid w:val="00276B6D"/>
    <w:rsid w:val="00283FAC"/>
    <w:rsid w:val="00293EE2"/>
    <w:rsid w:val="002A369E"/>
    <w:rsid w:val="002B3D86"/>
    <w:rsid w:val="002B7F08"/>
    <w:rsid w:val="002C18C0"/>
    <w:rsid w:val="002C50FE"/>
    <w:rsid w:val="002C6A44"/>
    <w:rsid w:val="002D03ED"/>
    <w:rsid w:val="002E4944"/>
    <w:rsid w:val="002E5648"/>
    <w:rsid w:val="002E6D2B"/>
    <w:rsid w:val="002F6A33"/>
    <w:rsid w:val="0030230A"/>
    <w:rsid w:val="0030754E"/>
    <w:rsid w:val="00307D8B"/>
    <w:rsid w:val="003219A8"/>
    <w:rsid w:val="003353FE"/>
    <w:rsid w:val="00336F10"/>
    <w:rsid w:val="00337362"/>
    <w:rsid w:val="003433CD"/>
    <w:rsid w:val="00364A32"/>
    <w:rsid w:val="00380997"/>
    <w:rsid w:val="00394CD5"/>
    <w:rsid w:val="003B0A62"/>
    <w:rsid w:val="003B5A2E"/>
    <w:rsid w:val="003D4154"/>
    <w:rsid w:val="003E1DE4"/>
    <w:rsid w:val="003E1E02"/>
    <w:rsid w:val="00414C6C"/>
    <w:rsid w:val="00423631"/>
    <w:rsid w:val="00424307"/>
    <w:rsid w:val="00424D4A"/>
    <w:rsid w:val="00426A23"/>
    <w:rsid w:val="00432323"/>
    <w:rsid w:val="00445639"/>
    <w:rsid w:val="00446293"/>
    <w:rsid w:val="00473E0F"/>
    <w:rsid w:val="004B3C58"/>
    <w:rsid w:val="004B4090"/>
    <w:rsid w:val="004B5349"/>
    <w:rsid w:val="004B63B2"/>
    <w:rsid w:val="004C07FE"/>
    <w:rsid w:val="004C5A9F"/>
    <w:rsid w:val="005059C1"/>
    <w:rsid w:val="00507CE5"/>
    <w:rsid w:val="005113CC"/>
    <w:rsid w:val="005113D6"/>
    <w:rsid w:val="00524B60"/>
    <w:rsid w:val="005266EA"/>
    <w:rsid w:val="00533755"/>
    <w:rsid w:val="0053539D"/>
    <w:rsid w:val="00541E0F"/>
    <w:rsid w:val="0054642B"/>
    <w:rsid w:val="00556A7F"/>
    <w:rsid w:val="00561AE8"/>
    <w:rsid w:val="005652B6"/>
    <w:rsid w:val="00570BFB"/>
    <w:rsid w:val="005754A0"/>
    <w:rsid w:val="00584841"/>
    <w:rsid w:val="00592B74"/>
    <w:rsid w:val="00593DF1"/>
    <w:rsid w:val="0059487A"/>
    <w:rsid w:val="005A3B9E"/>
    <w:rsid w:val="005D642A"/>
    <w:rsid w:val="005E1525"/>
    <w:rsid w:val="005F2689"/>
    <w:rsid w:val="005F7EAB"/>
    <w:rsid w:val="00600056"/>
    <w:rsid w:val="006201E3"/>
    <w:rsid w:val="006324EA"/>
    <w:rsid w:val="006449BC"/>
    <w:rsid w:val="00653785"/>
    <w:rsid w:val="00667D67"/>
    <w:rsid w:val="00676E06"/>
    <w:rsid w:val="00680F04"/>
    <w:rsid w:val="006823A9"/>
    <w:rsid w:val="00696495"/>
    <w:rsid w:val="006B0852"/>
    <w:rsid w:val="006B26B8"/>
    <w:rsid w:val="006B4222"/>
    <w:rsid w:val="006B652A"/>
    <w:rsid w:val="006E346A"/>
    <w:rsid w:val="006F17C0"/>
    <w:rsid w:val="00701846"/>
    <w:rsid w:val="00707CCC"/>
    <w:rsid w:val="007170C2"/>
    <w:rsid w:val="007469C8"/>
    <w:rsid w:val="007C07D5"/>
    <w:rsid w:val="007D10D7"/>
    <w:rsid w:val="007D40D7"/>
    <w:rsid w:val="00801F3D"/>
    <w:rsid w:val="00802AD1"/>
    <w:rsid w:val="008042FB"/>
    <w:rsid w:val="0081738F"/>
    <w:rsid w:val="00822F65"/>
    <w:rsid w:val="008232B5"/>
    <w:rsid w:val="00833120"/>
    <w:rsid w:val="00835B15"/>
    <w:rsid w:val="00841A7E"/>
    <w:rsid w:val="00843600"/>
    <w:rsid w:val="0084411C"/>
    <w:rsid w:val="00844C10"/>
    <w:rsid w:val="00872B19"/>
    <w:rsid w:val="00881F46"/>
    <w:rsid w:val="00882BE7"/>
    <w:rsid w:val="00896AE0"/>
    <w:rsid w:val="008B0494"/>
    <w:rsid w:val="008B4C81"/>
    <w:rsid w:val="008C09F1"/>
    <w:rsid w:val="008C5617"/>
    <w:rsid w:val="008E23A3"/>
    <w:rsid w:val="008E291A"/>
    <w:rsid w:val="008E631D"/>
    <w:rsid w:val="00910BA8"/>
    <w:rsid w:val="00912D0A"/>
    <w:rsid w:val="00915FAF"/>
    <w:rsid w:val="009205F5"/>
    <w:rsid w:val="00950458"/>
    <w:rsid w:val="00956D28"/>
    <w:rsid w:val="009666A6"/>
    <w:rsid w:val="009734C1"/>
    <w:rsid w:val="00980F81"/>
    <w:rsid w:val="0099122D"/>
    <w:rsid w:val="009C2C7F"/>
    <w:rsid w:val="009D13D0"/>
    <w:rsid w:val="009D1E4B"/>
    <w:rsid w:val="009D21F5"/>
    <w:rsid w:val="009D7823"/>
    <w:rsid w:val="009E6E67"/>
    <w:rsid w:val="00A01F51"/>
    <w:rsid w:val="00A0663F"/>
    <w:rsid w:val="00A17260"/>
    <w:rsid w:val="00A2074B"/>
    <w:rsid w:val="00A30AC8"/>
    <w:rsid w:val="00A400EC"/>
    <w:rsid w:val="00A46E9B"/>
    <w:rsid w:val="00A57FD4"/>
    <w:rsid w:val="00A63DB6"/>
    <w:rsid w:val="00A644B5"/>
    <w:rsid w:val="00A736AE"/>
    <w:rsid w:val="00A9214B"/>
    <w:rsid w:val="00A97CD8"/>
    <w:rsid w:val="00AA2ABB"/>
    <w:rsid w:val="00AB178C"/>
    <w:rsid w:val="00AB2B91"/>
    <w:rsid w:val="00AB2FEE"/>
    <w:rsid w:val="00AE5B8E"/>
    <w:rsid w:val="00B06E11"/>
    <w:rsid w:val="00B202F2"/>
    <w:rsid w:val="00B205C1"/>
    <w:rsid w:val="00B23386"/>
    <w:rsid w:val="00B316D3"/>
    <w:rsid w:val="00B32B2D"/>
    <w:rsid w:val="00B36017"/>
    <w:rsid w:val="00B424D5"/>
    <w:rsid w:val="00B42A44"/>
    <w:rsid w:val="00B45BC1"/>
    <w:rsid w:val="00B53A00"/>
    <w:rsid w:val="00B7110C"/>
    <w:rsid w:val="00B73D2F"/>
    <w:rsid w:val="00B743D3"/>
    <w:rsid w:val="00B819B7"/>
    <w:rsid w:val="00B85EC4"/>
    <w:rsid w:val="00BA6425"/>
    <w:rsid w:val="00BB301F"/>
    <w:rsid w:val="00BC1E60"/>
    <w:rsid w:val="00BE45D5"/>
    <w:rsid w:val="00C05D8F"/>
    <w:rsid w:val="00C06B65"/>
    <w:rsid w:val="00C229E8"/>
    <w:rsid w:val="00C36FFE"/>
    <w:rsid w:val="00C413FB"/>
    <w:rsid w:val="00C43CB3"/>
    <w:rsid w:val="00C4582E"/>
    <w:rsid w:val="00C54ECC"/>
    <w:rsid w:val="00C7195C"/>
    <w:rsid w:val="00C76955"/>
    <w:rsid w:val="00C8044B"/>
    <w:rsid w:val="00C9643E"/>
    <w:rsid w:val="00C97686"/>
    <w:rsid w:val="00CA11E5"/>
    <w:rsid w:val="00CB4358"/>
    <w:rsid w:val="00CB797A"/>
    <w:rsid w:val="00CD243B"/>
    <w:rsid w:val="00CD2A1C"/>
    <w:rsid w:val="00CD5C65"/>
    <w:rsid w:val="00D07348"/>
    <w:rsid w:val="00D1455B"/>
    <w:rsid w:val="00D24859"/>
    <w:rsid w:val="00D30B4E"/>
    <w:rsid w:val="00D55DBB"/>
    <w:rsid w:val="00D81DD2"/>
    <w:rsid w:val="00D83312"/>
    <w:rsid w:val="00D85C2B"/>
    <w:rsid w:val="00D86DE0"/>
    <w:rsid w:val="00D91CF6"/>
    <w:rsid w:val="00D965A2"/>
    <w:rsid w:val="00DA31DC"/>
    <w:rsid w:val="00DD1FF3"/>
    <w:rsid w:val="00DE04B2"/>
    <w:rsid w:val="00DE60F1"/>
    <w:rsid w:val="00E01331"/>
    <w:rsid w:val="00E2278A"/>
    <w:rsid w:val="00E46FDF"/>
    <w:rsid w:val="00E50F18"/>
    <w:rsid w:val="00E5716D"/>
    <w:rsid w:val="00E60C76"/>
    <w:rsid w:val="00E655E3"/>
    <w:rsid w:val="00E662A4"/>
    <w:rsid w:val="00E7590B"/>
    <w:rsid w:val="00E81BF3"/>
    <w:rsid w:val="00E85576"/>
    <w:rsid w:val="00E85AA0"/>
    <w:rsid w:val="00EC3C04"/>
    <w:rsid w:val="00ED33EB"/>
    <w:rsid w:val="00ED3928"/>
    <w:rsid w:val="00EE3AA9"/>
    <w:rsid w:val="00EF13D6"/>
    <w:rsid w:val="00EF2931"/>
    <w:rsid w:val="00F211CE"/>
    <w:rsid w:val="00F23489"/>
    <w:rsid w:val="00F40455"/>
    <w:rsid w:val="00F40495"/>
    <w:rsid w:val="00F42632"/>
    <w:rsid w:val="00F42EB1"/>
    <w:rsid w:val="00F471EC"/>
    <w:rsid w:val="00F54B62"/>
    <w:rsid w:val="00F57099"/>
    <w:rsid w:val="00F67BAF"/>
    <w:rsid w:val="00F703FE"/>
    <w:rsid w:val="00F718F6"/>
    <w:rsid w:val="00F91D52"/>
    <w:rsid w:val="00F93132"/>
    <w:rsid w:val="00F94667"/>
    <w:rsid w:val="00FB1311"/>
    <w:rsid w:val="00FC10D6"/>
    <w:rsid w:val="00FC3ED2"/>
    <w:rsid w:val="00FC77F7"/>
    <w:rsid w:val="00FF0060"/>
    <w:rsid w:val="00FF2F45"/>
    <w:rsid w:val="00FF3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629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E5B8E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4">
    <w:name w:val="Текст выноски Знак"/>
    <w:basedOn w:val="a0"/>
    <w:link w:val="a3"/>
    <w:uiPriority w:val="99"/>
    <w:semiHidden/>
    <w:rsid w:val="00AE5B8E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AE5B8E"/>
    <w:pPr>
      <w:spacing w:before="100" w:beforeAutospacing="1" w:after="100" w:afterAutospacing="1"/>
    </w:pPr>
  </w:style>
  <w:style w:type="paragraph" w:styleId="a6">
    <w:name w:val="List Paragraph"/>
    <w:basedOn w:val="a"/>
    <w:uiPriority w:val="34"/>
    <w:qFormat/>
    <w:rsid w:val="00AE5B8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7">
    <w:name w:val="Hyperlink"/>
    <w:basedOn w:val="a0"/>
    <w:uiPriority w:val="99"/>
    <w:semiHidden/>
    <w:unhideWhenUsed/>
    <w:rsid w:val="00AE5B8E"/>
    <w:rPr>
      <w:color w:val="0000FF"/>
      <w:u w:val="single"/>
    </w:rPr>
  </w:style>
  <w:style w:type="character" w:customStyle="1" w:styleId="hl">
    <w:name w:val="hl"/>
    <w:basedOn w:val="a0"/>
    <w:rsid w:val="00AE5B8E"/>
  </w:style>
  <w:style w:type="character" w:customStyle="1" w:styleId="apple-style-span">
    <w:name w:val="apple-style-span"/>
    <w:basedOn w:val="a0"/>
    <w:rsid w:val="00AE5B8E"/>
    <w:rPr>
      <w:rFonts w:cs="Times New Roman"/>
    </w:rPr>
  </w:style>
  <w:style w:type="character" w:customStyle="1" w:styleId="apple-converted-space">
    <w:name w:val="apple-converted-space"/>
    <w:rsid w:val="00AE5B8E"/>
  </w:style>
  <w:style w:type="paragraph" w:styleId="a8">
    <w:name w:val="header"/>
    <w:basedOn w:val="a"/>
    <w:link w:val="a9"/>
    <w:uiPriority w:val="99"/>
    <w:unhideWhenUsed/>
    <w:rsid w:val="00AE5B8E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Верхний колонтитул Знак"/>
    <w:basedOn w:val="a0"/>
    <w:link w:val="a8"/>
    <w:uiPriority w:val="99"/>
    <w:rsid w:val="00AE5B8E"/>
  </w:style>
  <w:style w:type="paragraph" w:styleId="aa">
    <w:name w:val="footer"/>
    <w:basedOn w:val="a"/>
    <w:link w:val="ab"/>
    <w:uiPriority w:val="99"/>
    <w:unhideWhenUsed/>
    <w:rsid w:val="00AE5B8E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b">
    <w:name w:val="Нижний колонтитул Знак"/>
    <w:basedOn w:val="a0"/>
    <w:link w:val="aa"/>
    <w:uiPriority w:val="99"/>
    <w:rsid w:val="00AE5B8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629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E5B8E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4">
    <w:name w:val="Текст выноски Знак"/>
    <w:basedOn w:val="a0"/>
    <w:link w:val="a3"/>
    <w:uiPriority w:val="99"/>
    <w:semiHidden/>
    <w:rsid w:val="00AE5B8E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AE5B8E"/>
    <w:pPr>
      <w:spacing w:before="100" w:beforeAutospacing="1" w:after="100" w:afterAutospacing="1"/>
    </w:pPr>
  </w:style>
  <w:style w:type="paragraph" w:styleId="a6">
    <w:name w:val="List Paragraph"/>
    <w:basedOn w:val="a"/>
    <w:uiPriority w:val="34"/>
    <w:qFormat/>
    <w:rsid w:val="00AE5B8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7">
    <w:name w:val="Hyperlink"/>
    <w:basedOn w:val="a0"/>
    <w:uiPriority w:val="99"/>
    <w:semiHidden/>
    <w:unhideWhenUsed/>
    <w:rsid w:val="00AE5B8E"/>
    <w:rPr>
      <w:color w:val="0000FF"/>
      <w:u w:val="single"/>
    </w:rPr>
  </w:style>
  <w:style w:type="character" w:customStyle="1" w:styleId="hl">
    <w:name w:val="hl"/>
    <w:basedOn w:val="a0"/>
    <w:rsid w:val="00AE5B8E"/>
  </w:style>
  <w:style w:type="character" w:customStyle="1" w:styleId="apple-style-span">
    <w:name w:val="apple-style-span"/>
    <w:basedOn w:val="a0"/>
    <w:rsid w:val="00AE5B8E"/>
    <w:rPr>
      <w:rFonts w:cs="Times New Roman"/>
    </w:rPr>
  </w:style>
  <w:style w:type="character" w:customStyle="1" w:styleId="apple-converted-space">
    <w:name w:val="apple-converted-space"/>
    <w:rsid w:val="00AE5B8E"/>
  </w:style>
  <w:style w:type="paragraph" w:styleId="a8">
    <w:name w:val="header"/>
    <w:basedOn w:val="a"/>
    <w:link w:val="a9"/>
    <w:uiPriority w:val="99"/>
    <w:unhideWhenUsed/>
    <w:rsid w:val="00AE5B8E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Верхний колонтитул Знак"/>
    <w:basedOn w:val="a0"/>
    <w:link w:val="a8"/>
    <w:uiPriority w:val="99"/>
    <w:rsid w:val="00AE5B8E"/>
  </w:style>
  <w:style w:type="paragraph" w:styleId="aa">
    <w:name w:val="footer"/>
    <w:basedOn w:val="a"/>
    <w:link w:val="ab"/>
    <w:uiPriority w:val="99"/>
    <w:unhideWhenUsed/>
    <w:rsid w:val="00AE5B8E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b">
    <w:name w:val="Нижний колонтитул Знак"/>
    <w:basedOn w:val="a0"/>
    <w:link w:val="aa"/>
    <w:uiPriority w:val="99"/>
    <w:rsid w:val="00AE5B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12721</Words>
  <Characters>7252</Characters>
  <Application>Microsoft Office Word</Application>
  <DocSecurity>0</DocSecurity>
  <Lines>60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admin</cp:lastModifiedBy>
  <cp:revision>2</cp:revision>
  <dcterms:created xsi:type="dcterms:W3CDTF">2019-07-29T11:13:00Z</dcterms:created>
  <dcterms:modified xsi:type="dcterms:W3CDTF">2019-07-29T11:13:00Z</dcterms:modified>
</cp:coreProperties>
</file>