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5382" w:rsidRPr="00616E39" w:rsidRDefault="00BE5382" w:rsidP="00BE5382">
      <w:pPr>
        <w:spacing w:after="0" w:line="240" w:lineRule="auto"/>
        <w:jc w:val="center"/>
        <w:rPr>
          <w:rFonts w:ascii="Times New Roman" w:hAnsi="Times New Roman"/>
          <w:color w:val="000000"/>
          <w:sz w:val="28"/>
          <w:szCs w:val="28"/>
        </w:rPr>
      </w:pPr>
      <w:r w:rsidRPr="00616E39">
        <w:rPr>
          <w:rFonts w:ascii="Times New Roman" w:hAnsi="Times New Roman"/>
          <w:color w:val="000000"/>
          <w:sz w:val="28"/>
          <w:szCs w:val="28"/>
        </w:rPr>
        <w:t>ОДЕСЬКИЙ НАЦІОНАЛЬНИЙ УНІВЕРСИТЕТ ІМЕНІ І. І. МЕЧНИКОВА</w:t>
      </w:r>
    </w:p>
    <w:p w:rsidR="00BE5382" w:rsidRPr="00616E39" w:rsidRDefault="00BE5382" w:rsidP="00BE5382">
      <w:pPr>
        <w:spacing w:after="0" w:line="240" w:lineRule="auto"/>
        <w:jc w:val="center"/>
        <w:rPr>
          <w:rFonts w:ascii="Times New Roman" w:hAnsi="Times New Roman"/>
          <w:color w:val="000000"/>
          <w:sz w:val="28"/>
          <w:szCs w:val="28"/>
        </w:rPr>
      </w:pPr>
    </w:p>
    <w:p w:rsidR="00BE5382" w:rsidRPr="00616E39" w:rsidRDefault="00BE5382" w:rsidP="00BE5382">
      <w:pPr>
        <w:spacing w:after="0" w:line="240" w:lineRule="auto"/>
        <w:jc w:val="center"/>
        <w:rPr>
          <w:rFonts w:ascii="Times New Roman" w:hAnsi="Times New Roman"/>
          <w:color w:val="000000"/>
          <w:sz w:val="28"/>
          <w:szCs w:val="28"/>
        </w:rPr>
      </w:pPr>
      <w:r w:rsidRPr="00616E39">
        <w:rPr>
          <w:rFonts w:ascii="Times New Roman" w:hAnsi="Times New Roman"/>
          <w:color w:val="000000"/>
          <w:sz w:val="28"/>
          <w:szCs w:val="28"/>
        </w:rPr>
        <w:t>Економіко-правовий факультет</w:t>
      </w:r>
    </w:p>
    <w:p w:rsidR="00BE5382" w:rsidRPr="00616E39" w:rsidRDefault="00BE5382" w:rsidP="00BE5382">
      <w:pPr>
        <w:spacing w:after="0" w:line="240" w:lineRule="auto"/>
        <w:jc w:val="center"/>
        <w:rPr>
          <w:rFonts w:ascii="Times New Roman" w:hAnsi="Times New Roman"/>
          <w:color w:val="000000"/>
          <w:sz w:val="28"/>
          <w:szCs w:val="28"/>
        </w:rPr>
      </w:pPr>
    </w:p>
    <w:p w:rsidR="00BE5382" w:rsidRPr="00616E39" w:rsidRDefault="00BE5382" w:rsidP="00BE5382">
      <w:pPr>
        <w:spacing w:after="0" w:line="240" w:lineRule="auto"/>
        <w:jc w:val="center"/>
        <w:rPr>
          <w:rFonts w:ascii="Times New Roman" w:hAnsi="Times New Roman"/>
          <w:color w:val="000000"/>
          <w:sz w:val="28"/>
          <w:szCs w:val="28"/>
        </w:rPr>
      </w:pPr>
      <w:r w:rsidRPr="00616E39">
        <w:rPr>
          <w:rFonts w:ascii="Times New Roman" w:hAnsi="Times New Roman"/>
          <w:color w:val="000000"/>
          <w:sz w:val="28"/>
          <w:szCs w:val="28"/>
        </w:rPr>
        <w:t>Кафедра конституційного права та правосуддя</w:t>
      </w:r>
    </w:p>
    <w:p w:rsidR="00BE5382" w:rsidRPr="00616E39" w:rsidRDefault="00BE5382" w:rsidP="00BE5382">
      <w:pPr>
        <w:spacing w:after="0" w:line="240" w:lineRule="auto"/>
        <w:rPr>
          <w:rFonts w:ascii="Times New Roman" w:hAnsi="Times New Roman"/>
          <w:color w:val="000000"/>
          <w:sz w:val="28"/>
          <w:szCs w:val="28"/>
        </w:rPr>
      </w:pPr>
    </w:p>
    <w:p w:rsidR="00BE5382" w:rsidRPr="00616E39" w:rsidRDefault="00BE5382" w:rsidP="00BE5382">
      <w:pPr>
        <w:spacing w:after="0" w:line="240" w:lineRule="auto"/>
        <w:rPr>
          <w:rFonts w:ascii="Times New Roman" w:hAnsi="Times New Roman"/>
          <w:color w:val="000000"/>
          <w:sz w:val="28"/>
          <w:szCs w:val="28"/>
        </w:rPr>
      </w:pPr>
    </w:p>
    <w:p w:rsidR="00BE5382" w:rsidRPr="00616E39" w:rsidRDefault="00BE5382" w:rsidP="00BE5382">
      <w:pPr>
        <w:spacing w:after="0" w:line="240" w:lineRule="auto"/>
        <w:rPr>
          <w:rFonts w:ascii="Times New Roman" w:hAnsi="Times New Roman"/>
          <w:color w:val="000000"/>
          <w:sz w:val="28"/>
          <w:szCs w:val="28"/>
        </w:rPr>
      </w:pPr>
    </w:p>
    <w:p w:rsidR="00BE5382" w:rsidRPr="00616E39" w:rsidRDefault="00BE5382" w:rsidP="00BE5382">
      <w:pPr>
        <w:spacing w:after="0" w:line="240" w:lineRule="auto"/>
        <w:rPr>
          <w:rFonts w:ascii="Times New Roman" w:hAnsi="Times New Roman"/>
          <w:color w:val="000000"/>
          <w:sz w:val="28"/>
          <w:szCs w:val="28"/>
        </w:rPr>
      </w:pPr>
    </w:p>
    <w:p w:rsidR="00BE5382" w:rsidRPr="00616E39" w:rsidRDefault="00BE5382" w:rsidP="00BE5382">
      <w:pPr>
        <w:spacing w:after="0" w:line="240" w:lineRule="auto"/>
        <w:rPr>
          <w:rFonts w:ascii="Times New Roman" w:hAnsi="Times New Roman"/>
          <w:color w:val="000000"/>
          <w:sz w:val="28"/>
          <w:szCs w:val="28"/>
        </w:rPr>
      </w:pPr>
    </w:p>
    <w:p w:rsidR="00BE5382" w:rsidRPr="00616E39" w:rsidRDefault="00BE5382" w:rsidP="00BE5382">
      <w:pPr>
        <w:spacing w:after="0"/>
        <w:jc w:val="center"/>
        <w:rPr>
          <w:rFonts w:ascii="Times New Roman" w:hAnsi="Times New Roman"/>
          <w:b/>
          <w:color w:val="000000"/>
          <w:sz w:val="28"/>
          <w:szCs w:val="28"/>
        </w:rPr>
      </w:pPr>
      <w:r w:rsidRPr="00616E39">
        <w:rPr>
          <w:rFonts w:ascii="Times New Roman" w:hAnsi="Times New Roman"/>
          <w:b/>
          <w:color w:val="000000"/>
          <w:sz w:val="28"/>
          <w:szCs w:val="28"/>
        </w:rPr>
        <w:t>Кваліфікаційна робота</w:t>
      </w:r>
    </w:p>
    <w:p w:rsidR="00BE5382" w:rsidRPr="00616E39" w:rsidRDefault="00BE5382" w:rsidP="00BE5382">
      <w:pPr>
        <w:spacing w:after="0"/>
        <w:jc w:val="center"/>
        <w:rPr>
          <w:rFonts w:ascii="Times New Roman" w:hAnsi="Times New Roman"/>
          <w:color w:val="000000"/>
          <w:sz w:val="28"/>
          <w:szCs w:val="28"/>
        </w:rPr>
      </w:pPr>
      <w:r w:rsidRPr="00616E39">
        <w:rPr>
          <w:rFonts w:ascii="Times New Roman" w:hAnsi="Times New Roman"/>
          <w:color w:val="000000"/>
          <w:sz w:val="28"/>
          <w:szCs w:val="28"/>
        </w:rPr>
        <w:t>на здобуття ступеня вищої освіти «магістр»</w:t>
      </w:r>
    </w:p>
    <w:p w:rsidR="00BE5382" w:rsidRPr="00B80EF4" w:rsidRDefault="00BE5382" w:rsidP="00BE5382">
      <w:pPr>
        <w:tabs>
          <w:tab w:val="right" w:pos="9355"/>
        </w:tabs>
        <w:spacing w:after="0"/>
        <w:jc w:val="center"/>
        <w:rPr>
          <w:rFonts w:ascii="Times New Roman" w:hAnsi="Times New Roman" w:cs="Times New Roman"/>
          <w:b/>
          <w:sz w:val="28"/>
          <w:szCs w:val="28"/>
        </w:rPr>
      </w:pPr>
      <w:r w:rsidRPr="00B80EF4">
        <w:rPr>
          <w:rFonts w:ascii="Times New Roman" w:hAnsi="Times New Roman" w:cs="Times New Roman"/>
          <w:b/>
          <w:sz w:val="28"/>
          <w:szCs w:val="28"/>
        </w:rPr>
        <w:t>«</w:t>
      </w:r>
      <w:r w:rsidRPr="00D1160E">
        <w:rPr>
          <w:rFonts w:ascii="Times New Roman" w:hAnsi="Times New Roman" w:cs="Times New Roman"/>
          <w:b/>
          <w:color w:val="000000"/>
          <w:sz w:val="28"/>
          <w:szCs w:val="28"/>
        </w:rPr>
        <w:t>Виконання</w:t>
      </w:r>
      <w:r w:rsidRPr="00D1160E">
        <w:rPr>
          <w:rFonts w:ascii="Times New Roman" w:hAnsi="Times New Roman" w:cs="Times New Roman"/>
          <w:b/>
          <w:color w:val="000000"/>
          <w:sz w:val="28"/>
          <w:szCs w:val="28"/>
          <w:lang w:val="ru-RU"/>
        </w:rPr>
        <w:t xml:space="preserve"> </w:t>
      </w:r>
      <w:r w:rsidRPr="00D1160E">
        <w:rPr>
          <w:rFonts w:ascii="Times New Roman" w:hAnsi="Times New Roman" w:cs="Times New Roman"/>
          <w:b/>
          <w:color w:val="000000"/>
          <w:sz w:val="28"/>
          <w:szCs w:val="28"/>
        </w:rPr>
        <w:t>судових</w:t>
      </w:r>
      <w:r w:rsidRPr="00D1160E">
        <w:rPr>
          <w:rFonts w:ascii="Times New Roman" w:hAnsi="Times New Roman" w:cs="Times New Roman"/>
          <w:b/>
          <w:color w:val="000000"/>
          <w:sz w:val="28"/>
          <w:szCs w:val="28"/>
          <w:lang w:val="ru-RU"/>
        </w:rPr>
        <w:t xml:space="preserve"> </w:t>
      </w:r>
      <w:r w:rsidRPr="00D1160E">
        <w:rPr>
          <w:rFonts w:ascii="Times New Roman" w:hAnsi="Times New Roman" w:cs="Times New Roman"/>
          <w:b/>
          <w:color w:val="000000"/>
          <w:sz w:val="28"/>
          <w:szCs w:val="28"/>
        </w:rPr>
        <w:t>рішень</w:t>
      </w:r>
      <w:r w:rsidRPr="00D1160E">
        <w:rPr>
          <w:rFonts w:ascii="Times New Roman" w:hAnsi="Times New Roman" w:cs="Times New Roman"/>
          <w:b/>
          <w:color w:val="000000"/>
          <w:sz w:val="28"/>
          <w:szCs w:val="28"/>
          <w:lang w:val="ru-RU"/>
        </w:rPr>
        <w:t xml:space="preserve"> </w:t>
      </w:r>
      <w:r w:rsidRPr="00D1160E">
        <w:rPr>
          <w:rFonts w:ascii="Times New Roman" w:hAnsi="Times New Roman" w:cs="Times New Roman"/>
          <w:b/>
          <w:color w:val="000000"/>
          <w:sz w:val="28"/>
          <w:szCs w:val="28"/>
        </w:rPr>
        <w:t>як</w:t>
      </w:r>
      <w:r w:rsidRPr="00D1160E">
        <w:rPr>
          <w:rFonts w:ascii="Times New Roman" w:hAnsi="Times New Roman" w:cs="Times New Roman"/>
          <w:b/>
          <w:color w:val="000000"/>
          <w:sz w:val="28"/>
          <w:szCs w:val="28"/>
          <w:lang w:val="ru-RU"/>
        </w:rPr>
        <w:t xml:space="preserve"> </w:t>
      </w:r>
      <w:r w:rsidRPr="00D1160E">
        <w:rPr>
          <w:rFonts w:ascii="Times New Roman" w:hAnsi="Times New Roman" w:cs="Times New Roman"/>
          <w:b/>
          <w:color w:val="000000"/>
          <w:sz w:val="28"/>
          <w:szCs w:val="28"/>
        </w:rPr>
        <w:t>елемент</w:t>
      </w:r>
      <w:r w:rsidRPr="00D1160E">
        <w:rPr>
          <w:rFonts w:ascii="Times New Roman" w:hAnsi="Times New Roman" w:cs="Times New Roman"/>
          <w:b/>
          <w:color w:val="000000"/>
          <w:sz w:val="28"/>
          <w:szCs w:val="28"/>
          <w:lang w:val="ru-RU"/>
        </w:rPr>
        <w:t xml:space="preserve"> </w:t>
      </w:r>
      <w:r w:rsidRPr="00D1160E">
        <w:rPr>
          <w:rFonts w:ascii="Times New Roman" w:hAnsi="Times New Roman" w:cs="Times New Roman"/>
          <w:b/>
          <w:color w:val="000000"/>
          <w:sz w:val="28"/>
          <w:szCs w:val="28"/>
        </w:rPr>
        <w:t>права</w:t>
      </w:r>
      <w:r w:rsidRPr="00D1160E">
        <w:rPr>
          <w:rFonts w:ascii="Times New Roman" w:hAnsi="Times New Roman" w:cs="Times New Roman"/>
          <w:b/>
          <w:color w:val="000000"/>
          <w:sz w:val="28"/>
          <w:szCs w:val="28"/>
          <w:lang w:val="ru-RU"/>
        </w:rPr>
        <w:t xml:space="preserve"> </w:t>
      </w:r>
      <w:r w:rsidRPr="00D1160E">
        <w:rPr>
          <w:rFonts w:ascii="Times New Roman" w:hAnsi="Times New Roman" w:cs="Times New Roman"/>
          <w:b/>
          <w:color w:val="000000"/>
          <w:sz w:val="28"/>
          <w:szCs w:val="28"/>
        </w:rPr>
        <w:t>на</w:t>
      </w:r>
      <w:r w:rsidRPr="00D1160E">
        <w:rPr>
          <w:rFonts w:ascii="Times New Roman" w:hAnsi="Times New Roman" w:cs="Times New Roman"/>
          <w:b/>
          <w:color w:val="000000"/>
          <w:sz w:val="28"/>
          <w:szCs w:val="28"/>
          <w:lang w:val="ru-RU"/>
        </w:rPr>
        <w:t xml:space="preserve"> </w:t>
      </w:r>
      <w:r w:rsidRPr="00D1160E">
        <w:rPr>
          <w:rFonts w:ascii="Times New Roman" w:hAnsi="Times New Roman" w:cs="Times New Roman"/>
          <w:b/>
          <w:color w:val="000000"/>
          <w:sz w:val="28"/>
          <w:szCs w:val="28"/>
        </w:rPr>
        <w:t>справедливий</w:t>
      </w:r>
      <w:r w:rsidRPr="00D1160E">
        <w:rPr>
          <w:rFonts w:ascii="Times New Roman" w:hAnsi="Times New Roman" w:cs="Times New Roman"/>
          <w:b/>
          <w:color w:val="000000"/>
          <w:sz w:val="28"/>
          <w:szCs w:val="28"/>
          <w:lang w:val="ru-RU"/>
        </w:rPr>
        <w:t xml:space="preserve"> </w:t>
      </w:r>
      <w:r w:rsidRPr="00D1160E">
        <w:rPr>
          <w:rFonts w:ascii="Times New Roman" w:hAnsi="Times New Roman" w:cs="Times New Roman"/>
          <w:b/>
          <w:color w:val="000000"/>
          <w:sz w:val="28"/>
          <w:szCs w:val="28"/>
        </w:rPr>
        <w:t>суд</w:t>
      </w:r>
      <w:r w:rsidRPr="00D1160E">
        <w:rPr>
          <w:rFonts w:ascii="Times New Roman" w:hAnsi="Times New Roman" w:cs="Times New Roman"/>
          <w:b/>
          <w:color w:val="000000"/>
          <w:sz w:val="28"/>
          <w:szCs w:val="28"/>
          <w:lang w:val="ru-RU"/>
        </w:rPr>
        <w:t xml:space="preserve"> </w:t>
      </w:r>
      <w:r w:rsidRPr="00D1160E">
        <w:rPr>
          <w:rFonts w:ascii="Times New Roman" w:hAnsi="Times New Roman" w:cs="Times New Roman"/>
          <w:b/>
          <w:color w:val="000000"/>
          <w:sz w:val="28"/>
          <w:szCs w:val="28"/>
        </w:rPr>
        <w:t>та</w:t>
      </w:r>
      <w:r w:rsidRPr="00D1160E">
        <w:rPr>
          <w:rFonts w:ascii="Times New Roman" w:hAnsi="Times New Roman" w:cs="Times New Roman"/>
          <w:b/>
          <w:color w:val="000000"/>
          <w:sz w:val="28"/>
          <w:szCs w:val="28"/>
          <w:lang w:val="ru-RU"/>
        </w:rPr>
        <w:t xml:space="preserve"> </w:t>
      </w:r>
      <w:r w:rsidRPr="00D1160E">
        <w:rPr>
          <w:rFonts w:ascii="Times New Roman" w:hAnsi="Times New Roman" w:cs="Times New Roman"/>
          <w:b/>
          <w:color w:val="000000"/>
          <w:sz w:val="28"/>
          <w:szCs w:val="28"/>
        </w:rPr>
        <w:t>практика</w:t>
      </w:r>
      <w:r w:rsidRPr="00D1160E">
        <w:rPr>
          <w:rFonts w:ascii="Times New Roman" w:hAnsi="Times New Roman" w:cs="Times New Roman"/>
          <w:b/>
          <w:color w:val="000000"/>
          <w:sz w:val="28"/>
          <w:szCs w:val="28"/>
          <w:lang w:val="ru-RU"/>
        </w:rPr>
        <w:t xml:space="preserve"> </w:t>
      </w:r>
      <w:r w:rsidRPr="00D1160E">
        <w:rPr>
          <w:rFonts w:ascii="Times New Roman" w:hAnsi="Times New Roman" w:cs="Times New Roman"/>
          <w:b/>
          <w:color w:val="000000"/>
          <w:sz w:val="28"/>
          <w:szCs w:val="28"/>
        </w:rPr>
        <w:t>його</w:t>
      </w:r>
      <w:r w:rsidRPr="00D1160E">
        <w:rPr>
          <w:rFonts w:ascii="Times New Roman" w:hAnsi="Times New Roman" w:cs="Times New Roman"/>
          <w:b/>
          <w:color w:val="000000"/>
          <w:sz w:val="28"/>
          <w:szCs w:val="28"/>
          <w:lang w:val="ru-RU"/>
        </w:rPr>
        <w:t xml:space="preserve"> </w:t>
      </w:r>
      <w:r w:rsidRPr="00D1160E">
        <w:rPr>
          <w:rFonts w:ascii="Times New Roman" w:hAnsi="Times New Roman" w:cs="Times New Roman"/>
          <w:b/>
          <w:color w:val="000000"/>
          <w:sz w:val="28"/>
          <w:szCs w:val="28"/>
        </w:rPr>
        <w:t>захисту</w:t>
      </w:r>
      <w:r w:rsidRPr="00D1160E">
        <w:rPr>
          <w:rFonts w:ascii="Times New Roman" w:hAnsi="Times New Roman" w:cs="Times New Roman"/>
          <w:b/>
          <w:color w:val="000000"/>
          <w:sz w:val="28"/>
          <w:szCs w:val="28"/>
          <w:lang w:val="ru-RU"/>
        </w:rPr>
        <w:t xml:space="preserve"> </w:t>
      </w:r>
      <w:r w:rsidRPr="00D1160E">
        <w:rPr>
          <w:rFonts w:ascii="Times New Roman" w:hAnsi="Times New Roman" w:cs="Times New Roman"/>
          <w:b/>
          <w:color w:val="000000"/>
          <w:sz w:val="28"/>
          <w:szCs w:val="28"/>
        </w:rPr>
        <w:t>в</w:t>
      </w:r>
      <w:r w:rsidRPr="00D1160E">
        <w:rPr>
          <w:rFonts w:ascii="Times New Roman" w:hAnsi="Times New Roman" w:cs="Times New Roman"/>
          <w:b/>
          <w:color w:val="000000"/>
          <w:sz w:val="28"/>
          <w:szCs w:val="28"/>
          <w:lang w:val="ru-RU"/>
        </w:rPr>
        <w:t xml:space="preserve"> </w:t>
      </w:r>
      <w:r w:rsidRPr="00D1160E">
        <w:rPr>
          <w:rFonts w:ascii="Times New Roman" w:hAnsi="Times New Roman" w:cs="Times New Roman"/>
          <w:b/>
          <w:color w:val="000000"/>
          <w:sz w:val="28"/>
          <w:szCs w:val="28"/>
        </w:rPr>
        <w:t>Європейському</w:t>
      </w:r>
      <w:r w:rsidRPr="00D1160E">
        <w:rPr>
          <w:rFonts w:ascii="Times New Roman" w:hAnsi="Times New Roman" w:cs="Times New Roman"/>
          <w:b/>
          <w:color w:val="000000"/>
          <w:sz w:val="28"/>
          <w:szCs w:val="28"/>
          <w:lang w:val="ru-RU"/>
        </w:rPr>
        <w:t xml:space="preserve"> </w:t>
      </w:r>
      <w:r w:rsidRPr="00D1160E">
        <w:rPr>
          <w:rFonts w:ascii="Times New Roman" w:hAnsi="Times New Roman" w:cs="Times New Roman"/>
          <w:b/>
          <w:color w:val="000000"/>
          <w:sz w:val="28"/>
          <w:szCs w:val="28"/>
        </w:rPr>
        <w:t>суді</w:t>
      </w:r>
      <w:r w:rsidRPr="00D1160E">
        <w:rPr>
          <w:rFonts w:ascii="Times New Roman" w:hAnsi="Times New Roman" w:cs="Times New Roman"/>
          <w:b/>
          <w:color w:val="000000"/>
          <w:sz w:val="28"/>
          <w:szCs w:val="28"/>
          <w:lang w:val="ru-RU"/>
        </w:rPr>
        <w:t xml:space="preserve"> </w:t>
      </w:r>
      <w:r w:rsidRPr="00D1160E">
        <w:rPr>
          <w:rFonts w:ascii="Times New Roman" w:hAnsi="Times New Roman" w:cs="Times New Roman"/>
          <w:b/>
          <w:color w:val="000000"/>
          <w:sz w:val="28"/>
          <w:szCs w:val="28"/>
        </w:rPr>
        <w:t>з</w:t>
      </w:r>
      <w:r w:rsidRPr="00D1160E">
        <w:rPr>
          <w:rFonts w:ascii="Times New Roman" w:hAnsi="Times New Roman" w:cs="Times New Roman"/>
          <w:b/>
          <w:color w:val="000000"/>
          <w:sz w:val="28"/>
          <w:szCs w:val="28"/>
          <w:lang w:val="ru-RU"/>
        </w:rPr>
        <w:t xml:space="preserve"> </w:t>
      </w:r>
      <w:r w:rsidRPr="00D1160E">
        <w:rPr>
          <w:rFonts w:ascii="Times New Roman" w:hAnsi="Times New Roman" w:cs="Times New Roman"/>
          <w:b/>
          <w:color w:val="000000"/>
          <w:sz w:val="28"/>
          <w:szCs w:val="28"/>
        </w:rPr>
        <w:t>прав людини</w:t>
      </w:r>
      <w:r w:rsidRPr="00D1160E">
        <w:rPr>
          <w:rFonts w:ascii="Times New Roman" w:hAnsi="Times New Roman" w:cs="Times New Roman"/>
          <w:b/>
          <w:sz w:val="28"/>
          <w:szCs w:val="28"/>
        </w:rPr>
        <w:t>»</w:t>
      </w:r>
    </w:p>
    <w:p w:rsidR="00BE5382" w:rsidRPr="00D1160E" w:rsidRDefault="00BE5382" w:rsidP="00BE5382">
      <w:pPr>
        <w:tabs>
          <w:tab w:val="right" w:pos="9355"/>
        </w:tabs>
        <w:spacing w:after="0"/>
        <w:jc w:val="center"/>
        <w:rPr>
          <w:rFonts w:ascii="Times New Roman" w:hAnsi="Times New Roman" w:cs="Times New Roman"/>
          <w:sz w:val="28"/>
          <w:szCs w:val="28"/>
        </w:rPr>
      </w:pPr>
      <w:r w:rsidRPr="00D1160E">
        <w:rPr>
          <w:rFonts w:ascii="Times New Roman" w:hAnsi="Times New Roman" w:cs="Times New Roman"/>
          <w:sz w:val="28"/>
          <w:szCs w:val="28"/>
        </w:rPr>
        <w:t>«</w:t>
      </w:r>
      <w:r w:rsidRPr="00D1160E">
        <w:rPr>
          <w:rFonts w:ascii="Times New Roman" w:hAnsi="Times New Roman" w:cs="Times New Roman"/>
          <w:color w:val="000000"/>
          <w:sz w:val="28"/>
          <w:szCs w:val="28"/>
          <w:lang w:val="en-US"/>
        </w:rPr>
        <w:t>Enforcement of judgments as an element of the right to a fair trial and the practice of its protection in the European Court of Human Rights</w:t>
      </w:r>
      <w:r w:rsidRPr="00D1160E">
        <w:rPr>
          <w:rFonts w:ascii="Times New Roman" w:hAnsi="Times New Roman" w:cs="Times New Roman"/>
          <w:sz w:val="28"/>
          <w:szCs w:val="28"/>
        </w:rPr>
        <w:t>»</w:t>
      </w:r>
    </w:p>
    <w:p w:rsidR="00BE5382" w:rsidRPr="00D1160E" w:rsidRDefault="00BE5382" w:rsidP="00BE5382">
      <w:pPr>
        <w:tabs>
          <w:tab w:val="right" w:pos="9355"/>
        </w:tabs>
        <w:spacing w:after="0"/>
        <w:jc w:val="center"/>
        <w:rPr>
          <w:rFonts w:ascii="Times New Roman" w:hAnsi="Times New Roman"/>
          <w:color w:val="000000"/>
          <w:sz w:val="28"/>
          <w:szCs w:val="28"/>
        </w:rPr>
      </w:pPr>
    </w:p>
    <w:p w:rsidR="00BE5382" w:rsidRPr="00616E39" w:rsidRDefault="00BE5382" w:rsidP="00BE5382">
      <w:pPr>
        <w:spacing w:after="0" w:line="240" w:lineRule="auto"/>
        <w:jc w:val="center"/>
        <w:rPr>
          <w:rFonts w:ascii="Times New Roman" w:hAnsi="Times New Roman"/>
          <w:color w:val="000000"/>
          <w:sz w:val="28"/>
          <w:szCs w:val="28"/>
        </w:rPr>
      </w:pPr>
    </w:p>
    <w:p w:rsidR="00BE5382" w:rsidRPr="00616E39" w:rsidRDefault="00BE5382" w:rsidP="00BE5382">
      <w:pPr>
        <w:spacing w:after="0"/>
        <w:ind w:left="3540"/>
        <w:rPr>
          <w:rFonts w:ascii="Times New Roman" w:hAnsi="Times New Roman"/>
          <w:color w:val="000000"/>
          <w:sz w:val="28"/>
          <w:szCs w:val="28"/>
        </w:rPr>
      </w:pPr>
      <w:r w:rsidRPr="00616E39">
        <w:rPr>
          <w:rFonts w:ascii="Times New Roman" w:hAnsi="Times New Roman"/>
          <w:color w:val="000000"/>
          <w:sz w:val="28"/>
          <w:szCs w:val="28"/>
        </w:rPr>
        <w:t xml:space="preserve">Виконала: здобувачка </w:t>
      </w:r>
      <w:r>
        <w:rPr>
          <w:rFonts w:ascii="Times New Roman" w:hAnsi="Times New Roman"/>
          <w:color w:val="000000"/>
          <w:sz w:val="28"/>
          <w:szCs w:val="28"/>
        </w:rPr>
        <w:t>заочної</w:t>
      </w:r>
      <w:r w:rsidRPr="00616E39">
        <w:rPr>
          <w:rFonts w:ascii="Times New Roman" w:hAnsi="Times New Roman"/>
          <w:color w:val="000000"/>
          <w:sz w:val="28"/>
          <w:szCs w:val="28"/>
        </w:rPr>
        <w:t xml:space="preserve"> форми навчання</w:t>
      </w:r>
    </w:p>
    <w:p w:rsidR="00BE5382" w:rsidRPr="00616E39" w:rsidRDefault="00BE5382" w:rsidP="00BE5382">
      <w:pPr>
        <w:spacing w:after="0"/>
        <w:ind w:left="2832" w:firstLine="708"/>
        <w:rPr>
          <w:rFonts w:ascii="Times New Roman" w:hAnsi="Times New Roman"/>
          <w:color w:val="000000"/>
          <w:sz w:val="28"/>
          <w:szCs w:val="28"/>
        </w:rPr>
      </w:pPr>
      <w:r w:rsidRPr="00616E39">
        <w:rPr>
          <w:rFonts w:ascii="Times New Roman" w:hAnsi="Times New Roman"/>
          <w:color w:val="000000"/>
          <w:sz w:val="28"/>
          <w:szCs w:val="28"/>
        </w:rPr>
        <w:t>спеціальності 081 Право</w:t>
      </w:r>
    </w:p>
    <w:p w:rsidR="00BE5382" w:rsidRDefault="00BE5382" w:rsidP="00BE5382">
      <w:pPr>
        <w:spacing w:after="0"/>
        <w:ind w:left="2832" w:firstLine="708"/>
        <w:rPr>
          <w:rFonts w:ascii="Times New Roman" w:hAnsi="Times New Roman"/>
          <w:color w:val="000000"/>
          <w:sz w:val="28"/>
          <w:szCs w:val="28"/>
        </w:rPr>
      </w:pPr>
      <w:r w:rsidRPr="00B80EF4">
        <w:rPr>
          <w:rFonts w:ascii="Times New Roman" w:hAnsi="Times New Roman" w:cs="Times New Roman"/>
          <w:sz w:val="28"/>
          <w:szCs w:val="28"/>
        </w:rPr>
        <w:t xml:space="preserve">Березовська </w:t>
      </w:r>
      <w:r w:rsidRPr="00B80EF4">
        <w:rPr>
          <w:rFonts w:ascii="Times New Roman" w:eastAsia="Times New Roman" w:hAnsi="Times New Roman" w:cs="Times New Roman"/>
          <w:color w:val="000000"/>
          <w:sz w:val="28"/>
          <w:szCs w:val="28"/>
        </w:rPr>
        <w:t>Дар</w:t>
      </w:r>
      <w:r>
        <w:rPr>
          <w:rFonts w:ascii="Times New Roman" w:eastAsia="Times New Roman" w:hAnsi="Times New Roman" w:cs="Times New Roman"/>
          <w:color w:val="000000"/>
          <w:sz w:val="28"/>
          <w:szCs w:val="28"/>
        </w:rPr>
        <w:t>і</w:t>
      </w:r>
      <w:r w:rsidRPr="00B80EF4">
        <w:rPr>
          <w:rFonts w:ascii="Times New Roman" w:eastAsia="Times New Roman" w:hAnsi="Times New Roman" w:cs="Times New Roman"/>
          <w:color w:val="000000"/>
          <w:sz w:val="28"/>
          <w:szCs w:val="28"/>
        </w:rPr>
        <w:t>я Євгенівна</w:t>
      </w:r>
      <w:r w:rsidRPr="00616E39">
        <w:rPr>
          <w:rFonts w:ascii="Times New Roman" w:hAnsi="Times New Roman"/>
          <w:color w:val="000000"/>
          <w:sz w:val="28"/>
          <w:szCs w:val="28"/>
        </w:rPr>
        <w:t xml:space="preserve"> </w:t>
      </w:r>
    </w:p>
    <w:p w:rsidR="00BE5382" w:rsidRPr="00616E39" w:rsidRDefault="00BE5382" w:rsidP="00BE5382">
      <w:pPr>
        <w:spacing w:after="0"/>
        <w:ind w:left="2832" w:firstLine="708"/>
        <w:rPr>
          <w:rFonts w:ascii="Times New Roman" w:hAnsi="Times New Roman"/>
          <w:color w:val="000000"/>
          <w:sz w:val="28"/>
          <w:szCs w:val="28"/>
        </w:rPr>
      </w:pPr>
      <w:r w:rsidRPr="00616E39">
        <w:rPr>
          <w:rFonts w:ascii="Times New Roman" w:hAnsi="Times New Roman"/>
          <w:color w:val="000000"/>
          <w:sz w:val="28"/>
          <w:szCs w:val="28"/>
        </w:rPr>
        <w:t xml:space="preserve">Керівник: </w:t>
      </w:r>
      <w:r>
        <w:rPr>
          <w:rFonts w:ascii="Times New Roman" w:hAnsi="Times New Roman"/>
          <w:color w:val="000000"/>
          <w:sz w:val="28"/>
          <w:szCs w:val="28"/>
        </w:rPr>
        <w:t>к</w:t>
      </w:r>
      <w:r w:rsidRPr="00616E39">
        <w:rPr>
          <w:rFonts w:ascii="Times New Roman" w:hAnsi="Times New Roman"/>
          <w:color w:val="000000"/>
          <w:sz w:val="28"/>
          <w:szCs w:val="28"/>
        </w:rPr>
        <w:t xml:space="preserve">.ю.н., </w:t>
      </w:r>
      <w:r>
        <w:rPr>
          <w:rFonts w:ascii="Times New Roman" w:hAnsi="Times New Roman"/>
          <w:color w:val="000000"/>
          <w:sz w:val="28"/>
          <w:szCs w:val="28"/>
        </w:rPr>
        <w:t>доц</w:t>
      </w:r>
      <w:r w:rsidRPr="00616E39">
        <w:rPr>
          <w:rFonts w:ascii="Times New Roman" w:hAnsi="Times New Roman"/>
          <w:color w:val="000000"/>
          <w:sz w:val="28"/>
          <w:szCs w:val="28"/>
        </w:rPr>
        <w:t xml:space="preserve">. </w:t>
      </w:r>
      <w:r>
        <w:rPr>
          <w:rFonts w:ascii="Times New Roman" w:hAnsi="Times New Roman"/>
          <w:color w:val="000000"/>
          <w:sz w:val="28"/>
          <w:szCs w:val="28"/>
        </w:rPr>
        <w:t>Левенець А.В</w:t>
      </w:r>
      <w:r w:rsidRPr="00616E39">
        <w:rPr>
          <w:rFonts w:ascii="Times New Roman" w:hAnsi="Times New Roman"/>
          <w:color w:val="000000"/>
          <w:sz w:val="28"/>
          <w:szCs w:val="28"/>
        </w:rPr>
        <w:t>. ________</w:t>
      </w:r>
    </w:p>
    <w:p w:rsidR="00BE5382" w:rsidRPr="00616E39" w:rsidRDefault="00BE5382" w:rsidP="00BE5382">
      <w:pPr>
        <w:spacing w:after="0"/>
        <w:ind w:left="2832" w:firstLine="708"/>
        <w:rPr>
          <w:rFonts w:ascii="Times New Roman" w:hAnsi="Times New Roman"/>
          <w:color w:val="000000"/>
          <w:sz w:val="28"/>
          <w:szCs w:val="28"/>
        </w:rPr>
      </w:pPr>
      <w:r w:rsidRPr="00616E39">
        <w:rPr>
          <w:rFonts w:ascii="Times New Roman" w:hAnsi="Times New Roman"/>
          <w:color w:val="000000"/>
          <w:sz w:val="28"/>
          <w:szCs w:val="28"/>
        </w:rPr>
        <w:t xml:space="preserve">Рецензент: д.ю.н., проф. </w:t>
      </w:r>
      <w:r>
        <w:rPr>
          <w:rFonts w:ascii="Times New Roman" w:hAnsi="Times New Roman"/>
          <w:color w:val="000000"/>
          <w:sz w:val="28"/>
          <w:szCs w:val="28"/>
        </w:rPr>
        <w:t>Корчевна Л.О</w:t>
      </w:r>
      <w:r w:rsidRPr="00616E39">
        <w:rPr>
          <w:rFonts w:ascii="Times New Roman" w:hAnsi="Times New Roman"/>
          <w:color w:val="000000"/>
          <w:sz w:val="28"/>
          <w:szCs w:val="28"/>
        </w:rPr>
        <w:t>.</w:t>
      </w:r>
    </w:p>
    <w:p w:rsidR="00BE5382" w:rsidRPr="00616E39" w:rsidRDefault="00BE5382" w:rsidP="00BE5382">
      <w:pPr>
        <w:spacing w:after="120" w:line="240" w:lineRule="auto"/>
        <w:ind w:left="2829" w:firstLine="709"/>
        <w:rPr>
          <w:rFonts w:ascii="Times New Roman" w:hAnsi="Times New Roman"/>
          <w:color w:val="000000"/>
          <w:sz w:val="28"/>
          <w:szCs w:val="28"/>
        </w:rPr>
      </w:pPr>
    </w:p>
    <w:p w:rsidR="00BE5382" w:rsidRPr="00616E39" w:rsidRDefault="00BE5382" w:rsidP="00BE5382">
      <w:pPr>
        <w:spacing w:after="120" w:line="240" w:lineRule="auto"/>
        <w:ind w:left="2829" w:firstLine="709"/>
        <w:rPr>
          <w:rFonts w:ascii="Times New Roman" w:hAnsi="Times New Roman"/>
          <w:color w:val="000000"/>
          <w:sz w:val="28"/>
          <w:szCs w:val="28"/>
        </w:rPr>
      </w:pPr>
    </w:p>
    <w:tbl>
      <w:tblPr>
        <w:tblW w:w="5297" w:type="pct"/>
        <w:tblInd w:w="-736" w:type="dxa"/>
        <w:tblLayout w:type="fixed"/>
        <w:tblCellMar>
          <w:left w:w="115" w:type="dxa"/>
          <w:right w:w="115" w:type="dxa"/>
        </w:tblCellMar>
        <w:tblLook w:val="0000" w:firstRow="0" w:lastRow="0" w:firstColumn="0" w:lastColumn="0" w:noHBand="0" w:noVBand="0"/>
      </w:tblPr>
      <w:tblGrid>
        <w:gridCol w:w="4817"/>
        <w:gridCol w:w="5094"/>
      </w:tblGrid>
      <w:tr w:rsidR="00BE5382" w:rsidRPr="00E75100" w:rsidTr="002E42C2">
        <w:tc>
          <w:tcPr>
            <w:tcW w:w="4961" w:type="dxa"/>
          </w:tcPr>
          <w:p w:rsidR="00BE5382" w:rsidRPr="00616E39" w:rsidRDefault="00BE5382" w:rsidP="002E42C2">
            <w:pPr>
              <w:spacing w:after="0" w:line="240" w:lineRule="auto"/>
              <w:rPr>
                <w:rFonts w:ascii="Times New Roman" w:hAnsi="Times New Roman"/>
                <w:color w:val="000000"/>
                <w:sz w:val="28"/>
                <w:szCs w:val="28"/>
              </w:rPr>
            </w:pPr>
            <w:r w:rsidRPr="00616E39">
              <w:rPr>
                <w:rFonts w:ascii="Times New Roman" w:hAnsi="Times New Roman"/>
                <w:color w:val="000000"/>
                <w:sz w:val="28"/>
                <w:szCs w:val="28"/>
              </w:rPr>
              <w:t>Рекомендовано до захисту:</w:t>
            </w:r>
          </w:p>
          <w:p w:rsidR="00BE5382" w:rsidRPr="00616E39" w:rsidRDefault="00BE5382" w:rsidP="002E42C2">
            <w:pPr>
              <w:spacing w:after="0" w:line="240" w:lineRule="auto"/>
              <w:rPr>
                <w:rFonts w:ascii="Times New Roman" w:hAnsi="Times New Roman"/>
                <w:color w:val="000000"/>
                <w:sz w:val="28"/>
                <w:szCs w:val="28"/>
              </w:rPr>
            </w:pPr>
            <w:r w:rsidRPr="00616E39">
              <w:rPr>
                <w:rFonts w:ascii="Times New Roman" w:hAnsi="Times New Roman"/>
                <w:color w:val="000000"/>
                <w:sz w:val="28"/>
                <w:szCs w:val="28"/>
              </w:rPr>
              <w:t>протокол засідання кафедри</w:t>
            </w:r>
          </w:p>
          <w:p w:rsidR="00BE5382" w:rsidRPr="00616E39" w:rsidRDefault="00BE5382" w:rsidP="002E42C2">
            <w:pPr>
              <w:spacing w:after="0" w:line="240" w:lineRule="auto"/>
              <w:rPr>
                <w:rFonts w:ascii="Times New Roman" w:hAnsi="Times New Roman"/>
                <w:color w:val="000000"/>
                <w:sz w:val="28"/>
                <w:szCs w:val="28"/>
              </w:rPr>
            </w:pPr>
            <w:r w:rsidRPr="00616E39">
              <w:rPr>
                <w:rFonts w:ascii="Times New Roman" w:hAnsi="Times New Roman"/>
                <w:color w:val="000000"/>
                <w:sz w:val="28"/>
                <w:szCs w:val="28"/>
              </w:rPr>
              <w:t>№ ___ від ____.____. 20___ р.</w:t>
            </w:r>
          </w:p>
          <w:p w:rsidR="00BE5382" w:rsidRPr="00616E39" w:rsidRDefault="00BE5382" w:rsidP="002E42C2">
            <w:pPr>
              <w:spacing w:after="0" w:line="240" w:lineRule="auto"/>
              <w:rPr>
                <w:rFonts w:ascii="Times New Roman" w:hAnsi="Times New Roman"/>
                <w:color w:val="000000"/>
                <w:sz w:val="28"/>
                <w:szCs w:val="28"/>
              </w:rPr>
            </w:pPr>
          </w:p>
          <w:p w:rsidR="00BE5382" w:rsidRDefault="00BE5382" w:rsidP="002E42C2">
            <w:pPr>
              <w:spacing w:after="0" w:line="240" w:lineRule="auto"/>
              <w:rPr>
                <w:rFonts w:ascii="Times New Roman" w:hAnsi="Times New Roman"/>
                <w:color w:val="000000"/>
                <w:sz w:val="28"/>
                <w:szCs w:val="28"/>
              </w:rPr>
            </w:pPr>
          </w:p>
          <w:p w:rsidR="00BE5382" w:rsidRPr="00616E39" w:rsidRDefault="00BE5382" w:rsidP="002E42C2">
            <w:pPr>
              <w:spacing w:after="0" w:line="240" w:lineRule="auto"/>
              <w:rPr>
                <w:rFonts w:ascii="Times New Roman" w:hAnsi="Times New Roman"/>
                <w:color w:val="000000"/>
                <w:sz w:val="28"/>
                <w:szCs w:val="28"/>
              </w:rPr>
            </w:pPr>
            <w:r w:rsidRPr="00616E39">
              <w:rPr>
                <w:rFonts w:ascii="Times New Roman" w:hAnsi="Times New Roman"/>
                <w:color w:val="000000"/>
                <w:sz w:val="28"/>
                <w:szCs w:val="28"/>
              </w:rPr>
              <w:t>Завідувачка кафедри</w:t>
            </w:r>
          </w:p>
          <w:p w:rsidR="00BE5382" w:rsidRPr="00616E39" w:rsidRDefault="00BE5382" w:rsidP="002E42C2">
            <w:pPr>
              <w:tabs>
                <w:tab w:val="left" w:pos="1168"/>
                <w:tab w:val="left" w:pos="3861"/>
              </w:tabs>
              <w:spacing w:after="0" w:line="240" w:lineRule="auto"/>
              <w:rPr>
                <w:rFonts w:ascii="Times New Roman" w:hAnsi="Times New Roman"/>
                <w:color w:val="000000"/>
                <w:sz w:val="28"/>
                <w:szCs w:val="28"/>
                <w:u w:val="single"/>
              </w:rPr>
            </w:pPr>
            <w:r w:rsidRPr="00616E39">
              <w:rPr>
                <w:rFonts w:ascii="Times New Roman" w:hAnsi="Times New Roman"/>
                <w:color w:val="000000"/>
                <w:sz w:val="28"/>
                <w:szCs w:val="28"/>
                <w:u w:val="single"/>
              </w:rPr>
              <w:tab/>
            </w:r>
            <w:r w:rsidRPr="00616E39">
              <w:rPr>
                <w:rFonts w:ascii="Times New Roman" w:hAnsi="Times New Roman"/>
                <w:color w:val="000000"/>
                <w:sz w:val="28"/>
                <w:szCs w:val="28"/>
              </w:rPr>
              <w:t xml:space="preserve"> Тетяна СТЕПАНОВА</w:t>
            </w:r>
          </w:p>
          <w:p w:rsidR="00BE5382" w:rsidRPr="00616E39" w:rsidRDefault="00BE5382" w:rsidP="002E42C2">
            <w:pPr>
              <w:tabs>
                <w:tab w:val="left" w:pos="284"/>
                <w:tab w:val="left" w:pos="1767"/>
              </w:tabs>
              <w:spacing w:after="0" w:line="240" w:lineRule="auto"/>
              <w:rPr>
                <w:rFonts w:ascii="Times New Roman" w:hAnsi="Times New Roman"/>
                <w:color w:val="000000"/>
                <w:sz w:val="24"/>
                <w:szCs w:val="24"/>
              </w:rPr>
            </w:pPr>
            <w:r w:rsidRPr="00616E39">
              <w:rPr>
                <w:rFonts w:ascii="Times New Roman" w:hAnsi="Times New Roman"/>
                <w:color w:val="000000"/>
                <w:sz w:val="28"/>
                <w:szCs w:val="28"/>
              </w:rPr>
              <w:t xml:space="preserve">  </w:t>
            </w:r>
            <w:r w:rsidRPr="00616E39">
              <w:rPr>
                <w:rFonts w:ascii="Times New Roman" w:hAnsi="Times New Roman"/>
                <w:color w:val="000000"/>
                <w:sz w:val="24"/>
                <w:szCs w:val="24"/>
              </w:rPr>
              <w:t>(підпис)</w:t>
            </w:r>
            <w:r w:rsidRPr="00616E39">
              <w:rPr>
                <w:rFonts w:ascii="Times New Roman" w:hAnsi="Times New Roman"/>
                <w:color w:val="000000"/>
                <w:sz w:val="24"/>
                <w:szCs w:val="24"/>
              </w:rPr>
              <w:tab/>
              <w:t>(ім’я, прізвище)</w:t>
            </w:r>
          </w:p>
        </w:tc>
        <w:tc>
          <w:tcPr>
            <w:tcW w:w="5246" w:type="dxa"/>
          </w:tcPr>
          <w:p w:rsidR="00BE5382" w:rsidRPr="00616E39" w:rsidRDefault="00BE5382" w:rsidP="002E42C2">
            <w:pPr>
              <w:tabs>
                <w:tab w:val="right" w:pos="4462"/>
              </w:tabs>
              <w:spacing w:after="0" w:line="240" w:lineRule="auto"/>
              <w:rPr>
                <w:rFonts w:ascii="Times New Roman" w:hAnsi="Times New Roman"/>
                <w:color w:val="000000"/>
                <w:sz w:val="28"/>
                <w:szCs w:val="28"/>
              </w:rPr>
            </w:pPr>
            <w:r w:rsidRPr="00616E39">
              <w:rPr>
                <w:rFonts w:ascii="Times New Roman" w:hAnsi="Times New Roman"/>
                <w:color w:val="000000"/>
                <w:sz w:val="28"/>
                <w:szCs w:val="28"/>
              </w:rPr>
              <w:t>Захищено на засіданні ЕК № 6</w:t>
            </w:r>
          </w:p>
          <w:p w:rsidR="00BE5382" w:rsidRPr="00616E39" w:rsidRDefault="00BE5382" w:rsidP="002E42C2">
            <w:pPr>
              <w:spacing w:after="0" w:line="240" w:lineRule="auto"/>
              <w:rPr>
                <w:rFonts w:ascii="Times New Roman" w:hAnsi="Times New Roman"/>
                <w:color w:val="000000"/>
                <w:sz w:val="28"/>
                <w:szCs w:val="28"/>
              </w:rPr>
            </w:pPr>
            <w:r w:rsidRPr="00616E39">
              <w:rPr>
                <w:rFonts w:ascii="Times New Roman" w:hAnsi="Times New Roman"/>
                <w:color w:val="000000"/>
                <w:sz w:val="28"/>
                <w:szCs w:val="28"/>
              </w:rPr>
              <w:t>протокол № ___від ____.___.20___ р.</w:t>
            </w:r>
          </w:p>
          <w:p w:rsidR="00BE5382" w:rsidRPr="00616E39" w:rsidRDefault="00BE5382" w:rsidP="002E42C2">
            <w:pPr>
              <w:tabs>
                <w:tab w:val="right" w:pos="4462"/>
              </w:tabs>
              <w:spacing w:after="0" w:line="240" w:lineRule="auto"/>
              <w:rPr>
                <w:rFonts w:ascii="Times New Roman" w:hAnsi="Times New Roman"/>
                <w:color w:val="000000"/>
                <w:sz w:val="28"/>
                <w:szCs w:val="28"/>
              </w:rPr>
            </w:pPr>
            <w:r w:rsidRPr="00616E39">
              <w:rPr>
                <w:rFonts w:ascii="Times New Roman" w:hAnsi="Times New Roman"/>
                <w:color w:val="000000"/>
                <w:sz w:val="28"/>
                <w:szCs w:val="28"/>
              </w:rPr>
              <w:t>Оцінка______________/___</w:t>
            </w:r>
            <w:r w:rsidRPr="00616E39">
              <w:rPr>
                <w:rFonts w:ascii="Times New Roman" w:hAnsi="Times New Roman"/>
                <w:color w:val="000000"/>
                <w:sz w:val="28"/>
                <w:szCs w:val="28"/>
              </w:rPr>
              <w:tab/>
              <w:t>___/_____</w:t>
            </w:r>
          </w:p>
          <w:p w:rsidR="00BE5382" w:rsidRPr="00616E39" w:rsidRDefault="00BE5382" w:rsidP="002E42C2">
            <w:pPr>
              <w:spacing w:after="0" w:line="240" w:lineRule="auto"/>
              <w:jc w:val="center"/>
              <w:rPr>
                <w:rFonts w:ascii="Times New Roman" w:hAnsi="Times New Roman"/>
                <w:color w:val="000000"/>
                <w:sz w:val="24"/>
                <w:szCs w:val="24"/>
              </w:rPr>
            </w:pPr>
            <w:r w:rsidRPr="00616E39">
              <w:rPr>
                <w:rFonts w:ascii="Times New Roman" w:hAnsi="Times New Roman"/>
                <w:color w:val="000000"/>
                <w:sz w:val="24"/>
                <w:szCs w:val="24"/>
              </w:rPr>
              <w:t>(за національною шкалою/шкалою ЕСТS/ бали)</w:t>
            </w:r>
          </w:p>
          <w:p w:rsidR="00BE5382" w:rsidRDefault="00BE5382" w:rsidP="002E42C2">
            <w:pPr>
              <w:spacing w:after="0" w:line="240" w:lineRule="auto"/>
              <w:rPr>
                <w:rFonts w:ascii="Times New Roman" w:hAnsi="Times New Roman"/>
                <w:color w:val="000000"/>
                <w:sz w:val="28"/>
                <w:szCs w:val="28"/>
              </w:rPr>
            </w:pPr>
          </w:p>
          <w:p w:rsidR="00BE5382" w:rsidRPr="00616E39" w:rsidRDefault="00BE5382" w:rsidP="002E42C2">
            <w:pPr>
              <w:spacing w:after="0" w:line="240" w:lineRule="auto"/>
              <w:rPr>
                <w:rFonts w:ascii="Times New Roman" w:hAnsi="Times New Roman"/>
                <w:color w:val="000000"/>
                <w:sz w:val="28"/>
                <w:szCs w:val="28"/>
              </w:rPr>
            </w:pPr>
            <w:r w:rsidRPr="00616E39">
              <w:rPr>
                <w:rFonts w:ascii="Times New Roman" w:hAnsi="Times New Roman"/>
                <w:color w:val="000000"/>
                <w:sz w:val="28"/>
                <w:szCs w:val="28"/>
              </w:rPr>
              <w:t>Голова ЕК</w:t>
            </w:r>
          </w:p>
          <w:p w:rsidR="00BE5382" w:rsidRPr="00616E39" w:rsidRDefault="00BE5382" w:rsidP="002E42C2">
            <w:pPr>
              <w:spacing w:after="0" w:line="240" w:lineRule="auto"/>
              <w:rPr>
                <w:rFonts w:ascii="Times New Roman" w:hAnsi="Times New Roman"/>
                <w:color w:val="000000"/>
                <w:sz w:val="28"/>
                <w:szCs w:val="28"/>
              </w:rPr>
            </w:pPr>
            <w:r w:rsidRPr="00616E39">
              <w:rPr>
                <w:rFonts w:ascii="Times New Roman" w:hAnsi="Times New Roman"/>
                <w:color w:val="000000"/>
                <w:sz w:val="28"/>
                <w:szCs w:val="28"/>
                <w:u w:val="single"/>
              </w:rPr>
              <w:t xml:space="preserve">                </w:t>
            </w:r>
            <w:r w:rsidRPr="00616E39">
              <w:rPr>
                <w:rFonts w:ascii="Times New Roman" w:hAnsi="Times New Roman"/>
                <w:color w:val="000000"/>
                <w:sz w:val="28"/>
                <w:szCs w:val="28"/>
              </w:rPr>
              <w:t xml:space="preserve">  Євдокія СТРЕЛЬЦОВА</w:t>
            </w:r>
          </w:p>
          <w:p w:rsidR="00BE5382" w:rsidRPr="00616E39" w:rsidRDefault="00BE5382" w:rsidP="002E42C2">
            <w:pPr>
              <w:tabs>
                <w:tab w:val="left" w:pos="454"/>
                <w:tab w:val="left" w:pos="2155"/>
              </w:tabs>
              <w:spacing w:after="0" w:line="240" w:lineRule="auto"/>
              <w:rPr>
                <w:rFonts w:ascii="Times New Roman" w:hAnsi="Times New Roman"/>
                <w:color w:val="000000"/>
                <w:sz w:val="24"/>
                <w:szCs w:val="24"/>
              </w:rPr>
            </w:pPr>
            <w:r w:rsidRPr="00616E39">
              <w:rPr>
                <w:rFonts w:ascii="Times New Roman" w:hAnsi="Times New Roman"/>
                <w:color w:val="000000"/>
                <w:sz w:val="28"/>
                <w:szCs w:val="28"/>
              </w:rPr>
              <w:t xml:space="preserve">    </w:t>
            </w:r>
            <w:r w:rsidRPr="00616E39">
              <w:rPr>
                <w:rFonts w:ascii="Times New Roman" w:hAnsi="Times New Roman"/>
                <w:color w:val="000000"/>
                <w:sz w:val="24"/>
                <w:szCs w:val="24"/>
              </w:rPr>
              <w:t>(підпис)          (ім’я, прізвище)</w:t>
            </w:r>
          </w:p>
        </w:tc>
      </w:tr>
    </w:tbl>
    <w:p w:rsidR="00BE5382" w:rsidRDefault="00BE5382" w:rsidP="00BE5382">
      <w:pPr>
        <w:spacing w:after="0" w:line="240" w:lineRule="auto"/>
        <w:jc w:val="center"/>
        <w:rPr>
          <w:rFonts w:ascii="Times New Roman" w:hAnsi="Times New Roman"/>
          <w:b/>
          <w:color w:val="000000"/>
          <w:sz w:val="28"/>
          <w:szCs w:val="28"/>
        </w:rPr>
      </w:pPr>
    </w:p>
    <w:p w:rsidR="00BE5382" w:rsidRDefault="00BE5382" w:rsidP="00BE5382">
      <w:pPr>
        <w:spacing w:after="0" w:line="240" w:lineRule="auto"/>
        <w:jc w:val="center"/>
        <w:rPr>
          <w:rFonts w:ascii="Times New Roman" w:hAnsi="Times New Roman"/>
          <w:b/>
          <w:color w:val="000000"/>
          <w:sz w:val="28"/>
          <w:szCs w:val="28"/>
        </w:rPr>
      </w:pPr>
      <w:r w:rsidRPr="00616E39">
        <w:rPr>
          <w:rFonts w:ascii="Times New Roman" w:hAnsi="Times New Roman"/>
          <w:b/>
          <w:color w:val="000000"/>
          <w:sz w:val="28"/>
          <w:szCs w:val="28"/>
        </w:rPr>
        <w:t>Одеса 2022</w:t>
      </w:r>
    </w:p>
    <w:p w:rsidR="00BE5382" w:rsidRDefault="00BE5382" w:rsidP="00BE5382">
      <w:pPr>
        <w:spacing w:after="0"/>
        <w:jc w:val="center"/>
        <w:rPr>
          <w:rFonts w:ascii="Times New Roman" w:eastAsia="Times New Roman" w:hAnsi="Times New Roman" w:cs="Times New Roman"/>
          <w:b/>
          <w:sz w:val="28"/>
          <w:szCs w:val="28"/>
        </w:rPr>
      </w:pPr>
    </w:p>
    <w:p w:rsidR="00E2781E" w:rsidRDefault="00E2781E" w:rsidP="00BE5382">
      <w:pPr>
        <w:spacing w:after="0"/>
        <w:jc w:val="center"/>
        <w:rPr>
          <w:rFonts w:ascii="Times New Roman" w:eastAsia="Times New Roman" w:hAnsi="Times New Roman" w:cs="Times New Roman"/>
          <w:b/>
          <w:sz w:val="28"/>
          <w:szCs w:val="28"/>
        </w:rPr>
      </w:pPr>
    </w:p>
    <w:p w:rsidR="00BE5382" w:rsidRDefault="00BE5382" w:rsidP="00BE5382">
      <w:pPr>
        <w:spacing w:after="0"/>
        <w:jc w:val="center"/>
        <w:rPr>
          <w:rFonts w:ascii="Times New Roman" w:eastAsia="Times New Roman" w:hAnsi="Times New Roman" w:cs="Times New Roman"/>
          <w:b/>
          <w:sz w:val="28"/>
          <w:szCs w:val="28"/>
        </w:rPr>
      </w:pPr>
      <w:r w:rsidRPr="00BB78EE">
        <w:rPr>
          <w:rFonts w:ascii="Times New Roman" w:eastAsia="Times New Roman" w:hAnsi="Times New Roman" w:cs="Times New Roman"/>
          <w:b/>
          <w:sz w:val="28"/>
          <w:szCs w:val="28"/>
        </w:rPr>
        <w:lastRenderedPageBreak/>
        <w:t>ЗМІСТ</w:t>
      </w:r>
    </w:p>
    <w:p w:rsidR="00BE5382" w:rsidRPr="00BB78EE" w:rsidRDefault="00BE5382" w:rsidP="00BE5382">
      <w:pPr>
        <w:spacing w:after="0"/>
        <w:jc w:val="center"/>
        <w:rPr>
          <w:rFonts w:ascii="Times New Roman" w:eastAsia="Times New Roman" w:hAnsi="Times New Roman" w:cs="Times New Roman"/>
          <w:b/>
          <w:sz w:val="28"/>
          <w:szCs w:val="28"/>
        </w:rPr>
      </w:pPr>
    </w:p>
    <w:p w:rsidR="00BE5382" w:rsidRPr="002E1519" w:rsidRDefault="00BE5382" w:rsidP="00BE5382">
      <w:pPr>
        <w:spacing w:after="0"/>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ПЕРЕЛІК УМОВНИХ СКОРОЧЕНЬ </w:t>
      </w:r>
      <w:r w:rsidRPr="002E1519">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2E1519">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2E1519">
        <w:rPr>
          <w:rFonts w:ascii="Times New Roman" w:eastAsia="Times New Roman" w:hAnsi="Times New Roman" w:cs="Times New Roman"/>
          <w:sz w:val="28"/>
          <w:szCs w:val="28"/>
        </w:rPr>
        <w:t>…….4</w:t>
      </w:r>
    </w:p>
    <w:p w:rsidR="00BE5382" w:rsidRPr="00BB78EE" w:rsidRDefault="00BE5382" w:rsidP="00BE5382">
      <w:pPr>
        <w:spacing w:after="0"/>
        <w:rPr>
          <w:rFonts w:ascii="Times New Roman" w:eastAsia="Times New Roman" w:hAnsi="Times New Roman" w:cs="Times New Roman"/>
          <w:bCs/>
          <w:sz w:val="28"/>
          <w:szCs w:val="28"/>
        </w:rPr>
      </w:pPr>
      <w:r w:rsidRPr="00BB78EE">
        <w:rPr>
          <w:rFonts w:ascii="Times New Roman" w:eastAsia="Times New Roman" w:hAnsi="Times New Roman" w:cs="Times New Roman"/>
          <w:b/>
          <w:sz w:val="28"/>
          <w:szCs w:val="28"/>
        </w:rPr>
        <w:t>ВСТУП</w:t>
      </w:r>
      <w:r w:rsidRPr="00BB78EE">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w:t>
      </w:r>
      <w:r w:rsidRPr="00BB78EE">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w:t>
      </w:r>
      <w:r w:rsidR="007469DB">
        <w:rPr>
          <w:rFonts w:ascii="Times New Roman" w:eastAsia="Times New Roman" w:hAnsi="Times New Roman" w:cs="Times New Roman"/>
          <w:bCs/>
          <w:sz w:val="28"/>
          <w:szCs w:val="28"/>
        </w:rPr>
        <w:t>…</w:t>
      </w:r>
      <w:r w:rsidRPr="00BB78EE">
        <w:rPr>
          <w:rFonts w:ascii="Times New Roman" w:eastAsia="Times New Roman" w:hAnsi="Times New Roman" w:cs="Times New Roman"/>
          <w:bCs/>
          <w:sz w:val="28"/>
          <w:szCs w:val="28"/>
        </w:rPr>
        <w:t>……5</w:t>
      </w:r>
    </w:p>
    <w:p w:rsidR="00BE5382" w:rsidRPr="00BB78EE" w:rsidRDefault="00BE5382" w:rsidP="00BE5382">
      <w:pPr>
        <w:spacing w:after="0"/>
        <w:rPr>
          <w:rFonts w:ascii="Times New Roman" w:eastAsia="Times New Roman" w:hAnsi="Times New Roman" w:cs="Times New Roman"/>
          <w:bCs/>
          <w:sz w:val="28"/>
          <w:szCs w:val="28"/>
        </w:rPr>
      </w:pPr>
    </w:p>
    <w:p w:rsidR="00BE5382" w:rsidRPr="00BB78EE" w:rsidRDefault="00BE5382" w:rsidP="00BE5382">
      <w:pPr>
        <w:spacing w:after="0"/>
        <w:ind w:left="1418" w:hanging="1418"/>
        <w:rPr>
          <w:rFonts w:ascii="Times New Roman" w:eastAsia="Times New Roman" w:hAnsi="Times New Roman" w:cs="Times New Roman"/>
          <w:b/>
          <w:sz w:val="28"/>
          <w:szCs w:val="28"/>
        </w:rPr>
      </w:pPr>
      <w:r w:rsidRPr="00BB78EE">
        <w:rPr>
          <w:rFonts w:ascii="Times New Roman" w:eastAsia="Times New Roman" w:hAnsi="Times New Roman" w:cs="Times New Roman"/>
          <w:b/>
          <w:sz w:val="28"/>
          <w:szCs w:val="28"/>
        </w:rPr>
        <w:t>РОЗДІЛ 1</w:t>
      </w:r>
      <w:r>
        <w:rPr>
          <w:rFonts w:ascii="Times New Roman" w:eastAsia="Times New Roman" w:hAnsi="Times New Roman" w:cs="Times New Roman"/>
          <w:b/>
          <w:sz w:val="28"/>
          <w:szCs w:val="28"/>
        </w:rPr>
        <w:t>.</w:t>
      </w:r>
      <w:r w:rsidRPr="00BB78EE">
        <w:rPr>
          <w:rFonts w:ascii="Times New Roman" w:eastAsia="Times New Roman" w:hAnsi="Times New Roman" w:cs="Times New Roman"/>
          <w:b/>
          <w:sz w:val="28"/>
          <w:szCs w:val="28"/>
        </w:rPr>
        <w:t xml:space="preserve"> ІСТОРИЧНІ ВИТОКИ ТА ПРАВОВА РЕГЛАМЕНТАЦІЯ СУЧАСНОГО СТАНУ ВИКОНАННЯ СУДОВИХ РІШЕНЬ В УКРАЇНІ</w:t>
      </w:r>
      <w:r>
        <w:rPr>
          <w:rFonts w:ascii="Times New Roman" w:eastAsia="Times New Roman" w:hAnsi="Times New Roman" w:cs="Times New Roman"/>
          <w:b/>
          <w:sz w:val="28"/>
          <w:szCs w:val="28"/>
        </w:rPr>
        <w:t>.</w:t>
      </w:r>
    </w:p>
    <w:p w:rsidR="00BE5382" w:rsidRPr="00BB78EE" w:rsidRDefault="00BE5382" w:rsidP="00BE5382">
      <w:pPr>
        <w:pStyle w:val="a3"/>
        <w:numPr>
          <w:ilvl w:val="1"/>
          <w:numId w:val="2"/>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w:t>
      </w:r>
      <w:r w:rsidRPr="00BB78EE">
        <w:rPr>
          <w:rFonts w:ascii="Times New Roman" w:eastAsia="Times New Roman" w:hAnsi="Times New Roman" w:cs="Times New Roman"/>
          <w:sz w:val="28"/>
          <w:szCs w:val="28"/>
        </w:rPr>
        <w:t>Еволюція виконавчого провадження в незалежній Україні та вплив практики ЄСПЛ на законодавчі зміни у цій сфері</w:t>
      </w:r>
      <w:r w:rsidRPr="00BB78E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Pr="00BB78E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Pr="00BB78E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Pr="00BB78EE">
        <w:rPr>
          <w:rFonts w:ascii="Times New Roman" w:eastAsia="Times New Roman" w:hAnsi="Times New Roman" w:cs="Times New Roman"/>
          <w:color w:val="000000"/>
          <w:sz w:val="28"/>
          <w:szCs w:val="28"/>
        </w:rPr>
        <w:t>………...1</w:t>
      </w:r>
      <w:r>
        <w:rPr>
          <w:rFonts w:ascii="Times New Roman" w:eastAsia="Times New Roman" w:hAnsi="Times New Roman" w:cs="Times New Roman"/>
          <w:color w:val="000000"/>
          <w:sz w:val="28"/>
          <w:szCs w:val="28"/>
        </w:rPr>
        <w:t>2</w:t>
      </w:r>
    </w:p>
    <w:p w:rsidR="00BE5382" w:rsidRPr="00BB78EE" w:rsidRDefault="00BE5382" w:rsidP="00BE5382">
      <w:pPr>
        <w:pStyle w:val="a3"/>
        <w:numPr>
          <w:ilvl w:val="1"/>
          <w:numId w:val="2"/>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w:t>
      </w:r>
      <w:r w:rsidRPr="00BB78EE">
        <w:rPr>
          <w:rFonts w:ascii="Times New Roman" w:eastAsia="Times New Roman" w:hAnsi="Times New Roman" w:cs="Times New Roman"/>
          <w:sz w:val="28"/>
          <w:szCs w:val="28"/>
        </w:rPr>
        <w:t xml:space="preserve">Сучасний стан правового регулювання виконання судових рішень в Україні </w:t>
      </w:r>
      <w:r>
        <w:rPr>
          <w:rFonts w:ascii="Times New Roman" w:eastAsia="Times New Roman" w:hAnsi="Times New Roman" w:cs="Times New Roman"/>
          <w:sz w:val="28"/>
          <w:szCs w:val="28"/>
        </w:rPr>
        <w:t>………………………………………</w:t>
      </w:r>
      <w:r w:rsidRPr="00BB78E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Pr="00BB78EE">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rPr>
        <w:t>5</w:t>
      </w:r>
    </w:p>
    <w:p w:rsidR="00BE5382" w:rsidRPr="00BB78EE" w:rsidRDefault="00BE5382" w:rsidP="00BE5382">
      <w:pPr>
        <w:spacing w:after="0"/>
        <w:rPr>
          <w:rFonts w:ascii="Times New Roman" w:eastAsia="Times New Roman" w:hAnsi="Times New Roman" w:cs="Times New Roman"/>
          <w:sz w:val="28"/>
          <w:szCs w:val="28"/>
        </w:rPr>
      </w:pPr>
      <w:r w:rsidRPr="00BB78EE">
        <w:rPr>
          <w:rFonts w:ascii="Times New Roman" w:eastAsia="Times New Roman" w:hAnsi="Times New Roman" w:cs="Times New Roman"/>
          <w:b/>
          <w:sz w:val="28"/>
          <w:szCs w:val="28"/>
        </w:rPr>
        <w:t>Висновки до Розділу 1</w:t>
      </w:r>
      <w:r w:rsidRPr="00BB78E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………3</w:t>
      </w:r>
      <w:r>
        <w:rPr>
          <w:rFonts w:ascii="Times New Roman" w:eastAsia="Times New Roman" w:hAnsi="Times New Roman" w:cs="Times New Roman"/>
          <w:sz w:val="28"/>
          <w:szCs w:val="28"/>
        </w:rPr>
        <w:t>3</w:t>
      </w:r>
    </w:p>
    <w:p w:rsidR="00BE5382" w:rsidRPr="00BB78EE"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ind w:left="1276" w:hanging="1276"/>
        <w:rPr>
          <w:rFonts w:ascii="Times New Roman" w:eastAsia="Times New Roman" w:hAnsi="Times New Roman" w:cs="Times New Roman"/>
          <w:b/>
          <w:sz w:val="28"/>
          <w:szCs w:val="28"/>
        </w:rPr>
      </w:pPr>
      <w:r w:rsidRPr="00BB78EE">
        <w:rPr>
          <w:rFonts w:ascii="Times New Roman" w:eastAsia="Times New Roman" w:hAnsi="Times New Roman" w:cs="Times New Roman"/>
          <w:b/>
          <w:sz w:val="28"/>
          <w:szCs w:val="28"/>
        </w:rPr>
        <w:t>РОЗДІЛ 2</w:t>
      </w:r>
      <w:r>
        <w:rPr>
          <w:rFonts w:ascii="Times New Roman" w:eastAsia="Times New Roman" w:hAnsi="Times New Roman" w:cs="Times New Roman"/>
          <w:b/>
          <w:sz w:val="28"/>
          <w:szCs w:val="28"/>
        </w:rPr>
        <w:t>.</w:t>
      </w:r>
      <w:r w:rsidRPr="00BB78EE">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З</w:t>
      </w:r>
      <w:r w:rsidRPr="00BB78EE">
        <w:rPr>
          <w:rFonts w:ascii="Times New Roman" w:eastAsia="Times New Roman" w:hAnsi="Times New Roman" w:cs="Times New Roman"/>
          <w:b/>
          <w:sz w:val="28"/>
          <w:szCs w:val="28"/>
        </w:rPr>
        <w:t xml:space="preserve">МІСТ КАТЕГОРІЇ «ВИКОНАННЯ СУДОВИХ РІШЕНЬ» У </w:t>
      </w:r>
      <w:r>
        <w:rPr>
          <w:rFonts w:ascii="Times New Roman" w:eastAsia="Times New Roman" w:hAnsi="Times New Roman" w:cs="Times New Roman"/>
          <w:b/>
          <w:sz w:val="28"/>
          <w:szCs w:val="28"/>
        </w:rPr>
        <w:t>ПРАКТИЦІ</w:t>
      </w:r>
      <w:r w:rsidRPr="00BB78EE">
        <w:rPr>
          <w:rFonts w:ascii="Times New Roman" w:eastAsia="Times New Roman" w:hAnsi="Times New Roman" w:cs="Times New Roman"/>
          <w:b/>
          <w:sz w:val="28"/>
          <w:szCs w:val="28"/>
        </w:rPr>
        <w:t xml:space="preserve"> ЄСПЛ</w:t>
      </w:r>
    </w:p>
    <w:p w:rsidR="00BE5382" w:rsidRPr="00BB78EE" w:rsidRDefault="00BE5382" w:rsidP="00BE5382">
      <w:pPr>
        <w:pStyle w:val="a3"/>
        <w:numPr>
          <w:ilvl w:val="1"/>
          <w:numId w:val="1"/>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Pr="00BB78EE">
        <w:rPr>
          <w:rFonts w:ascii="Times New Roman" w:eastAsia="Times New Roman" w:hAnsi="Times New Roman" w:cs="Times New Roman"/>
          <w:color w:val="000000"/>
          <w:sz w:val="28"/>
          <w:szCs w:val="28"/>
        </w:rPr>
        <w:t>«Розумність строків» як центральна складова принципу обов'язковості виконання судових рішень………………………………………</w:t>
      </w:r>
      <w:r>
        <w:rPr>
          <w:rFonts w:ascii="Times New Roman" w:eastAsia="Times New Roman" w:hAnsi="Times New Roman" w:cs="Times New Roman"/>
          <w:color w:val="000000"/>
          <w:sz w:val="28"/>
          <w:szCs w:val="28"/>
        </w:rPr>
        <w:t>.</w:t>
      </w:r>
      <w:r w:rsidRPr="00BB78E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Pr="00BB78EE">
        <w:rPr>
          <w:rFonts w:ascii="Times New Roman" w:eastAsia="Times New Roman" w:hAnsi="Times New Roman" w:cs="Times New Roman"/>
          <w:color w:val="000000"/>
          <w:sz w:val="28"/>
          <w:szCs w:val="28"/>
        </w:rPr>
        <w:t>……..3</w:t>
      </w:r>
      <w:r>
        <w:rPr>
          <w:rFonts w:ascii="Times New Roman" w:eastAsia="Times New Roman" w:hAnsi="Times New Roman" w:cs="Times New Roman"/>
          <w:color w:val="000000"/>
          <w:sz w:val="28"/>
          <w:szCs w:val="28"/>
        </w:rPr>
        <w:t>6</w:t>
      </w:r>
    </w:p>
    <w:p w:rsidR="00BE5382" w:rsidRPr="00BB78EE" w:rsidRDefault="00BE5382" w:rsidP="00BE5382">
      <w:pPr>
        <w:pStyle w:val="a3"/>
        <w:numPr>
          <w:ilvl w:val="1"/>
          <w:numId w:val="1"/>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Pr="00BB78EE">
        <w:rPr>
          <w:rFonts w:ascii="Times New Roman" w:eastAsia="Times New Roman" w:hAnsi="Times New Roman" w:cs="Times New Roman"/>
          <w:color w:val="000000"/>
          <w:sz w:val="28"/>
          <w:szCs w:val="28"/>
        </w:rPr>
        <w:t>«Ефективне» виконання судових рішень та рішень ЄСПЛ та їхні складові»……………………………………………………</w:t>
      </w:r>
      <w:r>
        <w:rPr>
          <w:rFonts w:ascii="Times New Roman" w:eastAsia="Times New Roman" w:hAnsi="Times New Roman" w:cs="Times New Roman"/>
          <w:color w:val="000000"/>
          <w:sz w:val="28"/>
          <w:szCs w:val="28"/>
        </w:rPr>
        <w:t>.</w:t>
      </w:r>
      <w:r w:rsidR="007469DB">
        <w:rPr>
          <w:rFonts w:ascii="Times New Roman" w:eastAsia="Times New Roman" w:hAnsi="Times New Roman" w:cs="Times New Roman"/>
          <w:color w:val="000000"/>
          <w:sz w:val="28"/>
          <w:szCs w:val="28"/>
        </w:rPr>
        <w:t>……</w:t>
      </w:r>
      <w:r w:rsidRPr="00BB78EE">
        <w:rPr>
          <w:rFonts w:ascii="Times New Roman" w:eastAsia="Times New Roman" w:hAnsi="Times New Roman" w:cs="Times New Roman"/>
          <w:color w:val="000000"/>
          <w:sz w:val="28"/>
          <w:szCs w:val="28"/>
        </w:rPr>
        <w:t>……...4</w:t>
      </w:r>
      <w:r>
        <w:rPr>
          <w:rFonts w:ascii="Times New Roman" w:eastAsia="Times New Roman" w:hAnsi="Times New Roman" w:cs="Times New Roman"/>
          <w:color w:val="000000"/>
          <w:sz w:val="28"/>
          <w:szCs w:val="28"/>
        </w:rPr>
        <w:t>2</w:t>
      </w:r>
    </w:p>
    <w:p w:rsidR="00BE5382" w:rsidRPr="00BB78EE" w:rsidRDefault="00BE5382" w:rsidP="00BE5382">
      <w:pPr>
        <w:pStyle w:val="a3"/>
        <w:numPr>
          <w:ilvl w:val="1"/>
          <w:numId w:val="1"/>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Pr="00BB78EE">
        <w:rPr>
          <w:rFonts w:ascii="Times New Roman" w:eastAsia="Times New Roman" w:hAnsi="Times New Roman" w:cs="Times New Roman"/>
          <w:color w:val="000000"/>
          <w:sz w:val="28"/>
          <w:szCs w:val="28"/>
        </w:rPr>
        <w:t>Взаємозв'язок категорії «виконання судових рішень» з правом на ефективний засіб юридичного захисту………………</w:t>
      </w:r>
      <w:r>
        <w:rPr>
          <w:rFonts w:ascii="Times New Roman" w:eastAsia="Times New Roman" w:hAnsi="Times New Roman" w:cs="Times New Roman"/>
          <w:color w:val="000000"/>
          <w:sz w:val="28"/>
          <w:szCs w:val="28"/>
        </w:rPr>
        <w:t>..</w:t>
      </w:r>
      <w:r w:rsidRPr="00BB78E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Pr="00BB78E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49</w:t>
      </w:r>
    </w:p>
    <w:p w:rsidR="00BE5382" w:rsidRPr="00BB78EE" w:rsidRDefault="00BE5382" w:rsidP="00BE5382">
      <w:pPr>
        <w:spacing w:after="0"/>
        <w:rPr>
          <w:rFonts w:ascii="Times New Roman" w:eastAsia="Times New Roman" w:hAnsi="Times New Roman" w:cs="Times New Roman"/>
          <w:sz w:val="28"/>
          <w:szCs w:val="28"/>
        </w:rPr>
      </w:pPr>
      <w:r w:rsidRPr="00BB78EE">
        <w:rPr>
          <w:rFonts w:ascii="Times New Roman" w:eastAsia="Times New Roman" w:hAnsi="Times New Roman" w:cs="Times New Roman"/>
          <w:b/>
          <w:sz w:val="28"/>
          <w:szCs w:val="28"/>
        </w:rPr>
        <w:t>Висновки до Розділу 2</w:t>
      </w:r>
      <w:r w:rsidRPr="00BB78E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…5</w:t>
      </w:r>
      <w:r>
        <w:rPr>
          <w:rFonts w:ascii="Times New Roman" w:eastAsia="Times New Roman" w:hAnsi="Times New Roman" w:cs="Times New Roman"/>
          <w:sz w:val="28"/>
          <w:szCs w:val="28"/>
        </w:rPr>
        <w:t>4</w:t>
      </w:r>
    </w:p>
    <w:p w:rsidR="00BE5382" w:rsidRPr="00BB78EE"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ind w:left="1418" w:hanging="1418"/>
        <w:rPr>
          <w:rFonts w:ascii="Times New Roman" w:eastAsia="Times New Roman" w:hAnsi="Times New Roman" w:cs="Times New Roman"/>
          <w:b/>
          <w:sz w:val="28"/>
          <w:szCs w:val="28"/>
        </w:rPr>
      </w:pPr>
      <w:r w:rsidRPr="00BB78EE">
        <w:rPr>
          <w:rFonts w:ascii="Times New Roman" w:eastAsia="Times New Roman" w:hAnsi="Times New Roman" w:cs="Times New Roman"/>
          <w:b/>
          <w:sz w:val="28"/>
          <w:szCs w:val="28"/>
        </w:rPr>
        <w:lastRenderedPageBreak/>
        <w:t>РОЗДІЛ 3</w:t>
      </w:r>
      <w:r>
        <w:rPr>
          <w:rFonts w:ascii="Times New Roman" w:eastAsia="Times New Roman" w:hAnsi="Times New Roman" w:cs="Times New Roman"/>
          <w:b/>
          <w:sz w:val="28"/>
          <w:szCs w:val="28"/>
        </w:rPr>
        <w:t>.</w:t>
      </w:r>
      <w:r w:rsidRPr="00BB78EE">
        <w:rPr>
          <w:rFonts w:ascii="Times New Roman" w:eastAsia="Times New Roman" w:hAnsi="Times New Roman" w:cs="Times New Roman"/>
          <w:b/>
          <w:sz w:val="28"/>
          <w:szCs w:val="28"/>
        </w:rPr>
        <w:t xml:space="preserve"> ПЕРСПЕКТИВИ УДОСКОНАЛ</w:t>
      </w:r>
      <w:r>
        <w:rPr>
          <w:rFonts w:ascii="Times New Roman" w:eastAsia="Times New Roman" w:hAnsi="Times New Roman" w:cs="Times New Roman"/>
          <w:b/>
          <w:sz w:val="28"/>
          <w:szCs w:val="28"/>
        </w:rPr>
        <w:t>ЕННЯ ЧИННОГО ЗАКОНОДАВСТВА УКРАЇ</w:t>
      </w:r>
      <w:r w:rsidRPr="00BB78EE">
        <w:rPr>
          <w:rFonts w:ascii="Times New Roman" w:eastAsia="Times New Roman" w:hAnsi="Times New Roman" w:cs="Times New Roman"/>
          <w:b/>
          <w:sz w:val="28"/>
          <w:szCs w:val="28"/>
        </w:rPr>
        <w:t xml:space="preserve">НИ </w:t>
      </w:r>
      <w:r>
        <w:rPr>
          <w:rFonts w:ascii="Times New Roman" w:eastAsia="Times New Roman" w:hAnsi="Times New Roman" w:cs="Times New Roman"/>
          <w:b/>
          <w:sz w:val="28"/>
          <w:szCs w:val="28"/>
        </w:rPr>
        <w:t xml:space="preserve">В АСПЕКТІ ВИКОНАННЯ СУДОВИХ РІШЕНЬ  </w:t>
      </w:r>
      <w:r w:rsidRPr="00BB78EE">
        <w:rPr>
          <w:rFonts w:ascii="Times New Roman" w:eastAsia="Times New Roman" w:hAnsi="Times New Roman" w:cs="Times New Roman"/>
          <w:b/>
          <w:sz w:val="28"/>
          <w:szCs w:val="28"/>
        </w:rPr>
        <w:t xml:space="preserve">З УРАХУВАННЯМ </w:t>
      </w:r>
      <w:r>
        <w:rPr>
          <w:rFonts w:ascii="Times New Roman" w:eastAsia="Times New Roman" w:hAnsi="Times New Roman" w:cs="Times New Roman"/>
          <w:b/>
          <w:sz w:val="28"/>
          <w:szCs w:val="28"/>
        </w:rPr>
        <w:t>ПРАКТИКИ</w:t>
      </w:r>
      <w:r w:rsidRPr="00BB78EE">
        <w:rPr>
          <w:rFonts w:ascii="Times New Roman" w:eastAsia="Times New Roman" w:hAnsi="Times New Roman" w:cs="Times New Roman"/>
          <w:b/>
          <w:sz w:val="28"/>
          <w:szCs w:val="28"/>
        </w:rPr>
        <w:t xml:space="preserve"> ЄСПЛ </w:t>
      </w:r>
    </w:p>
    <w:p w:rsidR="00BE5382" w:rsidRPr="00BB78EE" w:rsidRDefault="00BE5382" w:rsidP="00BE5382">
      <w:pPr>
        <w:spacing w:after="0"/>
        <w:ind w:left="426" w:hanging="426"/>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3.1</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 xml:space="preserve"> Порівняльно-правова характеристика ефективності виконання судових рішень </w:t>
      </w:r>
      <w:r>
        <w:rPr>
          <w:rFonts w:ascii="Times New Roman" w:eastAsia="Times New Roman" w:hAnsi="Times New Roman" w:cs="Times New Roman"/>
          <w:sz w:val="28"/>
          <w:szCs w:val="28"/>
        </w:rPr>
        <w:t xml:space="preserve">у </w:t>
      </w:r>
      <w:r w:rsidRPr="00BB78EE">
        <w:rPr>
          <w:rFonts w:ascii="Times New Roman" w:eastAsia="Times New Roman" w:hAnsi="Times New Roman" w:cs="Times New Roman"/>
          <w:sz w:val="28"/>
          <w:szCs w:val="28"/>
        </w:rPr>
        <w:t xml:space="preserve">країнах РЄ на підставі </w:t>
      </w:r>
      <w:r>
        <w:rPr>
          <w:rFonts w:ascii="Times New Roman" w:eastAsia="Times New Roman" w:hAnsi="Times New Roman" w:cs="Times New Roman"/>
          <w:sz w:val="28"/>
          <w:szCs w:val="28"/>
        </w:rPr>
        <w:t xml:space="preserve">практики </w:t>
      </w:r>
      <w:r w:rsidRPr="00BB78EE">
        <w:rPr>
          <w:rFonts w:ascii="Times New Roman" w:eastAsia="Times New Roman" w:hAnsi="Times New Roman" w:cs="Times New Roman"/>
          <w:sz w:val="28"/>
          <w:szCs w:val="28"/>
        </w:rPr>
        <w:t xml:space="preserve">ЄСПЛ </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…….5</w:t>
      </w:r>
      <w:r>
        <w:rPr>
          <w:rFonts w:ascii="Times New Roman" w:eastAsia="Times New Roman" w:hAnsi="Times New Roman" w:cs="Times New Roman"/>
          <w:sz w:val="28"/>
          <w:szCs w:val="28"/>
        </w:rPr>
        <w:t>7</w:t>
      </w:r>
    </w:p>
    <w:p w:rsidR="00BE5382" w:rsidRPr="00BB78EE" w:rsidRDefault="00BE5382" w:rsidP="00BE5382">
      <w:pPr>
        <w:spacing w:after="0"/>
        <w:ind w:left="426" w:hanging="426"/>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3.2</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Використання </w:t>
      </w:r>
      <w:r w:rsidRPr="00BB78EE">
        <w:rPr>
          <w:rFonts w:ascii="Times New Roman" w:eastAsia="Times New Roman" w:hAnsi="Times New Roman" w:cs="Times New Roman"/>
          <w:color w:val="000000"/>
          <w:sz w:val="28"/>
          <w:szCs w:val="28"/>
        </w:rPr>
        <w:t>досвіду країн РЄ з метою удосконалення існуючої системи виконання судових рішень</w:t>
      </w:r>
      <w:r w:rsidRPr="00BB78E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 Україні</w:t>
      </w:r>
      <w:r w:rsidRPr="00BB78E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…..6</w:t>
      </w:r>
      <w:r>
        <w:rPr>
          <w:rFonts w:ascii="Times New Roman" w:eastAsia="Times New Roman" w:hAnsi="Times New Roman" w:cs="Times New Roman"/>
          <w:sz w:val="28"/>
          <w:szCs w:val="28"/>
        </w:rPr>
        <w:t>4</w:t>
      </w:r>
    </w:p>
    <w:p w:rsidR="00BE5382" w:rsidRPr="00BB78EE" w:rsidRDefault="00BE5382" w:rsidP="00BE5382">
      <w:pPr>
        <w:spacing w:after="0"/>
        <w:rPr>
          <w:rFonts w:ascii="Times New Roman" w:eastAsia="Times New Roman" w:hAnsi="Times New Roman" w:cs="Times New Roman"/>
          <w:sz w:val="28"/>
          <w:szCs w:val="28"/>
        </w:rPr>
      </w:pPr>
      <w:r w:rsidRPr="00BB78EE">
        <w:rPr>
          <w:rFonts w:ascii="Times New Roman" w:eastAsia="Times New Roman" w:hAnsi="Times New Roman" w:cs="Times New Roman"/>
          <w:b/>
          <w:sz w:val="28"/>
          <w:szCs w:val="28"/>
        </w:rPr>
        <w:t>Висновки до Розділу 3…</w:t>
      </w:r>
      <w:r w:rsidRPr="00BB78E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BB78E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7</w:t>
      </w:r>
      <w:r>
        <w:rPr>
          <w:rFonts w:ascii="Times New Roman" w:eastAsia="Times New Roman" w:hAnsi="Times New Roman" w:cs="Times New Roman"/>
          <w:sz w:val="28"/>
          <w:szCs w:val="28"/>
        </w:rPr>
        <w:t>0</w:t>
      </w:r>
    </w:p>
    <w:p w:rsidR="00BE5382" w:rsidRDefault="00BE5382" w:rsidP="00BE5382">
      <w:pPr>
        <w:spacing w:after="0"/>
        <w:rPr>
          <w:rFonts w:ascii="Times New Roman" w:eastAsia="Times New Roman" w:hAnsi="Times New Roman" w:cs="Times New Roman"/>
          <w:b/>
          <w:sz w:val="28"/>
          <w:szCs w:val="28"/>
        </w:rPr>
      </w:pPr>
    </w:p>
    <w:p w:rsidR="00BE5382" w:rsidRPr="00BB78EE" w:rsidRDefault="00BE5382" w:rsidP="00BE5382">
      <w:pPr>
        <w:spacing w:after="0"/>
        <w:rPr>
          <w:rFonts w:ascii="Times New Roman" w:eastAsia="Times New Roman" w:hAnsi="Times New Roman" w:cs="Times New Roman"/>
          <w:b/>
          <w:sz w:val="28"/>
          <w:szCs w:val="28"/>
        </w:rPr>
      </w:pPr>
      <w:r w:rsidRPr="00BB78EE">
        <w:rPr>
          <w:rFonts w:ascii="Times New Roman" w:eastAsia="Times New Roman" w:hAnsi="Times New Roman" w:cs="Times New Roman"/>
          <w:b/>
          <w:sz w:val="28"/>
          <w:szCs w:val="28"/>
        </w:rPr>
        <w:t>ВИСНОВКИ</w:t>
      </w:r>
      <w:r w:rsidRPr="00BB78E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BB78E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7</w:t>
      </w:r>
      <w:r>
        <w:rPr>
          <w:rFonts w:ascii="Times New Roman" w:eastAsia="Times New Roman" w:hAnsi="Times New Roman" w:cs="Times New Roman"/>
          <w:sz w:val="28"/>
          <w:szCs w:val="28"/>
        </w:rPr>
        <w:t>3</w:t>
      </w:r>
    </w:p>
    <w:p w:rsidR="00BE5382" w:rsidRDefault="00BE5382" w:rsidP="00BE5382">
      <w:pPr>
        <w:spacing w:after="0"/>
        <w:rPr>
          <w:rFonts w:ascii="Times New Roman" w:eastAsia="Times New Roman" w:hAnsi="Times New Roman" w:cs="Times New Roman"/>
          <w:b/>
          <w:sz w:val="28"/>
          <w:szCs w:val="28"/>
        </w:rPr>
      </w:pPr>
    </w:p>
    <w:p w:rsidR="00BE5382" w:rsidRPr="00BB78EE" w:rsidRDefault="00BE5382" w:rsidP="00BE5382">
      <w:pPr>
        <w:spacing w:after="0"/>
        <w:rPr>
          <w:rFonts w:ascii="Times New Roman" w:eastAsia="Times New Roman" w:hAnsi="Times New Roman" w:cs="Times New Roman"/>
          <w:sz w:val="28"/>
          <w:szCs w:val="28"/>
        </w:rPr>
      </w:pPr>
      <w:r w:rsidRPr="00BB78EE">
        <w:rPr>
          <w:rFonts w:ascii="Times New Roman" w:eastAsia="Times New Roman" w:hAnsi="Times New Roman" w:cs="Times New Roman"/>
          <w:b/>
          <w:sz w:val="28"/>
          <w:szCs w:val="28"/>
        </w:rPr>
        <w:t>СПИСОК ВИКОРИСТАНИХ ДЖЕРЕЛ</w:t>
      </w:r>
      <w:r w:rsidRPr="00BB78E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.78</w:t>
      </w:r>
    </w:p>
    <w:p w:rsidR="00BE5382" w:rsidRDefault="00BE5382" w:rsidP="00BE5382">
      <w:pPr>
        <w:spacing w:after="0"/>
        <w:rPr>
          <w:rFonts w:ascii="Times New Roman" w:eastAsia="Times New Roman" w:hAnsi="Times New Roman" w:cs="Times New Roman"/>
          <w:b/>
          <w:bCs/>
          <w:sz w:val="28"/>
          <w:szCs w:val="28"/>
        </w:rPr>
      </w:pPr>
    </w:p>
    <w:p w:rsidR="00BE5382" w:rsidRPr="00BB78EE" w:rsidRDefault="00BE5382" w:rsidP="00BE5382">
      <w:pPr>
        <w:spacing w:after="0"/>
        <w:rPr>
          <w:rFonts w:ascii="Times New Roman" w:eastAsia="Times New Roman" w:hAnsi="Times New Roman" w:cs="Times New Roman"/>
          <w:b/>
          <w:sz w:val="28"/>
          <w:szCs w:val="28"/>
        </w:rPr>
      </w:pPr>
      <w:r w:rsidRPr="00BB78EE">
        <w:rPr>
          <w:rFonts w:ascii="Times New Roman" w:eastAsia="Times New Roman" w:hAnsi="Times New Roman" w:cs="Times New Roman"/>
          <w:b/>
          <w:bCs/>
          <w:sz w:val="28"/>
          <w:szCs w:val="28"/>
        </w:rPr>
        <w:t>ДОДАТКИ</w:t>
      </w:r>
      <w:r w:rsidRPr="00BB78E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9</w:t>
      </w:r>
      <w:r>
        <w:rPr>
          <w:rFonts w:ascii="Times New Roman" w:eastAsia="Times New Roman" w:hAnsi="Times New Roman" w:cs="Times New Roman"/>
          <w:sz w:val="28"/>
          <w:szCs w:val="28"/>
        </w:rPr>
        <w:t>3</w:t>
      </w:r>
    </w:p>
    <w:p w:rsidR="00BE5382" w:rsidRPr="00BB78EE"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ПЕРЕЛІК УМОВНИХ СКОРОЧЕНЬ</w:t>
      </w:r>
    </w:p>
    <w:p w:rsidR="00BE5382" w:rsidRPr="00BB78EE" w:rsidRDefault="00BE5382" w:rsidP="00BE5382">
      <w:pPr>
        <w:spacing w:after="0"/>
        <w:jc w:val="center"/>
        <w:rPr>
          <w:rFonts w:ascii="Times New Roman" w:eastAsia="Times New Roman" w:hAnsi="Times New Roman" w:cs="Times New Roman"/>
          <w:b/>
          <w:sz w:val="28"/>
          <w:szCs w:val="28"/>
        </w:rPr>
      </w:pPr>
    </w:p>
    <w:p w:rsidR="00BE5382" w:rsidRPr="00BB78EE" w:rsidRDefault="00BE5382" w:rsidP="00BE5382">
      <w:pPr>
        <w:spacing w:after="0"/>
        <w:rPr>
          <w:rFonts w:ascii="Times New Roman" w:eastAsia="Times New Roman" w:hAnsi="Times New Roman" w:cs="Times New Roman"/>
          <w:b/>
          <w:sz w:val="28"/>
          <w:szCs w:val="28"/>
        </w:rPr>
      </w:pPr>
      <w:r w:rsidRPr="00BB78EE">
        <w:rPr>
          <w:rFonts w:ascii="Times New Roman" w:eastAsia="Times New Roman" w:hAnsi="Times New Roman" w:cs="Times New Roman"/>
          <w:b/>
          <w:sz w:val="28"/>
          <w:szCs w:val="28"/>
        </w:rPr>
        <w:t xml:space="preserve">ЄСПЛ </w:t>
      </w:r>
      <w:r w:rsidRPr="00BB78EE">
        <w:rPr>
          <w:rFonts w:ascii="Times New Roman" w:eastAsia="Times New Roman" w:hAnsi="Times New Roman" w:cs="Times New Roman"/>
          <w:b/>
          <w:sz w:val="28"/>
          <w:szCs w:val="28"/>
        </w:rPr>
        <w:tab/>
      </w:r>
      <w:r w:rsidRPr="00BB78EE">
        <w:rPr>
          <w:rFonts w:ascii="Times New Roman" w:eastAsia="Times New Roman" w:hAnsi="Times New Roman" w:cs="Times New Roman"/>
          <w:b/>
          <w:sz w:val="28"/>
          <w:szCs w:val="28"/>
        </w:rPr>
        <w:tab/>
      </w:r>
      <w:r w:rsidRPr="00BB78EE">
        <w:rPr>
          <w:rFonts w:ascii="Times New Roman" w:eastAsia="Times New Roman" w:hAnsi="Times New Roman" w:cs="Times New Roman"/>
          <w:bCs/>
          <w:sz w:val="28"/>
          <w:szCs w:val="28"/>
        </w:rPr>
        <w:t>Європейський суд з прав людини</w:t>
      </w:r>
    </w:p>
    <w:p w:rsidR="00BE5382" w:rsidRPr="00BB78EE" w:rsidRDefault="00BE5382" w:rsidP="00BE5382">
      <w:pPr>
        <w:spacing w:after="0"/>
        <w:rPr>
          <w:rFonts w:ascii="Times New Roman" w:eastAsia="Times New Roman" w:hAnsi="Times New Roman" w:cs="Times New Roman"/>
          <w:b/>
          <w:sz w:val="28"/>
          <w:szCs w:val="28"/>
        </w:rPr>
      </w:pPr>
      <w:r w:rsidRPr="00BB78EE">
        <w:rPr>
          <w:rFonts w:ascii="Times New Roman" w:eastAsia="Times New Roman" w:hAnsi="Times New Roman" w:cs="Times New Roman"/>
          <w:b/>
          <w:sz w:val="28"/>
          <w:szCs w:val="28"/>
        </w:rPr>
        <w:t>ЄКПЛ</w:t>
      </w:r>
      <w:r w:rsidRPr="00BB78EE">
        <w:rPr>
          <w:rFonts w:ascii="Times New Roman" w:eastAsia="Times New Roman" w:hAnsi="Times New Roman" w:cs="Times New Roman"/>
          <w:b/>
          <w:sz w:val="28"/>
          <w:szCs w:val="28"/>
        </w:rPr>
        <w:tab/>
      </w:r>
      <w:r w:rsidRPr="00BB78EE">
        <w:rPr>
          <w:rFonts w:ascii="Times New Roman" w:eastAsia="Times New Roman" w:hAnsi="Times New Roman" w:cs="Times New Roman"/>
          <w:b/>
          <w:sz w:val="28"/>
          <w:szCs w:val="28"/>
        </w:rPr>
        <w:tab/>
      </w:r>
      <w:r w:rsidRPr="00BB78EE">
        <w:rPr>
          <w:rFonts w:ascii="Times New Roman" w:eastAsia="Times New Roman" w:hAnsi="Times New Roman" w:cs="Times New Roman"/>
          <w:bCs/>
          <w:sz w:val="28"/>
          <w:szCs w:val="28"/>
        </w:rPr>
        <w:t>Європейська конвенція з прав людини</w:t>
      </w:r>
    </w:p>
    <w:p w:rsidR="00BE5382" w:rsidRPr="00BB78EE" w:rsidRDefault="00BE5382" w:rsidP="00BE5382">
      <w:pPr>
        <w:spacing w:after="0"/>
        <w:rPr>
          <w:rFonts w:ascii="Times New Roman" w:eastAsia="Times New Roman" w:hAnsi="Times New Roman" w:cs="Times New Roman"/>
          <w:b/>
          <w:sz w:val="28"/>
          <w:szCs w:val="28"/>
        </w:rPr>
      </w:pPr>
      <w:r w:rsidRPr="00BB78EE">
        <w:rPr>
          <w:rFonts w:ascii="Times New Roman" w:eastAsia="Times New Roman" w:hAnsi="Times New Roman" w:cs="Times New Roman"/>
          <w:b/>
          <w:sz w:val="28"/>
          <w:szCs w:val="28"/>
        </w:rPr>
        <w:t>РЄ</w:t>
      </w:r>
      <w:r w:rsidRPr="00BB78EE">
        <w:rPr>
          <w:rFonts w:ascii="Times New Roman" w:eastAsia="Times New Roman" w:hAnsi="Times New Roman" w:cs="Times New Roman"/>
          <w:b/>
          <w:sz w:val="28"/>
          <w:szCs w:val="28"/>
        </w:rPr>
        <w:tab/>
      </w:r>
      <w:r w:rsidRPr="00BB78EE">
        <w:rPr>
          <w:rFonts w:ascii="Times New Roman" w:eastAsia="Times New Roman" w:hAnsi="Times New Roman" w:cs="Times New Roman"/>
          <w:b/>
          <w:sz w:val="28"/>
          <w:szCs w:val="28"/>
        </w:rPr>
        <w:tab/>
      </w:r>
      <w:r w:rsidRPr="00BB78EE">
        <w:rPr>
          <w:rFonts w:ascii="Times New Roman" w:eastAsia="Times New Roman" w:hAnsi="Times New Roman" w:cs="Times New Roman"/>
          <w:b/>
          <w:sz w:val="28"/>
          <w:szCs w:val="28"/>
        </w:rPr>
        <w:tab/>
      </w:r>
      <w:r w:rsidRPr="00BB78EE">
        <w:rPr>
          <w:rFonts w:ascii="Times New Roman" w:eastAsia="Times New Roman" w:hAnsi="Times New Roman" w:cs="Times New Roman"/>
          <w:bCs/>
          <w:sz w:val="28"/>
          <w:szCs w:val="28"/>
        </w:rPr>
        <w:t>Рада Європи</w:t>
      </w:r>
    </w:p>
    <w:p w:rsidR="00BE5382" w:rsidRPr="00BB78EE" w:rsidRDefault="00BE5382" w:rsidP="00BE5382">
      <w:pPr>
        <w:spacing w:after="0"/>
        <w:rPr>
          <w:rFonts w:ascii="Times New Roman" w:eastAsia="Times New Roman" w:hAnsi="Times New Roman" w:cs="Times New Roman"/>
          <w:b/>
          <w:sz w:val="28"/>
          <w:szCs w:val="28"/>
        </w:rPr>
      </w:pPr>
      <w:r w:rsidRPr="00BB78EE">
        <w:rPr>
          <w:rFonts w:ascii="Times New Roman" w:eastAsia="Times New Roman" w:hAnsi="Times New Roman" w:cs="Times New Roman"/>
          <w:b/>
          <w:sz w:val="28"/>
          <w:szCs w:val="28"/>
        </w:rPr>
        <w:t>ВП</w:t>
      </w:r>
      <w:r w:rsidRPr="00BB78EE">
        <w:rPr>
          <w:rFonts w:ascii="Times New Roman" w:eastAsia="Times New Roman" w:hAnsi="Times New Roman" w:cs="Times New Roman"/>
          <w:b/>
          <w:sz w:val="28"/>
          <w:szCs w:val="28"/>
        </w:rPr>
        <w:tab/>
      </w:r>
      <w:r w:rsidRPr="00BB78EE">
        <w:rPr>
          <w:rFonts w:ascii="Times New Roman" w:eastAsia="Times New Roman" w:hAnsi="Times New Roman" w:cs="Times New Roman"/>
          <w:b/>
          <w:sz w:val="28"/>
          <w:szCs w:val="28"/>
        </w:rPr>
        <w:tab/>
      </w:r>
      <w:r w:rsidRPr="00BB78EE">
        <w:rPr>
          <w:rFonts w:ascii="Times New Roman" w:eastAsia="Times New Roman" w:hAnsi="Times New Roman" w:cs="Times New Roman"/>
          <w:b/>
          <w:sz w:val="28"/>
          <w:szCs w:val="28"/>
        </w:rPr>
        <w:tab/>
      </w:r>
      <w:r w:rsidRPr="00BB78EE">
        <w:rPr>
          <w:rFonts w:ascii="Times New Roman" w:eastAsia="Times New Roman" w:hAnsi="Times New Roman" w:cs="Times New Roman"/>
          <w:bCs/>
          <w:sz w:val="28"/>
          <w:szCs w:val="28"/>
        </w:rPr>
        <w:t>Велика Палата</w:t>
      </w:r>
    </w:p>
    <w:p w:rsidR="00BE5382" w:rsidRPr="00BB78EE" w:rsidRDefault="00BE5382" w:rsidP="00BE5382">
      <w:pPr>
        <w:spacing w:after="0"/>
        <w:rPr>
          <w:rFonts w:ascii="Times New Roman" w:eastAsia="Times New Roman" w:hAnsi="Times New Roman" w:cs="Times New Roman"/>
          <w:b/>
          <w:sz w:val="28"/>
          <w:szCs w:val="28"/>
        </w:rPr>
      </w:pPr>
    </w:p>
    <w:p w:rsidR="00BE5382" w:rsidRPr="00BB78EE" w:rsidRDefault="00BE5382" w:rsidP="00BE5382">
      <w:pPr>
        <w:spacing w:after="0"/>
        <w:rPr>
          <w:rFonts w:ascii="Times New Roman" w:eastAsia="Times New Roman" w:hAnsi="Times New Roman" w:cs="Times New Roman"/>
          <w:b/>
          <w:sz w:val="28"/>
          <w:szCs w:val="28"/>
        </w:rPr>
      </w:pPr>
    </w:p>
    <w:p w:rsidR="00BE5382" w:rsidRPr="00BB78EE"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rPr>
          <w:rFonts w:ascii="Times New Roman" w:eastAsia="Times New Roman" w:hAnsi="Times New Roman" w:cs="Times New Roman"/>
          <w:sz w:val="28"/>
          <w:szCs w:val="28"/>
        </w:rPr>
      </w:pPr>
    </w:p>
    <w:p w:rsidR="00BE5382"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rPr>
          <w:rFonts w:ascii="Times New Roman" w:eastAsia="Times New Roman" w:hAnsi="Times New Roman" w:cs="Times New Roman"/>
          <w:sz w:val="28"/>
          <w:szCs w:val="28"/>
        </w:rPr>
      </w:pPr>
    </w:p>
    <w:p w:rsidR="00BE5382" w:rsidRPr="00BB78EE" w:rsidRDefault="00BE5382" w:rsidP="00BE5382">
      <w:pPr>
        <w:spacing w:after="0"/>
        <w:jc w:val="center"/>
        <w:rPr>
          <w:rFonts w:ascii="Times New Roman" w:eastAsia="Times New Roman" w:hAnsi="Times New Roman" w:cs="Times New Roman"/>
          <w:b/>
          <w:bCs/>
          <w:sz w:val="28"/>
          <w:szCs w:val="28"/>
        </w:rPr>
      </w:pPr>
      <w:r w:rsidRPr="00BB78EE">
        <w:rPr>
          <w:rFonts w:ascii="Times New Roman" w:eastAsia="Times New Roman" w:hAnsi="Times New Roman" w:cs="Times New Roman"/>
          <w:b/>
          <w:bCs/>
          <w:sz w:val="28"/>
          <w:szCs w:val="28"/>
        </w:rPr>
        <w:t>ВСТУП</w:t>
      </w:r>
    </w:p>
    <w:p w:rsidR="00BE5382" w:rsidRPr="00BB78EE" w:rsidRDefault="00BE5382" w:rsidP="00BE5382">
      <w:pPr>
        <w:spacing w:after="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ab/>
        <w:t>Виконання остаточного судового рішення та виконавче провадження в принципі є невід'ємною частиною правової системи України та взаємопов’язаним з багатьма фундаментальними принципами права. Вказані принципи, поряд з законодавчо передбаченими гарантіями прав осіб</w:t>
      </w:r>
      <w:r>
        <w:rPr>
          <w:rFonts w:ascii="Times New Roman" w:eastAsia="Times New Roman" w:hAnsi="Times New Roman" w:cs="Times New Roman"/>
          <w:sz w:val="28"/>
          <w:szCs w:val="28"/>
          <w:lang w:val="ru-RU"/>
        </w:rPr>
        <w:t>,</w:t>
      </w:r>
      <w:r w:rsidRPr="00BB78EE">
        <w:rPr>
          <w:rFonts w:ascii="Times New Roman" w:eastAsia="Times New Roman" w:hAnsi="Times New Roman" w:cs="Times New Roman"/>
          <w:sz w:val="28"/>
          <w:szCs w:val="28"/>
        </w:rPr>
        <w:t xml:space="preserve"> є основною формування демократичної, правової, соціальної держави.</w:t>
      </w:r>
    </w:p>
    <w:p w:rsidR="00BE5382" w:rsidRPr="00BB78EE" w:rsidRDefault="00BE5382" w:rsidP="00BE5382">
      <w:pPr>
        <w:spacing w:after="0"/>
        <w:ind w:firstLine="72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Важливість цього інституту неможливо применшити, оскільки саме завдяки належному, своєчасному та ефективному виконанн</w:t>
      </w:r>
      <w:r>
        <w:rPr>
          <w:rFonts w:ascii="Times New Roman" w:eastAsia="Times New Roman" w:hAnsi="Times New Roman" w:cs="Times New Roman"/>
          <w:sz w:val="28"/>
          <w:szCs w:val="28"/>
        </w:rPr>
        <w:t>ю</w:t>
      </w:r>
      <w:r w:rsidRPr="00BB78EE">
        <w:rPr>
          <w:rFonts w:ascii="Times New Roman" w:eastAsia="Times New Roman" w:hAnsi="Times New Roman" w:cs="Times New Roman"/>
          <w:sz w:val="28"/>
          <w:szCs w:val="28"/>
        </w:rPr>
        <w:t xml:space="preserve"> судових рішень є можливим домогтися реального відновлення порушених прав </w:t>
      </w:r>
      <w:r>
        <w:rPr>
          <w:rFonts w:ascii="Times New Roman" w:eastAsia="Times New Roman" w:hAnsi="Times New Roman" w:cs="Times New Roman"/>
          <w:sz w:val="28"/>
          <w:szCs w:val="28"/>
        </w:rPr>
        <w:t>т</w:t>
      </w:r>
      <w:r w:rsidRPr="00BB78EE">
        <w:rPr>
          <w:rFonts w:ascii="Times New Roman" w:eastAsia="Times New Roman" w:hAnsi="Times New Roman" w:cs="Times New Roman"/>
          <w:sz w:val="28"/>
          <w:szCs w:val="28"/>
        </w:rPr>
        <w:t>а свобод людини та громадянина.</w:t>
      </w:r>
    </w:p>
    <w:p w:rsidR="00BE5382" w:rsidRPr="00BB78EE" w:rsidRDefault="00BE5382" w:rsidP="00BE5382">
      <w:pPr>
        <w:spacing w:after="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ab/>
        <w:t>Ратифікація Україною 17</w:t>
      </w:r>
      <w:r w:rsidRPr="0003132F">
        <w:rPr>
          <w:rFonts w:ascii="Times New Roman" w:eastAsia="Times New Roman" w:hAnsi="Times New Roman" w:cs="Times New Roman"/>
          <w:sz w:val="28"/>
          <w:szCs w:val="28"/>
        </w:rPr>
        <w:t>.07.</w:t>
      </w:r>
      <w:r w:rsidRPr="00BB78EE">
        <w:rPr>
          <w:rFonts w:ascii="Times New Roman" w:eastAsia="Times New Roman" w:hAnsi="Times New Roman" w:cs="Times New Roman"/>
          <w:sz w:val="28"/>
          <w:szCs w:val="28"/>
        </w:rPr>
        <w:t>1997 року ЄКПЛ стала черговим кроком на шляху України до ствердження європейських правозахисних цінностей та забезпечення можливості доступу своїх громадян до найдієвішої, на переконання науковців, правозахисної системи світу [1].</w:t>
      </w:r>
    </w:p>
    <w:p w:rsidR="00BE5382" w:rsidRPr="00BB78EE" w:rsidRDefault="00BE5382" w:rsidP="00BE5382">
      <w:pPr>
        <w:spacing w:after="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ab/>
        <w:t>«Європейська конвенція з прав людини – це живий інструмент кожної людини для захисту своїх прав… Важливість Європейської конвенції полягає в обсязі прав і свобод, які вона захищає, а також у системі, яку вона створила шляхом створення Європейського суду з прав людини, завданням якого є нагляд за виконанням державами своїх зобов’язань; система, за якої особи можуть подати свої позови проти держави, якщо їхні права та свободи були зневажені» – зазначається</w:t>
      </w:r>
      <w:r w:rsidRPr="0003132F">
        <w:rPr>
          <w:rFonts w:ascii="Times New Roman" w:eastAsia="Times New Roman" w:hAnsi="Times New Roman" w:cs="Times New Roman"/>
          <w:sz w:val="28"/>
          <w:szCs w:val="28"/>
        </w:rPr>
        <w:t xml:space="preserve"> </w:t>
      </w:r>
      <w:r w:rsidRPr="00BB78EE">
        <w:rPr>
          <w:rFonts w:ascii="Times New Roman" w:eastAsia="Times New Roman" w:hAnsi="Times New Roman" w:cs="Times New Roman"/>
          <w:sz w:val="28"/>
          <w:szCs w:val="28"/>
        </w:rPr>
        <w:t>в новому посібнику РЄ [2, с. 4].</w:t>
      </w:r>
    </w:p>
    <w:p w:rsidR="00BE5382" w:rsidRPr="00BB78EE" w:rsidRDefault="00BE5382" w:rsidP="00BE5382">
      <w:pPr>
        <w:spacing w:after="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ab/>
        <w:t>Відповідно до статті 46 ЄКПЛ: «Високі Договірні Сторони зобов'язуються виконувати остаточні рішення Суду в будь-яких справах, у яких вони є сторонами» [1, ст. 46].</w:t>
      </w:r>
    </w:p>
    <w:p w:rsidR="00BE5382" w:rsidRPr="00BB78EE" w:rsidRDefault="00BE5382" w:rsidP="00BE5382">
      <w:pPr>
        <w:spacing w:after="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ab/>
        <w:t>Згідно зі ст</w:t>
      </w:r>
      <w:r>
        <w:rPr>
          <w:rFonts w:ascii="Times New Roman" w:eastAsia="Times New Roman" w:hAnsi="Times New Roman" w:cs="Times New Roman"/>
          <w:sz w:val="28"/>
          <w:szCs w:val="28"/>
        </w:rPr>
        <w:t xml:space="preserve">аттею </w:t>
      </w:r>
      <w:r w:rsidRPr="00BB78EE">
        <w:rPr>
          <w:rFonts w:ascii="Times New Roman" w:eastAsia="Times New Roman" w:hAnsi="Times New Roman" w:cs="Times New Roman"/>
          <w:sz w:val="28"/>
          <w:szCs w:val="28"/>
        </w:rPr>
        <w:t>17 Закону України «Про виконання рішень та застосування практики Європейського суду з прав людини»</w:t>
      </w:r>
      <w:r>
        <w:rPr>
          <w:rFonts w:ascii="Times New Roman" w:eastAsia="Times New Roman" w:hAnsi="Times New Roman" w:cs="Times New Roman"/>
          <w:sz w:val="28"/>
          <w:szCs w:val="28"/>
        </w:rPr>
        <w:t xml:space="preserve">, </w:t>
      </w:r>
      <w:r w:rsidRPr="00BB78EE">
        <w:rPr>
          <w:rFonts w:ascii="Times New Roman" w:eastAsia="Times New Roman" w:hAnsi="Times New Roman" w:cs="Times New Roman"/>
          <w:sz w:val="28"/>
          <w:szCs w:val="28"/>
        </w:rPr>
        <w:t>суди при розгляді справ застосовують Конвенцію та практику Суду як джерело права [3, ст. 17].</w:t>
      </w:r>
    </w:p>
    <w:p w:rsidR="00BE5382" w:rsidRPr="00BB78EE" w:rsidRDefault="00BE5382" w:rsidP="00BE5382">
      <w:pPr>
        <w:spacing w:after="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lastRenderedPageBreak/>
        <w:tab/>
        <w:t>Не заглиблюючись в наукові дискусії щодо ідентифікації практики ЄСПЛ як судового прецеденту, чи своєрідного засобу тлумачення норм ЄКПЛ в національній правовій системі України, маємо лише констатувати факт обов’язковості рішень суду та погодитися з думками науковців, зокрема, з В. Д. Юрчишином відносно того, що наразі жодна з існуючих позицій не є до кінця переконливою щодо її конкретного розуміння [4, с. 50].</w:t>
      </w:r>
    </w:p>
    <w:p w:rsidR="00BE5382" w:rsidRPr="00BB78EE" w:rsidRDefault="00BE5382" w:rsidP="00BE5382">
      <w:pPr>
        <w:spacing w:after="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ab/>
        <w:t>Зрештою, не можна не визнати той факт, що попри тривалі дискусії, фактично правозастосовна діяльність суду активно впливає як на судову гілку влади, так й на законодавчу й виконавчу, шляхом необхідності удосконалення чинного регулювання та врахування рекомендацій ЄСПЛ.</w:t>
      </w:r>
    </w:p>
    <w:p w:rsidR="00BE5382" w:rsidRPr="00BB78EE" w:rsidRDefault="00BE5382" w:rsidP="00BE5382">
      <w:pPr>
        <w:spacing w:after="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ab/>
        <w:t>Визначившись з важливістю конвенційного механізму, методом від загального до часткового, звернемо увагу на актуальність саме права на справедливий суд в контексті виконання судових рішень, передбаченого статтею 6 ЄКПЛ.</w:t>
      </w:r>
    </w:p>
    <w:p w:rsidR="00BE5382" w:rsidRPr="00BB78EE" w:rsidRDefault="00BE5382" w:rsidP="00BE5382">
      <w:pPr>
        <w:spacing w:after="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ab/>
        <w:t xml:space="preserve">У своєму головному Рішенні у справі «Горнсбі проти Греції» від 19.03.1997 року (Заява № 18357/91) Суд стверджував, що право на доступ до суду «було б ілюзорним, якби внутрішня правова система Договірної держави дозволяла остаточне, обов’язкове судове рішення про невиконання на шкоду одній зі сторін. Було б неможливо уявити, щоб стаття 6§1 детально описувала процесуальні гарантії, надані сторонам у судовому процесі... без захисту виконання судових рішень. … Тому виконання рішення, винесеного будь-яким судом, має розглядатися як невід’ємна частина «судового розгляду» для цілей статті 6» [5, § 40]. </w:t>
      </w:r>
    </w:p>
    <w:p w:rsidR="00BE5382" w:rsidRPr="00BB78EE" w:rsidRDefault="00BE5382" w:rsidP="00BE5382">
      <w:pPr>
        <w:spacing w:after="0"/>
        <w:ind w:firstLine="72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Цим рішенням ЄСПЛ встановлює європейське право на примусове виконання судових рішень на основі статті 6 ЄКПЛ та визначає його принциповість в частині ствердження права на справедливий суд.</w:t>
      </w:r>
    </w:p>
    <w:p w:rsidR="00BE5382" w:rsidRPr="00BB78EE" w:rsidRDefault="00BE5382" w:rsidP="00BE5382">
      <w:pPr>
        <w:spacing w:after="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ab/>
        <w:t>Тим важливіше та актуальніше дослідити проблеми забезпечення прав на виконання остаточних судових рішень в правовій системі України та критично оцінити еволюцію та сучасний стан позицій ЄСПЛ щодо питань, пов’язаних зі ствердженням цього права.</w:t>
      </w:r>
    </w:p>
    <w:p w:rsidR="00BE5382" w:rsidRPr="00BB78EE" w:rsidRDefault="00BE5382" w:rsidP="00BE5382">
      <w:pPr>
        <w:spacing w:after="0"/>
        <w:ind w:firstLine="72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lastRenderedPageBreak/>
        <w:t xml:space="preserve">Наразі існують загальнотеоретичні та практичні проблеми, які випливають через відсутність єдності в перспективних шляхах удосконалення існуючої системи виконання судових рішень судів, </w:t>
      </w:r>
      <w:r>
        <w:rPr>
          <w:rFonts w:ascii="Times New Roman" w:eastAsia="Times New Roman" w:hAnsi="Times New Roman" w:cs="Times New Roman"/>
          <w:sz w:val="28"/>
          <w:szCs w:val="28"/>
        </w:rPr>
        <w:t xml:space="preserve">як </w:t>
      </w:r>
      <w:r w:rsidRPr="00BB78EE">
        <w:rPr>
          <w:rFonts w:ascii="Times New Roman" w:eastAsia="Times New Roman" w:hAnsi="Times New Roman" w:cs="Times New Roman"/>
          <w:sz w:val="28"/>
          <w:szCs w:val="28"/>
        </w:rPr>
        <w:t>національних</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 xml:space="preserve"> та</w:t>
      </w:r>
      <w:r>
        <w:rPr>
          <w:rFonts w:ascii="Times New Roman" w:eastAsia="Times New Roman" w:hAnsi="Times New Roman" w:cs="Times New Roman"/>
          <w:sz w:val="28"/>
          <w:szCs w:val="28"/>
        </w:rPr>
        <w:t>к</w:t>
      </w:r>
      <w:r w:rsidRPr="00BB78E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й </w:t>
      </w:r>
      <w:r w:rsidRPr="00BB78EE">
        <w:rPr>
          <w:rFonts w:ascii="Times New Roman" w:eastAsia="Times New Roman" w:hAnsi="Times New Roman" w:cs="Times New Roman"/>
          <w:sz w:val="28"/>
          <w:szCs w:val="28"/>
        </w:rPr>
        <w:t>ЄСПЛ зокрема, а також виникають певні дискусії в правозастосовній діяльності через брак нормативного регулювання деяких категорій виконавчих справ та необхідності забезпечення належного рівня фінансування.</w:t>
      </w:r>
    </w:p>
    <w:p w:rsidR="00BE5382" w:rsidRPr="00BB78EE" w:rsidRDefault="00BE5382" w:rsidP="00BE5382">
      <w:pPr>
        <w:spacing w:after="0"/>
        <w:ind w:firstLine="709"/>
        <w:jc w:val="both"/>
        <w:rPr>
          <w:rFonts w:ascii="Times New Roman" w:eastAsia="Times New Roman" w:hAnsi="Times New Roman" w:cs="Times New Roman"/>
          <w:color w:val="000000"/>
          <w:sz w:val="28"/>
          <w:szCs w:val="28"/>
        </w:rPr>
      </w:pPr>
      <w:r w:rsidRPr="00BB78EE">
        <w:rPr>
          <w:rFonts w:ascii="Times New Roman" w:eastAsia="Times New Roman" w:hAnsi="Times New Roman" w:cs="Times New Roman"/>
          <w:sz w:val="28"/>
          <w:szCs w:val="28"/>
        </w:rPr>
        <w:t xml:space="preserve">Проблемні  питання  ставали предметом  досліджень  багатьох  провідних  вчених та фахівців.  </w:t>
      </w:r>
      <w:r w:rsidRPr="00BB78EE">
        <w:rPr>
          <w:rFonts w:ascii="Times New Roman" w:eastAsia="Times New Roman" w:hAnsi="Times New Roman" w:cs="Times New Roman"/>
          <w:color w:val="000000"/>
          <w:sz w:val="28"/>
          <w:szCs w:val="28"/>
        </w:rPr>
        <w:t xml:space="preserve">Для вивчення </w:t>
      </w:r>
      <w:r>
        <w:rPr>
          <w:rFonts w:ascii="Times New Roman" w:eastAsia="Times New Roman" w:hAnsi="Times New Roman" w:cs="Times New Roman"/>
          <w:color w:val="000000"/>
          <w:sz w:val="28"/>
          <w:szCs w:val="28"/>
        </w:rPr>
        <w:t>висвітленої проблематики</w:t>
      </w:r>
      <w:r w:rsidRPr="00BB78EE">
        <w:rPr>
          <w:rFonts w:ascii="Times New Roman" w:eastAsia="Times New Roman" w:hAnsi="Times New Roman" w:cs="Times New Roman"/>
          <w:color w:val="000000"/>
          <w:sz w:val="28"/>
          <w:szCs w:val="28"/>
        </w:rPr>
        <w:t xml:space="preserve"> проаналізовано монографії та статті різних авторів. Теоретичної спрямованості дослідження сприяли, в першу чергу, роботи В. Д. Юрчишин, Л. Ю. Сайко, О. В. Солохи, С. Р. Асірян, Ю.В. Милоненко, В. В. Приліпко, Г. Ульфштайн, А. Цимерман, Р. Губань, Р. І. Раімова, В. І. Мариніва, В. Малолітневої,  А. Газідеде, О. Давидчук, А. А. Мелешкевич, С. О. Якимчук, Т. А. Цувіної, Т. Зороської Каміловської, В. Міхалаш, І. Ільченко та інших вчених-правників.</w:t>
      </w:r>
    </w:p>
    <w:p w:rsidR="00BE5382" w:rsidRPr="00BB78EE" w:rsidRDefault="00BE5382" w:rsidP="00BE5382">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Однак </w:t>
      </w:r>
      <w:r>
        <w:rPr>
          <w:rFonts w:ascii="Times New Roman" w:eastAsia="Times New Roman" w:hAnsi="Times New Roman" w:cs="Times New Roman"/>
          <w:sz w:val="28"/>
          <w:szCs w:val="28"/>
        </w:rPr>
        <w:t xml:space="preserve">наразі присутня </w:t>
      </w:r>
      <w:r w:rsidRPr="00BB78EE">
        <w:rPr>
          <w:rFonts w:ascii="Times New Roman" w:eastAsia="Times New Roman" w:hAnsi="Times New Roman" w:cs="Times New Roman"/>
          <w:sz w:val="28"/>
          <w:szCs w:val="28"/>
        </w:rPr>
        <w:t>ціла низка питань,  що  пов’язані  з винайденням сутності права на справедливий суд в контексті забезпечення виконання судових рішень, неоднозначності підходів до розуміння основоположних категорій, які покладені в базис правових позицій ЄСПЛ та пов’язані з правовими прогалинами в наявному нормативно-правовому регулюванні</w:t>
      </w:r>
      <w:r>
        <w:rPr>
          <w:rFonts w:ascii="Times New Roman" w:eastAsia="Times New Roman" w:hAnsi="Times New Roman" w:cs="Times New Roman"/>
          <w:sz w:val="28"/>
          <w:szCs w:val="28"/>
        </w:rPr>
        <w:t>, які залишаються поза увагою</w:t>
      </w:r>
      <w:r w:rsidRPr="00BB78EE">
        <w:rPr>
          <w:rFonts w:ascii="Times New Roman" w:eastAsia="Times New Roman" w:hAnsi="Times New Roman" w:cs="Times New Roman"/>
          <w:sz w:val="28"/>
          <w:szCs w:val="28"/>
        </w:rPr>
        <w:t>.</w:t>
      </w:r>
    </w:p>
    <w:p w:rsidR="00BE5382" w:rsidRPr="00BB78EE" w:rsidRDefault="00BE5382" w:rsidP="00BE5382">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b/>
          <w:bCs/>
          <w:sz w:val="28"/>
          <w:szCs w:val="28"/>
        </w:rPr>
        <w:t>Мета і задачі дослідження</w:t>
      </w:r>
      <w:r w:rsidRPr="00BB78EE">
        <w:rPr>
          <w:rFonts w:ascii="Times New Roman" w:eastAsia="Times New Roman" w:hAnsi="Times New Roman" w:cs="Times New Roman"/>
          <w:sz w:val="28"/>
          <w:szCs w:val="28"/>
        </w:rPr>
        <w:t>. Мета магістерського дослідження полягає в теоретико-правовій  характеристиці правовідносин, які виникають у зв’язку з виконанням судових рішень в доктрині ЄСПЛ та з огляду на сучасні реалії забезпечення права на справедливий суд в Україні.</w:t>
      </w:r>
    </w:p>
    <w:p w:rsidR="00BE5382" w:rsidRPr="00BB78EE" w:rsidRDefault="00BE5382" w:rsidP="00BE5382">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Для досягнення зазначеної мети передбачається вирішення наступних завдань:</w:t>
      </w:r>
    </w:p>
    <w:p w:rsidR="00BE5382" w:rsidRPr="00BB78EE" w:rsidRDefault="00BE5382" w:rsidP="00BE5382">
      <w:pPr>
        <w:spacing w:after="0"/>
        <w:ind w:left="851"/>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lastRenderedPageBreak/>
        <w:t>-</w:t>
      </w:r>
      <w:r w:rsidRPr="00BB78EE">
        <w:rPr>
          <w:rFonts w:ascii="Times New Roman" w:eastAsia="Times New Roman" w:hAnsi="Times New Roman" w:cs="Times New Roman"/>
          <w:sz w:val="28"/>
          <w:szCs w:val="28"/>
        </w:rPr>
        <w:tab/>
        <w:t>розкрити сутність та особливості еволюції виконавчого провадження в Україні та вплив на правову систему України утвердження права на справедливий суд;</w:t>
      </w:r>
    </w:p>
    <w:p w:rsidR="00BE5382" w:rsidRPr="00BB78EE" w:rsidRDefault="00BE5382" w:rsidP="00BE5382">
      <w:pPr>
        <w:spacing w:after="0"/>
        <w:ind w:left="851"/>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ab/>
        <w:t>розглянути наявні прогалини в нормативно-правовому регулюванні в Україні та запропонувати шляхи їхнього вирішення з огляду на наявну практику ЄСПЛ;</w:t>
      </w:r>
    </w:p>
    <w:p w:rsidR="00BE5382" w:rsidRPr="00BB78EE" w:rsidRDefault="00BE5382" w:rsidP="00BE5382">
      <w:pPr>
        <w:spacing w:after="0"/>
        <w:ind w:left="851"/>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дослідити досвід країн РЄ щодо регламентації вказаного кола суспільних відносин крізь призму позицій ЄСПЛ;</w:t>
      </w:r>
    </w:p>
    <w:p w:rsidR="00BE5382" w:rsidRPr="00BB78EE" w:rsidRDefault="00BE5382" w:rsidP="00BE5382">
      <w:pPr>
        <w:spacing w:after="0"/>
        <w:ind w:left="851"/>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проаналізувати особливості забезпечення та механізми захисту прав та інтересів суб'єктів правовідносин, які виникають внаслідок необхідності забезпечення виконання судових рішень та сутністі характеристики цього права через основні категорії, якими оперує ЄСПЛ</w:t>
      </w:r>
      <w:r>
        <w:rPr>
          <w:rFonts w:ascii="Times New Roman" w:eastAsia="Times New Roman" w:hAnsi="Times New Roman" w:cs="Times New Roman"/>
          <w:sz w:val="28"/>
          <w:szCs w:val="28"/>
        </w:rPr>
        <w:t>.</w:t>
      </w:r>
    </w:p>
    <w:p w:rsidR="00BE5382" w:rsidRPr="00BB78EE" w:rsidRDefault="00BE5382" w:rsidP="00BE5382">
      <w:pPr>
        <w:spacing w:after="0"/>
        <w:ind w:firstLine="720"/>
        <w:jc w:val="both"/>
        <w:rPr>
          <w:rFonts w:ascii="Times New Roman" w:eastAsia="Times New Roman" w:hAnsi="Times New Roman" w:cs="Times New Roman"/>
          <w:sz w:val="28"/>
          <w:szCs w:val="28"/>
        </w:rPr>
      </w:pPr>
      <w:r w:rsidRPr="00BB78EE">
        <w:rPr>
          <w:rFonts w:ascii="Times New Roman" w:eastAsia="Times New Roman" w:hAnsi="Times New Roman" w:cs="Times New Roman"/>
          <w:b/>
          <w:bCs/>
          <w:i/>
          <w:iCs/>
          <w:sz w:val="28"/>
          <w:szCs w:val="28"/>
        </w:rPr>
        <w:t>Об’єктом дослідження</w:t>
      </w:r>
      <w:r w:rsidRPr="00BB78EE">
        <w:rPr>
          <w:rFonts w:ascii="Times New Roman" w:eastAsia="Times New Roman" w:hAnsi="Times New Roman" w:cs="Times New Roman"/>
          <w:sz w:val="28"/>
          <w:szCs w:val="28"/>
        </w:rPr>
        <w:t xml:space="preserve"> є правовідносини, що виникають, змінюються і  припиняються  внаслідок виконання судових рішень як права на справедливий суд, передбаченого статтею 6 ЄКПЛ.</w:t>
      </w:r>
    </w:p>
    <w:p w:rsidR="00BE5382" w:rsidRPr="00BB78EE" w:rsidRDefault="00BE5382" w:rsidP="00BE5382">
      <w:pPr>
        <w:spacing w:after="0"/>
        <w:ind w:firstLine="720"/>
        <w:jc w:val="both"/>
        <w:rPr>
          <w:rFonts w:ascii="Times New Roman" w:eastAsia="Times New Roman" w:hAnsi="Times New Roman" w:cs="Times New Roman"/>
          <w:sz w:val="28"/>
          <w:szCs w:val="28"/>
        </w:rPr>
      </w:pPr>
      <w:r w:rsidRPr="00BB78EE">
        <w:rPr>
          <w:rFonts w:ascii="Times New Roman" w:eastAsia="Times New Roman" w:hAnsi="Times New Roman" w:cs="Times New Roman"/>
          <w:b/>
          <w:bCs/>
          <w:i/>
          <w:iCs/>
          <w:sz w:val="28"/>
          <w:szCs w:val="28"/>
        </w:rPr>
        <w:t>Предметом  дослідження</w:t>
      </w:r>
      <w:r w:rsidRPr="00BB78EE">
        <w:rPr>
          <w:rFonts w:ascii="Times New Roman" w:eastAsia="Times New Roman" w:hAnsi="Times New Roman" w:cs="Times New Roman"/>
          <w:sz w:val="28"/>
          <w:szCs w:val="28"/>
        </w:rPr>
        <w:t xml:space="preserve"> є сукупність правових норм та позиції ЄСПЛ, викладені в рішеннях, що відповідно до чинного законодавства є джерелом права в Україні, та які регулюють процедуру виконання судових рішень судів країн</w:t>
      </w:r>
      <w:r>
        <w:rPr>
          <w:rFonts w:ascii="Times New Roman" w:eastAsia="Times New Roman" w:hAnsi="Times New Roman" w:cs="Times New Roman"/>
          <w:sz w:val="28"/>
          <w:szCs w:val="28"/>
        </w:rPr>
        <w:t>-</w:t>
      </w:r>
      <w:r w:rsidRPr="00BB78EE">
        <w:rPr>
          <w:rFonts w:ascii="Times New Roman" w:eastAsia="Times New Roman" w:hAnsi="Times New Roman" w:cs="Times New Roman"/>
          <w:sz w:val="28"/>
          <w:szCs w:val="28"/>
        </w:rPr>
        <w:t>членів РЄ, а також практика застосування таких норм на національному рівні.</w:t>
      </w:r>
    </w:p>
    <w:p w:rsidR="00BE5382" w:rsidRPr="00BB78EE" w:rsidRDefault="00BE5382" w:rsidP="00BE5382">
      <w:pPr>
        <w:spacing w:after="0"/>
        <w:ind w:firstLine="720"/>
        <w:jc w:val="both"/>
        <w:rPr>
          <w:rFonts w:ascii="Times New Roman" w:eastAsia="Times New Roman" w:hAnsi="Times New Roman" w:cs="Times New Roman"/>
          <w:sz w:val="28"/>
          <w:szCs w:val="28"/>
        </w:rPr>
      </w:pPr>
      <w:r w:rsidRPr="00BB78EE">
        <w:rPr>
          <w:rFonts w:ascii="Times New Roman" w:eastAsia="Times New Roman" w:hAnsi="Times New Roman" w:cs="Times New Roman"/>
          <w:b/>
          <w:bCs/>
          <w:i/>
          <w:iCs/>
          <w:sz w:val="28"/>
          <w:szCs w:val="28"/>
        </w:rPr>
        <w:t>Методологічна основа дослідження</w:t>
      </w:r>
      <w:r w:rsidRPr="00BB78EE">
        <w:rPr>
          <w:rFonts w:ascii="Times New Roman" w:eastAsia="Times New Roman" w:hAnsi="Times New Roman" w:cs="Times New Roman"/>
          <w:sz w:val="28"/>
          <w:szCs w:val="28"/>
        </w:rPr>
        <w:t xml:space="preserve"> включає в себе різні методи наукового пізнання, зокрема, діалектичний метод, метод дедукції, метод індукції, метод синтезу, а також логіко-юридичний, історико-правовий, порівняльно-правовий методи, метод системного аналізу.</w:t>
      </w:r>
    </w:p>
    <w:p w:rsidR="00BE5382" w:rsidRPr="00BB78EE" w:rsidRDefault="00BE5382" w:rsidP="00BE5382">
      <w:pPr>
        <w:spacing w:after="0"/>
        <w:ind w:firstLine="72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Історико-правовий метод дослідження простежується під час </w:t>
      </w:r>
      <w:r>
        <w:rPr>
          <w:rFonts w:ascii="Times New Roman" w:eastAsia="Times New Roman" w:hAnsi="Times New Roman" w:cs="Times New Roman"/>
          <w:sz w:val="28"/>
          <w:szCs w:val="28"/>
        </w:rPr>
        <w:t>розкриття</w:t>
      </w:r>
      <w:r w:rsidRPr="00BB78EE">
        <w:rPr>
          <w:rFonts w:ascii="Times New Roman" w:eastAsia="Times New Roman" w:hAnsi="Times New Roman" w:cs="Times New Roman"/>
          <w:sz w:val="28"/>
          <w:szCs w:val="28"/>
        </w:rPr>
        <w:t xml:space="preserve"> особливостей історичного розвитку виконавчого провадження в незалежній Україні та </w:t>
      </w:r>
      <w:r>
        <w:rPr>
          <w:rFonts w:ascii="Times New Roman" w:eastAsia="Times New Roman" w:hAnsi="Times New Roman" w:cs="Times New Roman"/>
          <w:sz w:val="28"/>
          <w:szCs w:val="28"/>
        </w:rPr>
        <w:t>характеристики</w:t>
      </w:r>
      <w:r w:rsidRPr="00BB78EE">
        <w:rPr>
          <w:rFonts w:ascii="Times New Roman" w:eastAsia="Times New Roman" w:hAnsi="Times New Roman" w:cs="Times New Roman"/>
          <w:sz w:val="28"/>
          <w:szCs w:val="28"/>
        </w:rPr>
        <w:t xml:space="preserve"> основних тенденцій удосконалення існуючої системи в історичній ретроспективі. </w:t>
      </w:r>
    </w:p>
    <w:p w:rsidR="00BE5382" w:rsidRPr="00BB78EE" w:rsidRDefault="00BE5382" w:rsidP="00BE5382">
      <w:pPr>
        <w:spacing w:after="0"/>
        <w:ind w:firstLine="72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lastRenderedPageBreak/>
        <w:t>Порівняльно-правовий метод знаходить свій прояв під час аналізу різних статистичних даних та стану правового регулювання виконання судових рішень в деяких досліджуваних країнах РЄ, а метод системного аналізу  та логіко-юридичний – під час дослідження причинно-наслідкових зв’язків між вжитими Україною заходами щодо покращення системи виконання судових рішень та конкретних наслідків цього через практику та реагування ЄСПЛ.</w:t>
      </w:r>
    </w:p>
    <w:p w:rsidR="00BE5382" w:rsidRDefault="00BE5382" w:rsidP="00BE5382">
      <w:pPr>
        <w:spacing w:after="0"/>
        <w:ind w:firstLine="72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Загальнологічні методи такі як методи індукції, дедукції та синтезу застосуються задля оцінки стану проблем, які існують в досліджуваній сфері та винайдення конкретних пропозицій щодо покращення та усунення відповідних прогалин.</w:t>
      </w:r>
    </w:p>
    <w:p w:rsidR="00BE5382" w:rsidRDefault="00BE5382" w:rsidP="00BE5382">
      <w:pPr>
        <w:spacing w:after="0"/>
        <w:ind w:firstLine="720"/>
        <w:jc w:val="both"/>
        <w:rPr>
          <w:rFonts w:ascii="Times New Roman" w:eastAsia="Times New Roman" w:hAnsi="Times New Roman" w:cs="Times New Roman"/>
          <w:sz w:val="28"/>
          <w:szCs w:val="28"/>
        </w:rPr>
      </w:pPr>
      <w:r w:rsidRPr="0003132F">
        <w:rPr>
          <w:rFonts w:ascii="Times New Roman" w:eastAsia="Times New Roman" w:hAnsi="Times New Roman" w:cs="Times New Roman"/>
          <w:b/>
          <w:bCs/>
          <w:i/>
          <w:iCs/>
          <w:sz w:val="28"/>
          <w:szCs w:val="28"/>
        </w:rPr>
        <w:t>Наукова новизна одержаних результатів</w:t>
      </w:r>
      <w:r w:rsidRPr="003B74EC">
        <w:rPr>
          <w:rFonts w:ascii="Times New Roman" w:eastAsia="Times New Roman" w:hAnsi="Times New Roman" w:cs="Times New Roman"/>
          <w:sz w:val="28"/>
          <w:szCs w:val="28"/>
        </w:rPr>
        <w:t xml:space="preserve"> полягає у тому, що магістерська робота є комплексним дослідженням </w:t>
      </w:r>
      <w:r w:rsidRPr="00BB78EE">
        <w:rPr>
          <w:rFonts w:ascii="Times New Roman" w:eastAsia="Times New Roman" w:hAnsi="Times New Roman" w:cs="Times New Roman"/>
          <w:sz w:val="28"/>
          <w:szCs w:val="28"/>
        </w:rPr>
        <w:t>правовідносин, які виникають у зв’язку з виконанням судових рішень в доктрині ЄСПЛ</w:t>
      </w:r>
      <w:r>
        <w:rPr>
          <w:rFonts w:ascii="Times New Roman" w:eastAsia="Times New Roman" w:hAnsi="Times New Roman" w:cs="Times New Roman"/>
          <w:sz w:val="28"/>
          <w:szCs w:val="28"/>
        </w:rPr>
        <w:t>, підходів до їх розуміння</w:t>
      </w:r>
      <w:r w:rsidRPr="00BB78EE">
        <w:rPr>
          <w:rFonts w:ascii="Times New Roman" w:eastAsia="Times New Roman" w:hAnsi="Times New Roman" w:cs="Times New Roman"/>
          <w:sz w:val="28"/>
          <w:szCs w:val="28"/>
        </w:rPr>
        <w:t xml:space="preserve"> та з огляду на сучасні реалії забезпечення права на справедливий суд в Україні</w:t>
      </w:r>
      <w:r w:rsidRPr="003B74EC">
        <w:rPr>
          <w:rFonts w:ascii="Times New Roman" w:eastAsia="Times New Roman" w:hAnsi="Times New Roman" w:cs="Times New Roman"/>
          <w:sz w:val="28"/>
          <w:szCs w:val="28"/>
        </w:rPr>
        <w:t>, за результатами якого сформульовано ряд наукових положень і висновків. Зокрема, до них</w:t>
      </w:r>
      <w:r>
        <w:rPr>
          <w:rFonts w:ascii="Times New Roman" w:eastAsia="Times New Roman" w:hAnsi="Times New Roman" w:cs="Times New Roman"/>
          <w:sz w:val="28"/>
          <w:szCs w:val="28"/>
        </w:rPr>
        <w:t xml:space="preserve"> </w:t>
      </w:r>
      <w:r w:rsidRPr="003B74EC">
        <w:rPr>
          <w:rFonts w:ascii="Times New Roman" w:eastAsia="Times New Roman" w:hAnsi="Times New Roman" w:cs="Times New Roman"/>
          <w:sz w:val="28"/>
          <w:szCs w:val="28"/>
        </w:rPr>
        <w:t>відносяться такі:</w:t>
      </w:r>
    </w:p>
    <w:p w:rsidR="00BE5382" w:rsidRDefault="00BE5382" w:rsidP="00BE5382">
      <w:pPr>
        <w:pStyle w:val="a3"/>
        <w:numPr>
          <w:ilvl w:val="0"/>
          <w:numId w:val="3"/>
        </w:num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вперше здійснено порівняльно-правову характеристику </w:t>
      </w:r>
      <w:r w:rsidRPr="00BB78EE">
        <w:rPr>
          <w:rFonts w:ascii="Times New Roman" w:eastAsia="Times New Roman" w:hAnsi="Times New Roman" w:cs="Times New Roman"/>
          <w:sz w:val="28"/>
          <w:szCs w:val="28"/>
        </w:rPr>
        <w:t>стану подолання проблем невиконання чи неповного виконання судових рішень через реагування ЄСПЛ у формі пілотних рішень на ситуації в конкретних країнах</w:t>
      </w:r>
      <w:r>
        <w:rPr>
          <w:rFonts w:ascii="Times New Roman" w:eastAsia="Times New Roman" w:hAnsi="Times New Roman" w:cs="Times New Roman"/>
          <w:sz w:val="28"/>
          <w:szCs w:val="28"/>
        </w:rPr>
        <w:t xml:space="preserve"> та запропоновано на прикладах цього досвіду загальні заходи, необхідні для вжиття в Україні задля їхнього подолання;</w:t>
      </w:r>
    </w:p>
    <w:p w:rsidR="00BE5382" w:rsidRDefault="00BE5382" w:rsidP="00BE5382">
      <w:pPr>
        <w:pStyle w:val="a3"/>
        <w:numPr>
          <w:ilvl w:val="0"/>
          <w:numId w:val="3"/>
        </w:num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вперше запропоновано конкретні законодавчі зміни щодо вирішення проблеми невиконання судових рішень, постановлених проти державних підприємств у стані приватизації, що в контексті забезпечення права на справедливий суд, є системною проблемою, яка тривалий час залишалася без уваги в наукових колах;</w:t>
      </w:r>
    </w:p>
    <w:p w:rsidR="00BE5382" w:rsidRDefault="00BE5382" w:rsidP="00BE5382">
      <w:pPr>
        <w:pStyle w:val="a3"/>
        <w:numPr>
          <w:ilvl w:val="0"/>
          <w:numId w:val="3"/>
        </w:num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вперше запропонований </w:t>
      </w:r>
      <w:r w:rsidRPr="00BB78EE">
        <w:rPr>
          <w:rFonts w:ascii="Times New Roman" w:eastAsia="Times New Roman" w:hAnsi="Times New Roman" w:cs="Times New Roman"/>
          <w:sz w:val="28"/>
          <w:szCs w:val="28"/>
        </w:rPr>
        <w:t>власний підхід</w:t>
      </w:r>
      <w:r>
        <w:rPr>
          <w:rFonts w:ascii="Times New Roman" w:eastAsia="Times New Roman" w:hAnsi="Times New Roman" w:cs="Times New Roman"/>
          <w:sz w:val="28"/>
          <w:szCs w:val="28"/>
        </w:rPr>
        <w:t>, який ґрунтується на позиціях ЄСПЛ</w:t>
      </w:r>
      <w:r w:rsidRPr="00BB78E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щод</w:t>
      </w:r>
      <w:r w:rsidRPr="00BB78EE">
        <w:rPr>
          <w:rFonts w:ascii="Times New Roman" w:eastAsia="Times New Roman" w:hAnsi="Times New Roman" w:cs="Times New Roman"/>
          <w:sz w:val="28"/>
          <w:szCs w:val="28"/>
        </w:rPr>
        <w:t xml:space="preserve">о визначення розумних строків виконання судового </w:t>
      </w:r>
      <w:r w:rsidRPr="00BB78EE">
        <w:rPr>
          <w:rFonts w:ascii="Times New Roman" w:eastAsia="Times New Roman" w:hAnsi="Times New Roman" w:cs="Times New Roman"/>
          <w:sz w:val="28"/>
          <w:szCs w:val="28"/>
        </w:rPr>
        <w:lastRenderedPageBreak/>
        <w:t xml:space="preserve">рішення як запоруки захисту права особи на справедливий суд, передбаченого статтею 6 ЄКПЛ, акцентуючи увагу на їхній залежності від об’єктивних та суб’єктивних факторів та </w:t>
      </w:r>
      <w:r>
        <w:rPr>
          <w:rFonts w:ascii="Times New Roman" w:eastAsia="Times New Roman" w:hAnsi="Times New Roman" w:cs="Times New Roman"/>
          <w:sz w:val="28"/>
          <w:szCs w:val="28"/>
        </w:rPr>
        <w:t xml:space="preserve">вперше </w:t>
      </w:r>
      <w:r w:rsidRPr="00BB78EE">
        <w:rPr>
          <w:rFonts w:ascii="Times New Roman" w:eastAsia="Times New Roman" w:hAnsi="Times New Roman" w:cs="Times New Roman"/>
          <w:sz w:val="28"/>
          <w:szCs w:val="28"/>
        </w:rPr>
        <w:t>запропоновано аналогічну класифікацію</w:t>
      </w:r>
      <w:r>
        <w:rPr>
          <w:rFonts w:ascii="Times New Roman" w:eastAsia="Times New Roman" w:hAnsi="Times New Roman" w:cs="Times New Roman"/>
          <w:sz w:val="28"/>
          <w:szCs w:val="28"/>
        </w:rPr>
        <w:t xml:space="preserve"> з поділом цих обставин на ті, що залежать від волі осіб, задіяних в процесі виконання рішення, та тих, що, відповідно, не залежать, а є такими, котрі є наслідком або недоліків законодавства, або фактичної складності рішення для виконання тощо</w:t>
      </w:r>
      <w:r w:rsidRPr="00BB78EE">
        <w:rPr>
          <w:rFonts w:ascii="Times New Roman" w:eastAsia="Times New Roman" w:hAnsi="Times New Roman" w:cs="Times New Roman"/>
          <w:sz w:val="28"/>
          <w:szCs w:val="28"/>
        </w:rPr>
        <w:t>.</w:t>
      </w:r>
    </w:p>
    <w:p w:rsidR="00BE5382" w:rsidRPr="0003132F" w:rsidRDefault="00BE5382" w:rsidP="00BE5382">
      <w:pPr>
        <w:pStyle w:val="a3"/>
        <w:numPr>
          <w:ilvl w:val="0"/>
          <w:numId w:val="3"/>
        </w:numPr>
        <w:spacing w:after="0"/>
        <w:jc w:val="both"/>
        <w:rPr>
          <w:rFonts w:ascii="Times New Roman" w:eastAsia="Times New Roman" w:hAnsi="Times New Roman" w:cs="Times New Roman"/>
          <w:sz w:val="28"/>
          <w:szCs w:val="28"/>
        </w:rPr>
      </w:pPr>
      <w:r w:rsidRPr="0003132F">
        <w:rPr>
          <w:rFonts w:ascii="TimesNewRomanPSMT" w:hAnsi="TimesNewRomanPSMT"/>
          <w:sz w:val="28"/>
          <w:szCs w:val="28"/>
        </w:rPr>
        <w:t xml:space="preserve">удосконалено визначення «розумності» строків та складових «ефективного» виконання судового рішення на підставі наявного </w:t>
      </w:r>
      <w:r w:rsidRPr="0003132F">
        <w:rPr>
          <w:rFonts w:ascii="Times New Roman" w:hAnsi="Times New Roman" w:cs="Times New Roman"/>
          <w:sz w:val="28"/>
          <w:szCs w:val="28"/>
        </w:rPr>
        <w:t xml:space="preserve">досвіду інших країн-членів РЄ; </w:t>
      </w:r>
    </w:p>
    <w:p w:rsidR="00BE5382" w:rsidRPr="0003132F" w:rsidRDefault="00BE5382" w:rsidP="00BE5382">
      <w:pPr>
        <w:pStyle w:val="a3"/>
        <w:numPr>
          <w:ilvl w:val="0"/>
          <w:numId w:val="3"/>
        </w:numPr>
        <w:spacing w:after="0"/>
        <w:jc w:val="both"/>
        <w:rPr>
          <w:rFonts w:ascii="Times New Roman" w:eastAsia="Times New Roman" w:hAnsi="Times New Roman" w:cs="Times New Roman"/>
          <w:sz w:val="28"/>
          <w:szCs w:val="28"/>
        </w:rPr>
      </w:pPr>
      <w:r w:rsidRPr="0003132F">
        <w:rPr>
          <w:rFonts w:ascii="Times New Roman" w:hAnsi="Times New Roman" w:cs="Times New Roman"/>
          <w:sz w:val="28"/>
          <w:szCs w:val="28"/>
        </w:rPr>
        <w:t>вперше здійснено обґрунтоване припущення щодо наступного розгляду справ в ЄСПЛ, які стосуються виконання «судових» рішень, постановлених на окупованих територіях, спираючись на розроблені ЄСПЛ раніше підходи.</w:t>
      </w:r>
    </w:p>
    <w:p w:rsidR="00BE5382" w:rsidRPr="00E428AF" w:rsidRDefault="00BE5382" w:rsidP="00BE5382">
      <w:pPr>
        <w:pStyle w:val="a4"/>
        <w:shd w:val="clear" w:color="auto" w:fill="FFFFFF"/>
        <w:spacing w:before="0" w:beforeAutospacing="0" w:after="0" w:afterAutospacing="0" w:line="360" w:lineRule="auto"/>
        <w:ind w:firstLine="720"/>
        <w:jc w:val="both"/>
        <w:rPr>
          <w:sz w:val="28"/>
          <w:szCs w:val="28"/>
        </w:rPr>
      </w:pPr>
      <w:r w:rsidRPr="0003132F">
        <w:rPr>
          <w:b/>
          <w:bCs/>
          <w:i/>
          <w:iCs/>
          <w:sz w:val="28"/>
          <w:szCs w:val="28"/>
        </w:rPr>
        <w:t>Обсяг і структура дослідження</w:t>
      </w:r>
      <w:r w:rsidRPr="00E428AF">
        <w:rPr>
          <w:sz w:val="28"/>
          <w:szCs w:val="28"/>
        </w:rPr>
        <w:t>. Магістерська робота побудована за аналогією до логічної структури рішень ЄСПЛ, які складається зі аналізу чинного законодавства країни</w:t>
      </w:r>
      <w:r>
        <w:rPr>
          <w:sz w:val="28"/>
          <w:szCs w:val="28"/>
          <w:lang w:val="uk-UA"/>
        </w:rPr>
        <w:t>-</w:t>
      </w:r>
      <w:r w:rsidRPr="00E428AF">
        <w:rPr>
          <w:sz w:val="28"/>
          <w:szCs w:val="28"/>
        </w:rPr>
        <w:t>члена РЄ, позиції Суду щодо конкретної справи (у рамках магістерської роботи це є поглядами суду щодо сутності категорії виконання судових рішень) та резолютивної частини з висновками Суду.</w:t>
      </w:r>
    </w:p>
    <w:p w:rsidR="00BE5382" w:rsidRPr="00BB78EE" w:rsidRDefault="00BE5382" w:rsidP="00BE5382">
      <w:pPr>
        <w:spacing w:after="0"/>
        <w:ind w:firstLine="72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Відтак, суто структурно робота складається з переліку скорочень, вступу, трьох розділів, кожен з яких відповідає певному аспекту стану виконання судових рішень, що містять с</w:t>
      </w:r>
      <w:r>
        <w:rPr>
          <w:rFonts w:ascii="Times New Roman" w:eastAsia="Times New Roman" w:hAnsi="Times New Roman" w:cs="Times New Roman"/>
          <w:sz w:val="28"/>
          <w:szCs w:val="28"/>
        </w:rPr>
        <w:t xml:space="preserve">ім </w:t>
      </w:r>
      <w:r w:rsidRPr="00BB78EE">
        <w:rPr>
          <w:rFonts w:ascii="Times New Roman" w:eastAsia="Times New Roman" w:hAnsi="Times New Roman" w:cs="Times New Roman"/>
          <w:sz w:val="28"/>
          <w:szCs w:val="28"/>
        </w:rPr>
        <w:t xml:space="preserve">підрозділів, висновків до розділів, загальних висновків, списку використаної літератури та додатків. </w:t>
      </w:r>
    </w:p>
    <w:p w:rsidR="00BE5382" w:rsidRPr="00BB78EE" w:rsidRDefault="00BE5382" w:rsidP="00BE5382">
      <w:pPr>
        <w:spacing w:after="0"/>
        <w:ind w:firstLine="72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Загальний обсяг дослідження складає 9</w:t>
      </w:r>
      <w:r>
        <w:rPr>
          <w:rFonts w:ascii="Times New Roman" w:eastAsia="Times New Roman" w:hAnsi="Times New Roman" w:cs="Times New Roman"/>
          <w:sz w:val="28"/>
          <w:szCs w:val="28"/>
        </w:rPr>
        <w:t>8</w:t>
      </w:r>
      <w:r w:rsidRPr="00BB78EE">
        <w:rPr>
          <w:rFonts w:ascii="Times New Roman" w:eastAsia="Times New Roman" w:hAnsi="Times New Roman" w:cs="Times New Roman"/>
          <w:sz w:val="28"/>
          <w:szCs w:val="28"/>
        </w:rPr>
        <w:t xml:space="preserve"> сторінок, з яких: 7</w:t>
      </w:r>
      <w:r>
        <w:rPr>
          <w:rFonts w:ascii="Times New Roman" w:eastAsia="Times New Roman" w:hAnsi="Times New Roman" w:cs="Times New Roman"/>
          <w:sz w:val="28"/>
          <w:szCs w:val="28"/>
        </w:rPr>
        <w:t>9</w:t>
      </w:r>
      <w:r w:rsidRPr="00BB78EE">
        <w:rPr>
          <w:rFonts w:ascii="Times New Roman" w:eastAsia="Times New Roman" w:hAnsi="Times New Roman" w:cs="Times New Roman"/>
          <w:sz w:val="28"/>
          <w:szCs w:val="28"/>
        </w:rPr>
        <w:t xml:space="preserve"> сторінок – основний текст роботи, 16 сторінок – список використаної літератури та 3 сторінки – додатки до дипломної роботи. </w:t>
      </w:r>
    </w:p>
    <w:p w:rsidR="00BE5382" w:rsidRDefault="00BE5382" w:rsidP="00BE5382">
      <w:pPr>
        <w:spacing w:after="0"/>
        <w:jc w:val="both"/>
        <w:rPr>
          <w:rFonts w:ascii="Times New Roman" w:eastAsia="Times New Roman" w:hAnsi="Times New Roman" w:cs="Times New Roman"/>
          <w:sz w:val="28"/>
          <w:szCs w:val="28"/>
        </w:rPr>
      </w:pPr>
    </w:p>
    <w:p w:rsidR="00BE5382" w:rsidRDefault="00BE5382" w:rsidP="00BE5382">
      <w:pPr>
        <w:spacing w:after="0"/>
        <w:jc w:val="both"/>
        <w:rPr>
          <w:rFonts w:ascii="Times New Roman" w:eastAsia="Times New Roman" w:hAnsi="Times New Roman" w:cs="Times New Roman"/>
          <w:sz w:val="28"/>
          <w:szCs w:val="28"/>
        </w:rPr>
      </w:pPr>
    </w:p>
    <w:p w:rsidR="00BE5382" w:rsidRDefault="00BE5382" w:rsidP="00BE5382">
      <w:pPr>
        <w:spacing w:after="0"/>
        <w:jc w:val="both"/>
        <w:rPr>
          <w:rFonts w:ascii="Times New Roman" w:eastAsia="Times New Roman" w:hAnsi="Times New Roman" w:cs="Times New Roman"/>
          <w:sz w:val="28"/>
          <w:szCs w:val="28"/>
        </w:rPr>
      </w:pPr>
    </w:p>
    <w:p w:rsidR="001B3677" w:rsidRPr="00BB78EE" w:rsidRDefault="001B3677" w:rsidP="001B3677">
      <w:pPr>
        <w:spacing w:after="0"/>
        <w:jc w:val="center"/>
        <w:rPr>
          <w:rFonts w:ascii="Times New Roman" w:eastAsia="Times New Roman" w:hAnsi="Times New Roman" w:cs="Times New Roman"/>
          <w:b/>
          <w:sz w:val="28"/>
          <w:szCs w:val="28"/>
        </w:rPr>
      </w:pPr>
      <w:r w:rsidRPr="00BB78EE">
        <w:rPr>
          <w:rFonts w:ascii="Times New Roman" w:eastAsia="Times New Roman" w:hAnsi="Times New Roman" w:cs="Times New Roman"/>
          <w:b/>
          <w:sz w:val="28"/>
          <w:szCs w:val="28"/>
        </w:rPr>
        <w:lastRenderedPageBreak/>
        <w:t>ВИСНОВКИ</w:t>
      </w:r>
    </w:p>
    <w:p w:rsidR="001B3677" w:rsidRPr="00BB78EE" w:rsidRDefault="001B3677" w:rsidP="001B3677">
      <w:pPr>
        <w:spacing w:after="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w:t>
      </w:r>
      <w:r w:rsidRPr="00BB78EE">
        <w:rPr>
          <w:rFonts w:ascii="Times New Roman" w:eastAsia="Times New Roman" w:hAnsi="Times New Roman" w:cs="Times New Roman"/>
          <w:sz w:val="28"/>
          <w:szCs w:val="28"/>
        </w:rPr>
        <w:t xml:space="preserve"> сутності права на справедливий суд в контексті забезпечення виконання судових рішень, неоднозначність підходів до розуміння основоположних категорій, які покладені в базис правових позицій ЄСПЛ та пов’язані з правовими прогалинами в наявному нормативно-правовому регулюванні є складними правовими питаннями, актуальність розкриття яких неможливо применшити.</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Відтак, в рамках даної дипломної роботи було розкрито сутність та особливості еволюції виконавчого провадження в Україні та вплив на правову систему України утвердження права на справедливий суд та наступні важливі для розуміння тематики аспекти.</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Як було досліджено, тривалий час система виконання судових рішень потерпала від ґрунтовних та суттєвих проблем в контексті неможливості  виконання рішень. Розглянуто з точки зору історичної ретроспективи важливі рішення «Юрій Миколайович Іванов проти України, «Бурмич та інші проти України»</w:t>
      </w:r>
      <w:r>
        <w:rPr>
          <w:rFonts w:ascii="Times New Roman" w:eastAsia="Times New Roman" w:hAnsi="Times New Roman" w:cs="Times New Roman"/>
          <w:sz w:val="28"/>
          <w:szCs w:val="28"/>
        </w:rPr>
        <w:t>, що</w:t>
      </w:r>
      <w:r w:rsidRPr="00BB78EE">
        <w:rPr>
          <w:rFonts w:ascii="Times New Roman" w:eastAsia="Times New Roman" w:hAnsi="Times New Roman" w:cs="Times New Roman"/>
          <w:sz w:val="28"/>
          <w:szCs w:val="28"/>
        </w:rPr>
        <w:t xml:space="preserve"> мали значний вплив на національну правову систему, за якої вживалися численні заходи у тому числі шляхом створення спеціальних органів, прийняття нормативно-правових актів та стратегій розвитку та удосконалення цієї сфери взагалі. Піддано критичній оцінці сучасний стан реагування Верховного Суду на цю проблематику, зокрема щодо того, що рішення Великої Палати ЄСПЛ у справі «Бурмич та інші проти України» взагалі не є таким, що підлягає виконанню</w:t>
      </w:r>
      <w:r>
        <w:rPr>
          <w:rFonts w:ascii="Times New Roman" w:eastAsia="Times New Roman" w:hAnsi="Times New Roman" w:cs="Times New Roman"/>
          <w:sz w:val="28"/>
          <w:szCs w:val="28"/>
        </w:rPr>
        <w:t>, на переконання Суду</w:t>
      </w:r>
      <w:r w:rsidRPr="00BB78EE">
        <w:rPr>
          <w:rFonts w:ascii="Times New Roman" w:eastAsia="Times New Roman" w:hAnsi="Times New Roman" w:cs="Times New Roman"/>
          <w:sz w:val="28"/>
          <w:szCs w:val="28"/>
        </w:rPr>
        <w:t xml:space="preserve">. </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Окрім цього, в рамках першого розділу досліджено окремі практичні проблеми щодо невиконання судових рішень (до прикладу, щодо невиконання судових рішень проти державних підприємств, які перебувають у стані приватизації) та запропоновані конкретні законодавчі зміни, направлені на подолання прогалин у цій сфері, а також викладено власне бачення ймовірного реагування ЄСПЛ на проблему виконання «судових» рішень, постановлених органами окупаційної влади в рамках повномасштабної війни в Україні з </w:t>
      </w:r>
      <w:r w:rsidRPr="00BB78EE">
        <w:rPr>
          <w:rFonts w:ascii="Times New Roman" w:eastAsia="Times New Roman" w:hAnsi="Times New Roman" w:cs="Times New Roman"/>
          <w:sz w:val="28"/>
          <w:szCs w:val="28"/>
        </w:rPr>
        <w:lastRenderedPageBreak/>
        <w:t>країною-агресором на підставі вже висловлених ЄСПЛ позицій щодо захисту прав осіб в умовах збройних конфліктів.</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Другий розділ, присвячений розумінню сутності права на справедливий суд в рамках виконання остаточних судових рішень, відображає основні підходи ЄСПЛ та науковців щодо виявлення змісту основних категорій, якими оперує Суд під час виявлення потенційних порушень статті 6 </w:t>
      </w:r>
      <w:r>
        <w:rPr>
          <w:rFonts w:ascii="Times New Roman" w:eastAsia="Times New Roman" w:hAnsi="Times New Roman" w:cs="Times New Roman"/>
          <w:sz w:val="28"/>
          <w:szCs w:val="28"/>
        </w:rPr>
        <w:t xml:space="preserve">ЄКПЛ </w:t>
      </w:r>
      <w:r w:rsidRPr="00BB78EE">
        <w:rPr>
          <w:rFonts w:ascii="Times New Roman" w:eastAsia="Times New Roman" w:hAnsi="Times New Roman" w:cs="Times New Roman"/>
          <w:sz w:val="28"/>
          <w:szCs w:val="28"/>
        </w:rPr>
        <w:t xml:space="preserve">щодо невиконання судових рішень та щодо взаємозв’язку зі статтею 13 ЄКПЛ. </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За наслідком аналізу зазначеного, вироблений власний підхід до визначення розумних строків виконання судового рішення як запоруки захисту права особи на справедливий суд, передбаченого статтею 6 ЄКПЛ, акцентуючи увагу на їхній залежності від об’єктивних та суб’єктивних факторів та запропоновано аналогічну класифікацію. </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Зокрема, вперше віднесено до суб’єктивних факторів поведінку сторін та інших учасників провадження, дій чи бездіяльність органів суду, сторін виконавчого провадження чи органів системи виконання судових рішень, а до об’єктивних – складність справи для виконання, у тому числі щодо складності правового питання, великої кількості сторін (боржників, стягувачів) так й щодо організаційних складнощів як, необхідність здійснення додаткових дій щодо отримання документів від кількох експертів, тривалість порушення та важливість його наслідків для постраждалої особи. </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Практична користь подібної класифікації полягає у тому, що завдяки поділу факторів стає можлив</w:t>
      </w:r>
      <w:r>
        <w:rPr>
          <w:rFonts w:ascii="Times New Roman" w:eastAsia="Times New Roman" w:hAnsi="Times New Roman" w:cs="Times New Roman"/>
          <w:sz w:val="28"/>
          <w:szCs w:val="28"/>
        </w:rPr>
        <w:t>ою</w:t>
      </w:r>
      <w:r w:rsidRPr="00BB78EE">
        <w:rPr>
          <w:rFonts w:ascii="Times New Roman" w:eastAsia="Times New Roman" w:hAnsi="Times New Roman" w:cs="Times New Roman"/>
          <w:sz w:val="28"/>
          <w:szCs w:val="28"/>
        </w:rPr>
        <w:t xml:space="preserve">  наступна оцінка, чи зазначена проблема невиконання судового рішення більшою мірою залежить від системних проблем самої держави та неналежної правової культури, які потребують удосконалення, чи подібна затримка в невиконанні є збігом обставин та виправданою у зв’язку з об’єктивними обставинами.</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В рамках другого розділу також надано відповідь на складне питання співвідношення статей 6 та 13 ЄКПЛ, які тривалий час не знаходили однозначного розуміння Судом та науковцями та завдяки висвітленій еволюції поглядів, стало можливим дійти до висновку </w:t>
      </w:r>
      <w:r>
        <w:rPr>
          <w:rFonts w:ascii="Times New Roman" w:eastAsia="Times New Roman" w:hAnsi="Times New Roman" w:cs="Times New Roman"/>
          <w:sz w:val="28"/>
          <w:szCs w:val="28"/>
        </w:rPr>
        <w:t>п</w:t>
      </w:r>
      <w:r w:rsidRPr="00BB78EE">
        <w:rPr>
          <w:rFonts w:ascii="Times New Roman" w:eastAsia="Times New Roman" w:hAnsi="Times New Roman" w:cs="Times New Roman"/>
          <w:sz w:val="28"/>
          <w:szCs w:val="28"/>
        </w:rPr>
        <w:t xml:space="preserve">ро те, що наразі превалюючим </w:t>
      </w:r>
      <w:r w:rsidRPr="00BB78EE">
        <w:rPr>
          <w:rFonts w:ascii="Times New Roman" w:eastAsia="Times New Roman" w:hAnsi="Times New Roman" w:cs="Times New Roman"/>
          <w:sz w:val="28"/>
          <w:szCs w:val="28"/>
        </w:rPr>
        <w:lastRenderedPageBreak/>
        <w:t>чинником в оцінці їхнього співвідношення є обов’язок дослідження всіх обставин порушення, оскільки однобокий погляд щодо їх взаємопоглиблення на стадії виконання судових рішень може мати наслідком упущення реального порушення права, передбаченого ст. 13 ЄКПЛ.</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Окрім цього, проаналізовано загальні підходи до розуміння заходів індивідуального та загального характеру та закцентовано увагу на важливості останніх щодо удосконалення існуючої правової системи та запобігання наступних потенційних порушень.</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Щодо останнього, третього розділу, маємо наголосити на особливій важливості запозичення досвіду інших країн-членів РЄ та безперечної потреби в їхньому аналізі крізь призму рішень ЄСПЛ. Не досліджуючи питання однобоко мовою статистики, однак аналізуючи її зокрема, були зроблені висновки щодо стану подолання проблем невиконання чи неповного виконання судових рішень через реагування ЄСПЛ у формі пілотних рішень на ситуації в конкретних країнах.</w:t>
      </w:r>
    </w:p>
    <w:p w:rsidR="001B3677" w:rsidRPr="00BB78EE" w:rsidRDefault="001B3677" w:rsidP="001B3677">
      <w:pPr>
        <w:spacing w:after="0"/>
        <w:ind w:firstLine="709"/>
        <w:jc w:val="both"/>
        <w:rPr>
          <w:rFonts w:ascii="Times New Roman" w:eastAsia="Times New Roman" w:hAnsi="Times New Roman" w:cs="Times New Roman"/>
          <w:color w:val="000000"/>
          <w:sz w:val="28"/>
          <w:szCs w:val="28"/>
        </w:rPr>
      </w:pPr>
      <w:r w:rsidRPr="00BB78EE">
        <w:rPr>
          <w:rFonts w:ascii="Times New Roman" w:eastAsia="Times New Roman" w:hAnsi="Times New Roman" w:cs="Times New Roman"/>
          <w:color w:val="000000"/>
          <w:sz w:val="28"/>
          <w:szCs w:val="28"/>
        </w:rPr>
        <w:t>Попри розрізненість підходів до подолання проблеми системного невиконання судових рішень, виділено спільні риси, які вбачається актуальним застосувати в Україні з урахуванням практики подібних змін в інших державах.</w:t>
      </w:r>
    </w:p>
    <w:p w:rsidR="001B3677" w:rsidRPr="00BB78EE" w:rsidRDefault="001B3677" w:rsidP="001B3677">
      <w:pPr>
        <w:spacing w:after="0"/>
        <w:ind w:firstLine="709"/>
        <w:jc w:val="both"/>
        <w:rPr>
          <w:rFonts w:ascii="Times New Roman" w:eastAsia="Times New Roman" w:hAnsi="Times New Roman" w:cs="Times New Roman"/>
          <w:color w:val="000000"/>
          <w:sz w:val="28"/>
          <w:szCs w:val="28"/>
        </w:rPr>
      </w:pPr>
      <w:r w:rsidRPr="00BB78EE">
        <w:rPr>
          <w:rFonts w:ascii="Times New Roman" w:eastAsia="Times New Roman" w:hAnsi="Times New Roman" w:cs="Times New Roman"/>
          <w:color w:val="000000"/>
          <w:sz w:val="28"/>
          <w:szCs w:val="28"/>
        </w:rPr>
        <w:t>На прикладі Сербії запропоновано залучати в процес виконання судових рішень недержавних (приватних) виконавців, уповноважених на здійснення стягнення з державних та комунальних органів та підприємств з урахуванням належного нагляду зі сторони держави за їхньою діяльністю.</w:t>
      </w:r>
    </w:p>
    <w:p w:rsidR="001B3677" w:rsidRPr="00BB78EE" w:rsidRDefault="001B3677" w:rsidP="001B3677">
      <w:pPr>
        <w:spacing w:after="0"/>
        <w:ind w:firstLine="709"/>
        <w:jc w:val="both"/>
        <w:rPr>
          <w:rFonts w:ascii="Times New Roman" w:eastAsia="Times New Roman" w:hAnsi="Times New Roman" w:cs="Times New Roman"/>
          <w:color w:val="000000"/>
          <w:sz w:val="28"/>
          <w:szCs w:val="28"/>
        </w:rPr>
      </w:pPr>
      <w:r w:rsidRPr="00BB78EE">
        <w:rPr>
          <w:rFonts w:ascii="Times New Roman" w:eastAsia="Times New Roman" w:hAnsi="Times New Roman" w:cs="Times New Roman"/>
          <w:color w:val="000000"/>
          <w:sz w:val="28"/>
          <w:szCs w:val="28"/>
        </w:rPr>
        <w:t>Щодо досвіду Молдови та критики вжитих нею заходів, наголошено на необхідності не лише застосування компенсаційних способів захисту, як це було здійснено керівництвом держави, а й активнішого залучення превентивних заходів, тобто таких, що направлені на недопущення порушень через розгалужену систему доступу до оскарження рішень, дій чи бездіяльності та можливість розгляду питання щодо неконституційності окремих положень нормативно-правової бази.</w:t>
      </w:r>
    </w:p>
    <w:p w:rsidR="001B3677" w:rsidRPr="00BB78EE" w:rsidRDefault="001B3677" w:rsidP="001B3677">
      <w:pPr>
        <w:spacing w:after="0"/>
        <w:ind w:firstLine="709"/>
        <w:jc w:val="both"/>
        <w:rPr>
          <w:rFonts w:ascii="Times New Roman" w:eastAsia="Times New Roman" w:hAnsi="Times New Roman" w:cs="Times New Roman"/>
          <w:color w:val="000000"/>
          <w:sz w:val="28"/>
          <w:szCs w:val="28"/>
        </w:rPr>
      </w:pPr>
      <w:r w:rsidRPr="00BB78EE">
        <w:rPr>
          <w:rFonts w:ascii="Times New Roman" w:eastAsia="Times New Roman" w:hAnsi="Times New Roman" w:cs="Times New Roman"/>
          <w:color w:val="000000"/>
          <w:sz w:val="28"/>
          <w:szCs w:val="28"/>
        </w:rPr>
        <w:lastRenderedPageBreak/>
        <w:t xml:space="preserve">З огляду на вжиті Польщею заходи, вбачається доречним запозичити підхід до створення розгалуженої та активної системи органів, які забезпечують контроль за виконанням як судових рішень, так й рішень ЄСПЛ, постановлених проти Польщі. Наразі ж, орган, створений за аналогією в Україні в ретроспективі останніх років досліджених в першому розділі, не відмічається результативністю навіть в контексті проведених засідань. </w:t>
      </w:r>
    </w:p>
    <w:p w:rsidR="001B3677" w:rsidRPr="00BB78EE" w:rsidRDefault="001B3677" w:rsidP="001B3677">
      <w:pPr>
        <w:spacing w:after="0"/>
        <w:ind w:firstLine="709"/>
        <w:jc w:val="both"/>
        <w:rPr>
          <w:rFonts w:ascii="Times New Roman" w:eastAsia="Times New Roman" w:hAnsi="Times New Roman" w:cs="Times New Roman"/>
          <w:color w:val="000000"/>
          <w:sz w:val="28"/>
          <w:szCs w:val="28"/>
        </w:rPr>
      </w:pPr>
      <w:r w:rsidRPr="00BB78EE">
        <w:rPr>
          <w:rFonts w:ascii="Times New Roman" w:eastAsia="Times New Roman" w:hAnsi="Times New Roman" w:cs="Times New Roman"/>
          <w:color w:val="000000"/>
          <w:sz w:val="28"/>
          <w:szCs w:val="28"/>
        </w:rPr>
        <w:t xml:space="preserve">Як було зазначено під час характеристики досвіду Румунії та Боснії та Герцеговини, найважливішу роль в подоланні проблеми невиконання судових рішень грає законодавча воля та заінтересованість уряду </w:t>
      </w:r>
      <w:r>
        <w:rPr>
          <w:rFonts w:ascii="Times New Roman" w:eastAsia="Times New Roman" w:hAnsi="Times New Roman" w:cs="Times New Roman"/>
          <w:color w:val="000000"/>
          <w:sz w:val="28"/>
          <w:szCs w:val="28"/>
        </w:rPr>
        <w:t xml:space="preserve">у </w:t>
      </w:r>
      <w:r w:rsidRPr="00BB78EE">
        <w:rPr>
          <w:rFonts w:ascii="Times New Roman" w:eastAsia="Times New Roman" w:hAnsi="Times New Roman" w:cs="Times New Roman"/>
          <w:color w:val="000000"/>
          <w:sz w:val="28"/>
          <w:szCs w:val="28"/>
        </w:rPr>
        <w:t>впровадженні системних змін. Саме завдяки подібним поглядам, стає можливим планування заходів, проведення широкої інформаційної кампанії серед органів державної влади на місцях, фінансування, яке здатне покрити необхідні компенсаційні витрати та активний законотворчий процес, направлений на усунення прогалин нормативно-правового регулювання.</w:t>
      </w:r>
    </w:p>
    <w:p w:rsidR="001B3677" w:rsidRPr="00BB78EE" w:rsidRDefault="001B3677" w:rsidP="001B3677">
      <w:pPr>
        <w:spacing w:after="0"/>
        <w:ind w:firstLine="709"/>
        <w:jc w:val="both"/>
        <w:rPr>
          <w:rFonts w:ascii="Times New Roman" w:eastAsia="Times New Roman" w:hAnsi="Times New Roman" w:cs="Times New Roman"/>
          <w:color w:val="000000"/>
          <w:sz w:val="28"/>
          <w:szCs w:val="28"/>
        </w:rPr>
      </w:pPr>
      <w:r w:rsidRPr="00BB78EE">
        <w:rPr>
          <w:rFonts w:ascii="Times New Roman" w:eastAsia="Times New Roman" w:hAnsi="Times New Roman" w:cs="Times New Roman"/>
          <w:color w:val="000000"/>
          <w:sz w:val="28"/>
          <w:szCs w:val="28"/>
        </w:rPr>
        <w:t>Створення ефективної системи виконання судових рішень є запорукою повного відновлення порушених прав особи та ствердження європейських стандартів захисту прав людини.</w:t>
      </w:r>
    </w:p>
    <w:p w:rsidR="001B3677" w:rsidRPr="00BB78EE" w:rsidRDefault="001B3677" w:rsidP="001B3677">
      <w:pPr>
        <w:spacing w:after="0"/>
        <w:ind w:firstLine="709"/>
        <w:jc w:val="both"/>
        <w:rPr>
          <w:rFonts w:ascii="Times New Roman" w:eastAsia="Times New Roman" w:hAnsi="Times New Roman" w:cs="Times New Roman"/>
          <w:color w:val="000000"/>
          <w:sz w:val="28"/>
          <w:szCs w:val="28"/>
        </w:rPr>
      </w:pPr>
      <w:r w:rsidRPr="00BB78EE">
        <w:rPr>
          <w:rFonts w:ascii="Times New Roman" w:eastAsia="Times New Roman" w:hAnsi="Times New Roman" w:cs="Times New Roman"/>
          <w:color w:val="000000"/>
          <w:sz w:val="28"/>
          <w:szCs w:val="28"/>
        </w:rPr>
        <w:t xml:space="preserve">А відтак, на нашу думку, </w:t>
      </w:r>
      <w:r w:rsidRPr="00717629">
        <w:rPr>
          <w:rFonts w:ascii="Times New Roman" w:eastAsia="Times New Roman" w:hAnsi="Times New Roman" w:cs="Times New Roman"/>
          <w:color w:val="000000"/>
          <w:sz w:val="28"/>
          <w:szCs w:val="28"/>
          <w:u w:val="single"/>
        </w:rPr>
        <w:t>лише з урахуванням подібного ставлення</w:t>
      </w:r>
      <w:r w:rsidRPr="00BB78EE">
        <w:rPr>
          <w:rFonts w:ascii="Times New Roman" w:eastAsia="Times New Roman" w:hAnsi="Times New Roman" w:cs="Times New Roman"/>
          <w:color w:val="000000"/>
          <w:sz w:val="28"/>
          <w:szCs w:val="28"/>
        </w:rPr>
        <w:t xml:space="preserve"> та активної залученості держави до процесу удосконалення сфери виконання судових рішень та створення ефективної, тої, що відповідає потребам часу та реаліям правової системи, системи правових способів захисту, </w:t>
      </w:r>
      <w:r w:rsidRPr="00717629">
        <w:rPr>
          <w:rFonts w:ascii="Times New Roman" w:eastAsia="Times New Roman" w:hAnsi="Times New Roman" w:cs="Times New Roman"/>
          <w:color w:val="000000"/>
          <w:sz w:val="28"/>
          <w:szCs w:val="28"/>
          <w:u w:val="single"/>
        </w:rPr>
        <w:t>стає можливим забезпечити права осіб на виконання судових рішень</w:t>
      </w:r>
      <w:r w:rsidRPr="00BB78EE">
        <w:rPr>
          <w:rFonts w:ascii="Times New Roman" w:eastAsia="Times New Roman" w:hAnsi="Times New Roman" w:cs="Times New Roman"/>
          <w:color w:val="000000"/>
          <w:sz w:val="28"/>
          <w:szCs w:val="28"/>
        </w:rPr>
        <w:t xml:space="preserve"> як елемента права на справедливий суд, передбаченого статтею 6 ЄКПЛ, як це було досліджено в рамках дипломної роботи.</w:t>
      </w:r>
    </w:p>
    <w:p w:rsidR="001B3677" w:rsidRPr="00BB78EE" w:rsidRDefault="001B3677" w:rsidP="001B3677">
      <w:pPr>
        <w:spacing w:after="0"/>
        <w:ind w:firstLine="709"/>
        <w:jc w:val="both"/>
        <w:rPr>
          <w:rFonts w:ascii="Times New Roman" w:eastAsia="Times New Roman" w:hAnsi="Times New Roman" w:cs="Times New Roman"/>
          <w:color w:val="000000"/>
          <w:sz w:val="28"/>
          <w:szCs w:val="28"/>
        </w:rPr>
      </w:pPr>
      <w:r w:rsidRPr="00BB78EE">
        <w:rPr>
          <w:rFonts w:ascii="Times New Roman" w:eastAsia="Times New Roman" w:hAnsi="Times New Roman" w:cs="Times New Roman"/>
          <w:color w:val="000000"/>
          <w:sz w:val="28"/>
          <w:szCs w:val="28"/>
        </w:rPr>
        <w:t xml:space="preserve"> </w:t>
      </w:r>
    </w:p>
    <w:p w:rsidR="001B3677" w:rsidRPr="00BB78EE" w:rsidRDefault="001B3677" w:rsidP="001B3677">
      <w:pPr>
        <w:spacing w:after="0"/>
        <w:ind w:firstLine="709"/>
        <w:jc w:val="both"/>
        <w:rPr>
          <w:rFonts w:ascii="Times New Roman" w:eastAsia="Times New Roman" w:hAnsi="Times New Roman" w:cs="Times New Roman"/>
          <w:color w:val="000000"/>
          <w:sz w:val="28"/>
          <w:szCs w:val="28"/>
        </w:rPr>
      </w:pPr>
    </w:p>
    <w:p w:rsidR="001B3677" w:rsidRPr="00BB78EE" w:rsidRDefault="001B3677" w:rsidP="001B3677">
      <w:pPr>
        <w:spacing w:after="0"/>
        <w:ind w:firstLine="709"/>
        <w:jc w:val="both"/>
        <w:rPr>
          <w:rFonts w:ascii="Times New Roman" w:eastAsia="Times New Roman" w:hAnsi="Times New Roman" w:cs="Times New Roman"/>
          <w:color w:val="000000"/>
          <w:sz w:val="28"/>
          <w:szCs w:val="28"/>
        </w:rPr>
      </w:pPr>
    </w:p>
    <w:p w:rsidR="001B3677" w:rsidRPr="00BB78EE" w:rsidRDefault="001B3677" w:rsidP="001B3677">
      <w:pPr>
        <w:spacing w:after="0"/>
        <w:ind w:firstLine="709"/>
        <w:jc w:val="both"/>
        <w:rPr>
          <w:rFonts w:ascii="Times New Roman" w:eastAsia="Times New Roman" w:hAnsi="Times New Roman" w:cs="Times New Roman"/>
          <w:color w:val="000000"/>
          <w:sz w:val="28"/>
          <w:szCs w:val="28"/>
        </w:rPr>
      </w:pPr>
    </w:p>
    <w:p w:rsidR="001B3677" w:rsidRDefault="001B3677" w:rsidP="001B3677">
      <w:pPr>
        <w:spacing w:after="0"/>
        <w:ind w:firstLine="709"/>
        <w:jc w:val="both"/>
        <w:rPr>
          <w:rFonts w:ascii="Times New Roman" w:eastAsia="Times New Roman" w:hAnsi="Times New Roman" w:cs="Times New Roman"/>
          <w:color w:val="000000"/>
          <w:sz w:val="28"/>
          <w:szCs w:val="28"/>
        </w:rPr>
      </w:pPr>
    </w:p>
    <w:p w:rsidR="001B3677" w:rsidRDefault="001B3677" w:rsidP="001B3677">
      <w:pPr>
        <w:spacing w:after="0"/>
        <w:ind w:firstLine="709"/>
        <w:jc w:val="both"/>
        <w:rPr>
          <w:rFonts w:ascii="Times New Roman" w:eastAsia="Times New Roman" w:hAnsi="Times New Roman" w:cs="Times New Roman"/>
          <w:color w:val="000000"/>
          <w:sz w:val="28"/>
          <w:szCs w:val="28"/>
        </w:rPr>
      </w:pPr>
    </w:p>
    <w:p w:rsidR="001B3677" w:rsidRDefault="001B3677" w:rsidP="001B3677">
      <w:pPr>
        <w:spacing w:after="0"/>
        <w:ind w:firstLine="709"/>
        <w:jc w:val="both"/>
        <w:rPr>
          <w:rFonts w:ascii="Times New Roman" w:eastAsia="Times New Roman" w:hAnsi="Times New Roman" w:cs="Times New Roman"/>
          <w:color w:val="000000"/>
          <w:sz w:val="28"/>
          <w:szCs w:val="28"/>
        </w:rPr>
      </w:pPr>
    </w:p>
    <w:p w:rsidR="001B3677" w:rsidRDefault="001B3677" w:rsidP="001B3677">
      <w:pPr>
        <w:spacing w:after="0"/>
        <w:ind w:firstLine="709"/>
        <w:jc w:val="both"/>
        <w:rPr>
          <w:rFonts w:ascii="Times New Roman" w:eastAsia="Times New Roman" w:hAnsi="Times New Roman" w:cs="Times New Roman"/>
          <w:color w:val="000000"/>
          <w:sz w:val="28"/>
          <w:szCs w:val="28"/>
        </w:rPr>
      </w:pPr>
    </w:p>
    <w:p w:rsidR="001B3677" w:rsidRDefault="001B3677" w:rsidP="001B3677">
      <w:pPr>
        <w:spacing w:after="0"/>
        <w:ind w:firstLine="709"/>
        <w:jc w:val="both"/>
        <w:rPr>
          <w:rFonts w:ascii="Times New Roman" w:eastAsia="Times New Roman" w:hAnsi="Times New Roman" w:cs="Times New Roman"/>
          <w:color w:val="000000"/>
          <w:sz w:val="28"/>
          <w:szCs w:val="28"/>
        </w:rPr>
      </w:pPr>
    </w:p>
    <w:p w:rsidR="001B3677" w:rsidRDefault="001B3677" w:rsidP="001B3677">
      <w:pPr>
        <w:spacing w:after="0"/>
        <w:ind w:firstLine="709"/>
        <w:jc w:val="both"/>
        <w:rPr>
          <w:rFonts w:ascii="Times New Roman" w:eastAsia="Times New Roman" w:hAnsi="Times New Roman" w:cs="Times New Roman"/>
          <w:color w:val="000000"/>
          <w:sz w:val="28"/>
          <w:szCs w:val="28"/>
        </w:rPr>
      </w:pPr>
    </w:p>
    <w:p w:rsidR="001B3677" w:rsidRDefault="001B3677" w:rsidP="001B3677">
      <w:pPr>
        <w:spacing w:after="0"/>
        <w:ind w:firstLine="709"/>
        <w:jc w:val="both"/>
        <w:rPr>
          <w:rFonts w:ascii="Times New Roman" w:eastAsia="Times New Roman" w:hAnsi="Times New Roman" w:cs="Times New Roman"/>
          <w:color w:val="000000"/>
          <w:sz w:val="28"/>
          <w:szCs w:val="28"/>
        </w:rPr>
      </w:pPr>
    </w:p>
    <w:p w:rsidR="001B3677" w:rsidRDefault="001B3677" w:rsidP="001B3677">
      <w:pPr>
        <w:spacing w:after="0"/>
        <w:ind w:firstLine="709"/>
        <w:jc w:val="both"/>
        <w:rPr>
          <w:rFonts w:ascii="Times New Roman" w:eastAsia="Times New Roman" w:hAnsi="Times New Roman" w:cs="Times New Roman"/>
          <w:color w:val="000000"/>
          <w:sz w:val="28"/>
          <w:szCs w:val="28"/>
        </w:rPr>
      </w:pPr>
    </w:p>
    <w:p w:rsidR="001B3677" w:rsidRDefault="001B3677" w:rsidP="001B3677">
      <w:pPr>
        <w:spacing w:after="0"/>
        <w:ind w:firstLine="709"/>
        <w:jc w:val="both"/>
        <w:rPr>
          <w:rFonts w:ascii="Times New Roman" w:eastAsia="Times New Roman" w:hAnsi="Times New Roman" w:cs="Times New Roman"/>
          <w:color w:val="000000"/>
          <w:sz w:val="28"/>
          <w:szCs w:val="28"/>
        </w:rPr>
      </w:pPr>
    </w:p>
    <w:p w:rsidR="001B3677" w:rsidRDefault="001B3677" w:rsidP="001B3677">
      <w:pPr>
        <w:spacing w:after="0"/>
        <w:ind w:firstLine="709"/>
        <w:jc w:val="both"/>
        <w:rPr>
          <w:rFonts w:ascii="Times New Roman" w:eastAsia="Times New Roman" w:hAnsi="Times New Roman" w:cs="Times New Roman"/>
          <w:color w:val="000000"/>
          <w:sz w:val="28"/>
          <w:szCs w:val="28"/>
        </w:rPr>
      </w:pPr>
    </w:p>
    <w:p w:rsidR="001B3677" w:rsidRDefault="001B3677" w:rsidP="001B3677">
      <w:pPr>
        <w:spacing w:after="0"/>
        <w:ind w:firstLine="709"/>
        <w:jc w:val="both"/>
        <w:rPr>
          <w:rFonts w:ascii="Times New Roman" w:eastAsia="Times New Roman" w:hAnsi="Times New Roman" w:cs="Times New Roman"/>
          <w:color w:val="000000"/>
          <w:sz w:val="28"/>
          <w:szCs w:val="28"/>
        </w:rPr>
      </w:pPr>
    </w:p>
    <w:p w:rsidR="001B3677" w:rsidRDefault="001B3677" w:rsidP="001B3677">
      <w:pPr>
        <w:spacing w:after="0"/>
        <w:ind w:firstLine="709"/>
        <w:jc w:val="both"/>
        <w:rPr>
          <w:rFonts w:ascii="Times New Roman" w:eastAsia="Times New Roman" w:hAnsi="Times New Roman" w:cs="Times New Roman"/>
          <w:color w:val="000000"/>
          <w:sz w:val="28"/>
          <w:szCs w:val="28"/>
        </w:rPr>
      </w:pPr>
    </w:p>
    <w:p w:rsidR="001B3677" w:rsidRDefault="001B3677" w:rsidP="001B3677">
      <w:pPr>
        <w:spacing w:after="0"/>
        <w:ind w:firstLine="709"/>
        <w:jc w:val="both"/>
        <w:rPr>
          <w:rFonts w:ascii="Times New Roman" w:eastAsia="Times New Roman" w:hAnsi="Times New Roman" w:cs="Times New Roman"/>
          <w:color w:val="000000"/>
          <w:sz w:val="28"/>
          <w:szCs w:val="28"/>
        </w:rPr>
      </w:pPr>
    </w:p>
    <w:p w:rsidR="001B3677" w:rsidRDefault="001B3677" w:rsidP="001B3677">
      <w:pPr>
        <w:spacing w:after="0"/>
        <w:ind w:firstLine="709"/>
        <w:jc w:val="both"/>
        <w:rPr>
          <w:rFonts w:ascii="Times New Roman" w:eastAsia="Times New Roman" w:hAnsi="Times New Roman" w:cs="Times New Roman"/>
          <w:color w:val="000000"/>
          <w:sz w:val="28"/>
          <w:szCs w:val="28"/>
        </w:rPr>
      </w:pPr>
    </w:p>
    <w:p w:rsidR="001B3677" w:rsidRDefault="001B3677" w:rsidP="001B3677">
      <w:pPr>
        <w:spacing w:after="0"/>
        <w:ind w:firstLine="709"/>
        <w:jc w:val="both"/>
        <w:rPr>
          <w:rFonts w:ascii="Times New Roman" w:eastAsia="Times New Roman" w:hAnsi="Times New Roman" w:cs="Times New Roman"/>
          <w:color w:val="000000"/>
          <w:sz w:val="28"/>
          <w:szCs w:val="28"/>
        </w:rPr>
      </w:pPr>
    </w:p>
    <w:p w:rsidR="001B3677" w:rsidRDefault="001B3677" w:rsidP="001B3677">
      <w:pPr>
        <w:spacing w:after="0"/>
        <w:ind w:firstLine="709"/>
        <w:jc w:val="both"/>
        <w:rPr>
          <w:rFonts w:ascii="Times New Roman" w:eastAsia="Times New Roman" w:hAnsi="Times New Roman" w:cs="Times New Roman"/>
          <w:color w:val="000000"/>
          <w:sz w:val="28"/>
          <w:szCs w:val="28"/>
        </w:rPr>
      </w:pPr>
    </w:p>
    <w:p w:rsidR="001B3677" w:rsidRPr="00BB78EE" w:rsidRDefault="001B3677" w:rsidP="001B3677">
      <w:pPr>
        <w:spacing w:after="0"/>
        <w:ind w:firstLine="709"/>
        <w:jc w:val="both"/>
        <w:rPr>
          <w:rFonts w:ascii="Times New Roman" w:eastAsia="Times New Roman" w:hAnsi="Times New Roman" w:cs="Times New Roman"/>
          <w:color w:val="000000"/>
          <w:sz w:val="28"/>
          <w:szCs w:val="28"/>
        </w:rPr>
      </w:pPr>
    </w:p>
    <w:p w:rsidR="001B3677" w:rsidRPr="00BB78EE" w:rsidRDefault="001B3677" w:rsidP="001B3677">
      <w:pPr>
        <w:spacing w:after="0"/>
        <w:ind w:firstLine="709"/>
        <w:jc w:val="both"/>
        <w:rPr>
          <w:rFonts w:ascii="Times New Roman" w:eastAsia="Times New Roman" w:hAnsi="Times New Roman" w:cs="Times New Roman"/>
          <w:color w:val="000000"/>
          <w:sz w:val="28"/>
          <w:szCs w:val="28"/>
        </w:rPr>
      </w:pPr>
    </w:p>
    <w:p w:rsidR="001B3677" w:rsidRPr="00BB78EE" w:rsidRDefault="001B3677" w:rsidP="001B3677">
      <w:pPr>
        <w:spacing w:after="0"/>
        <w:ind w:firstLine="709"/>
        <w:jc w:val="both"/>
        <w:rPr>
          <w:rFonts w:ascii="Times New Roman" w:eastAsia="Times New Roman" w:hAnsi="Times New Roman" w:cs="Times New Roman"/>
          <w:color w:val="000000"/>
          <w:sz w:val="28"/>
          <w:szCs w:val="28"/>
        </w:rPr>
      </w:pPr>
    </w:p>
    <w:p w:rsidR="001B3677" w:rsidRPr="00BB78EE" w:rsidRDefault="001B3677" w:rsidP="001B3677">
      <w:pPr>
        <w:spacing w:after="0"/>
        <w:ind w:firstLine="709"/>
        <w:jc w:val="both"/>
        <w:rPr>
          <w:rFonts w:ascii="Times New Roman" w:eastAsia="Times New Roman" w:hAnsi="Times New Roman" w:cs="Times New Roman"/>
          <w:color w:val="000000"/>
          <w:sz w:val="28"/>
          <w:szCs w:val="28"/>
        </w:rPr>
      </w:pPr>
    </w:p>
    <w:p w:rsidR="001B3677" w:rsidRPr="00BB78EE" w:rsidRDefault="001B3677" w:rsidP="001B3677">
      <w:pPr>
        <w:spacing w:after="0"/>
        <w:ind w:firstLine="709"/>
        <w:jc w:val="center"/>
        <w:rPr>
          <w:rFonts w:ascii="Times New Roman" w:eastAsia="Times New Roman" w:hAnsi="Times New Roman" w:cs="Times New Roman"/>
          <w:b/>
          <w:bCs/>
          <w:sz w:val="28"/>
          <w:szCs w:val="28"/>
        </w:rPr>
      </w:pPr>
      <w:r w:rsidRPr="00BB78EE">
        <w:rPr>
          <w:rFonts w:ascii="Times New Roman" w:eastAsia="Times New Roman" w:hAnsi="Times New Roman" w:cs="Times New Roman"/>
          <w:b/>
          <w:bCs/>
          <w:sz w:val="28"/>
          <w:szCs w:val="28"/>
        </w:rPr>
        <w:t>СПИСОК ВИКОРИСТАНИХ ДЖЕРЕЛ</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1. Конвенція про захист прав людини і основоположних свобод : Конвенція Ради Європи від 04.11.1950 р. : станом на 01.08.2021 р. URL: https://zakon.rada.gov.ua/laws/show/995_004#Text (дата звернення: 21.10.2022);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BB78EE">
        <w:rPr>
          <w:rFonts w:ascii="Times New Roman" w:eastAsia="Times New Roman" w:hAnsi="Times New Roman" w:cs="Times New Roman"/>
          <w:sz w:val="28"/>
          <w:szCs w:val="28"/>
        </w:rPr>
        <w:t xml:space="preserve">2. </w:t>
      </w:r>
      <w:r w:rsidRPr="00717629">
        <w:rPr>
          <w:rFonts w:ascii="Times New Roman" w:eastAsia="Times New Roman" w:hAnsi="Times New Roman" w:cs="Times New Roman"/>
          <w:sz w:val="28"/>
          <w:szCs w:val="28"/>
          <w:lang w:val="en-US"/>
        </w:rPr>
        <w:t>Court’s Public Relations Unit. The European Convention on Human Rights A living instrument : Brochure. Strasbourg : European Court of Human Rights, 2020. 15 p. URL: https://edoc.coe.int/fr/convention-europenne-des-droits-de-l-homme/8528-the-european-convention-on-human-rights-a-living-instrument.html (date of access: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3. Про виконання рішень та застосування практики Європейського суду з прав людини : Закон України від 23.02.2006 р. № 3477-IV : станом на </w:t>
      </w:r>
      <w:r w:rsidRPr="00BB78EE">
        <w:rPr>
          <w:rFonts w:ascii="Times New Roman" w:eastAsia="Times New Roman" w:hAnsi="Times New Roman" w:cs="Times New Roman"/>
          <w:sz w:val="28"/>
          <w:szCs w:val="28"/>
        </w:rPr>
        <w:lastRenderedPageBreak/>
        <w:t>02.12.2012 р. URL: https://zakon.rada.gov.ua/laws/show/3477-15#Text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4. Юрчишин В. Д. Практика Європейського суду з прав людини як джерело права: колізії в національному законодавстві та шляхи їх вирішення. Наукові праці НУ ОЮА. 2012. С. 47–53. URL: http://dspace.onua.edu.ua/bitstream/handle/11300/5726/Yurchishin%20Praktika%20Єvropejs'kogo%20sudu%20z%20prav%20ljudini.pdf?sequence=1&amp;amp;isAllowed=y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5. Справа "Горнсбі проти Греції" (Case of Hornsby v. Greece) : Рішення ЄСПЛ від 19.03.1997 р. URL: https://zakon.rada.gov.ua/laws/show/980_079#Text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6. Рішення Другого сенату Конституційного Суду України у справі за конституційною скаргою Хліпальської Віри Василівни щодо відповідності Конституції України (конституційності) положень частини другої статті 26 Закону України „Про виконавче провадження“ (щодо забезпечення державою виконання судового рішення) : Рішення Конституц. Суду України від 15.05.2019 р. № 2-р(II)/2019. URL: https://zakon.rada.gov.ua/laws/show/v002p710-19#Text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7. Конституція України : від 28.06.1996 р. № 254к/96-ВР : станом на 01.01.2020 р. URL: https://zakon.rada.gov.ua/laws/show/254к/96-вр#Text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8. Сайко Л. Ю. Історія виникнення і розвитку інституту виконавчого провадження. </w:t>
      </w:r>
      <w:r w:rsidRPr="00E90BD2">
        <w:rPr>
          <w:rFonts w:ascii="Times New Roman" w:eastAsia="Times New Roman" w:hAnsi="Times New Roman" w:cs="Times New Roman"/>
          <w:i/>
          <w:sz w:val="28"/>
          <w:szCs w:val="28"/>
        </w:rPr>
        <w:t>Міжнародно-правове забезпечення стабільності та безпеки суспільства</w:t>
      </w:r>
      <w:r w:rsidRPr="00BB78EE">
        <w:rPr>
          <w:rFonts w:ascii="Times New Roman" w:eastAsia="Times New Roman" w:hAnsi="Times New Roman" w:cs="Times New Roman"/>
          <w:sz w:val="28"/>
          <w:szCs w:val="28"/>
        </w:rPr>
        <w:t xml:space="preserve"> : Матеріали науково-теорет. конф. викл., аспірантів та студ. юрид. фак-ту, м. Суми, 25 трав. 2013 р. Суми, 2013. С. 104–106. URL: http://essuir.sumdu.edu.ua/handle/123456789/34037 (дата звернення: 22.10.2022);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9. Солоха О. В. Історія становлення інституту примусового виконання рішень у цивільних справах. </w:t>
      </w:r>
      <w:r w:rsidRPr="00E90BD2">
        <w:rPr>
          <w:rFonts w:ascii="Times New Roman" w:eastAsia="Times New Roman" w:hAnsi="Times New Roman" w:cs="Times New Roman"/>
          <w:i/>
          <w:sz w:val="28"/>
          <w:szCs w:val="28"/>
        </w:rPr>
        <w:t>Порівняльно-аналітичне право</w:t>
      </w:r>
      <w:r w:rsidRPr="00BB78EE">
        <w:rPr>
          <w:rFonts w:ascii="Times New Roman" w:eastAsia="Times New Roman" w:hAnsi="Times New Roman" w:cs="Times New Roman"/>
          <w:sz w:val="28"/>
          <w:szCs w:val="28"/>
        </w:rPr>
        <w:t>. 2019. № 1. С. 130–</w:t>
      </w:r>
      <w:r w:rsidRPr="00BB78EE">
        <w:rPr>
          <w:rFonts w:ascii="Times New Roman" w:eastAsia="Times New Roman" w:hAnsi="Times New Roman" w:cs="Times New Roman"/>
          <w:sz w:val="28"/>
          <w:szCs w:val="28"/>
        </w:rPr>
        <w:lastRenderedPageBreak/>
        <w:t>133. URL: https://dspace.uzhnu.edu.ua/jspui/bitstream/lib/35848/1/ІСТОРІЯ%20СТАНОВЛЕННЯ%20ІНСТИТУТУ%20ПРИМУСОВОГО.pdf (дата звернення: 22.10.2022);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10. Про виконавче провадження : Закон України від 21.04.1999 р. № 606-XIV : станом на 05.01.2017 р. URL: https://zakon.rada.gov.ua/laws/show/606-14#Text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11. Про затвердження Інструкції про проведення виконавчих дій : Наказ М-ва юстиції України від 15.12.1999 р. № 74/5 : станом на 18.01.2016 р. URL: https://zakon.rada.gov.ua/laws/show/z0865-99#Text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12. Про реалізацію арештованого майна шляхом проведення електронних торгів : Наказ М-ва юстиції України від 22.12.2015 р. № 2710/5 : станом на 05.10.2016 р. URL: https://zakon.rada.gov.ua/laws/show/z1620-15#Text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13. Про затвердження Інструкції з організації примусового виконання рішень : Наказ М-ва юстиції України від 02.04.2012 р. № 512/5 : станом на 26.08.2022 р. URL: https://zakon.rada.gov.ua/laws/show/z0489-12#Text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14. Справа "Ромашов проти України" (Заява N 67534/01) : Рішення ЄСПЛ від 27.07.2004 р. URL: https://zakon.rada.gov.ua/laws/show/980_227#Text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15. Справа "Іммобільяре Саффі" проти Італії" (Case of Immobiliare Saffi v. Italy) : Рішення ЄСПЛ від 28.07.1999 р. URL: https://zakon.rada.gov.ua/laws/show/980_075#Text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16. Справа " Жовнер проти України" (Case Zhovner v. Ukraine) : Рішення ЄСПЛ від 29.06.2004 р. URL: https://zakon.rada.gov.ua/laws/show/980_221#Text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17. Справа " Бакай та інші проти України" (Case Bakai and others v. Ukraine) : Рішення ЄСПЛ від 09.11.2004 р. URL: https://zakon.rada.gov.ua/laws/show/980_230#Text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lastRenderedPageBreak/>
        <w:t>18. Справа " Марченко проти України" (Case Marchenko v. Ukraine) : Ухвала ЄСПЛ щодо прийнятності від 17.09.2002 р. URL: https://minjust.gov.ua/m/str_183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641994">
        <w:rPr>
          <w:rFonts w:ascii="Times New Roman" w:eastAsia="Times New Roman" w:hAnsi="Times New Roman" w:cs="Times New Roman"/>
          <w:sz w:val="28"/>
          <w:szCs w:val="28"/>
        </w:rPr>
        <w:t>19. Про виконання рішень та застосування</w:t>
      </w:r>
      <w:r w:rsidRPr="00BB78EE">
        <w:rPr>
          <w:rFonts w:ascii="Times New Roman" w:eastAsia="Times New Roman" w:hAnsi="Times New Roman" w:cs="Times New Roman"/>
          <w:sz w:val="28"/>
          <w:szCs w:val="28"/>
        </w:rPr>
        <w:t xml:space="preserve"> практики Європейського суду з прав людини: Закон України від 23.02.2006 р. №3477-IV: станом на 01.12.2012 р. URL: https://zakon.rada.gov.ua/laws/show/3477-15#Text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20. Асірян С. Р., Милоненко Ю. В., Приліпко В. В. Проблеми виконання рішень ЄСПЛ в Україні та шляхи їх подолання на прикладі Федеративної Республіки Німеччина. </w:t>
      </w:r>
      <w:r w:rsidRPr="00E90BD2">
        <w:rPr>
          <w:rFonts w:ascii="Times New Roman" w:eastAsia="Times New Roman" w:hAnsi="Times New Roman" w:cs="Times New Roman"/>
          <w:i/>
          <w:sz w:val="28"/>
          <w:szCs w:val="28"/>
        </w:rPr>
        <w:t>Науковий вісник Ужгородського національного університету. Серія: Право</w:t>
      </w:r>
      <w:r w:rsidRPr="00BB78EE">
        <w:rPr>
          <w:rFonts w:ascii="Times New Roman" w:eastAsia="Times New Roman" w:hAnsi="Times New Roman" w:cs="Times New Roman"/>
          <w:sz w:val="28"/>
          <w:szCs w:val="28"/>
        </w:rPr>
        <w:t>. 2021. Т. 63. С. 307–311. URL: https://doi.org/10.24144/2307-3322.2021.63.54 (дата звернення: 22.10.2022);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21. Справа " Юрій Миколайович Іванов проти України " (Case Ivanov v. Ukraine) : Пілотне Рішення ЄСПЛ від 15.10.2009 р. URL: https://zakon.rada.gov.ua/laws/show/974_479#Text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22. Про гарантії держави щодо виконання судових рішень : Закон України від 05.06.2012 р. №4901-17: станом на 19.07.2022 р. URL: https://zakon.rada.gov.ua/laws/show/4901-17#Text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23. Про затвердження Порядку погашення заборгованості за рішеннями суду, виконання яких гарантується державою : Постанова Кабінету Міністрів України від 03.09.2014 р. №440: станом на 12.02.2020 р. URL: https://zakon.rada.gov.ua/laws/show/440-2014-%D0%BF#Text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24. До проекту Закону України «Про гарантії держави щодо виконання судових рішень» : Пояснювальна записка від 08.09.2011 р. URL: http://w1.c1.rada.gov.ua/pls/zweb2/webproc34?id=&amp;pf3511=41092&amp;pf35401=199177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25. Справа " Бурмич та інші проти України" (Case Burmych and others v. Ukraine) : Рішення ЄСПЛ від 12.10.2017 р. URL: </w:t>
      </w:r>
      <w:r w:rsidRPr="00BB78EE">
        <w:rPr>
          <w:rFonts w:ascii="Times New Roman" w:eastAsia="Times New Roman" w:hAnsi="Times New Roman" w:cs="Times New Roman"/>
          <w:sz w:val="28"/>
          <w:szCs w:val="28"/>
        </w:rPr>
        <w:lastRenderedPageBreak/>
        <w:t>https://minjust.gov.ua/files/general/2018/02/20/20180220171513-43.doc (дата звернення: 21.10.2022);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BB78EE">
        <w:rPr>
          <w:rFonts w:ascii="Times New Roman" w:eastAsia="Times New Roman" w:hAnsi="Times New Roman" w:cs="Times New Roman"/>
          <w:sz w:val="28"/>
          <w:szCs w:val="28"/>
        </w:rPr>
        <w:t xml:space="preserve">26. </w:t>
      </w:r>
      <w:r w:rsidRPr="00717629">
        <w:rPr>
          <w:rFonts w:ascii="Times New Roman" w:eastAsia="Times New Roman" w:hAnsi="Times New Roman" w:cs="Times New Roman"/>
          <w:sz w:val="28"/>
          <w:szCs w:val="28"/>
          <w:lang w:val="en-US"/>
        </w:rPr>
        <w:t>Ulfstein G., Zimmermann A. Certiorari through the Backdoor? – the judgment by the European Court of Human Rights in Burmych and Others v. Ukraine in perspective. The Law &amp; Practice of International Courts and Tribunals. 2018. С. 1–30. URL: https://www.duo.uio.no/bitstream/handle/10852/67292/postprint%2BUlfstein-Zimmermann.pdf?sequence=2&amp;isAllowed=y (date of access: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27. «Бурмич та інші проти України»: понад 12 тис скарг в ЄСПЛ об’єднано в один кейс. </w:t>
      </w:r>
      <w:r w:rsidRPr="00E90BD2">
        <w:rPr>
          <w:rFonts w:ascii="Times New Roman" w:eastAsia="Times New Roman" w:hAnsi="Times New Roman" w:cs="Times New Roman"/>
          <w:i/>
          <w:sz w:val="28"/>
          <w:szCs w:val="28"/>
        </w:rPr>
        <w:t>Юридична Газета</w:t>
      </w:r>
      <w:r w:rsidRPr="00BB78EE">
        <w:rPr>
          <w:rFonts w:ascii="Times New Roman" w:eastAsia="Times New Roman" w:hAnsi="Times New Roman" w:cs="Times New Roman"/>
          <w:sz w:val="28"/>
          <w:szCs w:val="28"/>
        </w:rPr>
        <w:t>. 2017. URL: https://yur-gazeta.com/golovna/burmich-ta-inshi-proti-ukrayini-ponad-12-tis-skarg-v-espl-obednano-v-odin-keys.html (дата звернення: 22.10.2022);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28. Постанова Верховн</w:t>
      </w:r>
      <w:r>
        <w:rPr>
          <w:rFonts w:ascii="Times New Roman" w:eastAsia="Times New Roman" w:hAnsi="Times New Roman" w:cs="Times New Roman"/>
          <w:sz w:val="28"/>
          <w:szCs w:val="28"/>
          <w:lang w:val="ru-RU"/>
        </w:rPr>
        <w:t>ого</w:t>
      </w:r>
      <w:r w:rsidRPr="00BB78EE">
        <w:rPr>
          <w:rFonts w:ascii="Times New Roman" w:eastAsia="Times New Roman" w:hAnsi="Times New Roman" w:cs="Times New Roman"/>
          <w:sz w:val="28"/>
          <w:szCs w:val="28"/>
        </w:rPr>
        <w:t xml:space="preserve"> Суд</w:t>
      </w:r>
      <w:r>
        <w:rPr>
          <w:rFonts w:ascii="Times New Roman" w:eastAsia="Times New Roman" w:hAnsi="Times New Roman" w:cs="Times New Roman"/>
          <w:sz w:val="28"/>
          <w:szCs w:val="28"/>
          <w:lang w:val="ru-RU"/>
        </w:rPr>
        <w:t>у</w:t>
      </w:r>
      <w:r w:rsidRPr="00BB78EE">
        <w:rPr>
          <w:rFonts w:ascii="Times New Roman" w:eastAsia="Times New Roman" w:hAnsi="Times New Roman" w:cs="Times New Roman"/>
          <w:sz w:val="28"/>
          <w:szCs w:val="28"/>
        </w:rPr>
        <w:t xml:space="preserve"> у складі колегії суддів Касаційного адміністративного суду</w:t>
      </w:r>
      <w:r>
        <w:rPr>
          <w:rFonts w:ascii="Times New Roman" w:eastAsia="Times New Roman" w:hAnsi="Times New Roman" w:cs="Times New Roman"/>
          <w:sz w:val="28"/>
          <w:szCs w:val="28"/>
          <w:lang w:val="ru-RU"/>
        </w:rPr>
        <w:t xml:space="preserve"> </w:t>
      </w:r>
      <w:r w:rsidRPr="00BB78EE">
        <w:rPr>
          <w:rFonts w:ascii="Times New Roman" w:eastAsia="Times New Roman" w:hAnsi="Times New Roman" w:cs="Times New Roman"/>
          <w:sz w:val="28"/>
          <w:szCs w:val="28"/>
        </w:rPr>
        <w:t>від 14.01.2021 р. у справі № 823/1181/18. URL: https://reyestr.court.gov.ua/Review/94129824 (дата звернення: 22.10.2022);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29. Питання погашення заборгованості з пенсійних виплат за рішеннями суду : Постанова Кабінету Міністрів України від 22.08.2018 р. №649: станом на 22.07.2020 р. URL: https://zakon.rada.gov.ua/laws/show/649-2018-%D0%BF#Text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30. Про схвалення Національної стратегії розв’язання проблеми невиконання рішень судів, боржниками за якими є державний орган або державне підприємство, установа, організація, на період до 2022 року : Розпорядження Кабінету Міністрів України від 30.09.2020 р. №1218-р.  URL: https://zakon.rada.gov.ua/laws/show/1218-2020-%D1%80#Text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31. Про затвердження плану заходів щодо реалізації Національної стратегії розв’язання проблеми невиконання рішень судів, боржниками за якими є державний орган або державне підприємство, установа, організація, на період до 2022 року: Розпорядження Кабінету Міністрів України від </w:t>
      </w:r>
      <w:r w:rsidRPr="00BB78EE">
        <w:rPr>
          <w:rFonts w:ascii="Times New Roman" w:eastAsia="Times New Roman" w:hAnsi="Times New Roman" w:cs="Times New Roman"/>
          <w:sz w:val="28"/>
          <w:szCs w:val="28"/>
        </w:rPr>
        <w:lastRenderedPageBreak/>
        <w:t>17.03.2021 р. №210-р.  URL: https://zakon.rada.gov.ua/laws/show/210-2021-%D1%80#Text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32. Про утворення Комісії з питань виконання рішень Європейського суду з прав людини: Постанова Кабінету Міністрів України від 01.04.2020 р. №258: станом на 18.08.2022 р. URL https://zakon.rada.gov.ua/laws/show/258-2020-%D0%BF#Text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33. Діяльність Комісії з питань виконання рішень Європейського суду з прав людини : Міністерство юстиції України. URL: https://minjust.gov.ua/coordination-donor-help/measures_taken_by_ukraine/activity (дата звернення: 22.10.2022);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34. Щербатюк М., Тарасенко О., Юдіна Я., Петров М. Зміни до Державного бюджету України-2021: як тепер виконувати рішення судів, де боржником є держава?. УГСПЛ.  URL: https://helsinki.org.ua/articles/zminy-do-derzhavnoho-biudzhetu-ukrainy-2021-iak-teper-vykonuvaty-rishennia-sudiv-de-borzhnykom-ie-derzhava/ (дата звернення: 22.10.2022);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35.  Ухвала Велик</w:t>
      </w:r>
      <w:r>
        <w:rPr>
          <w:rFonts w:ascii="Times New Roman" w:eastAsia="Times New Roman" w:hAnsi="Times New Roman" w:cs="Times New Roman"/>
          <w:sz w:val="28"/>
          <w:szCs w:val="28"/>
          <w:lang w:val="ru-RU"/>
        </w:rPr>
        <w:t>ої</w:t>
      </w:r>
      <w:r w:rsidRPr="00BB78EE">
        <w:rPr>
          <w:rFonts w:ascii="Times New Roman" w:eastAsia="Times New Roman" w:hAnsi="Times New Roman" w:cs="Times New Roman"/>
          <w:sz w:val="28"/>
          <w:szCs w:val="28"/>
        </w:rPr>
        <w:t xml:space="preserve"> Палат</w:t>
      </w:r>
      <w:r>
        <w:rPr>
          <w:rFonts w:ascii="Times New Roman" w:eastAsia="Times New Roman" w:hAnsi="Times New Roman" w:cs="Times New Roman"/>
          <w:sz w:val="28"/>
          <w:szCs w:val="28"/>
          <w:lang w:val="ru-RU"/>
        </w:rPr>
        <w:t>и</w:t>
      </w:r>
      <w:r w:rsidRPr="00BB78EE">
        <w:rPr>
          <w:rFonts w:ascii="Times New Roman" w:eastAsia="Times New Roman" w:hAnsi="Times New Roman" w:cs="Times New Roman"/>
          <w:sz w:val="28"/>
          <w:szCs w:val="28"/>
        </w:rPr>
        <w:t xml:space="preserve"> Верховного Суду у справі № 908/1525/16 від 04.11.2021 р. URL: http://reyestr.court.gov.ua/Review/100919172 (дата звернення: 22.10.2022);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36. Березовська Д. Є., Левенець А. В. Проблемні аспекти виконання судових рішень, постановлених проти державних підприємств у стані приватизації, в контексті права на справедливий суд. </w:t>
      </w:r>
      <w:r w:rsidRPr="00E90BD2">
        <w:rPr>
          <w:rFonts w:ascii="Times New Roman" w:eastAsia="Times New Roman" w:hAnsi="Times New Roman" w:cs="Times New Roman"/>
          <w:i/>
          <w:sz w:val="28"/>
          <w:szCs w:val="28"/>
        </w:rPr>
        <w:t>Збірник тез доповідей студентів, аспірантів та здобувачів – учасників 78-ї звітної конференції Одеського національного університету імені І. І. Мечникова</w:t>
      </w:r>
      <w:r w:rsidRPr="00BB78EE">
        <w:rPr>
          <w:rFonts w:ascii="Times New Roman" w:eastAsia="Times New Roman" w:hAnsi="Times New Roman" w:cs="Times New Roman"/>
          <w:sz w:val="28"/>
          <w:szCs w:val="28"/>
        </w:rPr>
        <w:t>. Секція економічних і правових наук. м. Одеса, 19–20 травня 2022 р., відп. ред. О. В. Побережець ; ред. кол.: Н. Л. Кусик, А. Л. Святошнюк, Т. В. Степанова та ін.Одеса : Олді+, 2022. 380 с. С. 142-145.</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37. Цивільний процесуальний кодекс України : Закон України від 18.03.2001 р. № 1618-IV : станом на 15.10.2022 р. URL: https://zakon.rada.gov.ua/laws/show/1618-15#Text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lastRenderedPageBreak/>
        <w:t>38. Про міжнародне приватне право : Закон України від 23.06.2005 р. № 2709-IV: станом на 15.10.2022 р. URL: https://zakon.rada.gov.ua/laws/show/2709-15#Text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38. Губань Р. Проблеми визнання та виконання рішень іноземних судів в України. </w:t>
      </w:r>
      <w:r w:rsidRPr="00E90BD2">
        <w:rPr>
          <w:rFonts w:ascii="Times New Roman" w:eastAsia="Times New Roman" w:hAnsi="Times New Roman" w:cs="Times New Roman"/>
          <w:i/>
          <w:sz w:val="28"/>
          <w:szCs w:val="28"/>
        </w:rPr>
        <w:t>Юридична Газета</w:t>
      </w:r>
      <w:r w:rsidRPr="00BB78EE">
        <w:rPr>
          <w:rFonts w:ascii="Times New Roman" w:eastAsia="Times New Roman" w:hAnsi="Times New Roman" w:cs="Times New Roman"/>
          <w:sz w:val="28"/>
          <w:szCs w:val="28"/>
        </w:rPr>
        <w:t>. №40. 2015. URL: https://yur-gazeta.com/publications/practice/vikonavche-provadzhennya/problemi-viznannya-ta-vikonannya-rishen-inozemnih-sudiv-v-ukrayini.html (дата звернення: 22.10.2022);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39. Справа "Джеймс та інші проти Сполученого Королівства" (Case of James and others v. the United Kingdom): Рішення ЄСПЛ від 21.02.1986 р. URL: https://zakon.rada.gov.ua/laws/show/980_180#Text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40. Раімов Р.І. Практика Європейського суду з прав людини щодо визначення меж поняття «публічний інтерес». </w:t>
      </w:r>
      <w:r w:rsidRPr="00E90BD2">
        <w:rPr>
          <w:rFonts w:ascii="Times New Roman" w:eastAsia="Times New Roman" w:hAnsi="Times New Roman" w:cs="Times New Roman"/>
          <w:i/>
          <w:sz w:val="28"/>
          <w:szCs w:val="28"/>
        </w:rPr>
        <w:t>Науковий вісник Ужгородського національного університету. Серія: Прав</w:t>
      </w:r>
      <w:r w:rsidRPr="00BB78EE">
        <w:rPr>
          <w:rFonts w:ascii="Times New Roman" w:eastAsia="Times New Roman" w:hAnsi="Times New Roman" w:cs="Times New Roman"/>
          <w:sz w:val="28"/>
          <w:szCs w:val="28"/>
        </w:rPr>
        <w:t>о. 2017. Т. 2. №47 С. 157–162. URL: https://dspace.uzhnu.edu.ua/jspui/bitstream/lib/33989/1/%D0%9F%D0%A0%D0%90%D0%9A%D0%A2%D0%98%D0%9A%D0%90%20%D0%84%D0%92%D0%A0%D0%9E%D0%9F%D0%95%D0%99%D0%A1%D0%AC%D0%9A%D0%9E%D0%93%D0%9E%20%D0%A1%D0%A3%D0%94%D0%A3%20%D0%97%20%D0%9F%D0%A0%D0%90%D0%92%20%D0%9B%D0%AE%D0%94%D0%98%D0%9D%D0%98.pdf (дата звернення: 22.10.2022);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41. Справа " Кіпр проти Туреччини" (Case of Cyprus v. Turkey): Рішення ЄСПЛ від 10.05.2001 р. URL http://eurocourt.in.ua/Article.asp?AIdx=381 (дата звернення: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42. Малолітнева В. Відшкодування шкоди, заподіяної внаслідок окупації: практика ЄСПЛ. Ліга:Блоги. 2016. URL: https://blog.liga.net/user/vmalolytneva/article/22183 (дата звернення: 22.10.2022);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lastRenderedPageBreak/>
        <w:t xml:space="preserve">43. Маринів В. І. Особливості реалізації окремих засад кримінального провадження у судах апеляційної та касаційної інстанцій. </w:t>
      </w:r>
      <w:r w:rsidRPr="00E90BD2">
        <w:rPr>
          <w:rFonts w:ascii="Times New Roman" w:eastAsia="Times New Roman" w:hAnsi="Times New Roman" w:cs="Times New Roman"/>
          <w:i/>
          <w:sz w:val="28"/>
          <w:szCs w:val="28"/>
        </w:rPr>
        <w:t>Право України</w:t>
      </w:r>
      <w:r w:rsidRPr="00BB78EE">
        <w:rPr>
          <w:rFonts w:ascii="Times New Roman" w:eastAsia="Times New Roman" w:hAnsi="Times New Roman" w:cs="Times New Roman"/>
          <w:sz w:val="28"/>
          <w:szCs w:val="28"/>
        </w:rPr>
        <w:t>. 2013. № 11. С. 259–265.</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44. Glossary of the European Convention on Human Rights. English-Ukrainian Ukrainian-English : Glossary. Strasbourg : European Court of Human Rights, 2015. 53 p. URL: https://rm.coe.int/16806f0ddf (date of access: 21.10.2022);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45. Quam Longum Debet Esse Rationabile Tempus, Non Definitur In Lege, Sed Pendet Ex Discretione Justiciariorum. Free Online Dictionary of Law Terms and Legal Definitions. URL: https://legaldictionary.lawin.org/quam-longum-debet-esse-rationabile-tempus-non-definitur-in-lege-sed-pendet-ex-discretione-justiciariorum/ (date of access: 21.10.2022);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46. Gazidede A. Practice of European Court of Human Rights (ECHR) in the enforcement of courts’ final decisions. Academicus - International Scientific Journal. 2015. С. 38-46. URL: https://academicus.edu.al/nr12/Academicus-MMXV-12-038-046.pdf (date of access: 21.10.2022);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47. Case of Raylyan v. Russia: ECHR Judgment 15.02.2007. URL https://hudoc.exec.coe.int/eng#{%22fulltext%22:[%2222000/03%22],%22EXECDocumentTypeCollection%22:[%22CEC%22],%22EXECIdentifier%22:[%22004-21020%22]} (date of access: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48. Справа " Стаднюк проти України" (Case of Stadnyuk v. Turkey): Рішення ЄСПЛ від 27.11.2008 р. URL: https://zakon.rada.gov.ua/laws/show/974_416#Text (дата звернення: 21.10.2022);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BB78EE">
        <w:rPr>
          <w:rFonts w:ascii="Times New Roman" w:eastAsia="Times New Roman" w:hAnsi="Times New Roman" w:cs="Times New Roman"/>
          <w:sz w:val="28"/>
          <w:szCs w:val="28"/>
        </w:rPr>
        <w:t xml:space="preserve">49. </w:t>
      </w:r>
      <w:r w:rsidRPr="00717629">
        <w:rPr>
          <w:rFonts w:ascii="Times New Roman" w:eastAsia="Times New Roman" w:hAnsi="Times New Roman" w:cs="Times New Roman"/>
          <w:sz w:val="28"/>
          <w:szCs w:val="28"/>
          <w:lang w:val="en-US"/>
        </w:rPr>
        <w:t>Case of Di Pede v. Italy: ECHR Judgment 26.09.1996. URL  : https://hudoc.echr.coe.int/eng#{%22fulltext%22:[%2215797/89%22],%22documentcollectionid2%22:[%22GRANDCHAMBER%22,%22CHAMBER%22],%22itemid%22:[%22001-58058%22]} (date of access: 21.10.2022);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50. Case of Yerkimbayev v. Russia: ECHR Judgment 23.10.2008. URL : https://hudoc.echr.coe.int/eng#{%22fulltext%22:[%2234104/04%22],%22documentcollectionid2%22:[%22GRANDCHAMBER%22,%22CHAMBER%22],%22itemid%22:[%22001-89034%22]} (date of access: 21.10.2022);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lastRenderedPageBreak/>
        <w:t>51. Case of Guincho v. Portugal: ECHR Judgment 10.07.1984. URL : https://hudoc.echr.coe.int/eng#{%22fulltext%22:[%2234104/04%22],%22documentcollectionid2%22:[%22GRANDCHAMBER%22,%22CHAMBER%22],%22itemid%22:[%22001-89034%22]} (date of access: 21.10.2022);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52. Case of Frydlender v. France: ECHR Judgment 27.06.2000. URL : https://hudoc.echr.coe.int/eng#{%22appno%22:[%2230979/96%22],%22itemid%22:[%22001-58762%22]} (date of access: 21.10.2022);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53. Case of Allenet de Ribemont v. France: ECHR Judgment 10.02.1995. URL :https://hudoc.echr.coe.int/eng#{%22fulltext%22:[%22Allenet%20de%20Ribemont%20v%20France%22],%22itemid%22:[%22001-57914%22]} (date of access: 21.10.2022);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54. Case of N. v. UK: ECHR Judgment 27.05.2008. URL : https://hudoc.echr.coe.int/eng#{%22fulltext%22:[%22n%20v.%20united%20kingdom%22],%22itemid%22:[%22001-86490%22]} (date of access: 21.10.2022);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55. Case of Georgiadis v. Greece: ECHR Judgment 29.05.1997. URL : https://hudoc.echr.coe.int/eng#{%22fulltext%22:[%22georgiadis%22],%22itemid%22:[%22001-58037%22]} (date of access: 21.10.2022);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56. Case of Vallee v. France: ECHR Judgment 26.04.1994. URL : https://hudoc.echr.coe.int/eng#{%22fulltext%22:[%22Vall%C3%A9e%22],%22itemid%22:[%22001-57884%22]} (date of access: 21.10.2022);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57. Case of Moroko v. Russia: ECHR Judgment 12.06.2008. URL : https://hudoc.echr.coe.int/eng#{%22fulltext%22:[%22Moroko%22],%22itemid%22:[%22001-86963%22]} (date of access: 21.10.2022);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58. Execution of ECHR judgments and decisions. Civil Society Portal. 2022. URL: https://www.coe.int/en/web/civil-society/execution-of-echr-judgments-and-decisions (date of access: 21.10.2022);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 xml:space="preserve">59. Council of Europe HELP online course on “Introduction to ECHR and the ECtHR” (6 Hours). 2022. URL: </w:t>
      </w:r>
      <w:r w:rsidRPr="00717629">
        <w:rPr>
          <w:rFonts w:ascii="Times New Roman" w:eastAsia="Times New Roman" w:hAnsi="Times New Roman" w:cs="Times New Roman"/>
          <w:sz w:val="28"/>
          <w:szCs w:val="28"/>
          <w:lang w:val="en-US"/>
        </w:rPr>
        <w:lastRenderedPageBreak/>
        <w:t>https://help.elearning.ext.coe.int/course/index.php?categoryid=98 (date of access: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60. Давидчук О. Виконання рішень Європейського суду з прав людини. Міністерство юстиції України. URL: https://minjust.gov.ua/m/str_7591 (дата звернення: 22.10.2022);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BB78EE">
        <w:rPr>
          <w:rFonts w:ascii="Times New Roman" w:eastAsia="Times New Roman" w:hAnsi="Times New Roman" w:cs="Times New Roman"/>
          <w:sz w:val="28"/>
          <w:szCs w:val="28"/>
        </w:rPr>
        <w:t xml:space="preserve">61. </w:t>
      </w:r>
      <w:r w:rsidRPr="00717629">
        <w:rPr>
          <w:rFonts w:ascii="Times New Roman" w:eastAsia="Times New Roman" w:hAnsi="Times New Roman" w:cs="Times New Roman"/>
          <w:sz w:val="28"/>
          <w:szCs w:val="28"/>
          <w:lang w:val="en-US"/>
        </w:rPr>
        <w:t>Case of Timofeyev and 234 other cases against the Russian Federation: ECHR Final Resolution: 20.09.2016. URL : https://hudoc.exec.coe.int/eng#{%22EXECIdentifier%22:[%22001-167432%22]} (date of access: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62. Мелешевич А. А. Порівняльний аналіз пілотних рішень Європейського суду з прав людини щодо України та Росії. НАУКОВІ ЗАПИСКИ НаУКМА. 2012. Т. 129. С. 32–50. URL.: http://ekmair.ukma.edu.ua/bitstream/handle/123456789/2206/Meleshevych_Forstein_Porivnialnyi_analiz_pilotnykh.pdf?sequence=1&amp;isAllowed=y(дата звернення: 22.10.2022);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63. Якимчук C. О. Виконання судових рішень як частина судового розгляду : автореф. дис. … канд. юрид. наук : 12.00.03. Харків, 2015. 12 с. URL: https://library.nlu.edu.ua/POLN_TEXT/AFTOREF/Yakymchuk_2015.pdf (дата звернення: 22.10.2022);</w:t>
      </w:r>
    </w:p>
    <w:p w:rsidR="001B3677" w:rsidRPr="00717629" w:rsidRDefault="001B3677" w:rsidP="001B3677">
      <w:pPr>
        <w:spacing w:after="0"/>
        <w:ind w:firstLine="709"/>
        <w:jc w:val="both"/>
        <w:rPr>
          <w:rFonts w:ascii="Times New Roman" w:eastAsia="Times New Roman" w:hAnsi="Times New Roman" w:cs="Times New Roman"/>
          <w:sz w:val="28"/>
          <w:szCs w:val="28"/>
          <w:lang w:val="en-US"/>
        </w:rPr>
      </w:pPr>
      <w:r w:rsidRPr="00BB78EE">
        <w:rPr>
          <w:rFonts w:ascii="Times New Roman" w:eastAsia="Times New Roman" w:hAnsi="Times New Roman" w:cs="Times New Roman"/>
          <w:sz w:val="28"/>
          <w:szCs w:val="28"/>
        </w:rPr>
        <w:t>64</w:t>
      </w:r>
      <w:r w:rsidRPr="00717629">
        <w:rPr>
          <w:rFonts w:ascii="Times New Roman" w:eastAsia="Times New Roman" w:hAnsi="Times New Roman" w:cs="Times New Roman"/>
          <w:sz w:val="28"/>
          <w:szCs w:val="28"/>
          <w:lang w:val="en-US"/>
        </w:rPr>
        <w:t>. Case of Apostol v. Georgia: ECHR Judgment 28.11.2006. URL : https://hudoc.exec.coe.int/eng#{%22fulltext%22:[%22Apostol%20v.%20Georgia%22],%22EXECDocumentTypeCollection%22:[%22CEC%22],%22EXECIdentifier%22:[%22004-5810%22]} (date of access: 21.10.2022);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65. Цувіна Т.А. Виконання судових рішень у контексті права на справедливий судовий розгляд. ЦИВІЛЬНЕ ПРАВО І ЦИВІЛЬНИЙ ПРОЦЕС.  2018. №141. С. 80–93. URL.: http://www.irbis-nbuv.gov.ua/cgi-bin/irbis_nbuv/cgiirbis_64.exe?I21DBN=LINK&amp;P21DBN=UJRN&amp;Z21ID=&amp;S21REF=10&amp;S21CNR=20&amp;S21STN=1&amp;S21FMT=ASP_meta&amp;C21COM=S&amp;2_S21P03=FILA=&amp;2_S21STR=Pz_2018_141_9 (дата звернення: 22.10.2022);</w:t>
      </w:r>
    </w:p>
    <w:p w:rsidR="001B3677" w:rsidRPr="00BB78EE" w:rsidRDefault="001B3677" w:rsidP="001B3677">
      <w:pPr>
        <w:spacing w:after="0"/>
        <w:ind w:firstLine="709"/>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lastRenderedPageBreak/>
        <w:t>66. Рішення Другого сенату Конституційного Суду України у справі за конституційною скаргою Хліпальської Віри Василівни щодо відповідності Конституції України (конституційності) положень частини другої статті 26 Закону України „Про виконавче провадження“ (щодо забезпечення державою виконання судового рішення) : Рішення Конституц. Суду України від 15.05.2019 р. № 2-р(II)/2019. URL: https://zakon.rada.gov.ua/laws/show/v002p710-19#Text (дата звернення: 21.10.2022);</w:t>
      </w:r>
    </w:p>
    <w:p w:rsidR="001B3677" w:rsidRPr="00717629" w:rsidRDefault="001B3677" w:rsidP="001B3677">
      <w:pPr>
        <w:spacing w:after="0"/>
        <w:jc w:val="both"/>
        <w:rPr>
          <w:rFonts w:ascii="Times New Roman" w:eastAsia="Times New Roman" w:hAnsi="Times New Roman" w:cs="Times New Roman"/>
          <w:sz w:val="28"/>
          <w:szCs w:val="28"/>
          <w:lang w:val="en-US"/>
        </w:rPr>
      </w:pPr>
      <w:r w:rsidRPr="00BB78EE">
        <w:rPr>
          <w:rFonts w:ascii="Times New Roman" w:eastAsia="Times New Roman" w:hAnsi="Times New Roman" w:cs="Times New Roman"/>
          <w:sz w:val="28"/>
          <w:szCs w:val="28"/>
        </w:rPr>
        <w:t xml:space="preserve">67. </w:t>
      </w:r>
      <w:r w:rsidRPr="00717629">
        <w:rPr>
          <w:rFonts w:ascii="Times New Roman" w:eastAsia="Times New Roman" w:hAnsi="Times New Roman" w:cs="Times New Roman"/>
          <w:sz w:val="28"/>
          <w:szCs w:val="28"/>
          <w:lang w:val="en-US"/>
        </w:rPr>
        <w:t>Zoroska Kamilovska T. Effective Remedy for Excessive Length of Proceedings: A Macedonian Perspective. Access to Justice in Eastern Europe. 2021. №1(9) С. 61-78. URL: https://ajee-journal.com/effective-remedy-for-excessive-length-of-proceedings-a-macedonian-perspectivepdf (date of access: 21.10.2022);</w:t>
      </w:r>
    </w:p>
    <w:p w:rsidR="001B3677" w:rsidRPr="00717629" w:rsidRDefault="001B3677" w:rsidP="001B3677">
      <w:pPr>
        <w:spacing w:after="0"/>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68. Case of W. v. The United Kingdom: ECHR Judgment 08.07.1987. URL : https://hudoc.echr.coe.int/fre#{%22fulltext%22:[%22W%20v.%20the%20United%20Kingdom%22],%22documentcollectionid2%22:[%22GRANDCHAMBER%22,%22CHAMBER%22],%22itemid%22:[%22001-57600%22]} (date of access: 21.10.2022);</w:t>
      </w:r>
    </w:p>
    <w:p w:rsidR="001B3677" w:rsidRPr="00BB78EE" w:rsidRDefault="001B3677" w:rsidP="001B3677">
      <w:pPr>
        <w:spacing w:after="0"/>
        <w:jc w:val="both"/>
        <w:rPr>
          <w:rFonts w:ascii="Times New Roman" w:eastAsia="Times New Roman" w:hAnsi="Times New Roman" w:cs="Times New Roman"/>
          <w:sz w:val="28"/>
          <w:szCs w:val="28"/>
        </w:rPr>
      </w:pPr>
      <w:r w:rsidRPr="00717629">
        <w:rPr>
          <w:rFonts w:ascii="Times New Roman" w:eastAsia="Times New Roman" w:hAnsi="Times New Roman" w:cs="Times New Roman"/>
          <w:sz w:val="28"/>
          <w:szCs w:val="28"/>
          <w:lang w:val="en-US"/>
        </w:rPr>
        <w:t>69. Case of Kudła v. Poland: ECHR Judgment 26.10.2000. URL : https://hudoc.echr.coe.int/fre#{%22fulltext%22:[%22Kud%C5%82a%20v.%20Poland%22],%22documentcollectionid2%22:[%22GRANDCHAMBER%22,%22CHAMBER%22],%22itemid%22:[%22001-58920%22]} (date of access</w:t>
      </w:r>
      <w:r w:rsidRPr="00BB78EE">
        <w:rPr>
          <w:rFonts w:ascii="Times New Roman" w:eastAsia="Times New Roman" w:hAnsi="Times New Roman" w:cs="Times New Roman"/>
          <w:sz w:val="28"/>
          <w:szCs w:val="28"/>
        </w:rPr>
        <w:t>: 21.10.2022);</w:t>
      </w:r>
    </w:p>
    <w:p w:rsidR="001B3677" w:rsidRPr="00BB78EE" w:rsidRDefault="001B3677" w:rsidP="001B3677">
      <w:pPr>
        <w:spacing w:after="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70. Щодо вдосконалення національних засобів правового захисту : Рекомендація Rec(2004)6 Комітету міністрів Ради Європи державам-членам №994_718 від 12.05.2004 р. URL: https://zakon.rada.gov.ua/laws/show/994_718#Text (дата звернення: 21.10.2022);</w:t>
      </w:r>
    </w:p>
    <w:p w:rsidR="001B3677" w:rsidRPr="00717629" w:rsidRDefault="001B3677" w:rsidP="001B3677">
      <w:pPr>
        <w:spacing w:after="0"/>
        <w:jc w:val="both"/>
        <w:rPr>
          <w:rFonts w:ascii="Times New Roman" w:eastAsia="Times New Roman" w:hAnsi="Times New Roman" w:cs="Times New Roman"/>
          <w:sz w:val="28"/>
          <w:szCs w:val="28"/>
          <w:lang w:val="en-US"/>
        </w:rPr>
      </w:pPr>
      <w:r w:rsidRPr="00BB78EE">
        <w:rPr>
          <w:rFonts w:ascii="Times New Roman" w:eastAsia="Times New Roman" w:hAnsi="Times New Roman" w:cs="Times New Roman"/>
          <w:sz w:val="28"/>
          <w:szCs w:val="28"/>
        </w:rPr>
        <w:t xml:space="preserve">71. </w:t>
      </w:r>
      <w:r w:rsidRPr="00717629">
        <w:rPr>
          <w:rFonts w:ascii="Times New Roman" w:eastAsia="Times New Roman" w:hAnsi="Times New Roman" w:cs="Times New Roman"/>
          <w:sz w:val="28"/>
          <w:szCs w:val="28"/>
          <w:lang w:val="en-US"/>
        </w:rPr>
        <w:t>Case of Budayeva and others v. Russia: ECHR Judgment 20.03.2008. URL : https://hudoc.echr.coe.int/fre#{%22fulltext%22:[%22Budayeva%20and%20Others%20v.%20Russia%22],%22documentcollectionid2%22:[%22GRANDCHAMBER%22,%22CHAMBER%22],%22itemid%22:[%22001-85436%22]}  (date of access: 21.10.2022);</w:t>
      </w:r>
    </w:p>
    <w:p w:rsidR="001B3677" w:rsidRPr="00717629" w:rsidRDefault="001B3677" w:rsidP="001B3677">
      <w:pPr>
        <w:spacing w:after="0"/>
        <w:jc w:val="both"/>
        <w:rPr>
          <w:rFonts w:ascii="Times New Roman" w:eastAsia="Times New Roman" w:hAnsi="Times New Roman" w:cs="Times New Roman"/>
          <w:sz w:val="28"/>
          <w:szCs w:val="28"/>
          <w:lang w:val="en-US"/>
        </w:rPr>
      </w:pPr>
      <w:r w:rsidRPr="00BB78EE">
        <w:rPr>
          <w:rFonts w:ascii="Times New Roman" w:eastAsia="Times New Roman" w:hAnsi="Times New Roman" w:cs="Times New Roman"/>
          <w:sz w:val="28"/>
          <w:szCs w:val="28"/>
        </w:rPr>
        <w:lastRenderedPageBreak/>
        <w:t>72</w:t>
      </w:r>
      <w:r w:rsidRPr="00717629">
        <w:rPr>
          <w:rFonts w:ascii="Times New Roman" w:eastAsia="Times New Roman" w:hAnsi="Times New Roman" w:cs="Times New Roman"/>
          <w:sz w:val="28"/>
          <w:szCs w:val="28"/>
          <w:lang w:val="en-US"/>
        </w:rPr>
        <w:t>. Supervision of the execution of judgments and decisions of the European court of human rights 2021 : 15th Annual Report of the Committee of Ministers. 2022. Counsil of Europe. URL: https://rm.coe.int/0900001680a60140  (date of access: 21.10.2022);</w:t>
      </w:r>
    </w:p>
    <w:p w:rsidR="001B3677" w:rsidRPr="00717629" w:rsidRDefault="001B3677" w:rsidP="001B3677">
      <w:pPr>
        <w:spacing w:after="0"/>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73. Supervision of the execution of judgments and decisions of the European court of human rights 2019 : 13th Annual Report of the Committee of Ministers. 2020. Counsil of Europe. URL: https://rm.coe.int/09000016809ec315  (date of access: 21.10.2022);</w:t>
      </w:r>
    </w:p>
    <w:p w:rsidR="001B3677" w:rsidRPr="00717629" w:rsidRDefault="001B3677" w:rsidP="001B3677">
      <w:pPr>
        <w:spacing w:after="0"/>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74. Understanding the Court’s statistics : ECHR Document. 11 p. 2019. Counsil of Europe. URL: https://www.echr.coe.int/Documents/Stats_understanding_ENG.pdf (date of access: 21.10.2022);</w:t>
      </w:r>
    </w:p>
    <w:p w:rsidR="001B3677" w:rsidRPr="00717629" w:rsidRDefault="001B3677" w:rsidP="001B3677">
      <w:pPr>
        <w:spacing w:after="0"/>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75. Violations by Article and by State 1959-2021 : ECHR Statistics by State. 2022. URL: https://www.echr.coe.int/Pages/home.aspx?p=reports&amp;c= (date of access: 21.10.2022);</w:t>
      </w:r>
    </w:p>
    <w:p w:rsidR="001B3677" w:rsidRPr="00717629" w:rsidRDefault="001B3677" w:rsidP="001B3677">
      <w:pPr>
        <w:spacing w:after="0"/>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76. Case of Olaru v. the Republic of Moldova: ECHR Judgment 28.07.2009. URL : https://hudoc.exec.coe.int/eng#{%22fulltext%22:[%22476/07%22],%22EXECDocumentTypeCollection%22:[%22CEC%22],%22EXECIdentifier%22:[%22004-7092%22]} (date of access: 21.10.2022);</w:t>
      </w:r>
    </w:p>
    <w:p w:rsidR="001B3677" w:rsidRPr="00717629" w:rsidRDefault="001B3677" w:rsidP="001B3677">
      <w:pPr>
        <w:spacing w:after="0"/>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77. Case of Balan v. the Republic of Moldova: ECHR Judgment 24.01.2012. URL : https://hudoc.echr.coe.int/app/conversion/docx/pdf?library=ECHR&amp;id=001-109049&amp;filename=CASE%20OF%20BALAN%20v.%20MOLDOVA.pdf&amp;logEvent=False (date of access: 21.10.2022);</w:t>
      </w:r>
    </w:p>
    <w:p w:rsidR="001B3677" w:rsidRPr="00717629" w:rsidRDefault="001B3677" w:rsidP="001B3677">
      <w:pPr>
        <w:spacing w:after="0"/>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78. Cases introduced after the Olaru pilot judgment have to be submitted to Moldovan courts under the new remedy : Press Release issued by the Registrar of the Court ECHR 052 (2012). 2012. 3 p. URL : https://hudoc.echr.coe.int/app/conversion/pdf/?library=ECHR&amp;id=003-3839577-4409934&amp;filename=003-3839577-4409934.pdf (date of access: 21.10.2022);</w:t>
      </w:r>
    </w:p>
    <w:p w:rsidR="001B3677" w:rsidRPr="00BB78EE" w:rsidRDefault="001B3677" w:rsidP="001B3677">
      <w:pPr>
        <w:spacing w:after="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79. </w:t>
      </w:r>
      <w:r w:rsidRPr="00717629">
        <w:rPr>
          <w:rFonts w:ascii="Times New Roman" w:eastAsia="Times New Roman" w:hAnsi="Times New Roman" w:cs="Times New Roman"/>
          <w:sz w:val="28"/>
          <w:szCs w:val="28"/>
          <w:lang w:val="ru-RU"/>
        </w:rPr>
        <w:t>Михалаш В. О некоторых проблемах качественного реформирования системы принудительного исполнения судебных решений</w:t>
      </w:r>
      <w:r w:rsidRPr="00BB78EE">
        <w:rPr>
          <w:rFonts w:ascii="Times New Roman" w:eastAsia="Times New Roman" w:hAnsi="Times New Roman" w:cs="Times New Roman"/>
          <w:sz w:val="28"/>
          <w:szCs w:val="28"/>
        </w:rPr>
        <w:t xml:space="preserve">. </w:t>
      </w:r>
      <w:r w:rsidRPr="00717629">
        <w:rPr>
          <w:rFonts w:ascii="Times New Roman" w:eastAsia="Times New Roman" w:hAnsi="Times New Roman" w:cs="Times New Roman"/>
          <w:sz w:val="28"/>
          <w:szCs w:val="28"/>
          <w:lang w:val="ro-RO"/>
        </w:rPr>
        <w:t xml:space="preserve">Buletinul Ştiinţific al Universităţii de Stat </w:t>
      </w:r>
      <w:r>
        <w:rPr>
          <w:rFonts w:ascii="Times New Roman" w:eastAsia="Times New Roman" w:hAnsi="Times New Roman" w:cs="Times New Roman"/>
          <w:sz w:val="28"/>
          <w:szCs w:val="28"/>
        </w:rPr>
        <w:t>«</w:t>
      </w:r>
      <w:r w:rsidRPr="00717629">
        <w:rPr>
          <w:rFonts w:ascii="Times New Roman" w:eastAsia="Times New Roman" w:hAnsi="Times New Roman" w:cs="Times New Roman"/>
          <w:sz w:val="28"/>
          <w:szCs w:val="28"/>
          <w:lang w:val="ro-RO"/>
        </w:rPr>
        <w:t>Bogdan Petriceicu Hasdeu</w:t>
      </w:r>
      <w:r>
        <w:rPr>
          <w:rFonts w:ascii="Times New Roman" w:eastAsia="Times New Roman" w:hAnsi="Times New Roman" w:cs="Times New Roman"/>
          <w:sz w:val="28"/>
          <w:szCs w:val="28"/>
        </w:rPr>
        <w:t>»</w:t>
      </w:r>
      <w:r w:rsidRPr="00717629">
        <w:rPr>
          <w:rFonts w:ascii="Times New Roman" w:eastAsia="Times New Roman" w:hAnsi="Times New Roman" w:cs="Times New Roman"/>
          <w:sz w:val="28"/>
          <w:szCs w:val="28"/>
          <w:lang w:val="ro-RO"/>
        </w:rPr>
        <w:t xml:space="preserve"> din Cahul Ştiinţe Sociale</w:t>
      </w:r>
      <w:r w:rsidRPr="00BB78EE">
        <w:rPr>
          <w:rFonts w:ascii="Times New Roman" w:eastAsia="Times New Roman" w:hAnsi="Times New Roman" w:cs="Times New Roman"/>
          <w:sz w:val="28"/>
          <w:szCs w:val="28"/>
        </w:rPr>
        <w:t xml:space="preserve">. №. 1 </w:t>
      </w:r>
      <w:r w:rsidRPr="00BB78EE">
        <w:rPr>
          <w:rFonts w:ascii="Times New Roman" w:eastAsia="Times New Roman" w:hAnsi="Times New Roman" w:cs="Times New Roman"/>
          <w:sz w:val="28"/>
          <w:szCs w:val="28"/>
        </w:rPr>
        <w:lastRenderedPageBreak/>
        <w:t>(5), 2017. С. 215-222. URL : https://ibn.idsi.md/sites/default/files/imag_file/O%20nekotoryh%20problemah%20kachestvennogo%20reformirovanija%20sistemy%20prinuditel%27nogo%20ispolnenija%20sudebnyh%20reshenij.pdf (дата звернення: 21.10.2022);</w:t>
      </w:r>
    </w:p>
    <w:p w:rsidR="001B3677" w:rsidRPr="00BB78EE" w:rsidRDefault="001B3677" w:rsidP="001B3677">
      <w:pPr>
        <w:spacing w:after="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80. Який стан, таке й виконання. Закон і Бізнес. 2013. URL : https://zib.com.ua/ua/print/23577-yakiy_stan_take_y_vikonannya.html (дата звернення: 21.10.2022);</w:t>
      </w:r>
    </w:p>
    <w:p w:rsidR="001B3677" w:rsidRPr="00717629" w:rsidRDefault="001B3677" w:rsidP="001B3677">
      <w:pPr>
        <w:spacing w:after="0"/>
        <w:jc w:val="both"/>
        <w:rPr>
          <w:rFonts w:ascii="Times New Roman" w:eastAsia="Times New Roman" w:hAnsi="Times New Roman" w:cs="Times New Roman"/>
          <w:sz w:val="28"/>
          <w:szCs w:val="28"/>
          <w:lang w:val="en-US"/>
        </w:rPr>
      </w:pPr>
      <w:r w:rsidRPr="00BB78EE">
        <w:rPr>
          <w:rFonts w:ascii="Times New Roman" w:eastAsia="Times New Roman" w:hAnsi="Times New Roman" w:cs="Times New Roman"/>
          <w:sz w:val="28"/>
          <w:szCs w:val="28"/>
        </w:rPr>
        <w:t xml:space="preserve">81. </w:t>
      </w:r>
      <w:r w:rsidRPr="00717629">
        <w:rPr>
          <w:rFonts w:ascii="Times New Roman" w:eastAsia="Times New Roman" w:hAnsi="Times New Roman" w:cs="Times New Roman"/>
          <w:sz w:val="28"/>
          <w:szCs w:val="28"/>
          <w:lang w:val="en-US"/>
        </w:rPr>
        <w:t>Case of Kunic and others v. Bosnia and Herzegovina: ECHR Judgment 14.02.2018. URL : https://hudoc.exec.coe.int/eng#{%22EXECIdentifier%22:[%22004-49047%22]} (date of access: 21.10.2022);</w:t>
      </w:r>
    </w:p>
    <w:p w:rsidR="001B3677" w:rsidRPr="00717629" w:rsidRDefault="001B3677" w:rsidP="001B3677">
      <w:pPr>
        <w:spacing w:after="0"/>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82. Case of Săcăleanu v. v. Romania: ECHR Judgment 06.09.2005. URL : https://hudoc.exec.coe.int/eng#{%22fulltext%22:[%22S%C4%83c%C4%83leanu%22],%22EXECIdentifier%22:[%22004-12744%22]} (date of access: 21.10.2022);</w:t>
      </w:r>
    </w:p>
    <w:p w:rsidR="001B3677" w:rsidRPr="00717629" w:rsidRDefault="001B3677" w:rsidP="001B3677">
      <w:pPr>
        <w:spacing w:after="0"/>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83. Case of Broniowski v. Poland: ECHR Judgment 22.06.2004. URL : https://hudoc.exec.coe.int/eng#{%22fulltext%22:[%2231443/96%22],%22EXECDocumentTypeCollection%22:[%22CEC%22],%22EXECIdentifier%22:[%22004-17801%22]} (date of access: 21.10.2022);</w:t>
      </w:r>
    </w:p>
    <w:p w:rsidR="001B3677" w:rsidRPr="00BB78EE" w:rsidRDefault="001B3677" w:rsidP="001B3677">
      <w:pPr>
        <w:spacing w:after="0"/>
        <w:jc w:val="both"/>
        <w:rPr>
          <w:rFonts w:ascii="Times New Roman" w:eastAsia="Times New Roman" w:hAnsi="Times New Roman" w:cs="Times New Roman"/>
          <w:sz w:val="28"/>
          <w:szCs w:val="28"/>
        </w:rPr>
      </w:pPr>
      <w:r w:rsidRPr="00717629">
        <w:rPr>
          <w:rFonts w:ascii="Times New Roman" w:eastAsia="Times New Roman" w:hAnsi="Times New Roman" w:cs="Times New Roman"/>
          <w:sz w:val="28"/>
          <w:szCs w:val="28"/>
          <w:lang w:val="en-US"/>
        </w:rPr>
        <w:t>84. Ilchenko I. Pilot judgement procedure of the european court of human rights: panacea or dead-end for Poland, Russia and Ukraine. Central European University Collection. 2013. 92 p. URL : https://www.academia.edu/8328395/PILOT_JUDGEMENT_PROCEDURE_OF_THE_EUROPEAN_COURT_OF_HUMAN_RIGHTS_PANACEA_OR_DEAD_END_FOR_POLAND_RUSSIA_AND_UKRAINE (date of access:</w:t>
      </w:r>
      <w:r w:rsidRPr="00BB78EE">
        <w:rPr>
          <w:rFonts w:ascii="Times New Roman" w:eastAsia="Times New Roman" w:hAnsi="Times New Roman" w:cs="Times New Roman"/>
          <w:sz w:val="28"/>
          <w:szCs w:val="28"/>
        </w:rPr>
        <w:t xml:space="preserve"> 21.10.2022);</w:t>
      </w:r>
    </w:p>
    <w:p w:rsidR="001B3677" w:rsidRPr="00BB78EE" w:rsidRDefault="001B3677" w:rsidP="001B3677">
      <w:pPr>
        <w:spacing w:after="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85. Пілотні рішення : інформаційний бюлетень. Прес-служба ЄСПЛ. 2018. 16 с. URL : https://rm.coe.int/factsheet-5-fs-pilot-judgments-uk/1680a22060 (дата звернення: 21.10.2022);</w:t>
      </w:r>
    </w:p>
    <w:p w:rsidR="001B3677" w:rsidRPr="00BB78EE" w:rsidRDefault="001B3677" w:rsidP="001B3677">
      <w:pPr>
        <w:spacing w:after="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 xml:space="preserve">86. Огляд практики країн-членів Ради Європи щодо запровадження ефективних засобів правового захисту для вирішення проблеми надмірної тривалості судових проваджень : Документ РЄ. 2020. 12 с. URL : </w:t>
      </w:r>
      <w:r w:rsidRPr="00BB78EE">
        <w:rPr>
          <w:rFonts w:ascii="Times New Roman" w:eastAsia="Times New Roman" w:hAnsi="Times New Roman" w:cs="Times New Roman"/>
          <w:sz w:val="28"/>
          <w:szCs w:val="28"/>
        </w:rPr>
        <w:lastRenderedPageBreak/>
        <w:t>https://rm.coe.int/overview-of-remedies-length-of-proceedings-o-ovchynnykov-ukr/16809f0a0b (дата звернення: 21.10.2022);</w:t>
      </w:r>
    </w:p>
    <w:p w:rsidR="001B3677" w:rsidRPr="00BB78EE" w:rsidRDefault="001B3677" w:rsidP="001B3677">
      <w:pPr>
        <w:spacing w:after="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87. Передовий досвід держав-членів Ради Європи та стандарти Ради Європи щодо судового контролю за виконанням рішень національних судів : Аналіз РЄ. 2020. 42 с. URL: https://rm.coe.int/analysis-judicial-control-by-jos-uitdehaag-october-2020-ukr-final/1680a0773f (дата звернення: 21.10.2022);</w:t>
      </w:r>
    </w:p>
    <w:p w:rsidR="001B3677" w:rsidRPr="00717629" w:rsidRDefault="001B3677" w:rsidP="001B3677">
      <w:pPr>
        <w:spacing w:after="0"/>
        <w:jc w:val="both"/>
        <w:rPr>
          <w:rFonts w:ascii="Times New Roman" w:eastAsia="Times New Roman" w:hAnsi="Times New Roman" w:cs="Times New Roman"/>
          <w:sz w:val="28"/>
          <w:szCs w:val="28"/>
          <w:lang w:val="en-US"/>
        </w:rPr>
      </w:pPr>
      <w:r w:rsidRPr="00BB78EE">
        <w:rPr>
          <w:rFonts w:ascii="Times New Roman" w:eastAsia="Times New Roman" w:hAnsi="Times New Roman" w:cs="Times New Roman"/>
          <w:sz w:val="28"/>
          <w:szCs w:val="28"/>
        </w:rPr>
        <w:t>88</w:t>
      </w:r>
      <w:r w:rsidRPr="00717629">
        <w:rPr>
          <w:rFonts w:ascii="Times New Roman" w:eastAsia="Times New Roman" w:hAnsi="Times New Roman" w:cs="Times New Roman"/>
          <w:sz w:val="28"/>
          <w:szCs w:val="28"/>
          <w:lang w:val="en-US"/>
        </w:rPr>
        <w:t>. Case of Scordino v. Italy: ECHR Judgment 29.03.2006. URL : https://hudoc.exec.coe.int/eng#{%22fulltext%22:[%2236813/97%22],%22EXECDocumentTypeCollection%22:[%22CEC%22],%22EXECIdentifier%22:[%22004-45214%22]} (date of access: 21.10.2022);</w:t>
      </w:r>
    </w:p>
    <w:p w:rsidR="001B3677" w:rsidRPr="00717629" w:rsidRDefault="001B3677" w:rsidP="001B3677">
      <w:pPr>
        <w:spacing w:after="0"/>
        <w:jc w:val="both"/>
        <w:rPr>
          <w:rFonts w:ascii="Times New Roman" w:eastAsia="Times New Roman" w:hAnsi="Times New Roman" w:cs="Times New Roman"/>
          <w:sz w:val="28"/>
          <w:szCs w:val="28"/>
          <w:lang w:val="en-US"/>
        </w:rPr>
      </w:pPr>
      <w:r w:rsidRPr="00717629">
        <w:rPr>
          <w:rFonts w:ascii="Times New Roman" w:eastAsia="Times New Roman" w:hAnsi="Times New Roman" w:cs="Times New Roman"/>
          <w:sz w:val="28"/>
          <w:szCs w:val="28"/>
          <w:lang w:val="en-US"/>
        </w:rPr>
        <w:t>89. Case of Mifsud v.France: ECHR Judgment 11.09.2002. URL : https://www.stradalex.com/en/sl_src_publ_jur_int/document/echr_57220-00 (date of access: 21.10.2022);</w:t>
      </w:r>
    </w:p>
    <w:p w:rsidR="001B3677" w:rsidRPr="00BB78EE" w:rsidRDefault="001B3677" w:rsidP="001B3677">
      <w:pPr>
        <w:spacing w:after="0"/>
        <w:jc w:val="both"/>
        <w:rPr>
          <w:rFonts w:ascii="Times New Roman" w:eastAsia="Times New Roman" w:hAnsi="Times New Roman" w:cs="Times New Roman"/>
          <w:sz w:val="28"/>
          <w:szCs w:val="28"/>
        </w:rPr>
      </w:pPr>
      <w:r w:rsidRPr="00BB78EE">
        <w:rPr>
          <w:rFonts w:ascii="Times New Roman" w:eastAsia="Times New Roman" w:hAnsi="Times New Roman" w:cs="Times New Roman"/>
          <w:sz w:val="28"/>
          <w:szCs w:val="28"/>
        </w:rPr>
        <w:t>90. Керівництво з належної практики щодо національних засобів правового захисту : Керівництво Генеральної дирекції з прав людини і верховенства права РЄ. 2013. 64 с. URL: https://rm.coe.int/k-/1680695aab (дата звернення: 21.10.2022).</w:t>
      </w:r>
    </w:p>
    <w:p w:rsidR="00BE5382" w:rsidRDefault="00BE5382" w:rsidP="00BE5382">
      <w:pPr>
        <w:spacing w:after="0"/>
        <w:jc w:val="both"/>
        <w:rPr>
          <w:rFonts w:ascii="Times New Roman" w:eastAsia="Times New Roman" w:hAnsi="Times New Roman" w:cs="Times New Roman"/>
          <w:sz w:val="28"/>
          <w:szCs w:val="28"/>
        </w:rPr>
      </w:pPr>
      <w:bookmarkStart w:id="0" w:name="_GoBack"/>
      <w:bookmarkEnd w:id="0"/>
    </w:p>
    <w:p w:rsidR="00BE5382" w:rsidRDefault="00BE5382" w:rsidP="00BE5382">
      <w:pPr>
        <w:spacing w:after="0"/>
        <w:jc w:val="both"/>
        <w:rPr>
          <w:rFonts w:ascii="Times New Roman" w:eastAsia="Times New Roman" w:hAnsi="Times New Roman" w:cs="Times New Roman"/>
          <w:sz w:val="28"/>
          <w:szCs w:val="28"/>
        </w:rPr>
      </w:pPr>
    </w:p>
    <w:p w:rsidR="00D6394D" w:rsidRDefault="00D6394D"/>
    <w:sectPr w:rsidR="00D6394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PSM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50D74AE"/>
    <w:multiLevelType w:val="multilevel"/>
    <w:tmpl w:val="8FD2006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78035980"/>
    <w:multiLevelType w:val="multilevel"/>
    <w:tmpl w:val="4782CF8A"/>
    <w:lvl w:ilvl="0">
      <w:start w:val="1"/>
      <w:numFmt w:val="decimal"/>
      <w:lvlText w:val="%1"/>
      <w:lvlJc w:val="left"/>
      <w:pPr>
        <w:ind w:left="360" w:hanging="360"/>
      </w:pPr>
      <w:rPr>
        <w:rFonts w:hint="default"/>
        <w:color w:val="auto"/>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2">
    <w:nsid w:val="7F472D67"/>
    <w:multiLevelType w:val="hybridMultilevel"/>
    <w:tmpl w:val="A1E08E86"/>
    <w:lvl w:ilvl="0" w:tplc="B2F02402">
      <w:start w:val="3"/>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5382"/>
    <w:rsid w:val="001B3677"/>
    <w:rsid w:val="007469DB"/>
    <w:rsid w:val="00BE5382"/>
    <w:rsid w:val="00D6394D"/>
    <w:rsid w:val="00E278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88C66C4-490B-4D15-AF44-C13B4EDE2F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5382"/>
    <w:pPr>
      <w:spacing w:line="360" w:lineRule="auto"/>
    </w:pPr>
    <w:rPr>
      <w:rFonts w:ascii="Calibri" w:eastAsia="Calibri" w:hAnsi="Calibri" w:cs="Calibri"/>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E5382"/>
    <w:pPr>
      <w:ind w:left="720"/>
      <w:contextualSpacing/>
    </w:pPr>
  </w:style>
  <w:style w:type="paragraph" w:styleId="a4">
    <w:name w:val="Normal (Web)"/>
    <w:basedOn w:val="a"/>
    <w:uiPriority w:val="99"/>
    <w:unhideWhenUsed/>
    <w:rsid w:val="00BE5382"/>
    <w:pPr>
      <w:spacing w:before="100" w:beforeAutospacing="1" w:after="100" w:afterAutospacing="1" w:line="240" w:lineRule="auto"/>
    </w:pPr>
    <w:rPr>
      <w:rFonts w:ascii="Times New Roman" w:eastAsia="Times New Roman" w:hAnsi="Times New Roman" w:cs="Times New Roman"/>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28</Pages>
  <Words>6559</Words>
  <Characters>37389</Characters>
  <Application>Microsoft Office Word</Application>
  <DocSecurity>0</DocSecurity>
  <Lines>311</Lines>
  <Paragraphs>87</Paragraphs>
  <ScaleCrop>false</ScaleCrop>
  <Company/>
  <LinksUpToDate>false</LinksUpToDate>
  <CharactersWithSpaces>43861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2023-04-21T11:22:00Z</dcterms:created>
  <dcterms:modified xsi:type="dcterms:W3CDTF">2023-04-21T11:24:00Z</dcterms:modified>
</cp:coreProperties>
</file>