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15BC" w:rsidRDefault="007815BC" w:rsidP="007815BC">
      <w:pPr>
        <w:pBdr>
          <w:bottom w:val="single" w:sz="4" w:space="1" w:color="000000"/>
        </w:pBdr>
        <w:rPr>
          <w:sz w:val="28"/>
          <w:szCs w:val="28"/>
        </w:rPr>
      </w:pPr>
      <w:r>
        <w:rPr>
          <w:sz w:val="28"/>
          <w:szCs w:val="28"/>
        </w:rPr>
        <w:t xml:space="preserve">  ОДЕСЬКИЙ НАЦІОНАЛЬНИЙ УНІВЕРСИТЕТ ІМЕНІ І. І. МЕЧНИКОВА</w:t>
      </w:r>
    </w:p>
    <w:p w:rsidR="007815BC" w:rsidRDefault="007815BC" w:rsidP="007815BC">
      <w:pPr>
        <w:jc w:val="center"/>
        <w:rPr>
          <w:sz w:val="20"/>
          <w:szCs w:val="20"/>
        </w:rPr>
      </w:pPr>
      <w:r>
        <w:rPr>
          <w:sz w:val="20"/>
          <w:szCs w:val="20"/>
        </w:rPr>
        <w:t>(повне найменування закладу вищої освіти)</w:t>
      </w:r>
    </w:p>
    <w:p w:rsidR="007815BC" w:rsidRPr="00ED2336" w:rsidRDefault="007815BC" w:rsidP="007815BC">
      <w:pPr>
        <w:pBdr>
          <w:bottom w:val="single" w:sz="4" w:space="1" w:color="000000"/>
        </w:pBdr>
        <w:tabs>
          <w:tab w:val="center" w:pos="4677"/>
        </w:tabs>
        <w:spacing w:before="240"/>
        <w:rPr>
          <w:sz w:val="28"/>
          <w:szCs w:val="28"/>
        </w:rPr>
      </w:pPr>
      <w:r>
        <w:rPr>
          <w:sz w:val="28"/>
          <w:szCs w:val="28"/>
        </w:rPr>
        <w:tab/>
        <w:t>Факультет міжнародних відносин, політології та соціології</w:t>
      </w:r>
    </w:p>
    <w:p w:rsidR="007815BC" w:rsidRDefault="007815BC" w:rsidP="007815BC">
      <w:pPr>
        <w:jc w:val="center"/>
        <w:rPr>
          <w:sz w:val="18"/>
          <w:szCs w:val="18"/>
        </w:rPr>
      </w:pPr>
      <w:r>
        <w:rPr>
          <w:sz w:val="18"/>
          <w:szCs w:val="18"/>
        </w:rPr>
        <w:t>(повне найменування факультету)</w:t>
      </w:r>
    </w:p>
    <w:p w:rsidR="007815BC" w:rsidRDefault="007815BC" w:rsidP="007815BC">
      <w:pPr>
        <w:pBdr>
          <w:bottom w:val="single" w:sz="4" w:space="1" w:color="000000"/>
        </w:pBdr>
        <w:spacing w:before="240"/>
        <w:jc w:val="center"/>
        <w:rPr>
          <w:sz w:val="28"/>
          <w:szCs w:val="28"/>
        </w:rPr>
      </w:pPr>
      <w:r>
        <w:rPr>
          <w:sz w:val="28"/>
          <w:szCs w:val="28"/>
        </w:rPr>
        <w:t>Кафедра міжнародних відносин</w:t>
      </w:r>
    </w:p>
    <w:p w:rsidR="007815BC" w:rsidRDefault="007815BC" w:rsidP="007815BC">
      <w:pPr>
        <w:jc w:val="center"/>
        <w:rPr>
          <w:sz w:val="18"/>
          <w:szCs w:val="18"/>
        </w:rPr>
      </w:pPr>
      <w:r>
        <w:rPr>
          <w:sz w:val="18"/>
          <w:szCs w:val="18"/>
        </w:rPr>
        <w:t>(повна назва кафедри)</w:t>
      </w:r>
    </w:p>
    <w:p w:rsidR="007815BC" w:rsidRPr="007815BC" w:rsidRDefault="007815BC" w:rsidP="007815BC">
      <w:pPr>
        <w:rPr>
          <w:b/>
          <w:sz w:val="28"/>
          <w:szCs w:val="40"/>
        </w:rPr>
      </w:pPr>
    </w:p>
    <w:p w:rsidR="007815BC" w:rsidRDefault="007815BC" w:rsidP="007815BC">
      <w:pPr>
        <w:jc w:val="center"/>
        <w:rPr>
          <w:b/>
          <w:sz w:val="32"/>
          <w:szCs w:val="32"/>
        </w:rPr>
      </w:pPr>
      <w:r>
        <w:rPr>
          <w:b/>
          <w:sz w:val="32"/>
          <w:szCs w:val="32"/>
        </w:rPr>
        <w:t>Кваліфікаційна робота</w:t>
      </w:r>
    </w:p>
    <w:p w:rsidR="007815BC" w:rsidRDefault="007815BC" w:rsidP="007815BC">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«магістр»</w:t>
      </w:r>
    </w:p>
    <w:p w:rsidR="007815BC" w:rsidRDefault="007815BC" w:rsidP="007815BC">
      <w:pPr>
        <w:tabs>
          <w:tab w:val="right" w:pos="9355"/>
        </w:tabs>
        <w:jc w:val="center"/>
        <w:rPr>
          <w:b/>
          <w:sz w:val="28"/>
          <w:szCs w:val="28"/>
        </w:rPr>
      </w:pPr>
    </w:p>
    <w:p w:rsidR="007815BC" w:rsidRDefault="007815BC" w:rsidP="007815BC">
      <w:pPr>
        <w:tabs>
          <w:tab w:val="right" w:pos="9355"/>
        </w:tabs>
        <w:jc w:val="center"/>
        <w:rPr>
          <w:b/>
          <w:sz w:val="28"/>
          <w:szCs w:val="28"/>
        </w:rPr>
      </w:pPr>
      <w:r>
        <w:rPr>
          <w:b/>
          <w:sz w:val="28"/>
          <w:szCs w:val="28"/>
        </w:rPr>
        <w:t>«</w:t>
      </w:r>
      <w:r w:rsidR="000C24A0" w:rsidRPr="000C24A0">
        <w:rPr>
          <w:b/>
          <w:sz w:val="28"/>
          <w:szCs w:val="28"/>
        </w:rPr>
        <w:t>С</w:t>
      </w:r>
      <w:r w:rsidR="00D04DC1">
        <w:rPr>
          <w:b/>
          <w:sz w:val="28"/>
          <w:szCs w:val="28"/>
        </w:rPr>
        <w:t>ЗПБ</w:t>
      </w:r>
      <w:r w:rsidR="000C24A0" w:rsidRPr="000C24A0">
        <w:rPr>
          <w:b/>
          <w:sz w:val="28"/>
          <w:szCs w:val="28"/>
        </w:rPr>
        <w:t xml:space="preserve"> ЄС у контексті виникнення нових загроз  європейській безпеці</w:t>
      </w:r>
      <w:r>
        <w:rPr>
          <w:b/>
          <w:sz w:val="28"/>
          <w:szCs w:val="28"/>
        </w:rPr>
        <w:t>»</w:t>
      </w:r>
    </w:p>
    <w:p w:rsidR="007815BC" w:rsidRDefault="007815BC" w:rsidP="007815BC">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rsidR="007815BC" w:rsidRDefault="007815BC" w:rsidP="007815BC">
      <w:pPr>
        <w:tabs>
          <w:tab w:val="right" w:pos="9355"/>
        </w:tabs>
        <w:jc w:val="center"/>
        <w:rPr>
          <w:b/>
          <w:sz w:val="28"/>
          <w:szCs w:val="28"/>
        </w:rPr>
      </w:pPr>
      <w:r>
        <w:rPr>
          <w:b/>
          <w:sz w:val="28"/>
          <w:szCs w:val="28"/>
        </w:rPr>
        <w:t>«</w:t>
      </w:r>
      <w:r w:rsidR="000C24A0">
        <w:rPr>
          <w:b/>
          <w:sz w:val="28"/>
          <w:szCs w:val="28"/>
          <w:lang w:val="en-US"/>
        </w:rPr>
        <w:t>The CFSP of the EU in the context of emergence of new threats of the European Security</w:t>
      </w:r>
      <w:r>
        <w:rPr>
          <w:b/>
          <w:sz w:val="28"/>
          <w:szCs w:val="28"/>
        </w:rPr>
        <w:t>»</w:t>
      </w:r>
    </w:p>
    <w:p w:rsidR="007815BC" w:rsidRDefault="007815BC" w:rsidP="007815BC">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rsidR="007815BC" w:rsidRDefault="007815BC" w:rsidP="007815BC">
      <w:pPr>
        <w:tabs>
          <w:tab w:val="right" w:pos="9355"/>
        </w:tabs>
        <w:jc w:val="center"/>
      </w:pPr>
    </w:p>
    <w:p w:rsidR="007815BC" w:rsidRPr="007815BC" w:rsidRDefault="007815BC" w:rsidP="007815BC">
      <w:pPr>
        <w:tabs>
          <w:tab w:val="right" w:pos="9355"/>
        </w:tabs>
        <w:rPr>
          <w:sz w:val="20"/>
          <w:szCs w:val="28"/>
          <w:u w:val="single"/>
        </w:rPr>
      </w:pPr>
    </w:p>
    <w:p w:rsidR="007815BC" w:rsidRDefault="007815BC" w:rsidP="007815BC">
      <w:pPr>
        <w:jc w:val="left"/>
        <w:rPr>
          <w:sz w:val="28"/>
          <w:szCs w:val="28"/>
        </w:rPr>
      </w:pPr>
      <w:r>
        <w:rPr>
          <w:sz w:val="28"/>
          <w:szCs w:val="28"/>
        </w:rPr>
        <w:t xml:space="preserve">                                 Виконав(ла): здобувач(ка) денної форми навчання</w:t>
      </w:r>
    </w:p>
    <w:p w:rsidR="007815BC" w:rsidRPr="00E562B9" w:rsidRDefault="007815BC" w:rsidP="007815BC">
      <w:pPr>
        <w:jc w:val="left"/>
        <w:rPr>
          <w:sz w:val="16"/>
          <w:szCs w:val="16"/>
        </w:rPr>
      </w:pPr>
      <w:r>
        <w:rPr>
          <w:sz w:val="28"/>
          <w:szCs w:val="28"/>
        </w:rPr>
        <w:t xml:space="preserve">                            </w:t>
      </w:r>
      <w:r w:rsidRPr="00ED2336">
        <w:rPr>
          <w:sz w:val="28"/>
          <w:szCs w:val="28"/>
        </w:rPr>
        <w:t xml:space="preserve">     </w:t>
      </w:r>
      <w:r>
        <w:rPr>
          <w:sz w:val="28"/>
          <w:szCs w:val="28"/>
        </w:rPr>
        <w:t xml:space="preserve">спеціальності </w:t>
      </w:r>
      <w:r w:rsidRPr="00ED2336">
        <w:rPr>
          <w:sz w:val="28"/>
          <w:szCs w:val="28"/>
          <w:u w:val="single"/>
        </w:rPr>
        <w:t>291Міжнародні відносини, суспільні</w:t>
      </w:r>
      <w:r w:rsidRPr="00E562B9">
        <w:rPr>
          <w:sz w:val="18"/>
          <w:szCs w:val="18"/>
        </w:rPr>
        <w:t>_____</w:t>
      </w:r>
    </w:p>
    <w:p w:rsidR="007815BC" w:rsidRPr="00ED2336" w:rsidRDefault="007815BC" w:rsidP="007815BC">
      <w:pPr>
        <w:jc w:val="left"/>
        <w:rPr>
          <w:sz w:val="16"/>
          <w:szCs w:val="16"/>
        </w:rPr>
      </w:pPr>
      <w:r>
        <w:rPr>
          <w:sz w:val="28"/>
          <w:szCs w:val="28"/>
        </w:rPr>
        <w:tab/>
      </w:r>
      <w:r>
        <w:rPr>
          <w:sz w:val="28"/>
          <w:szCs w:val="28"/>
        </w:rPr>
        <w:tab/>
      </w:r>
      <w:r>
        <w:rPr>
          <w:sz w:val="28"/>
          <w:szCs w:val="28"/>
        </w:rPr>
        <w:tab/>
        <w:t xml:space="preserve">  </w:t>
      </w:r>
      <w:r w:rsidRPr="00ED2336">
        <w:rPr>
          <w:sz w:val="28"/>
          <w:szCs w:val="28"/>
          <w:u w:val="single"/>
        </w:rPr>
        <w:t>комунікації та регіональні студії</w:t>
      </w:r>
      <w:r w:rsidRPr="00E562B9">
        <w:rPr>
          <w:sz w:val="18"/>
          <w:szCs w:val="18"/>
        </w:rPr>
        <w:t>_____________________________</w:t>
      </w:r>
      <w:r>
        <w:rPr>
          <w:sz w:val="18"/>
          <w:szCs w:val="18"/>
        </w:rPr>
        <w:t>_</w:t>
      </w:r>
    </w:p>
    <w:p w:rsidR="007815BC" w:rsidRDefault="007815BC" w:rsidP="007815BC">
      <w:pPr>
        <w:jc w:val="left"/>
        <w:rPr>
          <w:sz w:val="20"/>
          <w:szCs w:val="20"/>
        </w:rPr>
      </w:pPr>
      <w:r>
        <w:rPr>
          <w:sz w:val="20"/>
          <w:szCs w:val="20"/>
        </w:rPr>
        <w:t xml:space="preserve">                                                                   </w:t>
      </w:r>
      <w:r w:rsidRPr="00ED2336">
        <w:rPr>
          <w:sz w:val="20"/>
          <w:szCs w:val="20"/>
        </w:rPr>
        <w:tab/>
      </w:r>
      <w:r w:rsidRPr="00ED2336">
        <w:rPr>
          <w:sz w:val="20"/>
          <w:szCs w:val="20"/>
        </w:rPr>
        <w:tab/>
      </w:r>
      <w:r>
        <w:rPr>
          <w:sz w:val="20"/>
          <w:szCs w:val="20"/>
        </w:rPr>
        <w:t xml:space="preserve">       (код, назва спеціальності)</w:t>
      </w:r>
    </w:p>
    <w:p w:rsidR="007815BC" w:rsidRDefault="007815BC" w:rsidP="007815BC">
      <w:pPr>
        <w:ind w:left="2325"/>
        <w:jc w:val="left"/>
        <w:rPr>
          <w:u w:val="single"/>
        </w:rPr>
      </w:pPr>
      <w:r>
        <w:t xml:space="preserve">Освітня програма </w:t>
      </w:r>
      <w:r w:rsidRPr="00E562B9">
        <w:rPr>
          <w:u w:val="single"/>
        </w:rPr>
        <w:t>Міжнародні відносини, суспільні комунікації</w:t>
      </w:r>
    </w:p>
    <w:p w:rsidR="007815BC" w:rsidRPr="00E562B9" w:rsidRDefault="007815BC" w:rsidP="007815BC">
      <w:pPr>
        <w:ind w:left="2325"/>
        <w:jc w:val="left"/>
        <w:rPr>
          <w:sz w:val="20"/>
          <w:szCs w:val="20"/>
        </w:rPr>
      </w:pPr>
      <w:r w:rsidRPr="00E562B9">
        <w:rPr>
          <w:u w:val="single"/>
        </w:rPr>
        <w:t xml:space="preserve"> та регіональні студії</w:t>
      </w:r>
      <w:r w:rsidRPr="00E562B9">
        <w:rPr>
          <w:sz w:val="16"/>
          <w:szCs w:val="16"/>
        </w:rPr>
        <w:t>___________________________</w:t>
      </w:r>
      <w:r>
        <w:rPr>
          <w:sz w:val="16"/>
          <w:szCs w:val="16"/>
        </w:rPr>
        <w:t>_______________________</w:t>
      </w:r>
      <w:r w:rsidRPr="00E562B9">
        <w:rPr>
          <w:sz w:val="16"/>
          <w:szCs w:val="16"/>
        </w:rPr>
        <w:t>____</w:t>
      </w:r>
    </w:p>
    <w:p w:rsidR="007815BC" w:rsidRDefault="007815BC" w:rsidP="007815BC">
      <w:pPr>
        <w:jc w:val="left"/>
        <w:rPr>
          <w:sz w:val="20"/>
          <w:szCs w:val="20"/>
        </w:rPr>
      </w:pPr>
      <w:r>
        <w:rPr>
          <w:sz w:val="20"/>
          <w:szCs w:val="20"/>
        </w:rPr>
        <w:t xml:space="preserve">                                </w:t>
      </w:r>
      <w:r w:rsidRPr="00E562B9">
        <w:rPr>
          <w:sz w:val="20"/>
          <w:szCs w:val="20"/>
        </w:rPr>
        <w:tab/>
      </w:r>
      <w:r w:rsidRPr="00E562B9">
        <w:rPr>
          <w:sz w:val="20"/>
          <w:szCs w:val="20"/>
        </w:rPr>
        <w:tab/>
      </w:r>
      <w:r w:rsidRPr="00E562B9">
        <w:rPr>
          <w:sz w:val="20"/>
          <w:szCs w:val="20"/>
        </w:rPr>
        <w:tab/>
      </w:r>
      <w:r w:rsidRPr="00E562B9">
        <w:rPr>
          <w:sz w:val="20"/>
          <w:szCs w:val="20"/>
        </w:rPr>
        <w:tab/>
        <w:t xml:space="preserve">   </w:t>
      </w:r>
      <w:r>
        <w:rPr>
          <w:sz w:val="20"/>
          <w:szCs w:val="20"/>
        </w:rPr>
        <w:t xml:space="preserve">  </w:t>
      </w:r>
      <w:r w:rsidRPr="00E562B9">
        <w:rPr>
          <w:sz w:val="20"/>
          <w:szCs w:val="20"/>
        </w:rPr>
        <w:t xml:space="preserve">                      </w:t>
      </w:r>
      <w:r>
        <w:rPr>
          <w:sz w:val="20"/>
          <w:szCs w:val="20"/>
        </w:rPr>
        <w:t xml:space="preserve"> (назва)            </w:t>
      </w:r>
    </w:p>
    <w:p w:rsidR="007815BC" w:rsidRDefault="007815BC" w:rsidP="007815BC">
      <w:pPr>
        <w:jc w:val="left"/>
        <w:rPr>
          <w:sz w:val="28"/>
          <w:szCs w:val="28"/>
        </w:rPr>
      </w:pPr>
      <w:r>
        <w:rPr>
          <w:sz w:val="28"/>
          <w:szCs w:val="28"/>
        </w:rPr>
        <w:t xml:space="preserve">             </w:t>
      </w:r>
      <w:r w:rsidR="000C24A0">
        <w:rPr>
          <w:sz w:val="28"/>
          <w:szCs w:val="28"/>
        </w:rPr>
        <w:t xml:space="preserve">                     ______</w:t>
      </w:r>
      <w:r>
        <w:rPr>
          <w:sz w:val="28"/>
          <w:szCs w:val="28"/>
        </w:rPr>
        <w:t>__</w:t>
      </w:r>
      <w:r w:rsidR="000C24A0">
        <w:rPr>
          <w:sz w:val="28"/>
          <w:szCs w:val="28"/>
        </w:rPr>
        <w:t>_____</w:t>
      </w:r>
      <w:r w:rsidR="000C24A0" w:rsidRPr="000C24A0">
        <w:rPr>
          <w:sz w:val="28"/>
          <w:szCs w:val="28"/>
          <w:u w:val="single"/>
        </w:rPr>
        <w:t>Мороз Анастасія Сергіївна</w:t>
      </w:r>
      <w:r w:rsidR="000C24A0">
        <w:rPr>
          <w:sz w:val="28"/>
          <w:szCs w:val="28"/>
        </w:rPr>
        <w:t>_______</w:t>
      </w:r>
      <w:r>
        <w:rPr>
          <w:sz w:val="28"/>
          <w:szCs w:val="28"/>
        </w:rPr>
        <w:t>___</w:t>
      </w:r>
    </w:p>
    <w:p w:rsidR="007815BC" w:rsidRDefault="007815BC" w:rsidP="007815BC">
      <w:pPr>
        <w:jc w:val="left"/>
        <w:rPr>
          <w:sz w:val="20"/>
          <w:szCs w:val="20"/>
        </w:rPr>
      </w:pPr>
      <w:r>
        <w:rPr>
          <w:sz w:val="20"/>
          <w:szCs w:val="20"/>
        </w:rPr>
        <w:t xml:space="preserve">                               </w:t>
      </w:r>
      <w:r w:rsidRPr="00792F03">
        <w:rPr>
          <w:sz w:val="20"/>
          <w:szCs w:val="20"/>
          <w:lang w:val="ru-RU"/>
        </w:rPr>
        <w:tab/>
      </w:r>
      <w:r w:rsidRPr="00792F03">
        <w:rPr>
          <w:sz w:val="20"/>
          <w:szCs w:val="20"/>
          <w:lang w:val="ru-RU"/>
        </w:rPr>
        <w:tab/>
      </w:r>
      <w:r w:rsidRPr="00792F03">
        <w:rPr>
          <w:sz w:val="20"/>
          <w:szCs w:val="20"/>
          <w:lang w:val="ru-RU"/>
        </w:rPr>
        <w:tab/>
      </w:r>
      <w:r w:rsidRPr="00792F03">
        <w:rPr>
          <w:sz w:val="20"/>
          <w:szCs w:val="20"/>
          <w:lang w:val="ru-RU"/>
        </w:rPr>
        <w:tab/>
        <w:t xml:space="preserve">   </w:t>
      </w:r>
      <w:r>
        <w:rPr>
          <w:sz w:val="20"/>
          <w:szCs w:val="20"/>
        </w:rPr>
        <w:t xml:space="preserve"> (прізвище, ім</w:t>
      </w:r>
      <w:r w:rsidR="00C631E2">
        <w:rPr>
          <w:sz w:val="20"/>
          <w:szCs w:val="20"/>
        </w:rPr>
        <w:t>’</w:t>
      </w:r>
      <w:r>
        <w:rPr>
          <w:sz w:val="20"/>
          <w:szCs w:val="20"/>
        </w:rPr>
        <w:t>я, по-батькові здобувача)</w:t>
      </w:r>
    </w:p>
    <w:p w:rsidR="007815BC" w:rsidRPr="00764712" w:rsidRDefault="007815BC" w:rsidP="007815BC">
      <w:pPr>
        <w:tabs>
          <w:tab w:val="left" w:pos="5245"/>
          <w:tab w:val="right" w:pos="9355"/>
        </w:tabs>
        <w:spacing w:before="120"/>
        <w:jc w:val="left"/>
        <w:rPr>
          <w:sz w:val="28"/>
          <w:szCs w:val="28"/>
        </w:rPr>
      </w:pPr>
      <w:r w:rsidRPr="00764712">
        <w:rPr>
          <w:sz w:val="28"/>
          <w:szCs w:val="28"/>
        </w:rPr>
        <w:t xml:space="preserve">                                 </w:t>
      </w:r>
      <w:r>
        <w:rPr>
          <w:sz w:val="28"/>
          <w:szCs w:val="28"/>
        </w:rPr>
        <w:t xml:space="preserve">Керівник    </w:t>
      </w:r>
      <w:r w:rsidR="00764712">
        <w:rPr>
          <w:sz w:val="28"/>
          <w:szCs w:val="28"/>
        </w:rPr>
        <w:t xml:space="preserve">  ____</w:t>
      </w:r>
      <w:r w:rsidR="00764712">
        <w:rPr>
          <w:sz w:val="28"/>
          <w:szCs w:val="28"/>
          <w:u w:val="single"/>
        </w:rPr>
        <w:t>к.пол</w:t>
      </w:r>
      <w:r w:rsidR="0047660A">
        <w:rPr>
          <w:sz w:val="28"/>
          <w:szCs w:val="28"/>
          <w:u w:val="single"/>
        </w:rPr>
        <w:t>іт</w:t>
      </w:r>
      <w:r w:rsidR="00764712">
        <w:rPr>
          <w:sz w:val="28"/>
          <w:szCs w:val="28"/>
          <w:u w:val="single"/>
        </w:rPr>
        <w:t>.н., доц. Майстренко Ю.І.</w:t>
      </w:r>
      <w:r w:rsidR="00764712">
        <w:rPr>
          <w:sz w:val="28"/>
          <w:szCs w:val="28"/>
        </w:rPr>
        <w:t>____</w:t>
      </w:r>
    </w:p>
    <w:p w:rsidR="007815BC" w:rsidRPr="00792F03" w:rsidRDefault="007815BC" w:rsidP="007815BC">
      <w:pPr>
        <w:tabs>
          <w:tab w:val="left" w:pos="5245"/>
          <w:tab w:val="right" w:pos="9355"/>
        </w:tabs>
        <w:spacing w:before="120"/>
        <w:ind w:firstLine="2160"/>
        <w:jc w:val="center"/>
        <w:rPr>
          <w:sz w:val="20"/>
          <w:szCs w:val="20"/>
        </w:rPr>
      </w:pPr>
      <w:r w:rsidRPr="00764712">
        <w:rPr>
          <w:sz w:val="20"/>
          <w:szCs w:val="20"/>
        </w:rPr>
        <w:t xml:space="preserve">                  </w:t>
      </w:r>
      <w:r w:rsidRPr="00792F03">
        <w:rPr>
          <w:sz w:val="20"/>
          <w:szCs w:val="20"/>
        </w:rPr>
        <w:t>(науковий ступінь, вчене звання, прізвище, ініціали)  (підпис)</w:t>
      </w:r>
    </w:p>
    <w:p w:rsidR="007815BC" w:rsidRPr="002876F7" w:rsidRDefault="007815BC" w:rsidP="007815BC">
      <w:pPr>
        <w:tabs>
          <w:tab w:val="left" w:pos="5245"/>
          <w:tab w:val="right" w:pos="9355"/>
        </w:tabs>
        <w:spacing w:before="120"/>
        <w:jc w:val="left"/>
        <w:rPr>
          <w:sz w:val="28"/>
          <w:szCs w:val="28"/>
          <w:lang w:val="ru-RU"/>
        </w:rPr>
      </w:pPr>
      <w:r>
        <w:rPr>
          <w:sz w:val="28"/>
          <w:szCs w:val="28"/>
        </w:rPr>
        <w:t xml:space="preserve">                               </w:t>
      </w:r>
      <w:r w:rsidRPr="00764712">
        <w:rPr>
          <w:sz w:val="28"/>
          <w:szCs w:val="28"/>
        </w:rPr>
        <w:t xml:space="preserve"> </w:t>
      </w:r>
      <w:r w:rsidR="00764712">
        <w:rPr>
          <w:sz w:val="28"/>
          <w:szCs w:val="28"/>
        </w:rPr>
        <w:t xml:space="preserve"> Рецензент    _</w:t>
      </w:r>
      <w:r w:rsidR="0047660A">
        <w:rPr>
          <w:sz w:val="28"/>
          <w:szCs w:val="28"/>
        </w:rPr>
        <w:t>_</w:t>
      </w:r>
      <w:bookmarkStart w:id="0" w:name="_GoBack"/>
      <w:bookmarkEnd w:id="0"/>
      <w:r>
        <w:rPr>
          <w:sz w:val="28"/>
          <w:szCs w:val="28"/>
        </w:rPr>
        <w:t>_</w:t>
      </w:r>
      <w:r w:rsidR="00764712">
        <w:rPr>
          <w:sz w:val="28"/>
          <w:szCs w:val="28"/>
          <w:u w:val="single"/>
        </w:rPr>
        <w:t>д</w:t>
      </w:r>
      <w:r w:rsidR="002876F7">
        <w:rPr>
          <w:sz w:val="28"/>
          <w:szCs w:val="28"/>
          <w:u w:val="single"/>
        </w:rPr>
        <w:t>.пол</w:t>
      </w:r>
      <w:r w:rsidR="0047660A">
        <w:rPr>
          <w:sz w:val="28"/>
          <w:szCs w:val="28"/>
          <w:u w:val="single"/>
        </w:rPr>
        <w:t>іт</w:t>
      </w:r>
      <w:r w:rsidR="002876F7">
        <w:rPr>
          <w:sz w:val="28"/>
          <w:szCs w:val="28"/>
          <w:u w:val="single"/>
        </w:rPr>
        <w:t>.</w:t>
      </w:r>
      <w:r w:rsidR="00764712">
        <w:rPr>
          <w:sz w:val="28"/>
          <w:szCs w:val="28"/>
          <w:u w:val="single"/>
        </w:rPr>
        <w:t>н., проф. Брусиловська О.І.</w:t>
      </w:r>
      <w:r w:rsidR="00764712">
        <w:rPr>
          <w:sz w:val="28"/>
          <w:szCs w:val="28"/>
        </w:rPr>
        <w:t>___</w:t>
      </w:r>
    </w:p>
    <w:p w:rsidR="007815BC" w:rsidRPr="00792F03" w:rsidRDefault="007815BC" w:rsidP="007815BC">
      <w:pPr>
        <w:tabs>
          <w:tab w:val="left" w:pos="5245"/>
          <w:tab w:val="right" w:pos="9355"/>
        </w:tabs>
        <w:spacing w:before="120"/>
        <w:jc w:val="left"/>
        <w:rPr>
          <w:sz w:val="20"/>
          <w:szCs w:val="20"/>
          <w:lang w:val="ru-RU"/>
        </w:rPr>
      </w:pPr>
      <w:r w:rsidRPr="00792F03">
        <w:rPr>
          <w:sz w:val="20"/>
          <w:szCs w:val="20"/>
          <w:lang w:val="ru-RU"/>
        </w:rPr>
        <w:t xml:space="preserve">                                                                                </w:t>
      </w:r>
      <w:r>
        <w:rPr>
          <w:sz w:val="20"/>
          <w:szCs w:val="20"/>
        </w:rPr>
        <w:t xml:space="preserve"> </w:t>
      </w:r>
      <w:r w:rsidRPr="00792F03">
        <w:rPr>
          <w:sz w:val="20"/>
          <w:szCs w:val="20"/>
        </w:rPr>
        <w:t>(науковий ступінь, вчене звання, прізвище, ініціали)</w:t>
      </w:r>
    </w:p>
    <w:p w:rsidR="007815BC" w:rsidRDefault="007815BC" w:rsidP="007815BC">
      <w:pPr>
        <w:tabs>
          <w:tab w:val="left" w:pos="5245"/>
          <w:tab w:val="right" w:pos="9355"/>
        </w:tabs>
        <w:spacing w:before="120"/>
        <w:rPr>
          <w:sz w:val="20"/>
          <w:szCs w:val="20"/>
        </w:rPr>
      </w:pPr>
    </w:p>
    <w:tbl>
      <w:tblPr>
        <w:tblW w:w="9868" w:type="dxa"/>
        <w:tblLayout w:type="fixed"/>
        <w:tblLook w:val="0000" w:firstRow="0" w:lastRow="0" w:firstColumn="0" w:lastColumn="0" w:noHBand="0" w:noVBand="0"/>
      </w:tblPr>
      <w:tblGrid>
        <w:gridCol w:w="5082"/>
        <w:gridCol w:w="4786"/>
      </w:tblGrid>
      <w:tr w:rsidR="007815BC" w:rsidTr="000A00B9">
        <w:tc>
          <w:tcPr>
            <w:tcW w:w="5082" w:type="dxa"/>
          </w:tcPr>
          <w:p w:rsidR="007815BC" w:rsidRDefault="007815BC" w:rsidP="000A00B9">
            <w:pPr>
              <w:rPr>
                <w:sz w:val="28"/>
                <w:szCs w:val="28"/>
              </w:rPr>
            </w:pPr>
            <w:bookmarkStart w:id="1" w:name="_heading=h.gjdgxs" w:colFirst="0" w:colLast="0"/>
            <w:bookmarkEnd w:id="1"/>
            <w:r>
              <w:rPr>
                <w:sz w:val="28"/>
                <w:szCs w:val="28"/>
              </w:rPr>
              <w:t>Рекомендовано до захисту:</w:t>
            </w:r>
          </w:p>
          <w:p w:rsidR="007815BC" w:rsidRDefault="007815BC" w:rsidP="000A00B9">
            <w:pPr>
              <w:rPr>
                <w:sz w:val="28"/>
                <w:szCs w:val="28"/>
              </w:rPr>
            </w:pPr>
            <w:r>
              <w:rPr>
                <w:sz w:val="28"/>
                <w:szCs w:val="28"/>
              </w:rPr>
              <w:t>Протокол засідання кафедри</w:t>
            </w:r>
          </w:p>
          <w:p w:rsidR="007815BC" w:rsidRDefault="007815BC" w:rsidP="000A00B9">
            <w:pPr>
              <w:rPr>
                <w:sz w:val="28"/>
                <w:szCs w:val="28"/>
              </w:rPr>
            </w:pPr>
            <w:r>
              <w:rPr>
                <w:sz w:val="28"/>
                <w:szCs w:val="28"/>
              </w:rPr>
              <w:t>__________________________</w:t>
            </w:r>
          </w:p>
          <w:p w:rsidR="007815BC" w:rsidRDefault="007815BC" w:rsidP="000A00B9">
            <w:pPr>
              <w:rPr>
                <w:sz w:val="28"/>
                <w:szCs w:val="28"/>
              </w:rPr>
            </w:pPr>
            <w:r>
              <w:rPr>
                <w:sz w:val="28"/>
                <w:szCs w:val="28"/>
              </w:rPr>
              <w:t xml:space="preserve">№ ___   від ____.____. 20___ р. </w:t>
            </w:r>
          </w:p>
          <w:p w:rsidR="007815BC" w:rsidRDefault="007815BC" w:rsidP="000A00B9">
            <w:pPr>
              <w:rPr>
                <w:sz w:val="28"/>
                <w:szCs w:val="28"/>
              </w:rPr>
            </w:pPr>
          </w:p>
          <w:p w:rsidR="007815BC" w:rsidRDefault="007815BC" w:rsidP="000A00B9">
            <w:pPr>
              <w:rPr>
                <w:sz w:val="28"/>
                <w:szCs w:val="28"/>
              </w:rPr>
            </w:pPr>
            <w:r>
              <w:rPr>
                <w:sz w:val="28"/>
                <w:szCs w:val="28"/>
              </w:rPr>
              <w:t>Завідувач(ка) кафедри</w:t>
            </w:r>
          </w:p>
          <w:p w:rsidR="007815BC" w:rsidRDefault="007815BC" w:rsidP="000A00B9">
            <w:pPr>
              <w:tabs>
                <w:tab w:val="left" w:pos="1168"/>
                <w:tab w:val="left" w:pos="3861"/>
              </w:tabs>
              <w:rPr>
                <w:sz w:val="28"/>
                <w:szCs w:val="28"/>
                <w:u w:val="single"/>
              </w:rPr>
            </w:pPr>
            <w:r>
              <w:rPr>
                <w:sz w:val="28"/>
                <w:szCs w:val="28"/>
                <w:u w:val="single"/>
              </w:rPr>
              <w:tab/>
            </w:r>
            <w:r>
              <w:rPr>
                <w:sz w:val="28"/>
                <w:szCs w:val="28"/>
              </w:rPr>
              <w:t xml:space="preserve">              _____________</w:t>
            </w:r>
          </w:p>
          <w:p w:rsidR="007815BC" w:rsidRDefault="007815BC" w:rsidP="000A00B9">
            <w:pPr>
              <w:tabs>
                <w:tab w:val="left" w:pos="284"/>
                <w:tab w:val="left" w:pos="1767"/>
              </w:tabs>
              <w:rPr>
                <w:sz w:val="20"/>
                <w:szCs w:val="20"/>
              </w:rPr>
            </w:pPr>
            <w:r>
              <w:rPr>
                <w:sz w:val="20"/>
                <w:szCs w:val="20"/>
              </w:rPr>
              <w:t xml:space="preserve">     (підпис)</w:t>
            </w:r>
            <w:r>
              <w:rPr>
                <w:sz w:val="20"/>
                <w:szCs w:val="20"/>
              </w:rPr>
              <w:tab/>
              <w:t xml:space="preserve">     </w:t>
            </w:r>
            <w:r>
              <w:rPr>
                <w:sz w:val="20"/>
                <w:szCs w:val="20"/>
                <w:lang w:val="en-US"/>
              </w:rPr>
              <w:t xml:space="preserve">      </w:t>
            </w:r>
            <w:r>
              <w:rPr>
                <w:sz w:val="20"/>
                <w:szCs w:val="20"/>
              </w:rPr>
              <w:t xml:space="preserve"> (</w:t>
            </w:r>
            <w:r w:rsidR="00FE1D56">
              <w:t>прізвище, ім’я</w:t>
            </w:r>
            <w:r>
              <w:rPr>
                <w:sz w:val="20"/>
                <w:szCs w:val="20"/>
              </w:rPr>
              <w:t>)</w:t>
            </w:r>
          </w:p>
        </w:tc>
        <w:tc>
          <w:tcPr>
            <w:tcW w:w="4786" w:type="dxa"/>
          </w:tcPr>
          <w:p w:rsidR="007815BC" w:rsidRDefault="007815BC" w:rsidP="000A00B9">
            <w:pPr>
              <w:tabs>
                <w:tab w:val="right" w:pos="4462"/>
              </w:tabs>
              <w:rPr>
                <w:sz w:val="28"/>
                <w:szCs w:val="28"/>
              </w:rPr>
            </w:pPr>
            <w:r>
              <w:rPr>
                <w:sz w:val="28"/>
                <w:szCs w:val="28"/>
              </w:rPr>
              <w:t>Захищено на засіданні ЕК № _____</w:t>
            </w:r>
          </w:p>
          <w:p w:rsidR="007815BC" w:rsidRDefault="007815BC" w:rsidP="000A00B9">
            <w:pPr>
              <w:rPr>
                <w:sz w:val="28"/>
                <w:szCs w:val="28"/>
              </w:rPr>
            </w:pPr>
            <w:r>
              <w:rPr>
                <w:sz w:val="28"/>
                <w:szCs w:val="28"/>
              </w:rPr>
              <w:t>протокол № __від ____.____.20___ р.</w:t>
            </w:r>
          </w:p>
          <w:p w:rsidR="007815BC" w:rsidRDefault="007815BC" w:rsidP="000A00B9">
            <w:pPr>
              <w:rPr>
                <w:sz w:val="28"/>
                <w:szCs w:val="28"/>
              </w:rPr>
            </w:pPr>
          </w:p>
          <w:p w:rsidR="007815BC" w:rsidRDefault="007815BC" w:rsidP="000A00B9">
            <w:pPr>
              <w:tabs>
                <w:tab w:val="right" w:pos="4462"/>
              </w:tabs>
              <w:rPr>
                <w:sz w:val="28"/>
                <w:szCs w:val="28"/>
              </w:rPr>
            </w:pPr>
            <w:r>
              <w:rPr>
                <w:sz w:val="28"/>
                <w:szCs w:val="28"/>
              </w:rPr>
              <w:t>Оцінка______________/___</w:t>
            </w:r>
            <w:r>
              <w:rPr>
                <w:sz w:val="20"/>
                <w:szCs w:val="20"/>
              </w:rPr>
              <w:tab/>
            </w:r>
            <w:r>
              <w:rPr>
                <w:sz w:val="28"/>
                <w:szCs w:val="28"/>
              </w:rPr>
              <w:t>___/_____</w:t>
            </w:r>
          </w:p>
          <w:p w:rsidR="007815BC" w:rsidRDefault="007815BC" w:rsidP="000A00B9">
            <w:pPr>
              <w:jc w:val="center"/>
              <w:rPr>
                <w:sz w:val="20"/>
                <w:szCs w:val="20"/>
              </w:rPr>
            </w:pPr>
            <w:r>
              <w:rPr>
                <w:sz w:val="20"/>
                <w:szCs w:val="20"/>
              </w:rPr>
              <w:t>(за національною шкалою/шкалою ЕСТS/ бали)</w:t>
            </w:r>
          </w:p>
          <w:p w:rsidR="007815BC" w:rsidRDefault="007815BC" w:rsidP="000A00B9">
            <w:pPr>
              <w:rPr>
                <w:sz w:val="28"/>
                <w:szCs w:val="28"/>
              </w:rPr>
            </w:pPr>
            <w:r>
              <w:rPr>
                <w:sz w:val="28"/>
                <w:szCs w:val="28"/>
              </w:rPr>
              <w:t>Голова ЕК</w:t>
            </w:r>
          </w:p>
          <w:p w:rsidR="007815BC" w:rsidRDefault="007815BC" w:rsidP="000A00B9">
            <w:pPr>
              <w:rPr>
                <w:sz w:val="28"/>
                <w:szCs w:val="28"/>
                <w:u w:val="single"/>
              </w:rPr>
            </w:pPr>
            <w:r>
              <w:rPr>
                <w:sz w:val="28"/>
                <w:szCs w:val="28"/>
                <w:u w:val="single"/>
              </w:rPr>
              <w:tab/>
            </w:r>
            <w:r>
              <w:rPr>
                <w:sz w:val="28"/>
                <w:szCs w:val="28"/>
              </w:rPr>
              <w:t xml:space="preserve">              _____________</w:t>
            </w:r>
          </w:p>
          <w:p w:rsidR="007815BC" w:rsidRPr="00ED2336" w:rsidRDefault="007815BC" w:rsidP="000A00B9">
            <w:pPr>
              <w:tabs>
                <w:tab w:val="left" w:pos="454"/>
                <w:tab w:val="left" w:pos="2155"/>
              </w:tabs>
              <w:rPr>
                <w:sz w:val="28"/>
                <w:szCs w:val="28"/>
                <w:lang w:val="ru-RU"/>
              </w:rPr>
            </w:pPr>
            <w:r>
              <w:rPr>
                <w:sz w:val="20"/>
                <w:szCs w:val="20"/>
              </w:rPr>
              <w:t xml:space="preserve"> (підпис)            </w:t>
            </w:r>
            <w:r w:rsidRPr="00ED2336">
              <w:rPr>
                <w:sz w:val="20"/>
                <w:szCs w:val="20"/>
                <w:lang w:val="ru-RU"/>
              </w:rPr>
              <w:t xml:space="preserve">      </w:t>
            </w:r>
            <w:r>
              <w:rPr>
                <w:sz w:val="20"/>
                <w:szCs w:val="20"/>
              </w:rPr>
              <w:t xml:space="preserve">       (</w:t>
            </w:r>
            <w:r>
              <w:t>прізвище, ім</w:t>
            </w:r>
            <w:r w:rsidR="00C631E2">
              <w:t>’</w:t>
            </w:r>
            <w:r>
              <w:t>я</w:t>
            </w:r>
            <w:r w:rsidRPr="00ED2336">
              <w:rPr>
                <w:sz w:val="20"/>
                <w:szCs w:val="20"/>
                <w:lang w:val="ru-RU"/>
              </w:rPr>
              <w:t>)</w:t>
            </w:r>
          </w:p>
        </w:tc>
      </w:tr>
      <w:tr w:rsidR="007815BC" w:rsidTr="000A00B9">
        <w:tc>
          <w:tcPr>
            <w:tcW w:w="5082" w:type="dxa"/>
          </w:tcPr>
          <w:p w:rsidR="007815BC" w:rsidRDefault="007815BC" w:rsidP="000A00B9">
            <w:pPr>
              <w:rPr>
                <w:sz w:val="28"/>
                <w:szCs w:val="28"/>
              </w:rPr>
            </w:pPr>
          </w:p>
        </w:tc>
        <w:tc>
          <w:tcPr>
            <w:tcW w:w="4786" w:type="dxa"/>
          </w:tcPr>
          <w:p w:rsidR="007815BC" w:rsidRDefault="007815BC" w:rsidP="000A00B9">
            <w:pPr>
              <w:rPr>
                <w:sz w:val="28"/>
                <w:szCs w:val="28"/>
              </w:rPr>
            </w:pPr>
          </w:p>
        </w:tc>
      </w:tr>
    </w:tbl>
    <w:p w:rsidR="00521003" w:rsidRPr="00A46514" w:rsidRDefault="007815BC" w:rsidP="007815BC">
      <w:pPr>
        <w:jc w:val="center"/>
        <w:rPr>
          <w:b/>
          <w:sz w:val="28"/>
          <w:szCs w:val="28"/>
          <w:lang w:val="ru-RU"/>
        </w:rPr>
      </w:pPr>
      <w:r>
        <w:rPr>
          <w:b/>
          <w:sz w:val="28"/>
          <w:szCs w:val="28"/>
        </w:rPr>
        <w:t>Одеса 20</w:t>
      </w:r>
      <w:r w:rsidRPr="00A46514">
        <w:rPr>
          <w:b/>
          <w:sz w:val="28"/>
          <w:szCs w:val="28"/>
          <w:lang w:val="ru-RU"/>
        </w:rPr>
        <w:t>24</w:t>
      </w:r>
      <w:r w:rsidR="00521003" w:rsidRPr="00A46514">
        <w:rPr>
          <w:b/>
          <w:sz w:val="28"/>
          <w:szCs w:val="28"/>
          <w:lang w:val="ru-RU"/>
        </w:rPr>
        <w:br w:type="page"/>
      </w:r>
    </w:p>
    <w:p w:rsidR="00613414" w:rsidRDefault="00521003" w:rsidP="00613414">
      <w:pPr>
        <w:spacing w:line="360" w:lineRule="auto"/>
        <w:jc w:val="center"/>
        <w:rPr>
          <w:sz w:val="28"/>
          <w:szCs w:val="28"/>
        </w:rPr>
      </w:pPr>
      <w:r w:rsidRPr="00521003">
        <w:rPr>
          <w:sz w:val="28"/>
          <w:szCs w:val="28"/>
        </w:rPr>
        <w:lastRenderedPageBreak/>
        <w:t>ЗМІСТ</w:t>
      </w:r>
    </w:p>
    <w:p w:rsidR="00652BA9" w:rsidRDefault="00652BA9" w:rsidP="00613414">
      <w:pPr>
        <w:spacing w:line="360" w:lineRule="auto"/>
        <w:jc w:val="center"/>
        <w:rPr>
          <w:sz w:val="28"/>
          <w:szCs w:val="28"/>
        </w:rPr>
      </w:pPr>
    </w:p>
    <w:p w:rsidR="00613414" w:rsidRPr="00DB6549" w:rsidRDefault="004948DD" w:rsidP="00DB6549">
      <w:pPr>
        <w:spacing w:line="360" w:lineRule="auto"/>
        <w:rPr>
          <w:sz w:val="28"/>
          <w:szCs w:val="28"/>
          <w:lang w:val="ru-RU"/>
        </w:rPr>
      </w:pPr>
      <w:r w:rsidRPr="004948DD">
        <w:rPr>
          <w:sz w:val="28"/>
          <w:szCs w:val="28"/>
        </w:rPr>
        <w:t>Список скорочень</w:t>
      </w:r>
      <w:r>
        <w:rPr>
          <w:sz w:val="28"/>
          <w:szCs w:val="28"/>
          <w:lang w:val="ru-RU"/>
        </w:rPr>
        <w:t>………………………………………………………………….3</w:t>
      </w:r>
      <w:r w:rsidR="00DB6549">
        <w:rPr>
          <w:sz w:val="28"/>
          <w:szCs w:val="28"/>
          <w:lang w:val="ru-RU"/>
        </w:rPr>
        <w:br/>
      </w:r>
      <w:r w:rsidR="00613414">
        <w:rPr>
          <w:sz w:val="28"/>
          <w:szCs w:val="28"/>
        </w:rPr>
        <w:t>Вступ…</w:t>
      </w:r>
      <w:r>
        <w:rPr>
          <w:sz w:val="28"/>
          <w:szCs w:val="28"/>
        </w:rPr>
        <w:t>………………………………………………………………………….….6</w:t>
      </w:r>
      <w:r w:rsidR="00DB6549">
        <w:rPr>
          <w:sz w:val="28"/>
          <w:szCs w:val="28"/>
        </w:rPr>
        <w:br/>
      </w:r>
      <w:r w:rsidR="00613414">
        <w:rPr>
          <w:sz w:val="28"/>
          <w:szCs w:val="28"/>
        </w:rPr>
        <w:t>Розділ 1</w:t>
      </w:r>
      <w:r w:rsidR="005A23A5">
        <w:rPr>
          <w:sz w:val="28"/>
          <w:szCs w:val="28"/>
        </w:rPr>
        <w:t xml:space="preserve">. Теоретичні </w:t>
      </w:r>
      <w:r w:rsidR="00DC61EB">
        <w:rPr>
          <w:sz w:val="28"/>
          <w:szCs w:val="28"/>
        </w:rPr>
        <w:t>засади дослідження…………</w:t>
      </w:r>
      <w:r w:rsidR="00B471D6">
        <w:rPr>
          <w:sz w:val="28"/>
          <w:szCs w:val="28"/>
        </w:rPr>
        <w:t>..</w:t>
      </w:r>
      <w:r w:rsidR="00DC61EB">
        <w:rPr>
          <w:sz w:val="28"/>
          <w:szCs w:val="28"/>
        </w:rPr>
        <w:t>………………</w:t>
      </w:r>
      <w:r w:rsidR="00B471D6">
        <w:rPr>
          <w:sz w:val="28"/>
          <w:szCs w:val="28"/>
        </w:rPr>
        <w:t>….</w:t>
      </w:r>
      <w:r>
        <w:rPr>
          <w:sz w:val="28"/>
          <w:szCs w:val="28"/>
        </w:rPr>
        <w:t>..</w:t>
      </w:r>
      <w:r w:rsidR="00B471D6">
        <w:rPr>
          <w:sz w:val="28"/>
          <w:szCs w:val="28"/>
        </w:rPr>
        <w:t>…</w:t>
      </w:r>
      <w:r>
        <w:rPr>
          <w:sz w:val="28"/>
          <w:szCs w:val="28"/>
        </w:rPr>
        <w:t>…...12</w:t>
      </w:r>
      <w:r w:rsidR="00DB6549">
        <w:rPr>
          <w:sz w:val="28"/>
          <w:szCs w:val="28"/>
          <w:lang w:val="ru-RU"/>
        </w:rPr>
        <w:br/>
      </w:r>
      <w:r w:rsidR="00613414">
        <w:rPr>
          <w:sz w:val="28"/>
          <w:szCs w:val="28"/>
        </w:rPr>
        <w:t>Розділ 2</w:t>
      </w:r>
      <w:r w:rsidR="00D7691B" w:rsidRPr="00B471D6">
        <w:rPr>
          <w:sz w:val="28"/>
          <w:szCs w:val="28"/>
        </w:rPr>
        <w:t xml:space="preserve">. </w:t>
      </w:r>
      <w:r w:rsidR="00B471D6" w:rsidRPr="00B471D6">
        <w:rPr>
          <w:sz w:val="28"/>
          <w:szCs w:val="28"/>
        </w:rPr>
        <w:t xml:space="preserve">Формування системи безпеки Європейського Союзу </w:t>
      </w:r>
      <w:r w:rsidR="00DC61EB" w:rsidRPr="00B471D6">
        <w:rPr>
          <w:sz w:val="28"/>
          <w:szCs w:val="28"/>
        </w:rPr>
        <w:t>…</w:t>
      </w:r>
      <w:r w:rsidR="00B471D6">
        <w:rPr>
          <w:sz w:val="28"/>
          <w:szCs w:val="28"/>
        </w:rPr>
        <w:t>.</w:t>
      </w:r>
      <w:r w:rsidR="0079512B" w:rsidRPr="00B471D6">
        <w:rPr>
          <w:sz w:val="28"/>
          <w:szCs w:val="28"/>
        </w:rPr>
        <w:t>…</w:t>
      </w:r>
      <w:r w:rsidR="00B471D6" w:rsidRPr="00B471D6">
        <w:rPr>
          <w:sz w:val="28"/>
          <w:szCs w:val="28"/>
        </w:rPr>
        <w:t>………..</w:t>
      </w:r>
      <w:r w:rsidR="00004F56">
        <w:rPr>
          <w:sz w:val="28"/>
          <w:szCs w:val="28"/>
        </w:rPr>
        <w:t>29</w:t>
      </w:r>
    </w:p>
    <w:p w:rsidR="00613414" w:rsidRDefault="00613414" w:rsidP="00C62696">
      <w:pPr>
        <w:spacing w:line="360" w:lineRule="auto"/>
        <w:ind w:left="709" w:hanging="709"/>
        <w:rPr>
          <w:sz w:val="28"/>
          <w:szCs w:val="28"/>
        </w:rPr>
      </w:pPr>
      <w:r>
        <w:rPr>
          <w:sz w:val="28"/>
          <w:szCs w:val="28"/>
        </w:rPr>
        <w:t>Розділ 3</w:t>
      </w:r>
      <w:r w:rsidR="00220C24" w:rsidRPr="00DC61EB">
        <w:rPr>
          <w:sz w:val="28"/>
          <w:szCs w:val="28"/>
          <w:lang w:val="ru-RU"/>
        </w:rPr>
        <w:t>.</w:t>
      </w:r>
      <w:r w:rsidR="00220C24">
        <w:rPr>
          <w:sz w:val="28"/>
          <w:szCs w:val="28"/>
        </w:rPr>
        <w:t xml:space="preserve"> Європейська стратегія безпеки як ключова частина безпекового простору ЄС……………………………</w:t>
      </w:r>
      <w:r w:rsidR="00C62696">
        <w:rPr>
          <w:sz w:val="28"/>
          <w:szCs w:val="28"/>
        </w:rPr>
        <w:t>..</w:t>
      </w:r>
      <w:r w:rsidR="00004F56">
        <w:rPr>
          <w:sz w:val="28"/>
          <w:szCs w:val="28"/>
        </w:rPr>
        <w:t>…………………………………49</w:t>
      </w:r>
    </w:p>
    <w:p w:rsidR="004948DD" w:rsidRDefault="00613414" w:rsidP="00DB6549">
      <w:pPr>
        <w:spacing w:line="360" w:lineRule="auto"/>
        <w:rPr>
          <w:sz w:val="28"/>
          <w:szCs w:val="28"/>
        </w:rPr>
      </w:pPr>
      <w:r w:rsidRPr="004948DD">
        <w:rPr>
          <w:sz w:val="28"/>
          <w:szCs w:val="28"/>
        </w:rPr>
        <w:t>Розділ 4</w:t>
      </w:r>
      <w:r w:rsidR="004948DD" w:rsidRPr="004948DD">
        <w:rPr>
          <w:sz w:val="28"/>
          <w:szCs w:val="28"/>
        </w:rPr>
        <w:t xml:space="preserve">. </w:t>
      </w:r>
      <w:r w:rsidR="00DE7AD7" w:rsidRPr="004948DD">
        <w:rPr>
          <w:sz w:val="28"/>
          <w:szCs w:val="28"/>
        </w:rPr>
        <w:t>Сучасні безпекові виклики європейській системі безпеки</w:t>
      </w:r>
      <w:r w:rsidR="004948DD" w:rsidRPr="004948DD">
        <w:rPr>
          <w:sz w:val="28"/>
          <w:szCs w:val="28"/>
        </w:rPr>
        <w:t>……..</w:t>
      </w:r>
      <w:r w:rsidR="0079512B" w:rsidRPr="004948DD">
        <w:rPr>
          <w:sz w:val="28"/>
          <w:szCs w:val="28"/>
        </w:rPr>
        <w:t>…..</w:t>
      </w:r>
      <w:r w:rsidR="00DB6549">
        <w:rPr>
          <w:sz w:val="28"/>
          <w:szCs w:val="28"/>
        </w:rPr>
        <w:t>71</w:t>
      </w:r>
      <w:r w:rsidR="00DB6549">
        <w:rPr>
          <w:sz w:val="28"/>
          <w:szCs w:val="28"/>
        </w:rPr>
        <w:br/>
      </w:r>
      <w:r>
        <w:rPr>
          <w:sz w:val="28"/>
          <w:szCs w:val="28"/>
        </w:rPr>
        <w:t>Висновки</w:t>
      </w:r>
      <w:r w:rsidR="00181AE3">
        <w:rPr>
          <w:sz w:val="28"/>
          <w:szCs w:val="28"/>
        </w:rPr>
        <w:t>………………………………………………………………………….89</w:t>
      </w:r>
      <w:r w:rsidR="00DB6549">
        <w:rPr>
          <w:sz w:val="28"/>
          <w:szCs w:val="28"/>
        </w:rPr>
        <w:br/>
      </w:r>
      <w:r>
        <w:rPr>
          <w:sz w:val="28"/>
          <w:szCs w:val="28"/>
        </w:rPr>
        <w:t>Список посилань</w:t>
      </w:r>
      <w:r w:rsidR="004948DD">
        <w:rPr>
          <w:sz w:val="28"/>
          <w:szCs w:val="28"/>
        </w:rPr>
        <w:t>…………………</w:t>
      </w:r>
      <w:r w:rsidR="007F6C62">
        <w:rPr>
          <w:sz w:val="28"/>
          <w:szCs w:val="28"/>
        </w:rPr>
        <w:t>………………………………………</w:t>
      </w:r>
      <w:r w:rsidR="00004F56">
        <w:rPr>
          <w:sz w:val="28"/>
          <w:szCs w:val="28"/>
        </w:rPr>
        <w:t>...</w:t>
      </w:r>
      <w:r w:rsidR="007F6C62">
        <w:rPr>
          <w:sz w:val="28"/>
          <w:szCs w:val="28"/>
        </w:rPr>
        <w:t>…….9</w:t>
      </w:r>
      <w:r w:rsidR="00181AE3">
        <w:rPr>
          <w:sz w:val="28"/>
          <w:szCs w:val="28"/>
        </w:rPr>
        <w:t>4</w:t>
      </w:r>
      <w:r w:rsidR="00DB6549">
        <w:rPr>
          <w:sz w:val="28"/>
          <w:szCs w:val="28"/>
        </w:rPr>
        <w:br/>
      </w:r>
      <w:r>
        <w:rPr>
          <w:sz w:val="28"/>
          <w:szCs w:val="28"/>
        </w:rPr>
        <w:t>Додаток 1</w:t>
      </w:r>
      <w:r w:rsidR="001F6388">
        <w:rPr>
          <w:sz w:val="28"/>
          <w:szCs w:val="28"/>
        </w:rPr>
        <w:t xml:space="preserve">. </w:t>
      </w:r>
      <w:r w:rsidR="001F6388" w:rsidRPr="001F6388">
        <w:rPr>
          <w:sz w:val="28"/>
          <w:szCs w:val="28"/>
        </w:rPr>
        <w:t>Еволюція витрат та інв</w:t>
      </w:r>
      <w:r w:rsidR="001F6388">
        <w:rPr>
          <w:sz w:val="28"/>
          <w:szCs w:val="28"/>
        </w:rPr>
        <w:t>ест</w:t>
      </w:r>
      <w:r w:rsidR="00004F56">
        <w:rPr>
          <w:sz w:val="28"/>
          <w:szCs w:val="28"/>
        </w:rPr>
        <w:t>ицій в оборону ЄС в 2006-2021…..…</w:t>
      </w:r>
      <w:r w:rsidR="001F6388">
        <w:rPr>
          <w:sz w:val="28"/>
          <w:szCs w:val="28"/>
        </w:rPr>
        <w:t>.1</w:t>
      </w:r>
      <w:r w:rsidR="00181AE3">
        <w:rPr>
          <w:sz w:val="28"/>
          <w:szCs w:val="28"/>
        </w:rPr>
        <w:t>02</w:t>
      </w:r>
      <w:r w:rsidR="00DB6549">
        <w:rPr>
          <w:sz w:val="28"/>
          <w:szCs w:val="28"/>
        </w:rPr>
        <w:br/>
      </w:r>
      <w:r>
        <w:rPr>
          <w:sz w:val="28"/>
          <w:szCs w:val="28"/>
        </w:rPr>
        <w:t>Додаток 2</w:t>
      </w:r>
      <w:r w:rsidR="00DD2AB6">
        <w:rPr>
          <w:sz w:val="28"/>
          <w:szCs w:val="28"/>
        </w:rPr>
        <w:t>. Міжнародна фінансова</w:t>
      </w:r>
      <w:r w:rsidR="00004F56">
        <w:rPr>
          <w:sz w:val="28"/>
          <w:szCs w:val="28"/>
        </w:rPr>
        <w:t xml:space="preserve"> допомога Україні (2022)……</w:t>
      </w:r>
      <w:r w:rsidR="00DD2AB6">
        <w:rPr>
          <w:sz w:val="28"/>
          <w:szCs w:val="28"/>
        </w:rPr>
        <w:t>……</w:t>
      </w:r>
      <w:r w:rsidR="00004F56">
        <w:rPr>
          <w:sz w:val="28"/>
          <w:szCs w:val="28"/>
        </w:rPr>
        <w:t>..</w:t>
      </w:r>
      <w:r w:rsidR="00DD2AB6">
        <w:rPr>
          <w:sz w:val="28"/>
          <w:szCs w:val="28"/>
        </w:rPr>
        <w:t>……</w:t>
      </w:r>
      <w:r w:rsidR="00004F56">
        <w:rPr>
          <w:sz w:val="28"/>
          <w:szCs w:val="28"/>
        </w:rPr>
        <w:t>10</w:t>
      </w:r>
      <w:r w:rsidR="00181AE3">
        <w:rPr>
          <w:sz w:val="28"/>
          <w:szCs w:val="28"/>
        </w:rPr>
        <w:t>3</w:t>
      </w:r>
      <w:r w:rsidR="00DB6549">
        <w:rPr>
          <w:sz w:val="28"/>
          <w:szCs w:val="28"/>
        </w:rPr>
        <w:br/>
      </w:r>
      <w:r w:rsidR="004948DD">
        <w:rPr>
          <w:sz w:val="28"/>
          <w:szCs w:val="28"/>
        </w:rPr>
        <w:br w:type="page"/>
      </w:r>
    </w:p>
    <w:p w:rsidR="004948DD" w:rsidRDefault="004948DD" w:rsidP="004948DD">
      <w:pPr>
        <w:spacing w:after="240" w:line="360" w:lineRule="auto"/>
        <w:jc w:val="center"/>
        <w:rPr>
          <w:sz w:val="28"/>
          <w:szCs w:val="28"/>
        </w:rPr>
      </w:pPr>
      <w:r>
        <w:rPr>
          <w:sz w:val="28"/>
          <w:szCs w:val="28"/>
        </w:rPr>
        <w:lastRenderedPageBreak/>
        <w:t>СПИСОК СКОРОЧЕНЬ</w:t>
      </w:r>
    </w:p>
    <w:p w:rsidR="004948DD" w:rsidRDefault="004948DD" w:rsidP="004948DD">
      <w:pPr>
        <w:spacing w:after="240" w:line="360" w:lineRule="auto"/>
        <w:jc w:val="center"/>
        <w:rPr>
          <w:sz w:val="28"/>
          <w:szCs w:val="28"/>
        </w:rPr>
      </w:pPr>
    </w:p>
    <w:p w:rsidR="004948DD" w:rsidRDefault="004948DD" w:rsidP="004948DD">
      <w:pPr>
        <w:spacing w:line="360" w:lineRule="auto"/>
        <w:ind w:left="709" w:hanging="709"/>
        <w:rPr>
          <w:sz w:val="28"/>
          <w:szCs w:val="28"/>
        </w:rPr>
      </w:pPr>
      <w:r w:rsidRPr="00DD2AB6">
        <w:rPr>
          <w:sz w:val="28"/>
          <w:szCs w:val="28"/>
        </w:rPr>
        <w:t>ДНЯЗ</w:t>
      </w:r>
      <w:r>
        <w:rPr>
          <w:sz w:val="28"/>
          <w:szCs w:val="28"/>
        </w:rPr>
        <w:t xml:space="preserve"> (</w:t>
      </w:r>
      <w:r w:rsidRPr="0091280D">
        <w:rPr>
          <w:sz w:val="28"/>
          <w:szCs w:val="28"/>
        </w:rPr>
        <w:t>Договір про</w:t>
      </w:r>
      <w:r>
        <w:rPr>
          <w:sz w:val="28"/>
          <w:szCs w:val="28"/>
        </w:rPr>
        <w:t xml:space="preserve"> нерозповсюдження ядерної зброї) – м</w:t>
      </w:r>
      <w:r w:rsidRPr="0091280D">
        <w:rPr>
          <w:sz w:val="28"/>
          <w:szCs w:val="28"/>
        </w:rPr>
        <w:t>іжнародний договір, що має на меті запобігти розповсюдженню ядерної зброї, сприяти роззброєнню та розвитку мирного використання атомної енергії.</w:t>
      </w:r>
    </w:p>
    <w:p w:rsidR="004948DD" w:rsidRPr="00DD2AB6" w:rsidRDefault="004948DD" w:rsidP="004948DD">
      <w:pPr>
        <w:spacing w:line="360" w:lineRule="auto"/>
        <w:ind w:left="709" w:hanging="709"/>
        <w:rPr>
          <w:sz w:val="28"/>
          <w:szCs w:val="28"/>
        </w:rPr>
      </w:pPr>
      <w:r w:rsidRPr="00DD2AB6">
        <w:rPr>
          <w:sz w:val="28"/>
          <w:szCs w:val="28"/>
        </w:rPr>
        <w:t>ЄМС</w:t>
      </w:r>
      <w:r>
        <w:rPr>
          <w:sz w:val="28"/>
          <w:szCs w:val="28"/>
        </w:rPr>
        <w:t xml:space="preserve"> (</w:t>
      </w:r>
      <w:r w:rsidRPr="0091280D">
        <w:rPr>
          <w:sz w:val="28"/>
          <w:szCs w:val="28"/>
        </w:rPr>
        <w:t>Європейський механіз</w:t>
      </w:r>
      <w:r>
        <w:rPr>
          <w:sz w:val="28"/>
          <w:szCs w:val="28"/>
        </w:rPr>
        <w:t>м стабільності) – ф</w:t>
      </w:r>
      <w:r w:rsidRPr="0091280D">
        <w:rPr>
          <w:sz w:val="28"/>
          <w:szCs w:val="28"/>
        </w:rPr>
        <w:t>онд Європейського Союзу, створений для фінансової допомоги країнам-членам, що стикаються з фінансовими труднощами.</w:t>
      </w:r>
    </w:p>
    <w:p w:rsidR="004948DD" w:rsidRPr="00DD2AB6" w:rsidRDefault="004948DD" w:rsidP="004948DD">
      <w:pPr>
        <w:spacing w:line="360" w:lineRule="auto"/>
        <w:ind w:left="709" w:hanging="709"/>
        <w:rPr>
          <w:sz w:val="28"/>
          <w:szCs w:val="28"/>
        </w:rPr>
      </w:pPr>
      <w:r w:rsidRPr="00DD2AB6">
        <w:rPr>
          <w:sz w:val="28"/>
          <w:szCs w:val="28"/>
        </w:rPr>
        <w:t>ЄП</w:t>
      </w:r>
      <w:r>
        <w:rPr>
          <w:sz w:val="28"/>
          <w:szCs w:val="28"/>
        </w:rPr>
        <w:t xml:space="preserve"> (</w:t>
      </w:r>
      <w:r w:rsidRPr="0091280D">
        <w:rPr>
          <w:sz w:val="28"/>
          <w:szCs w:val="28"/>
        </w:rPr>
        <w:t>Європе</w:t>
      </w:r>
      <w:r>
        <w:rPr>
          <w:sz w:val="28"/>
          <w:szCs w:val="28"/>
        </w:rPr>
        <w:t>йський парламент) – з</w:t>
      </w:r>
      <w:r w:rsidRPr="0091280D">
        <w:rPr>
          <w:sz w:val="28"/>
          <w:szCs w:val="28"/>
        </w:rPr>
        <w:t>аконодавчий орган Європейського Союзу, який представляє інтереси громадян країн-членів ЄС.</w:t>
      </w:r>
    </w:p>
    <w:p w:rsidR="004948DD" w:rsidRPr="00DD2AB6" w:rsidRDefault="004948DD" w:rsidP="004948DD">
      <w:pPr>
        <w:spacing w:line="360" w:lineRule="auto"/>
        <w:ind w:left="709" w:hanging="709"/>
        <w:rPr>
          <w:sz w:val="28"/>
          <w:szCs w:val="28"/>
        </w:rPr>
      </w:pPr>
      <w:r w:rsidRPr="00DD2AB6">
        <w:rPr>
          <w:sz w:val="28"/>
          <w:szCs w:val="28"/>
        </w:rPr>
        <w:t>ЄПБО</w:t>
      </w:r>
      <w:r>
        <w:rPr>
          <w:sz w:val="28"/>
          <w:szCs w:val="28"/>
        </w:rPr>
        <w:t xml:space="preserve"> (</w:t>
      </w:r>
      <w:r w:rsidRPr="0091280D">
        <w:rPr>
          <w:sz w:val="28"/>
          <w:szCs w:val="28"/>
        </w:rPr>
        <w:t>Європей</w:t>
      </w:r>
      <w:r>
        <w:rPr>
          <w:sz w:val="28"/>
          <w:szCs w:val="28"/>
        </w:rPr>
        <w:t>ська політика безпеки й оборони) – к</w:t>
      </w:r>
      <w:r w:rsidRPr="0091280D">
        <w:rPr>
          <w:sz w:val="28"/>
          <w:szCs w:val="28"/>
        </w:rPr>
        <w:t>омплексна політика ЄС у сфері безпеки та оборони, яка передбачає військову та цивільну співпрацю для реагування на кризи.</w:t>
      </w:r>
    </w:p>
    <w:p w:rsidR="004948DD" w:rsidRPr="00DD2AB6" w:rsidRDefault="004948DD" w:rsidP="004948DD">
      <w:pPr>
        <w:spacing w:line="360" w:lineRule="auto"/>
        <w:ind w:left="709" w:hanging="709"/>
        <w:rPr>
          <w:sz w:val="28"/>
          <w:szCs w:val="28"/>
        </w:rPr>
      </w:pPr>
      <w:r w:rsidRPr="00DD2AB6">
        <w:rPr>
          <w:sz w:val="28"/>
          <w:szCs w:val="28"/>
        </w:rPr>
        <w:t>ЄПС</w:t>
      </w:r>
      <w:r>
        <w:rPr>
          <w:sz w:val="28"/>
          <w:szCs w:val="28"/>
        </w:rPr>
        <w:t xml:space="preserve"> (Європейська політика сусідства) – п</w:t>
      </w:r>
      <w:r w:rsidRPr="00690FC8">
        <w:rPr>
          <w:sz w:val="28"/>
          <w:szCs w:val="28"/>
        </w:rPr>
        <w:t>олітика ЄС, спрямована на розвиток відносин із сусідніми країнами через економічну, політичну та соціальну співпрацю.</w:t>
      </w:r>
    </w:p>
    <w:p w:rsidR="004948DD" w:rsidRPr="00DD2AB6" w:rsidRDefault="004948DD" w:rsidP="004948DD">
      <w:pPr>
        <w:spacing w:line="360" w:lineRule="auto"/>
        <w:ind w:left="709" w:hanging="709"/>
        <w:rPr>
          <w:sz w:val="28"/>
          <w:szCs w:val="28"/>
        </w:rPr>
      </w:pPr>
      <w:r w:rsidRPr="00DD2AB6">
        <w:rPr>
          <w:sz w:val="28"/>
          <w:szCs w:val="28"/>
        </w:rPr>
        <w:t>ЄС</w:t>
      </w:r>
      <w:r>
        <w:rPr>
          <w:sz w:val="28"/>
          <w:szCs w:val="28"/>
        </w:rPr>
        <w:t xml:space="preserve"> (Європейський Союз) – п</w:t>
      </w:r>
      <w:r w:rsidRPr="00690FC8">
        <w:rPr>
          <w:sz w:val="28"/>
          <w:szCs w:val="28"/>
        </w:rPr>
        <w:t>олітичний та економічний союз, що об'єднує 27 країн-членів у Європі.</w:t>
      </w:r>
    </w:p>
    <w:p w:rsidR="004948DD" w:rsidRPr="00DD2AB6" w:rsidRDefault="004948DD" w:rsidP="004948DD">
      <w:pPr>
        <w:spacing w:line="360" w:lineRule="auto"/>
        <w:ind w:left="709" w:hanging="709"/>
        <w:rPr>
          <w:sz w:val="28"/>
          <w:szCs w:val="28"/>
        </w:rPr>
      </w:pPr>
      <w:r w:rsidRPr="00DD2AB6">
        <w:rPr>
          <w:sz w:val="28"/>
          <w:szCs w:val="28"/>
        </w:rPr>
        <w:t>ЄСБ</w:t>
      </w:r>
      <w:r>
        <w:rPr>
          <w:sz w:val="28"/>
          <w:szCs w:val="28"/>
        </w:rPr>
        <w:t xml:space="preserve"> (Європейська стратегія безпеки) – </w:t>
      </w:r>
      <w:r w:rsidRPr="00690FC8">
        <w:rPr>
          <w:sz w:val="28"/>
          <w:szCs w:val="28"/>
        </w:rPr>
        <w:t xml:space="preserve">ключовий документ, прийнятий Європейським Союзом у 2003 році під назвою </w:t>
      </w:r>
      <w:r>
        <w:rPr>
          <w:i/>
          <w:iCs/>
          <w:sz w:val="28"/>
          <w:szCs w:val="28"/>
        </w:rPr>
        <w:t>«Безпечна Європа в кращому світі».</w:t>
      </w:r>
    </w:p>
    <w:p w:rsidR="004948DD" w:rsidRPr="00DD2AB6" w:rsidRDefault="004948DD" w:rsidP="004948DD">
      <w:pPr>
        <w:spacing w:line="360" w:lineRule="auto"/>
        <w:ind w:left="709" w:hanging="709"/>
        <w:rPr>
          <w:sz w:val="28"/>
          <w:szCs w:val="28"/>
        </w:rPr>
      </w:pPr>
      <w:r w:rsidRPr="00DD2AB6">
        <w:rPr>
          <w:sz w:val="28"/>
          <w:szCs w:val="28"/>
        </w:rPr>
        <w:t>ЄФМ</w:t>
      </w:r>
      <w:r>
        <w:rPr>
          <w:sz w:val="28"/>
          <w:szCs w:val="28"/>
        </w:rPr>
        <w:t xml:space="preserve"> (Європейський фонд миру) – і</w:t>
      </w:r>
      <w:r w:rsidRPr="00690FC8">
        <w:rPr>
          <w:sz w:val="28"/>
          <w:szCs w:val="28"/>
        </w:rPr>
        <w:t>нструмент ЄС, створений для фінансування заходів, спрямованих на підтримку миру у світі.</w:t>
      </w:r>
    </w:p>
    <w:p w:rsidR="004948DD" w:rsidRPr="00DD2AB6" w:rsidRDefault="004948DD" w:rsidP="004948DD">
      <w:pPr>
        <w:spacing w:line="360" w:lineRule="auto"/>
        <w:ind w:left="709" w:hanging="709"/>
        <w:rPr>
          <w:sz w:val="28"/>
          <w:szCs w:val="28"/>
        </w:rPr>
      </w:pPr>
      <w:r w:rsidRPr="00DD2AB6">
        <w:rPr>
          <w:sz w:val="28"/>
          <w:szCs w:val="28"/>
        </w:rPr>
        <w:t>ЗЄС</w:t>
      </w:r>
      <w:r>
        <w:rPr>
          <w:sz w:val="28"/>
          <w:szCs w:val="28"/>
        </w:rPr>
        <w:t xml:space="preserve"> (</w:t>
      </w:r>
      <w:r w:rsidRPr="00690FC8">
        <w:rPr>
          <w:sz w:val="28"/>
          <w:szCs w:val="28"/>
        </w:rPr>
        <w:t>Західноєвропейськи</w:t>
      </w:r>
      <w:r>
        <w:rPr>
          <w:sz w:val="28"/>
          <w:szCs w:val="28"/>
        </w:rPr>
        <w:t>й союз) – р</w:t>
      </w:r>
      <w:r w:rsidRPr="00690FC8">
        <w:rPr>
          <w:sz w:val="28"/>
          <w:szCs w:val="28"/>
        </w:rPr>
        <w:t>егіональна організація, що займалася питаннями колективної оборони до передачі цих функцій ЄС.</w:t>
      </w:r>
    </w:p>
    <w:p w:rsidR="004948DD" w:rsidRPr="00DD2AB6" w:rsidRDefault="004948DD" w:rsidP="004948DD">
      <w:pPr>
        <w:spacing w:line="360" w:lineRule="auto"/>
        <w:ind w:left="709" w:hanging="709"/>
        <w:rPr>
          <w:sz w:val="28"/>
          <w:szCs w:val="28"/>
        </w:rPr>
      </w:pPr>
      <w:r w:rsidRPr="00DD2AB6">
        <w:rPr>
          <w:sz w:val="28"/>
          <w:szCs w:val="28"/>
        </w:rPr>
        <w:lastRenderedPageBreak/>
        <w:t>КПБ</w:t>
      </w:r>
      <w:r>
        <w:rPr>
          <w:sz w:val="28"/>
          <w:szCs w:val="28"/>
        </w:rPr>
        <w:t xml:space="preserve"> (</w:t>
      </w:r>
      <w:r w:rsidRPr="00690FC8">
        <w:rPr>
          <w:sz w:val="28"/>
          <w:szCs w:val="28"/>
        </w:rPr>
        <w:t>Комітет з політики та безпеки</w:t>
      </w:r>
      <w:r>
        <w:rPr>
          <w:sz w:val="28"/>
          <w:szCs w:val="28"/>
        </w:rPr>
        <w:t>) – один</w:t>
      </w:r>
      <w:r w:rsidRPr="00690FC8">
        <w:rPr>
          <w:sz w:val="28"/>
          <w:szCs w:val="28"/>
        </w:rPr>
        <w:t xml:space="preserve"> із ключових органів Європейського Союзу у сфері Спільної зовнішньої політики та політики безпеки</w:t>
      </w:r>
      <w:r>
        <w:rPr>
          <w:sz w:val="28"/>
          <w:szCs w:val="28"/>
        </w:rPr>
        <w:t>.</w:t>
      </w:r>
    </w:p>
    <w:p w:rsidR="004948DD" w:rsidRPr="00DD2AB6" w:rsidRDefault="004948DD" w:rsidP="004948DD">
      <w:pPr>
        <w:spacing w:line="360" w:lineRule="auto"/>
        <w:ind w:left="709" w:hanging="709"/>
        <w:rPr>
          <w:sz w:val="28"/>
          <w:szCs w:val="28"/>
        </w:rPr>
      </w:pPr>
      <w:r w:rsidRPr="00DD2AB6">
        <w:rPr>
          <w:sz w:val="28"/>
          <w:szCs w:val="28"/>
        </w:rPr>
        <w:t>МАГАТЕ</w:t>
      </w:r>
      <w:r>
        <w:rPr>
          <w:sz w:val="28"/>
          <w:szCs w:val="28"/>
        </w:rPr>
        <w:t xml:space="preserve"> (</w:t>
      </w:r>
      <w:r w:rsidRPr="00690FC8">
        <w:rPr>
          <w:sz w:val="28"/>
          <w:szCs w:val="28"/>
        </w:rPr>
        <w:t>Міжнаро</w:t>
      </w:r>
      <w:r>
        <w:rPr>
          <w:sz w:val="28"/>
          <w:szCs w:val="28"/>
        </w:rPr>
        <w:t>дне агентство з атомної енергії) – о</w:t>
      </w:r>
      <w:r w:rsidRPr="00690FC8">
        <w:rPr>
          <w:sz w:val="28"/>
          <w:szCs w:val="28"/>
        </w:rPr>
        <w:t>рганізація ООН, що відповідає за розвиток мирного використання ядерної енергії та запобігання її військовому використанню.</w:t>
      </w:r>
    </w:p>
    <w:p w:rsidR="004948DD" w:rsidRPr="00DD2AB6" w:rsidRDefault="004948DD" w:rsidP="004948DD">
      <w:pPr>
        <w:spacing w:line="360" w:lineRule="auto"/>
        <w:ind w:left="709" w:hanging="709"/>
        <w:rPr>
          <w:sz w:val="28"/>
          <w:szCs w:val="28"/>
        </w:rPr>
      </w:pPr>
      <w:r w:rsidRPr="00DD2AB6">
        <w:rPr>
          <w:sz w:val="28"/>
          <w:szCs w:val="28"/>
        </w:rPr>
        <w:t>НАТО</w:t>
      </w:r>
      <w:r>
        <w:rPr>
          <w:sz w:val="28"/>
          <w:szCs w:val="28"/>
        </w:rPr>
        <w:t xml:space="preserve"> (</w:t>
      </w:r>
      <w:r w:rsidRPr="00690FC8">
        <w:rPr>
          <w:sz w:val="28"/>
          <w:szCs w:val="28"/>
        </w:rPr>
        <w:t>Організаці</w:t>
      </w:r>
      <w:r>
        <w:rPr>
          <w:sz w:val="28"/>
          <w:szCs w:val="28"/>
        </w:rPr>
        <w:t>я Північноатлантичного договору) – в</w:t>
      </w:r>
      <w:r w:rsidRPr="00690FC8">
        <w:rPr>
          <w:sz w:val="28"/>
          <w:szCs w:val="28"/>
        </w:rPr>
        <w:t>ійськово-політичний союз, що об'єднує країни для колективного захисту та підтримання миру.</w:t>
      </w:r>
    </w:p>
    <w:p w:rsidR="004948DD" w:rsidRPr="00DD2AB6" w:rsidRDefault="004948DD" w:rsidP="004948DD">
      <w:pPr>
        <w:spacing w:line="360" w:lineRule="auto"/>
        <w:ind w:left="709" w:hanging="709"/>
        <w:rPr>
          <w:sz w:val="28"/>
          <w:szCs w:val="28"/>
        </w:rPr>
      </w:pPr>
      <w:r w:rsidRPr="00DD2AB6">
        <w:rPr>
          <w:sz w:val="28"/>
          <w:szCs w:val="28"/>
        </w:rPr>
        <w:t>НБСЄ</w:t>
      </w:r>
      <w:r>
        <w:rPr>
          <w:sz w:val="28"/>
          <w:szCs w:val="28"/>
        </w:rPr>
        <w:t xml:space="preserve"> (</w:t>
      </w:r>
      <w:r w:rsidRPr="00690FC8">
        <w:rPr>
          <w:sz w:val="28"/>
          <w:szCs w:val="28"/>
        </w:rPr>
        <w:t>Нарада з без</w:t>
      </w:r>
      <w:r>
        <w:rPr>
          <w:sz w:val="28"/>
          <w:szCs w:val="28"/>
        </w:rPr>
        <w:t>пеки і співробітництва в Європі) – п</w:t>
      </w:r>
      <w:r w:rsidRPr="00690FC8">
        <w:rPr>
          <w:sz w:val="28"/>
          <w:szCs w:val="28"/>
        </w:rPr>
        <w:t>опередник ОБСЄ (Організації з безпеки та співробітництва в Європі), що сприяла безпеці та співробітництву на європейському континенті.</w:t>
      </w:r>
    </w:p>
    <w:p w:rsidR="004948DD" w:rsidRPr="00DD2AB6" w:rsidRDefault="004948DD" w:rsidP="004948DD">
      <w:pPr>
        <w:spacing w:line="360" w:lineRule="auto"/>
        <w:ind w:left="709" w:hanging="709"/>
        <w:rPr>
          <w:sz w:val="28"/>
          <w:szCs w:val="28"/>
        </w:rPr>
      </w:pPr>
      <w:r w:rsidRPr="00DD2AB6">
        <w:rPr>
          <w:sz w:val="28"/>
          <w:szCs w:val="28"/>
        </w:rPr>
        <w:t>ООН</w:t>
      </w:r>
      <w:r>
        <w:rPr>
          <w:sz w:val="28"/>
          <w:szCs w:val="28"/>
        </w:rPr>
        <w:t xml:space="preserve"> (Організація Об'єднаних Націй) – м</w:t>
      </w:r>
      <w:r w:rsidRPr="00690FC8">
        <w:rPr>
          <w:sz w:val="28"/>
          <w:szCs w:val="28"/>
        </w:rPr>
        <w:t>іжнародна організація, створена для підтримання миру, безпеки та співпраці між державами.</w:t>
      </w:r>
    </w:p>
    <w:p w:rsidR="004948DD" w:rsidRPr="00DD2AB6" w:rsidRDefault="004948DD" w:rsidP="004948DD">
      <w:pPr>
        <w:spacing w:line="360" w:lineRule="auto"/>
        <w:ind w:left="709" w:hanging="709"/>
        <w:rPr>
          <w:sz w:val="28"/>
          <w:szCs w:val="28"/>
        </w:rPr>
      </w:pPr>
      <w:r w:rsidRPr="00DD2AB6">
        <w:rPr>
          <w:sz w:val="28"/>
          <w:szCs w:val="28"/>
        </w:rPr>
        <w:t>СЗППБ</w:t>
      </w:r>
      <w:r>
        <w:rPr>
          <w:sz w:val="28"/>
          <w:szCs w:val="28"/>
        </w:rPr>
        <w:t xml:space="preserve"> (</w:t>
      </w:r>
      <w:r w:rsidRPr="002A0B3C">
        <w:rPr>
          <w:sz w:val="28"/>
          <w:szCs w:val="28"/>
        </w:rPr>
        <w:t xml:space="preserve">Спільна зовнішня політика </w:t>
      </w:r>
      <w:r>
        <w:rPr>
          <w:sz w:val="28"/>
          <w:szCs w:val="28"/>
        </w:rPr>
        <w:t>та політика безпеки) – п</w:t>
      </w:r>
      <w:r w:rsidRPr="002A0B3C">
        <w:rPr>
          <w:sz w:val="28"/>
          <w:szCs w:val="28"/>
        </w:rPr>
        <w:t>олітика ЄС, спрямована на координацію дій країн-членів у зовнішній політиці та безпеці.</w:t>
      </w:r>
    </w:p>
    <w:p w:rsidR="004948DD" w:rsidRPr="00DD2AB6" w:rsidRDefault="004948DD" w:rsidP="004948DD">
      <w:pPr>
        <w:spacing w:line="360" w:lineRule="auto"/>
        <w:ind w:left="709" w:hanging="709"/>
        <w:rPr>
          <w:sz w:val="28"/>
          <w:szCs w:val="28"/>
        </w:rPr>
      </w:pPr>
      <w:r w:rsidRPr="00DD2AB6">
        <w:rPr>
          <w:sz w:val="28"/>
          <w:szCs w:val="28"/>
        </w:rPr>
        <w:t>СПБО</w:t>
      </w:r>
      <w:r>
        <w:rPr>
          <w:sz w:val="28"/>
          <w:szCs w:val="28"/>
        </w:rPr>
        <w:t xml:space="preserve"> (</w:t>
      </w:r>
      <w:r w:rsidRPr="002A0B3C">
        <w:rPr>
          <w:sz w:val="28"/>
          <w:szCs w:val="28"/>
        </w:rPr>
        <w:t>Спільна політика безпеки і о</w:t>
      </w:r>
      <w:r>
        <w:rPr>
          <w:sz w:val="28"/>
          <w:szCs w:val="28"/>
        </w:rPr>
        <w:t>борони) – к</w:t>
      </w:r>
      <w:r w:rsidRPr="002A0B3C">
        <w:rPr>
          <w:sz w:val="28"/>
          <w:szCs w:val="28"/>
        </w:rPr>
        <w:t>омпонент СЗППБ ЄС, орієнтований на військову співпрацю та реагування на кризи.</w:t>
      </w:r>
    </w:p>
    <w:p w:rsidR="004948DD" w:rsidRPr="00DD2AB6" w:rsidRDefault="004948DD" w:rsidP="004948DD">
      <w:pPr>
        <w:spacing w:line="360" w:lineRule="auto"/>
        <w:ind w:left="709" w:hanging="709"/>
        <w:rPr>
          <w:sz w:val="28"/>
          <w:szCs w:val="28"/>
        </w:rPr>
      </w:pPr>
      <w:r w:rsidRPr="00DD2AB6">
        <w:rPr>
          <w:sz w:val="28"/>
          <w:szCs w:val="28"/>
        </w:rPr>
        <w:t>ТАСІС</w:t>
      </w:r>
      <w:r>
        <w:rPr>
          <w:sz w:val="28"/>
          <w:szCs w:val="28"/>
        </w:rPr>
        <w:t xml:space="preserve"> (</w:t>
      </w:r>
      <w:r w:rsidRPr="002A0B3C">
        <w:rPr>
          <w:sz w:val="28"/>
          <w:szCs w:val="28"/>
        </w:rPr>
        <w:t xml:space="preserve">Технічна допомога </w:t>
      </w:r>
      <w:r>
        <w:rPr>
          <w:sz w:val="28"/>
          <w:szCs w:val="28"/>
        </w:rPr>
        <w:t>Співдружності Незалежних Держав) – п</w:t>
      </w:r>
      <w:r w:rsidRPr="002A0B3C">
        <w:rPr>
          <w:sz w:val="28"/>
          <w:szCs w:val="28"/>
        </w:rPr>
        <w:t>рограма ЄС, що підтримує реформи в країнах СНД.</w:t>
      </w:r>
    </w:p>
    <w:p w:rsidR="004948DD" w:rsidRPr="00DD2AB6" w:rsidRDefault="004948DD" w:rsidP="004948DD">
      <w:pPr>
        <w:spacing w:line="360" w:lineRule="auto"/>
        <w:ind w:left="709" w:hanging="709"/>
        <w:rPr>
          <w:sz w:val="28"/>
          <w:szCs w:val="28"/>
        </w:rPr>
      </w:pPr>
      <w:r w:rsidRPr="00DD2AB6">
        <w:rPr>
          <w:sz w:val="28"/>
          <w:szCs w:val="28"/>
        </w:rPr>
        <w:t>ФАРЕ</w:t>
      </w:r>
      <w:r>
        <w:rPr>
          <w:sz w:val="28"/>
          <w:szCs w:val="28"/>
        </w:rPr>
        <w:t xml:space="preserve"> (</w:t>
      </w:r>
      <w:r w:rsidRPr="002A0B3C">
        <w:rPr>
          <w:sz w:val="28"/>
          <w:szCs w:val="28"/>
        </w:rPr>
        <w:t>Фонд допомоги країна</w:t>
      </w:r>
      <w:r>
        <w:rPr>
          <w:sz w:val="28"/>
          <w:szCs w:val="28"/>
        </w:rPr>
        <w:t>м Центральної та Східної Європи) – п</w:t>
      </w:r>
      <w:r w:rsidRPr="002A0B3C">
        <w:rPr>
          <w:sz w:val="28"/>
          <w:szCs w:val="28"/>
        </w:rPr>
        <w:t>рограма ЄС для підтримки трансформації та розвитку країн цього регіону.</w:t>
      </w:r>
    </w:p>
    <w:p w:rsidR="004948DD" w:rsidRDefault="004948DD" w:rsidP="004948DD">
      <w:pPr>
        <w:spacing w:line="360" w:lineRule="auto"/>
        <w:ind w:left="709" w:hanging="709"/>
        <w:rPr>
          <w:sz w:val="28"/>
          <w:szCs w:val="28"/>
        </w:rPr>
      </w:pPr>
      <w:r>
        <w:rPr>
          <w:sz w:val="28"/>
          <w:szCs w:val="28"/>
        </w:rPr>
        <w:t>Юніфайд Протектор – Операція «Єдиний захисник», в</w:t>
      </w:r>
      <w:r w:rsidRPr="002A0B3C">
        <w:rPr>
          <w:sz w:val="28"/>
          <w:szCs w:val="28"/>
        </w:rPr>
        <w:t>ійськова операція НАТО, спрямована на підтримку резолюцій ООН у Лівії (2011 рік).</w:t>
      </w:r>
    </w:p>
    <w:p w:rsidR="004948DD" w:rsidRDefault="004948DD" w:rsidP="004948DD">
      <w:pPr>
        <w:spacing w:line="360" w:lineRule="auto"/>
        <w:ind w:left="709" w:hanging="709"/>
        <w:rPr>
          <w:sz w:val="28"/>
          <w:szCs w:val="28"/>
        </w:rPr>
      </w:pPr>
      <w:r w:rsidRPr="00DD2AB6">
        <w:rPr>
          <w:sz w:val="28"/>
          <w:szCs w:val="28"/>
        </w:rPr>
        <w:t>ASPIDES</w:t>
      </w:r>
      <w:r>
        <w:rPr>
          <w:sz w:val="28"/>
          <w:szCs w:val="28"/>
        </w:rPr>
        <w:t xml:space="preserve"> (</w:t>
      </w:r>
      <w:r w:rsidRPr="006E5EB6">
        <w:rPr>
          <w:sz w:val="28"/>
          <w:szCs w:val="28"/>
        </w:rPr>
        <w:t>Air-</w:t>
      </w:r>
      <w:r>
        <w:rPr>
          <w:sz w:val="28"/>
          <w:szCs w:val="28"/>
        </w:rPr>
        <w:t>launched Surface-to-air Missile) – є</w:t>
      </w:r>
      <w:r w:rsidRPr="006E5EB6">
        <w:rPr>
          <w:sz w:val="28"/>
          <w:szCs w:val="28"/>
        </w:rPr>
        <w:t>вропейська ракета класу «повітря-земля», призначена для боротьби з повітряними цілями.</w:t>
      </w:r>
    </w:p>
    <w:p w:rsidR="004948DD" w:rsidRDefault="004948DD" w:rsidP="004948DD">
      <w:pPr>
        <w:spacing w:line="360" w:lineRule="auto"/>
        <w:ind w:left="709" w:hanging="709"/>
        <w:rPr>
          <w:sz w:val="28"/>
          <w:szCs w:val="28"/>
        </w:rPr>
      </w:pPr>
      <w:r w:rsidRPr="009402BA">
        <w:rPr>
          <w:sz w:val="28"/>
          <w:szCs w:val="28"/>
        </w:rPr>
        <w:lastRenderedPageBreak/>
        <w:t>EEAS</w:t>
      </w:r>
      <w:r>
        <w:rPr>
          <w:sz w:val="28"/>
          <w:szCs w:val="28"/>
        </w:rPr>
        <w:t xml:space="preserve"> (</w:t>
      </w:r>
      <w:r w:rsidRPr="00F74403">
        <w:rPr>
          <w:sz w:val="28"/>
          <w:szCs w:val="28"/>
        </w:rPr>
        <w:t>E</w:t>
      </w:r>
      <w:r>
        <w:rPr>
          <w:sz w:val="28"/>
          <w:szCs w:val="28"/>
        </w:rPr>
        <w:t>uropean External Action Service) – є</w:t>
      </w:r>
      <w:r w:rsidRPr="00F74403">
        <w:rPr>
          <w:sz w:val="28"/>
          <w:szCs w:val="28"/>
        </w:rPr>
        <w:t>вропейська служба зовнішньої діяльності, дипломатичний корпус ЄС, що координує зовнішню політику.</w:t>
      </w:r>
    </w:p>
    <w:p w:rsidR="004948DD" w:rsidRDefault="004948DD" w:rsidP="004948DD">
      <w:pPr>
        <w:spacing w:line="360" w:lineRule="auto"/>
        <w:ind w:left="709" w:hanging="709"/>
        <w:rPr>
          <w:sz w:val="28"/>
          <w:szCs w:val="28"/>
        </w:rPr>
      </w:pPr>
      <w:r w:rsidRPr="009402BA">
        <w:rPr>
          <w:sz w:val="28"/>
          <w:szCs w:val="28"/>
        </w:rPr>
        <w:t>EDF</w:t>
      </w:r>
      <w:r>
        <w:rPr>
          <w:sz w:val="28"/>
          <w:szCs w:val="28"/>
        </w:rPr>
        <w:t xml:space="preserve"> (European Defence Fund) – є</w:t>
      </w:r>
      <w:r w:rsidRPr="00F74403">
        <w:rPr>
          <w:sz w:val="28"/>
          <w:szCs w:val="28"/>
        </w:rPr>
        <w:t>вропейський оборонний фонд, створений для підтримки інновацій та співпраці у сфері оборони.</w:t>
      </w:r>
    </w:p>
    <w:p w:rsidR="004948DD" w:rsidRPr="00B64143" w:rsidRDefault="004948DD" w:rsidP="004948DD">
      <w:pPr>
        <w:spacing w:line="360" w:lineRule="auto"/>
        <w:ind w:left="709" w:hanging="709"/>
        <w:rPr>
          <w:sz w:val="28"/>
          <w:szCs w:val="28"/>
        </w:rPr>
      </w:pPr>
      <w:r w:rsidRPr="00B64143">
        <w:rPr>
          <w:sz w:val="28"/>
          <w:szCs w:val="28"/>
        </w:rPr>
        <w:t>EULEX</w:t>
      </w:r>
      <w:r>
        <w:rPr>
          <w:sz w:val="28"/>
          <w:szCs w:val="28"/>
        </w:rPr>
        <w:t xml:space="preserve"> (</w:t>
      </w:r>
      <w:r w:rsidRPr="00F74403">
        <w:rPr>
          <w:sz w:val="28"/>
          <w:szCs w:val="28"/>
        </w:rPr>
        <w:t>European Union Rule of Law Mission in Kosovo</w:t>
      </w:r>
      <w:r>
        <w:rPr>
          <w:sz w:val="28"/>
          <w:szCs w:val="28"/>
        </w:rPr>
        <w:t>) – м</w:t>
      </w:r>
      <w:r w:rsidRPr="00F74403">
        <w:rPr>
          <w:sz w:val="28"/>
          <w:szCs w:val="28"/>
        </w:rPr>
        <w:t>ісія ЄС з підтримки верховенства права в Косово.</w:t>
      </w:r>
    </w:p>
    <w:p w:rsidR="004948DD" w:rsidRDefault="004948DD" w:rsidP="004948DD">
      <w:pPr>
        <w:spacing w:line="360" w:lineRule="auto"/>
        <w:ind w:left="709" w:hanging="709"/>
        <w:rPr>
          <w:sz w:val="28"/>
          <w:szCs w:val="28"/>
        </w:rPr>
      </w:pPr>
      <w:r w:rsidRPr="00B64143">
        <w:rPr>
          <w:sz w:val="28"/>
          <w:szCs w:val="28"/>
        </w:rPr>
        <w:t>EUAM</w:t>
      </w:r>
      <w:r>
        <w:rPr>
          <w:sz w:val="28"/>
          <w:szCs w:val="28"/>
        </w:rPr>
        <w:t xml:space="preserve"> (</w:t>
      </w:r>
      <w:r w:rsidRPr="00F74403">
        <w:rPr>
          <w:sz w:val="28"/>
          <w:szCs w:val="28"/>
        </w:rPr>
        <w:t>European Union Advisory Mission</w:t>
      </w:r>
      <w:r>
        <w:rPr>
          <w:sz w:val="28"/>
          <w:szCs w:val="28"/>
        </w:rPr>
        <w:t>) – к</w:t>
      </w:r>
      <w:r w:rsidRPr="00F74403">
        <w:rPr>
          <w:sz w:val="28"/>
          <w:szCs w:val="28"/>
        </w:rPr>
        <w:t>онсультативна місія ЄС, що надає підтримку реформам у сфері цивільної безпеки (наприклад, в Україні).</w:t>
      </w:r>
    </w:p>
    <w:p w:rsidR="004948DD" w:rsidRPr="00F74403" w:rsidRDefault="004948DD" w:rsidP="004948DD">
      <w:pPr>
        <w:spacing w:line="360" w:lineRule="auto"/>
        <w:ind w:left="709" w:hanging="709"/>
        <w:rPr>
          <w:sz w:val="28"/>
          <w:szCs w:val="28"/>
        </w:rPr>
      </w:pPr>
      <w:r>
        <w:rPr>
          <w:sz w:val="28"/>
          <w:szCs w:val="28"/>
          <w:lang w:val="en-US"/>
        </w:rPr>
        <w:t>PESCO</w:t>
      </w:r>
      <w:r>
        <w:rPr>
          <w:sz w:val="28"/>
          <w:szCs w:val="28"/>
        </w:rPr>
        <w:t xml:space="preserve"> (</w:t>
      </w:r>
      <w:r w:rsidRPr="00F74403">
        <w:rPr>
          <w:sz w:val="28"/>
          <w:szCs w:val="28"/>
        </w:rPr>
        <w:t>Permanent Structured Cooperation</w:t>
      </w:r>
      <w:r>
        <w:rPr>
          <w:sz w:val="28"/>
          <w:szCs w:val="28"/>
        </w:rPr>
        <w:t>) – п</w:t>
      </w:r>
      <w:r w:rsidRPr="00F74403">
        <w:rPr>
          <w:sz w:val="28"/>
          <w:szCs w:val="28"/>
        </w:rPr>
        <w:t>остійна структурована співпраця, оборонна ініціатива ЄС для посилення військової співпраці між країнами-членами.</w:t>
      </w:r>
    </w:p>
    <w:p w:rsidR="00521003" w:rsidRDefault="004948DD" w:rsidP="004948DD">
      <w:pPr>
        <w:spacing w:line="360" w:lineRule="auto"/>
        <w:ind w:left="709" w:hanging="709"/>
        <w:rPr>
          <w:sz w:val="28"/>
          <w:szCs w:val="28"/>
        </w:rPr>
      </w:pPr>
      <w:r w:rsidRPr="002A4F14">
        <w:rPr>
          <w:sz w:val="28"/>
          <w:szCs w:val="28"/>
        </w:rPr>
        <w:t>UNPROFOR</w:t>
      </w:r>
      <w:r>
        <w:rPr>
          <w:sz w:val="28"/>
          <w:szCs w:val="28"/>
        </w:rPr>
        <w:t xml:space="preserve"> (</w:t>
      </w:r>
      <w:r w:rsidRPr="00F74403">
        <w:rPr>
          <w:sz w:val="28"/>
          <w:szCs w:val="28"/>
        </w:rPr>
        <w:t>United Nations Protection Force</w:t>
      </w:r>
      <w:r>
        <w:rPr>
          <w:sz w:val="28"/>
          <w:szCs w:val="28"/>
        </w:rPr>
        <w:t>) – м</w:t>
      </w:r>
      <w:r w:rsidRPr="00F74403">
        <w:rPr>
          <w:sz w:val="28"/>
          <w:szCs w:val="28"/>
        </w:rPr>
        <w:t>иротворча місія ОО</w:t>
      </w:r>
      <w:r>
        <w:rPr>
          <w:sz w:val="28"/>
          <w:szCs w:val="28"/>
        </w:rPr>
        <w:t>Н у Боснії та Герцеговині (1992-</w:t>
      </w:r>
      <w:r w:rsidRPr="00F74403">
        <w:rPr>
          <w:sz w:val="28"/>
          <w:szCs w:val="28"/>
        </w:rPr>
        <w:t xml:space="preserve">1995), спрямована на підтримку миру під час війни на Балканах. </w:t>
      </w:r>
      <w:r w:rsidR="00521003">
        <w:rPr>
          <w:sz w:val="28"/>
          <w:szCs w:val="28"/>
        </w:rPr>
        <w:br w:type="page"/>
      </w:r>
    </w:p>
    <w:p w:rsidR="000F1E85" w:rsidRDefault="00521003" w:rsidP="000F1E85">
      <w:pPr>
        <w:spacing w:after="240" w:line="360" w:lineRule="auto"/>
        <w:jc w:val="center"/>
        <w:rPr>
          <w:sz w:val="28"/>
          <w:szCs w:val="28"/>
        </w:rPr>
      </w:pPr>
      <w:r>
        <w:rPr>
          <w:sz w:val="28"/>
          <w:szCs w:val="28"/>
        </w:rPr>
        <w:lastRenderedPageBreak/>
        <w:t>ВСТУП</w:t>
      </w:r>
    </w:p>
    <w:p w:rsidR="000F1E85" w:rsidRDefault="000F1E85" w:rsidP="000F1E85">
      <w:pPr>
        <w:spacing w:after="240" w:line="360" w:lineRule="auto"/>
        <w:jc w:val="center"/>
        <w:rPr>
          <w:sz w:val="28"/>
          <w:szCs w:val="28"/>
        </w:rPr>
      </w:pPr>
    </w:p>
    <w:p w:rsidR="000F1E85" w:rsidRPr="000F1E85" w:rsidRDefault="000F1E85" w:rsidP="00C51CCD">
      <w:pPr>
        <w:spacing w:line="360" w:lineRule="auto"/>
        <w:ind w:firstLine="709"/>
        <w:rPr>
          <w:rFonts w:eastAsiaTheme="minorEastAsia"/>
          <w:sz w:val="28"/>
          <w:szCs w:val="22"/>
          <w:lang w:eastAsia="ja-JP"/>
        </w:rPr>
      </w:pPr>
      <w:r w:rsidRPr="000F1E85">
        <w:rPr>
          <w:rFonts w:eastAsiaTheme="minorEastAsia"/>
          <w:sz w:val="28"/>
          <w:szCs w:val="22"/>
          <w:lang w:eastAsia="ja-JP"/>
        </w:rPr>
        <w:t>Темою дослідження магістерської роботи є «Спільна зовнішня та безпекова політика Європейського Союзу у контексті виникнення нових загроз європейській безпеці», яку було обрано з метою аналізу та послідовного вивчення науково-теоретичної та практичної бази створення й подальшої імплементації безпекової політики Європейського Союзу в рамках СЗППБ з огляду на нові загрози та виклики, що виникають у сучасному глобальному світі.</w:t>
      </w:r>
    </w:p>
    <w:p w:rsidR="000F1E85" w:rsidRPr="000F1E85" w:rsidRDefault="000F1E85" w:rsidP="00C51CCD">
      <w:pPr>
        <w:spacing w:line="360" w:lineRule="auto"/>
        <w:ind w:firstLine="709"/>
        <w:rPr>
          <w:rFonts w:eastAsiaTheme="minorEastAsia"/>
          <w:sz w:val="28"/>
          <w:szCs w:val="22"/>
          <w:lang w:eastAsia="ja-JP"/>
        </w:rPr>
      </w:pPr>
      <w:r w:rsidRPr="000F1E85">
        <w:rPr>
          <w:rFonts w:eastAsiaTheme="minorEastAsia"/>
          <w:sz w:val="28"/>
          <w:szCs w:val="22"/>
          <w:lang w:eastAsia="ja-JP"/>
        </w:rPr>
        <w:t>Функціонування СЗППБ відіграє ключову роль у впровадженні безпекової та оборонної політики, розвитку та зміцненні демократії, а також захисті фундаментальних цінностей європейського простору відповідно до принципів ООН, що підкреслює її роль в існуючих як заморожених, так і триваючих конфліктах, в чому і полягає актуальність дослідження даної тематики.</w:t>
      </w:r>
    </w:p>
    <w:p w:rsidR="000F1E85" w:rsidRPr="000F1E85" w:rsidRDefault="000F1E85" w:rsidP="00865A37">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Практична значущість дослідження даної проблематики полягає в тому, що сучасний безпековий європейський простір повниться постійними викликами та загрозами, зокрема замороженими конфліктами на території європейських та євро-азійських країн. Існування невирішених конфліктів підриває усю систему європейської безпеки та ставить під сумнів миротворчі здібності європейських країн в рамках ЄС. Початок гібридної війни на Сході України у 2014 році та повномасштабне російське вторгнення у 2022 році створили безпрецедентну загрозу не лише європейському, але й світовому безпековому виміру, що підкреслює необхідність трансформації відповідно до нових умов світу, що глобалізується. Таким чином, вивчення еволюції та становлення СЗППБ не лише в історичному, але й у сучасному контексті, створює можливість сформувати уявлення про значущість та роль безпекової </w:t>
      </w:r>
      <w:r w:rsidRPr="000F1E85">
        <w:rPr>
          <w:rFonts w:eastAsiaTheme="minorEastAsia"/>
          <w:sz w:val="28"/>
          <w:szCs w:val="22"/>
          <w:lang w:eastAsia="ja-JP"/>
        </w:rPr>
        <w:lastRenderedPageBreak/>
        <w:t>політики ЄС у вирішенні питань загрози європейському простору та внутрішній системі ЄС.</w:t>
      </w:r>
    </w:p>
    <w:p w:rsidR="000F1E85" w:rsidRPr="000F1E85" w:rsidRDefault="000F1E85" w:rsidP="00865A37">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Оскільки рівень конфліктності на європейських теренах не зменшується, наукова актуальність вивчення питання забезпечення європейської безпеки з кожним роком тільки збільшується. До дослідження СЗППБ долучаються не лише зарубіжні дослідники, але й українські з огляду на активний процес євроінтеграції та ролі ЄС під час російсько-української війни. Широкий спектр досліджень з даної проблематики дозволяє всебічно проаналізувати основні постулати функціонування СЗППБ, частиною якого зокрема є Спільна політика безпеки та оборони (СПБО), з метою розробки нового комплексного дослідження в контексті найбільш актуальних викликів європейській безпеці, а саме – російської агресії на території України. </w:t>
      </w:r>
    </w:p>
    <w:p w:rsidR="000F1E85" w:rsidRPr="000F1E85" w:rsidRDefault="000F1E85" w:rsidP="00865A37">
      <w:pPr>
        <w:spacing w:line="360" w:lineRule="auto"/>
        <w:ind w:firstLine="709"/>
        <w:rPr>
          <w:rFonts w:eastAsiaTheme="minorEastAsia"/>
          <w:sz w:val="28"/>
          <w:szCs w:val="22"/>
          <w:lang w:eastAsia="ja-JP"/>
        </w:rPr>
      </w:pPr>
      <w:r w:rsidRPr="000F1E85">
        <w:rPr>
          <w:rFonts w:eastAsiaTheme="minorEastAsia"/>
          <w:sz w:val="28"/>
          <w:szCs w:val="22"/>
          <w:lang w:eastAsia="ja-JP"/>
        </w:rPr>
        <w:t>Тип даного дослідження можна визначити як емпіричне, оскільки в його рамках проводиться вивчення розвитку СЗППБ ЄС з метою визначення її основних пріоритетів в європейському просторі, враховуючи особливості реалізації та наслідки такої політики. У цьому дослідженні політика європейських країн є незалежною змінною, а СЗППБ – залежною змінною. Варто зазначити, що ці чинники є як структурними, так і індивідуальними, оскільки під час дослідження оцінюються дії та рішення конкретних діячів (президентів та політиків європейських країн) із соціальними, економічними, релігійними та безпековими проблемами в Європі одночасно.</w:t>
      </w:r>
    </w:p>
    <w:p w:rsidR="000F1E85" w:rsidRPr="000F1E85" w:rsidRDefault="000F1E85" w:rsidP="00865A37">
      <w:pPr>
        <w:spacing w:line="360" w:lineRule="auto"/>
        <w:ind w:firstLine="709"/>
        <w:rPr>
          <w:rFonts w:eastAsiaTheme="minorEastAsia"/>
          <w:sz w:val="28"/>
          <w:szCs w:val="22"/>
          <w:lang w:eastAsia="ja-JP"/>
        </w:rPr>
      </w:pPr>
      <w:r w:rsidRPr="000F1E85">
        <w:rPr>
          <w:rFonts w:eastAsiaTheme="minorEastAsia"/>
          <w:sz w:val="28"/>
          <w:szCs w:val="22"/>
          <w:lang w:eastAsia="ja-JP"/>
        </w:rPr>
        <w:t>Задля детального вивчення питання європейської безпекової політики, дослідницьке питання зосереджене на спільних рішеннях та відповідях Європейського Союзу на нові загрози та виклики, що мають найбільший вплив на європейські країни у сучасному світі, що глобалізується. Метою даного питання є визначення масштабів впливу СЗППБ на регіон з подальшою оцінкою причин та наслідків формування європейської безпекової політики.</w:t>
      </w:r>
    </w:p>
    <w:p w:rsidR="000F1E85" w:rsidRPr="000F1E85" w:rsidRDefault="000F1E85" w:rsidP="00C834D4">
      <w:pPr>
        <w:spacing w:after="160" w:line="360" w:lineRule="auto"/>
        <w:ind w:firstLine="709"/>
        <w:rPr>
          <w:rFonts w:eastAsiaTheme="minorEastAsia"/>
          <w:sz w:val="28"/>
          <w:szCs w:val="22"/>
          <w:lang w:eastAsia="ja-JP"/>
        </w:rPr>
      </w:pPr>
      <w:r w:rsidRPr="000F1E85">
        <w:rPr>
          <w:rFonts w:eastAsiaTheme="minorEastAsia"/>
          <w:sz w:val="28"/>
          <w:szCs w:val="22"/>
          <w:lang w:eastAsia="ja-JP"/>
        </w:rPr>
        <w:lastRenderedPageBreak/>
        <w:t xml:space="preserve">Метою даної магістерської роботи є визначення місця СЗППБ ЄС у сучасній системі європейського безпекового механізму та її ролі у запобіганні і виникненні нових викликів та загроз. </w:t>
      </w:r>
    </w:p>
    <w:p w:rsidR="000F1E85" w:rsidRPr="000F1E85" w:rsidRDefault="000F1E85" w:rsidP="00865A37">
      <w:pPr>
        <w:spacing w:line="360" w:lineRule="auto"/>
        <w:ind w:firstLine="709"/>
        <w:rPr>
          <w:rFonts w:eastAsiaTheme="minorEastAsia"/>
          <w:sz w:val="28"/>
          <w:szCs w:val="28"/>
          <w:lang w:eastAsia="ja-JP"/>
        </w:rPr>
      </w:pPr>
      <w:r w:rsidRPr="000F1E85">
        <w:rPr>
          <w:rFonts w:eastAsiaTheme="minorEastAsia"/>
          <w:sz w:val="28"/>
          <w:szCs w:val="28"/>
          <w:lang w:eastAsia="ja-JP"/>
        </w:rPr>
        <w:t>В даній роботі було поставлено такі завдання:</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аналіз стану наукової розробки проблеми;</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вивчити історичні передумови створення та формування Спільної зовнішньої та безпекової політики ЄС;</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визначити місце СЗППБ як одного з трьох стовпів Європейського Союзу (1993-2009);</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визначити та зробити огляд усіх складових елементів СЗППБ ЄС, в тому числі СПБО та Європейські стратегії безпеки;</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зазначити роль та місце Спільної політики безпеки та оборони як ключового елемента оборонної політики СЗППБ;</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вказати роль Європейських стратегій безпеки у становленні та функціонуванні СЗППБ ЄС;</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проаналізувати взаємозв</w:t>
      </w:r>
      <w:r w:rsidR="00C631E2">
        <w:rPr>
          <w:rFonts w:eastAsiaTheme="minorEastAsia"/>
          <w:sz w:val="28"/>
          <w:szCs w:val="28"/>
          <w:lang w:eastAsia="ja-JP"/>
        </w:rPr>
        <w:t>’</w:t>
      </w:r>
      <w:r w:rsidRPr="000F1E85">
        <w:rPr>
          <w:rFonts w:eastAsiaTheme="minorEastAsia"/>
          <w:sz w:val="28"/>
          <w:szCs w:val="28"/>
          <w:lang w:eastAsia="ja-JP"/>
        </w:rPr>
        <w:t>язок між трансформацією безпекової політики ЄС та сучасними глобальними загрозами;</w:t>
      </w:r>
    </w:p>
    <w:p w:rsidR="000F1E85" w:rsidRPr="000F1E85" w:rsidRDefault="000F1E85" w:rsidP="00C834D4">
      <w:pPr>
        <w:numPr>
          <w:ilvl w:val="0"/>
          <w:numId w:val="1"/>
        </w:numPr>
        <w:spacing w:after="160" w:line="360" w:lineRule="auto"/>
        <w:contextualSpacing/>
        <w:rPr>
          <w:rFonts w:eastAsiaTheme="minorEastAsia"/>
          <w:sz w:val="28"/>
          <w:szCs w:val="28"/>
          <w:lang w:eastAsia="ja-JP"/>
        </w:rPr>
      </w:pPr>
      <w:r w:rsidRPr="000F1E85">
        <w:rPr>
          <w:rFonts w:eastAsiaTheme="minorEastAsia"/>
          <w:sz w:val="28"/>
          <w:szCs w:val="28"/>
          <w:lang w:eastAsia="ja-JP"/>
        </w:rPr>
        <w:t>зазначити місце російсько-української війни як дестабілізуючого фактору існування СЗППБ.</w:t>
      </w:r>
    </w:p>
    <w:p w:rsidR="000F1E85" w:rsidRPr="000F1E85" w:rsidRDefault="000F1E85" w:rsidP="00C834D4">
      <w:pPr>
        <w:spacing w:line="360" w:lineRule="auto"/>
        <w:ind w:firstLine="709"/>
        <w:rPr>
          <w:rFonts w:eastAsiaTheme="minorEastAsia"/>
          <w:sz w:val="28"/>
          <w:szCs w:val="22"/>
          <w:lang w:eastAsia="ja-JP"/>
        </w:rPr>
      </w:pPr>
      <w:r w:rsidRPr="000F1E85">
        <w:rPr>
          <w:rFonts w:eastAsiaTheme="minorEastAsia"/>
          <w:sz w:val="28"/>
          <w:szCs w:val="22"/>
          <w:lang w:eastAsia="ja-JP"/>
        </w:rPr>
        <w:t>Об</w:t>
      </w:r>
      <w:r w:rsidR="00C631E2">
        <w:rPr>
          <w:rFonts w:eastAsiaTheme="minorEastAsia"/>
          <w:sz w:val="28"/>
          <w:szCs w:val="22"/>
          <w:lang w:eastAsia="ja-JP"/>
        </w:rPr>
        <w:t>’</w:t>
      </w:r>
      <w:r w:rsidRPr="000F1E85">
        <w:rPr>
          <w:rFonts w:eastAsiaTheme="minorEastAsia"/>
          <w:sz w:val="28"/>
          <w:szCs w:val="22"/>
          <w:lang w:eastAsia="ja-JP"/>
        </w:rPr>
        <w:t xml:space="preserve">єктом даного дослідження </w:t>
      </w:r>
      <w:r w:rsidRPr="000F1E85">
        <w:rPr>
          <w:rFonts w:asciiTheme="majorBidi" w:eastAsiaTheme="minorEastAsia" w:hAnsiTheme="majorBidi" w:cstheme="majorBidi"/>
          <w:sz w:val="28"/>
          <w:szCs w:val="28"/>
          <w:lang w:eastAsia="ja-JP"/>
        </w:rPr>
        <w:t>виступає зовнішня політика Європейського Союзу</w:t>
      </w:r>
      <w:r w:rsidRPr="000F1E85">
        <w:rPr>
          <w:rFonts w:eastAsiaTheme="minorEastAsia"/>
          <w:sz w:val="28"/>
          <w:szCs w:val="22"/>
          <w:lang w:eastAsia="ja-JP"/>
        </w:rPr>
        <w:t>. Предметом – функціонування СЗППБ ЄС у контексті виникнення нових загроз європейській безпеці.</w:t>
      </w:r>
    </w:p>
    <w:p w:rsidR="000F1E85" w:rsidRPr="000F1E85" w:rsidRDefault="000F1E85" w:rsidP="00C834D4">
      <w:pPr>
        <w:spacing w:line="360" w:lineRule="auto"/>
        <w:ind w:firstLine="709"/>
        <w:rPr>
          <w:rFonts w:eastAsiaTheme="minorEastAsia"/>
          <w:sz w:val="28"/>
          <w:szCs w:val="22"/>
          <w:lang w:eastAsia="ja-JP"/>
        </w:rPr>
      </w:pPr>
      <w:r w:rsidRPr="000F1E85">
        <w:rPr>
          <w:rFonts w:eastAsiaTheme="minorEastAsia"/>
          <w:sz w:val="28"/>
          <w:szCs w:val="22"/>
          <w:lang w:eastAsia="ja-JP"/>
        </w:rPr>
        <w:t>Під час написання дослідницької роботи з даної проблематики було визначено дві основні гіпотези:</w:t>
      </w:r>
    </w:p>
    <w:p w:rsidR="000F1E85" w:rsidRPr="00BC66B2" w:rsidRDefault="0069627F" w:rsidP="00C834D4">
      <w:pPr>
        <w:numPr>
          <w:ilvl w:val="0"/>
          <w:numId w:val="2"/>
        </w:numPr>
        <w:spacing w:after="160" w:line="360" w:lineRule="auto"/>
        <w:contextualSpacing/>
        <w:rPr>
          <w:rFonts w:eastAsiaTheme="minorEastAsia"/>
          <w:sz w:val="28"/>
          <w:szCs w:val="22"/>
          <w:lang w:eastAsia="ja-JP"/>
        </w:rPr>
      </w:pPr>
      <w:r w:rsidRPr="00BC66B2">
        <w:rPr>
          <w:rFonts w:eastAsiaTheme="minorEastAsia"/>
          <w:sz w:val="28"/>
          <w:szCs w:val="22"/>
          <w:lang w:eastAsia="ja-JP"/>
        </w:rPr>
        <w:t>Н</w:t>
      </w:r>
      <w:r w:rsidR="000F1E85" w:rsidRPr="00BC66B2">
        <w:rPr>
          <w:rFonts w:eastAsiaTheme="minorEastAsia"/>
          <w:sz w:val="28"/>
          <w:szCs w:val="22"/>
          <w:lang w:eastAsia="ja-JP"/>
        </w:rPr>
        <w:t>а формування</w:t>
      </w:r>
      <w:r w:rsidRPr="00BC66B2">
        <w:rPr>
          <w:rFonts w:eastAsiaTheme="minorEastAsia"/>
          <w:sz w:val="28"/>
          <w:szCs w:val="22"/>
          <w:lang w:eastAsia="ja-JP"/>
        </w:rPr>
        <w:t xml:space="preserve"> дієвої</w:t>
      </w:r>
      <w:r w:rsidR="000F1E85" w:rsidRPr="00BC66B2">
        <w:rPr>
          <w:rFonts w:eastAsiaTheme="minorEastAsia"/>
          <w:sz w:val="28"/>
          <w:szCs w:val="22"/>
          <w:lang w:eastAsia="ja-JP"/>
        </w:rPr>
        <w:t xml:space="preserve"> СЗППБ</w:t>
      </w:r>
      <w:r w:rsidRPr="00BC66B2">
        <w:rPr>
          <w:rFonts w:eastAsiaTheme="minorEastAsia"/>
          <w:sz w:val="28"/>
          <w:szCs w:val="22"/>
          <w:lang w:eastAsia="ja-JP"/>
        </w:rPr>
        <w:t xml:space="preserve"> мають значний вплив не тільки позиції членів ЄС, а й поява нових загроз та взаємодія з НАТО.</w:t>
      </w:r>
    </w:p>
    <w:p w:rsidR="000F1E85" w:rsidRPr="00BC66B2" w:rsidRDefault="00BC66B2" w:rsidP="00C834D4">
      <w:pPr>
        <w:numPr>
          <w:ilvl w:val="0"/>
          <w:numId w:val="2"/>
        </w:numPr>
        <w:spacing w:after="160" w:line="360" w:lineRule="auto"/>
        <w:contextualSpacing/>
        <w:rPr>
          <w:rFonts w:eastAsiaTheme="minorEastAsia"/>
          <w:sz w:val="28"/>
          <w:szCs w:val="22"/>
          <w:lang w:eastAsia="ja-JP"/>
        </w:rPr>
      </w:pPr>
      <w:r w:rsidRPr="00BC66B2">
        <w:rPr>
          <w:rFonts w:eastAsiaTheme="minorEastAsia"/>
          <w:sz w:val="28"/>
          <w:szCs w:val="22"/>
          <w:lang w:eastAsia="ja-JP"/>
        </w:rPr>
        <w:lastRenderedPageBreak/>
        <w:t>Внутрішній потенціал європейських країн є ключовим фактором</w:t>
      </w:r>
      <w:r w:rsidR="000F1E85" w:rsidRPr="00BC66B2">
        <w:rPr>
          <w:rFonts w:eastAsiaTheme="minorEastAsia"/>
          <w:sz w:val="28"/>
          <w:szCs w:val="22"/>
          <w:lang w:eastAsia="ja-JP"/>
        </w:rPr>
        <w:t xml:space="preserve"> у формуванні СЗППБ та побудові ефективної безпекової архітектури Європейського Союзу.</w:t>
      </w:r>
    </w:p>
    <w:p w:rsidR="000F1E85" w:rsidRPr="000F1E85" w:rsidRDefault="000F1E85" w:rsidP="007D4268">
      <w:pPr>
        <w:spacing w:line="360" w:lineRule="auto"/>
        <w:ind w:firstLine="709"/>
        <w:rPr>
          <w:rFonts w:eastAsiaTheme="minorEastAsia"/>
          <w:sz w:val="28"/>
          <w:szCs w:val="22"/>
          <w:lang w:eastAsia="ja-JP"/>
        </w:rPr>
      </w:pPr>
      <w:r w:rsidRPr="000F1E85">
        <w:rPr>
          <w:rFonts w:eastAsiaTheme="minorEastAsia"/>
          <w:sz w:val="28"/>
          <w:szCs w:val="22"/>
          <w:lang w:eastAsia="ja-JP"/>
        </w:rPr>
        <w:t>Хронологічними рамками магістерської роботи можна визначити 1992 рік як початкова дата дослідження, та 2024 – як кінцева. Дані рамки зумовлені інституційно-правовим утворенням  СЗППБ ЄС у 1992 році, та завершуються сьогоденням з огляду на актуальні події та виклики сучасності, зокрема триваючу російсько-українську війну.</w:t>
      </w:r>
    </w:p>
    <w:p w:rsidR="000F1E85" w:rsidRPr="000F1E85" w:rsidRDefault="000F1E85" w:rsidP="007D4268">
      <w:pPr>
        <w:spacing w:line="360" w:lineRule="auto"/>
        <w:ind w:firstLine="709"/>
        <w:rPr>
          <w:rFonts w:eastAsiaTheme="minorEastAsia"/>
          <w:sz w:val="28"/>
          <w:szCs w:val="22"/>
          <w:lang w:eastAsia="ja-JP"/>
        </w:rPr>
      </w:pPr>
      <w:r w:rsidRPr="000F1E85">
        <w:rPr>
          <w:rFonts w:eastAsiaTheme="minorEastAsia"/>
          <w:sz w:val="28"/>
          <w:szCs w:val="22"/>
          <w:lang w:eastAsia="ja-JP"/>
        </w:rPr>
        <w:t>В якості основного метода дослідження був обраний метод кейс-стаді. Методологічною основою дипломної роботи є система загальнонаукових та спеціальних методів дослідження, призначених для отримання об</w:t>
      </w:r>
      <w:r w:rsidR="00C631E2">
        <w:rPr>
          <w:rFonts w:eastAsiaTheme="minorEastAsia"/>
          <w:sz w:val="28"/>
          <w:szCs w:val="22"/>
          <w:lang w:eastAsia="ja-JP"/>
        </w:rPr>
        <w:t>’</w:t>
      </w:r>
      <w:r w:rsidRPr="000F1E85">
        <w:rPr>
          <w:rFonts w:eastAsiaTheme="minorEastAsia"/>
          <w:sz w:val="28"/>
          <w:szCs w:val="22"/>
          <w:lang w:eastAsia="ja-JP"/>
        </w:rPr>
        <w:t>єктивних достовірних результатів. Використовувався ряд загальнонаукових методів діалектичного пізнання: методи аналізу, дедукції та прогнозування. Формально-юридичний метод застосовувався під час оцінки нормативно-правових документів ЄС. За допомогою методів системно-структурного аналізу було визначено місце ЄС у системі  міжнародної безпеки. Системний підхід дозволив з</w:t>
      </w:r>
      <w:r w:rsidR="00C631E2">
        <w:rPr>
          <w:rFonts w:eastAsiaTheme="minorEastAsia"/>
          <w:sz w:val="28"/>
          <w:szCs w:val="22"/>
          <w:lang w:eastAsia="ja-JP"/>
        </w:rPr>
        <w:t>’</w:t>
      </w:r>
      <w:r w:rsidRPr="000F1E85">
        <w:rPr>
          <w:rFonts w:eastAsiaTheme="minorEastAsia"/>
          <w:sz w:val="28"/>
          <w:szCs w:val="22"/>
          <w:lang w:eastAsia="ja-JP"/>
        </w:rPr>
        <w:t>ясувати позиції окремих країн-членів ЄС щодо  розвитку СЗППБ ЄС.  Комплексне застосування зазначених методів дозволило отримати певні висновки та розробити рекомендації щодо подальшої діяльності європейської безпекової політики та її вплив на ситуацію в регіоні.</w:t>
      </w:r>
    </w:p>
    <w:p w:rsidR="000F1E85" w:rsidRPr="000F1E85" w:rsidRDefault="000F1E85" w:rsidP="00E2134A">
      <w:pPr>
        <w:spacing w:line="360" w:lineRule="auto"/>
        <w:ind w:firstLine="709"/>
        <w:rPr>
          <w:rFonts w:eastAsiaTheme="minorEastAsia"/>
          <w:sz w:val="28"/>
          <w:szCs w:val="22"/>
          <w:lang w:eastAsia="ja-JP"/>
        </w:rPr>
      </w:pPr>
      <w:r w:rsidRPr="000F1E85">
        <w:rPr>
          <w:rFonts w:eastAsiaTheme="minorEastAsia"/>
          <w:sz w:val="28"/>
          <w:szCs w:val="22"/>
          <w:lang w:eastAsia="ja-JP"/>
        </w:rPr>
        <w:t>З метою критичного розгляду балансу сил в регіоні та оцінки моделі поведінки країн ЄС та їх еволюцію, в даній роботі використаний метод дискурс-аналізу.</w:t>
      </w:r>
    </w:p>
    <w:p w:rsidR="000F1E85" w:rsidRPr="000F1E85" w:rsidRDefault="000F1E85" w:rsidP="00C834D4">
      <w:pPr>
        <w:spacing w:after="160" w:line="360" w:lineRule="auto"/>
        <w:ind w:firstLine="709"/>
        <w:rPr>
          <w:rFonts w:eastAsiaTheme="minorEastAsia"/>
          <w:sz w:val="28"/>
          <w:szCs w:val="22"/>
          <w:lang w:eastAsia="ja-JP"/>
        </w:rPr>
      </w:pPr>
      <w:r w:rsidRPr="000F1E85">
        <w:rPr>
          <w:rFonts w:eastAsiaTheme="minorEastAsia"/>
          <w:sz w:val="28"/>
          <w:szCs w:val="22"/>
          <w:lang w:eastAsia="ja-JP"/>
        </w:rPr>
        <w:t>Наукова новизна даної магістерської роботи полягає у комплексному дослідженні стратегічних напрямів СЗПБ ЄС з огляду на нові загрози та виклики з урахуванням особливостей усіх діючих сторін в регіоні.</w:t>
      </w:r>
    </w:p>
    <w:p w:rsidR="000F1E85" w:rsidRPr="003B0EF4" w:rsidRDefault="000F1E85" w:rsidP="003B0EF4">
      <w:pPr>
        <w:spacing w:line="360" w:lineRule="auto"/>
        <w:ind w:firstLine="709"/>
        <w:rPr>
          <w:rFonts w:eastAsiaTheme="minorEastAsia"/>
          <w:color w:val="FF0000"/>
          <w:sz w:val="28"/>
          <w:szCs w:val="22"/>
          <w:lang w:eastAsia="ja-JP"/>
        </w:rPr>
      </w:pPr>
      <w:r w:rsidRPr="000F1E85">
        <w:rPr>
          <w:rFonts w:eastAsiaTheme="minorEastAsia"/>
          <w:sz w:val="28"/>
          <w:szCs w:val="22"/>
          <w:lang w:eastAsia="ja-JP"/>
        </w:rPr>
        <w:lastRenderedPageBreak/>
        <w:t>Апробація дослідження з даної проблематики підтверджена двома статтями: «</w:t>
      </w:r>
      <w:r w:rsidRPr="00CB5DA0">
        <w:rPr>
          <w:rFonts w:eastAsiaTheme="minorEastAsia"/>
          <w:sz w:val="28"/>
          <w:szCs w:val="22"/>
          <w:lang w:eastAsia="ja-JP"/>
        </w:rPr>
        <w:t>Діяльність ОБСЄ в контексті російсько-української війни (2014-2023)» (</w:t>
      </w:r>
      <w:r w:rsidR="00CB5DA0" w:rsidRPr="00CB5DA0">
        <w:rPr>
          <w:rFonts w:eastAsiaTheme="minorEastAsia"/>
          <w:sz w:val="28"/>
          <w:szCs w:val="22"/>
          <w:lang w:eastAsia="ja-JP"/>
        </w:rPr>
        <w:t xml:space="preserve">А. </w:t>
      </w:r>
      <w:r w:rsidRPr="00CB5DA0">
        <w:rPr>
          <w:rFonts w:eastAsiaTheme="minorEastAsia"/>
          <w:sz w:val="28"/>
          <w:szCs w:val="22"/>
          <w:lang w:eastAsia="ja-JP"/>
        </w:rPr>
        <w:t xml:space="preserve">Мороз, </w:t>
      </w:r>
      <w:r w:rsidR="00CB5DA0" w:rsidRPr="00CB5DA0">
        <w:rPr>
          <w:rFonts w:eastAsiaTheme="minorEastAsia"/>
          <w:sz w:val="28"/>
          <w:szCs w:val="22"/>
          <w:lang w:eastAsia="ja-JP"/>
        </w:rPr>
        <w:t xml:space="preserve">Ю. </w:t>
      </w:r>
      <w:r w:rsidRPr="00CB5DA0">
        <w:rPr>
          <w:rFonts w:eastAsiaTheme="minorEastAsia"/>
          <w:sz w:val="28"/>
          <w:szCs w:val="22"/>
          <w:lang w:eastAsia="ja-JP"/>
        </w:rPr>
        <w:t>Майстренко, 2023) та «Динаміка відносин між ЄС та Україною в контексті Спільної політики безпеки та оборони (СПБО)» (</w:t>
      </w:r>
      <w:r w:rsidR="00CB5DA0" w:rsidRPr="00CB5DA0">
        <w:rPr>
          <w:rFonts w:eastAsiaTheme="minorEastAsia"/>
          <w:sz w:val="28"/>
          <w:szCs w:val="22"/>
          <w:lang w:eastAsia="ja-JP"/>
        </w:rPr>
        <w:t xml:space="preserve">А. </w:t>
      </w:r>
      <w:r w:rsidRPr="00CB5DA0">
        <w:rPr>
          <w:rFonts w:eastAsiaTheme="minorEastAsia"/>
          <w:sz w:val="28"/>
          <w:szCs w:val="22"/>
          <w:lang w:eastAsia="ja-JP"/>
        </w:rPr>
        <w:t xml:space="preserve">Мороз, </w:t>
      </w:r>
      <w:r w:rsidR="00CB5DA0" w:rsidRPr="00CB5DA0">
        <w:rPr>
          <w:rFonts w:eastAsiaTheme="minorEastAsia"/>
          <w:sz w:val="28"/>
          <w:szCs w:val="22"/>
          <w:lang w:eastAsia="ja-JP"/>
        </w:rPr>
        <w:t xml:space="preserve">Ю. </w:t>
      </w:r>
      <w:r w:rsidRPr="00CB5DA0">
        <w:rPr>
          <w:rFonts w:eastAsiaTheme="minorEastAsia"/>
          <w:sz w:val="28"/>
          <w:szCs w:val="22"/>
          <w:lang w:eastAsia="ja-JP"/>
        </w:rPr>
        <w:t>Майстренко, 2024), опублікованих у науковому альманаху «Соціально-політичні студії. Праці молодих науковців».</w:t>
      </w:r>
    </w:p>
    <w:p w:rsidR="000F1E85" w:rsidRPr="000F1E85" w:rsidRDefault="000F1E85" w:rsidP="008F25F4">
      <w:pPr>
        <w:spacing w:line="360" w:lineRule="auto"/>
        <w:ind w:firstLine="709"/>
        <w:rPr>
          <w:rFonts w:eastAsiaTheme="minorEastAsia"/>
          <w:sz w:val="28"/>
          <w:szCs w:val="22"/>
          <w:lang w:eastAsia="ja-JP"/>
        </w:rPr>
      </w:pPr>
      <w:r w:rsidRPr="000F1E85">
        <w:rPr>
          <w:rFonts w:eastAsiaTheme="minorEastAsia"/>
          <w:sz w:val="28"/>
          <w:szCs w:val="22"/>
          <w:lang w:eastAsia="ja-JP"/>
        </w:rPr>
        <w:t>Магістерська робота складається зі вступу, 3 розділів та висновків. В першому розділі надається теоретичне обґрунтування дослідження СЗППБ ЄС, аналіз попередніх досліджень даної проблематики та суміжних з нею. В рамках теоретичного підходу до дослідження безпекової структури ЄС розкривається міжурядовий підхід Ендрю Моравчика, який пояснює європейську інтеграцію як процес, зумовлений збігом національних інтересів, де внутрішня політика формує основи для міждержавного торгу. Зазначається вплив кожної держави-члена ЄС на спільне формування та імплементацію СЗППБ, зокрема досліджується еволюція політики через призму інтересів, цінностей та стратегій окремих країн.</w:t>
      </w:r>
    </w:p>
    <w:p w:rsidR="000F1E85" w:rsidRPr="000F1E85" w:rsidRDefault="000F1E85" w:rsidP="00ED4EBB">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 Другий розділ зосереджений на розкритті особливостей становлення безпекового європейського простору та роль західних і європейських безпекових структур у цьому процесі (НАТО, СЗППБ, СПБО). Зокрема розкривається, що становлення безпекового ландшафту Європейського Союзу характеризується поступовим формуванням механізмів СЗППБ та СПБО. В рамках дослідження впливу на безпековий </w:t>
      </w:r>
      <w:r w:rsidR="00ED4EBB">
        <w:rPr>
          <w:rFonts w:eastAsiaTheme="minorEastAsia"/>
          <w:sz w:val="28"/>
          <w:szCs w:val="22"/>
          <w:lang w:eastAsia="ja-JP"/>
        </w:rPr>
        <w:t>простір ЄС, зазначається ключова роль НАТО як гаранта</w:t>
      </w:r>
      <w:r w:rsidRPr="000F1E85">
        <w:rPr>
          <w:rFonts w:eastAsiaTheme="minorEastAsia"/>
          <w:sz w:val="28"/>
          <w:szCs w:val="22"/>
          <w:lang w:eastAsia="ja-JP"/>
        </w:rPr>
        <w:t xml:space="preserve"> колективної оборони та сприяння розвитку взаємодії між європейськими країнами у сфері безпеки та оборони.</w:t>
      </w:r>
    </w:p>
    <w:p w:rsidR="000F1E85" w:rsidRPr="000F1E85" w:rsidRDefault="000F1E85" w:rsidP="00AA0FBB">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У третьому розділі розкривається еволюція Європейської стратегії безпеки як ключової у визначенні стратегічних цілей, пріоритетів і напрямів діяльності ЄС у сфері міжнародної безпеки та оборони. Зокрема визначається місце кожної з існуючих стратегій у сучасній системі європейської безпеки. У </w:t>
      </w:r>
      <w:r w:rsidRPr="000F1E85">
        <w:rPr>
          <w:rFonts w:eastAsiaTheme="minorEastAsia"/>
          <w:sz w:val="28"/>
          <w:szCs w:val="22"/>
          <w:lang w:eastAsia="ja-JP"/>
        </w:rPr>
        <w:lastRenderedPageBreak/>
        <w:t>розділі визначено основи безпекової політики ЄС,</w:t>
      </w:r>
      <w:r w:rsidR="00ED4EBB">
        <w:rPr>
          <w:rFonts w:eastAsiaTheme="minorEastAsia"/>
          <w:sz w:val="28"/>
          <w:szCs w:val="22"/>
          <w:lang w:eastAsia="ja-JP"/>
        </w:rPr>
        <w:t xml:space="preserve"> які</w:t>
      </w:r>
      <w:r w:rsidRPr="000F1E85">
        <w:rPr>
          <w:rFonts w:eastAsiaTheme="minorEastAsia"/>
          <w:sz w:val="28"/>
          <w:szCs w:val="22"/>
          <w:lang w:eastAsia="ja-JP"/>
        </w:rPr>
        <w:t xml:space="preserve"> закладені Європейською стратегією безпеки «Безпечна Європа в кращому світі» (2003), в подальшому аналізується адаптація ЄС до нових викликів в рамках оновленої стратегії «Забезпечення безпеки в світі, що змінюється» (2008), та завершується дослідженням нової Глобальної стратегії Федеріки Могеріні «Загальне бачення, єдиний підхід: сильна Європа» (2016), у якій акцентується увага на спільному підході до безпеки, інтеграції оборонного потенціалу та посиленні стратегічної автономії ЄС у відповідь на глобальні зміни.</w:t>
      </w:r>
    </w:p>
    <w:p w:rsidR="00615430" w:rsidRDefault="000F1E85" w:rsidP="00713BAF">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Четвертий розділ розкриває виклики та загрози європейській безпеці на тлі геополітичних змін, зокрема російської агресії та повномасштабного вторгнення в Україну. Оскільки європейський простір безпеки стикнувся з новими геополітичними викликами, що спонукали ЄС розробити «Стратегічний компас», який визначив пріоритети зміцнення оборонного потенціалу та координації в умовах безпекової кризи. Визначається місце російсько-української війни як каталізатору для посилення колективної відповідальності ЄС у рамках СЗППБ, спрямованої на забезпечення регіональної стабільності та підтримку України. У четвертому розділі підкреслюється важливість консолідації зусиль держав-членів для ефективного реагування на загрози у відповідь на сучасні виклики. </w:t>
      </w:r>
    </w:p>
    <w:p w:rsidR="00521003" w:rsidRPr="00615430" w:rsidRDefault="00691E37" w:rsidP="00615430">
      <w:pPr>
        <w:spacing w:after="160" w:line="360" w:lineRule="auto"/>
        <w:ind w:firstLine="709"/>
        <w:rPr>
          <w:rFonts w:eastAsiaTheme="minorEastAsia"/>
          <w:sz w:val="28"/>
          <w:szCs w:val="22"/>
          <w:lang w:eastAsia="ja-JP"/>
        </w:rPr>
      </w:pPr>
      <w:r>
        <w:rPr>
          <w:rFonts w:eastAsiaTheme="minorEastAsia"/>
          <w:sz w:val="28"/>
          <w:szCs w:val="22"/>
          <w:lang w:eastAsia="ja-JP"/>
        </w:rPr>
        <w:t>Робота скл</w:t>
      </w:r>
      <w:r w:rsidR="00EA2FAC">
        <w:rPr>
          <w:rFonts w:eastAsiaTheme="minorEastAsia"/>
          <w:sz w:val="28"/>
          <w:szCs w:val="22"/>
          <w:lang w:eastAsia="ja-JP"/>
        </w:rPr>
        <w:t>а</w:t>
      </w:r>
      <w:r>
        <w:rPr>
          <w:rFonts w:eastAsiaTheme="minorEastAsia"/>
          <w:sz w:val="28"/>
          <w:szCs w:val="22"/>
          <w:lang w:eastAsia="ja-JP"/>
        </w:rPr>
        <w:t>дається зі в</w:t>
      </w:r>
      <w:r w:rsidR="00EA2FAC">
        <w:rPr>
          <w:rFonts w:eastAsiaTheme="minorEastAsia"/>
          <w:sz w:val="28"/>
          <w:szCs w:val="22"/>
          <w:lang w:eastAsia="ja-JP"/>
        </w:rPr>
        <w:t xml:space="preserve">ступу 4 розділів, висновків і списку використаних джерел. Обсяг даної роботи  складає </w:t>
      </w:r>
      <w:r w:rsidR="00C834D4">
        <w:rPr>
          <w:rFonts w:eastAsiaTheme="minorEastAsia"/>
          <w:sz w:val="28"/>
          <w:szCs w:val="22"/>
          <w:lang w:eastAsia="ja-JP"/>
        </w:rPr>
        <w:t>89</w:t>
      </w:r>
      <w:r w:rsidR="000F1E85" w:rsidRPr="000F1E85">
        <w:rPr>
          <w:rFonts w:eastAsiaTheme="minorEastAsia"/>
          <w:sz w:val="28"/>
          <w:szCs w:val="22"/>
          <w:lang w:eastAsia="ja-JP"/>
        </w:rPr>
        <w:t xml:space="preserve"> сторінок</w:t>
      </w:r>
      <w:r w:rsidR="00EA2FAC">
        <w:rPr>
          <w:rFonts w:eastAsiaTheme="minorEastAsia"/>
          <w:sz w:val="28"/>
          <w:szCs w:val="22"/>
          <w:lang w:eastAsia="ja-JP"/>
        </w:rPr>
        <w:t xml:space="preserve"> (без списку використаних джерел)</w:t>
      </w:r>
      <w:r w:rsidR="000F1E85" w:rsidRPr="000F1E85">
        <w:rPr>
          <w:rFonts w:eastAsiaTheme="minorEastAsia"/>
          <w:sz w:val="28"/>
          <w:szCs w:val="22"/>
          <w:lang w:eastAsia="ja-JP"/>
        </w:rPr>
        <w:t>.</w:t>
      </w:r>
      <w:r w:rsidR="00521003">
        <w:rPr>
          <w:sz w:val="28"/>
          <w:szCs w:val="28"/>
        </w:rPr>
        <w:br w:type="page"/>
      </w:r>
    </w:p>
    <w:p w:rsidR="005A23A5" w:rsidRPr="00713BAF" w:rsidRDefault="00521003" w:rsidP="005A23A5">
      <w:pPr>
        <w:spacing w:line="360" w:lineRule="auto"/>
        <w:jc w:val="center"/>
        <w:rPr>
          <w:rFonts w:eastAsiaTheme="minorEastAsia"/>
          <w:sz w:val="28"/>
          <w:szCs w:val="22"/>
          <w:lang w:eastAsia="ja-JP"/>
        </w:rPr>
      </w:pPr>
      <w:r w:rsidRPr="00713BAF">
        <w:rPr>
          <w:sz w:val="28"/>
          <w:szCs w:val="28"/>
        </w:rPr>
        <w:lastRenderedPageBreak/>
        <w:t>РОЗДІЛ 1.</w:t>
      </w:r>
      <w:r w:rsidR="005A23A5" w:rsidRPr="00713BAF">
        <w:rPr>
          <w:sz w:val="28"/>
          <w:szCs w:val="28"/>
        </w:rPr>
        <w:t xml:space="preserve"> </w:t>
      </w:r>
      <w:r w:rsidR="005A23A5" w:rsidRPr="00713BAF">
        <w:rPr>
          <w:rFonts w:eastAsiaTheme="minorEastAsia"/>
          <w:sz w:val="28"/>
          <w:szCs w:val="22"/>
          <w:lang w:eastAsia="ja-JP"/>
        </w:rPr>
        <w:t>ТЕОРЕТИЧНІ ЗАСАДИ ДОСЛІДЖЕННЯ</w:t>
      </w:r>
    </w:p>
    <w:p w:rsidR="005A23A5" w:rsidRPr="005A23A5" w:rsidRDefault="005A23A5" w:rsidP="005A23A5">
      <w:pPr>
        <w:spacing w:after="160" w:line="360" w:lineRule="auto"/>
        <w:jc w:val="center"/>
        <w:rPr>
          <w:rFonts w:eastAsiaTheme="minorEastAsia"/>
          <w:sz w:val="28"/>
          <w:szCs w:val="22"/>
          <w:lang w:eastAsia="ja-JP"/>
        </w:rPr>
      </w:pP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Дана магістерська робота зосереджена на дослідженні зовнішньополітичної безпекової діяльності Європейського Союзу та її впливу на хід сучасних геополітичних зрушень, які виражаються у виникаючих на європейському просторі викликів та загроз. Важливим для розкриття даної проблематики є вибір підходящої політичної школи для вивчення міжнародних відносин. Найбільш успішною з нині існуючих є ліберальна школа міжурядового підходу.</w:t>
      </w:r>
    </w:p>
    <w:p w:rsidR="005A23A5" w:rsidRPr="005A23A5" w:rsidRDefault="00D86BA4" w:rsidP="00713BAF">
      <w:pPr>
        <w:spacing w:line="360" w:lineRule="auto"/>
        <w:ind w:firstLine="709"/>
        <w:rPr>
          <w:rFonts w:eastAsiaTheme="minorEastAsia"/>
          <w:sz w:val="28"/>
          <w:szCs w:val="22"/>
          <w:lang w:eastAsia="ja-JP"/>
        </w:rPr>
      </w:pPr>
      <w:r w:rsidRPr="00D86BA4">
        <w:rPr>
          <w:rFonts w:eastAsiaTheme="minorEastAsia"/>
          <w:sz w:val="28"/>
          <w:szCs w:val="22"/>
          <w:lang w:eastAsia="ja-JP"/>
        </w:rPr>
        <w:t>Міжурядовий підхід ліберального спрямування, впроваджений Ендрю Моравчіком, зосереджений на інтеграційних процесах та передбачає збереження державного суверенітету.</w:t>
      </w:r>
      <w:r w:rsidR="005A23A5" w:rsidRPr="005A23A5">
        <w:rPr>
          <w:rFonts w:eastAsiaTheme="minorEastAsia"/>
          <w:sz w:val="28"/>
          <w:szCs w:val="22"/>
          <w:lang w:eastAsia="ja-JP"/>
        </w:rPr>
        <w:t xml:space="preserve"> На думку дослідників даного підходу, головними акторами міжнародних відносин є національні уряди. Класичний міжурядовий підхід вирізняється акцентом на ролі керівництва держави в інтеграційних процесах, зокрема на важливості мотиваційних рушіїв у процесі переходу влади на наднаціональний рівень. Розвиток міждержавних відносин передбачено до моменту досягнення спільних цілей на рівні всіх зацікавлених в інтеграційних процесах країн, які попередньо керувалися виключно національними інтересами. Ліберальний міжурядовий підхід концентрується на групах інтересів, які формують політику окремої держави щодо міжнародних партнерів, відкидаючи суто національні інтереси.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Тому, з огляду на потреби розширення, що зумовлювались динамічною інтеграційною взаємодією на європейському просторі, професором політичних наук та міжнародних зв</w:t>
      </w:r>
      <w:r w:rsidR="00C631E2">
        <w:rPr>
          <w:rFonts w:eastAsiaTheme="minorEastAsia"/>
          <w:sz w:val="28"/>
          <w:szCs w:val="22"/>
          <w:lang w:eastAsia="ja-JP"/>
        </w:rPr>
        <w:t>’</w:t>
      </w:r>
      <w:r w:rsidRPr="005A23A5">
        <w:rPr>
          <w:rFonts w:eastAsiaTheme="minorEastAsia"/>
          <w:sz w:val="28"/>
          <w:szCs w:val="22"/>
          <w:lang w:eastAsia="ja-JP"/>
        </w:rPr>
        <w:t xml:space="preserve">язків Ендрю Моравчіком був запропонований новий погляд на міжурядовий підхід – ліберальний міжурядовий підхід в рамках теорії неолібералізму. Відповідно до основних положень його підходу, європейська інтеграція зумовлена нічим іншим як </w:t>
      </w:r>
      <w:r w:rsidRPr="005A23A5">
        <w:rPr>
          <w:rFonts w:eastAsiaTheme="minorEastAsia"/>
          <w:sz w:val="28"/>
          <w:szCs w:val="22"/>
          <w:lang w:eastAsia="ja-JP"/>
        </w:rPr>
        <w:lastRenderedPageBreak/>
        <w:t>взаємодією окремих осіб та груп європейських країн. Саме через це роль національних держав за Е. Моравчіком зосереджувалась виключно до функції репрезентації суспільних інтересів на міжнародній арені.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Основою концепції ліберального міжурядового підходу є три гіпотези:</w:t>
      </w:r>
    </w:p>
    <w:p w:rsidR="005A23A5" w:rsidRPr="005A23A5" w:rsidRDefault="005A23A5" w:rsidP="00713BAF">
      <w:pPr>
        <w:numPr>
          <w:ilvl w:val="0"/>
          <w:numId w:val="3"/>
        </w:numPr>
        <w:spacing w:line="360" w:lineRule="auto"/>
        <w:contextualSpacing/>
        <w:rPr>
          <w:rFonts w:eastAsiaTheme="minorEastAsia"/>
          <w:sz w:val="28"/>
          <w:szCs w:val="22"/>
          <w:lang w:eastAsia="ja-JP"/>
        </w:rPr>
      </w:pPr>
      <w:r w:rsidRPr="005A23A5">
        <w:rPr>
          <w:rFonts w:eastAsiaTheme="minorEastAsia"/>
          <w:sz w:val="28"/>
          <w:szCs w:val="22"/>
          <w:lang w:eastAsia="ja-JP"/>
        </w:rPr>
        <w:t>Основними політичними діячами є самостійні та раціональні особи і групи, які взаємодіють між собою, керуючись принципами власної вигоди та уникнення ризиків.</w:t>
      </w:r>
    </w:p>
    <w:p w:rsidR="005A23A5" w:rsidRPr="005A23A5" w:rsidRDefault="005A23A5" w:rsidP="00713BAF">
      <w:pPr>
        <w:numPr>
          <w:ilvl w:val="0"/>
          <w:numId w:val="3"/>
        </w:numPr>
        <w:spacing w:line="360" w:lineRule="auto"/>
        <w:contextualSpacing/>
        <w:rPr>
          <w:rFonts w:eastAsiaTheme="minorEastAsia"/>
          <w:sz w:val="28"/>
          <w:szCs w:val="22"/>
          <w:lang w:eastAsia="ja-JP"/>
        </w:rPr>
      </w:pPr>
      <w:r w:rsidRPr="005A23A5">
        <w:rPr>
          <w:rFonts w:eastAsiaTheme="minorEastAsia"/>
          <w:sz w:val="28"/>
          <w:szCs w:val="22"/>
          <w:lang w:eastAsia="ja-JP"/>
        </w:rPr>
        <w:t>Уряди представляють собою різновид національних гравців, що мають власні інтереси, які виконують функцію стримування під час самоідентифікації та визначення інтересів інших країн.</w:t>
      </w:r>
    </w:p>
    <w:p w:rsidR="005A23A5" w:rsidRPr="005A23A5" w:rsidRDefault="005A23A5" w:rsidP="00713BAF">
      <w:pPr>
        <w:numPr>
          <w:ilvl w:val="0"/>
          <w:numId w:val="3"/>
        </w:numPr>
        <w:spacing w:line="360" w:lineRule="auto"/>
        <w:contextualSpacing/>
        <w:rPr>
          <w:rFonts w:eastAsiaTheme="minorEastAsia"/>
          <w:sz w:val="28"/>
          <w:szCs w:val="22"/>
          <w:lang w:eastAsia="ja-JP"/>
        </w:rPr>
      </w:pPr>
      <w:r w:rsidRPr="005A23A5">
        <w:rPr>
          <w:rFonts w:eastAsiaTheme="minorEastAsia"/>
          <w:sz w:val="28"/>
          <w:szCs w:val="22"/>
          <w:lang w:eastAsia="ja-JP"/>
        </w:rPr>
        <w:t>Діяльність держав, а також природа їхніх конфліктів і співпраці, відображають специфіку та сутність їхніх національних інтересів.</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Згідно з твердженнями Ендрю Моравчіка, процес інтеграції відбувається на двох рівнях. Перший рівень – це формування національних інтересів, де соціальні закономірності визначають узгодження інтересів різних політичних і соціальних груп, а також взаємодію держави та суспільства. Результатом цього процесу є встановлені цілі та пріоритети («попит на інтеграцію»), з якими держава переходить на другий рівень – міжурядовий торг («пропозиція інтеграційних рішень») (</w:t>
      </w:r>
      <w:r w:rsidRPr="005A23A5">
        <w:rPr>
          <w:rFonts w:eastAsiaTheme="minorEastAsia"/>
          <w:sz w:val="28"/>
          <w:szCs w:val="22"/>
          <w:lang w:val="en-US" w:eastAsia="ja-JP"/>
        </w:rPr>
        <w:t>Moravcsik</w:t>
      </w:r>
      <w:r w:rsidRPr="00DC61EB">
        <w:rPr>
          <w:rFonts w:eastAsiaTheme="minorEastAsia"/>
          <w:sz w:val="28"/>
          <w:szCs w:val="22"/>
          <w:lang w:val="ru-RU" w:eastAsia="ja-JP"/>
        </w:rPr>
        <w:t>, 1993).</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Варто зазначити, що Ендрю Моравчік надає вирішальне значення першому рівню у формуванні остаточних інтеграційних рішень: на його думку, внутрішня політика є передумовою для зовнішньополітичного торгу. Він пояснює це тим, що головним пріоритетом будь-якого уряду є утримання влади. Для досягнення цієї мети уряд потребує підтримки потужної політичної коаліції, яка формується внаслідок боротьби різних соціальних груп за політичний вплив. Уряд забезпечує собі необхідну підтримку, визнаючи інтереси найбільш впливових груп і приймаючи їхні політичні пропозиції, які згодом реалізуються на міжнародній арені.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lastRenderedPageBreak/>
        <w:t>Ендрю Моравчік пояснює парадоксальну поведінку національних держав, які свідомо приймають рішення, що формально обмежують їхню автономію, тим, що ці держави отримують значні переваги від впорядкованого торгу в ширшому контексті інтеграційних інститутів. Ці інститути надають доступ до інформації, яку в інших умовах було б важко отримати. Інтеграційні структури перетворюють міжурядовий торг на гру з позитивною сумою, де успішне просування інтересів впливових національних соціальних і політичних груп на європейському рівні посилює внутрішньополітичні позиції уряду. Невигідні або непопулярні рішення можна виправдати діями брюссельської бюрократії, зменшуючи негативний внутрішньополітичний вплив. Таким чином, за словами Моравчіка, європейська інтеграція не послаблює, а навпаки, зміцнює європейські національні держави</w:t>
      </w:r>
      <w:r w:rsidRPr="00DC61EB">
        <w:rPr>
          <w:rFonts w:eastAsiaTheme="minorEastAsia"/>
          <w:sz w:val="28"/>
          <w:szCs w:val="22"/>
          <w:lang w:val="ru-RU" w:eastAsia="ja-JP"/>
        </w:rPr>
        <w:t xml:space="preserve"> (</w:t>
      </w:r>
      <w:r w:rsidRPr="005A23A5">
        <w:rPr>
          <w:rFonts w:eastAsiaTheme="minorEastAsia"/>
          <w:sz w:val="28"/>
          <w:szCs w:val="22"/>
          <w:lang w:val="en-US" w:eastAsia="ja-JP"/>
        </w:rPr>
        <w:t>Akilatan</w:t>
      </w:r>
      <w:r w:rsidRPr="00DC61EB">
        <w:rPr>
          <w:rFonts w:eastAsiaTheme="minorEastAsia"/>
          <w:sz w:val="28"/>
          <w:szCs w:val="22"/>
          <w:lang w:val="ru-RU" w:eastAsia="ja-JP"/>
        </w:rPr>
        <w:t>, 2020)</w:t>
      </w:r>
      <w:r w:rsidRPr="005A23A5">
        <w:rPr>
          <w:rFonts w:eastAsiaTheme="minorEastAsia"/>
          <w:sz w:val="28"/>
          <w:szCs w:val="22"/>
          <w:lang w:eastAsia="ja-JP"/>
        </w:rPr>
        <w:t>.</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Висновки досліджень Моравчіка наголошують на тому, що європейський інтеграційний процес потрібно пояснювати через збіжність національних інтересів і преференцій держав-членів. Він використовує умови класичного міжурядового підходу, одночасно враховуючи внутрішньополітичний вимір, що долає певні обмеження неореалістичної теорії інтеграції. У своїх сучасних європейських дослідженнях Моравчік розширює ліберальний міжурядовий підхід, пропонуючи розглядати європейську та міжнародну політику як трирівневий процес. На першому рівні досліджується формування інтересів урядів як результат внутрішньодержавного процесу артикуляції інтересів, застосовуючи ліберальну теорію формування державних преференцій. На другому рівні аналізуються результати міждержавних переговорів. На третьому рівні розглядається «інституційний вибір», тобто питання делегування політичних рішень до міжнародних інституцій і їхнє виконання</w:t>
      </w:r>
      <w:r w:rsidRPr="00DC61EB">
        <w:rPr>
          <w:rFonts w:eastAsiaTheme="minorEastAsia"/>
          <w:sz w:val="28"/>
          <w:szCs w:val="22"/>
          <w:lang w:eastAsia="ja-JP"/>
        </w:rPr>
        <w:t xml:space="preserve"> (</w:t>
      </w:r>
      <w:r w:rsidRPr="005A23A5">
        <w:rPr>
          <w:rFonts w:eastAsiaTheme="minorEastAsia"/>
          <w:sz w:val="28"/>
          <w:szCs w:val="22"/>
          <w:lang w:val="en-US" w:eastAsia="ja-JP"/>
        </w:rPr>
        <w:t>Moravcsik</w:t>
      </w:r>
      <w:r w:rsidRPr="00DC61EB">
        <w:rPr>
          <w:rFonts w:eastAsiaTheme="minorEastAsia"/>
          <w:sz w:val="28"/>
          <w:szCs w:val="22"/>
          <w:lang w:eastAsia="ja-JP"/>
        </w:rPr>
        <w:t>, 1994)</w:t>
      </w:r>
      <w:r w:rsidRPr="005A23A5">
        <w:rPr>
          <w:rFonts w:eastAsiaTheme="minorEastAsia"/>
          <w:sz w:val="28"/>
          <w:szCs w:val="22"/>
          <w:lang w:eastAsia="ja-JP"/>
        </w:rPr>
        <w:t>.</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lastRenderedPageBreak/>
        <w:t>На думку Ендрю Моравчика, мета історичного аналізу етапів інтеграційного процесу полягає в тому, щоб пояснити, чому європейські суверенні уряди неодноразово обирали зовнішню координацію своєї внутрішньої економічної політики, поступаючись суверенними привілеями на користь міжнародних інституцій. Великі переговори щодо інтеграційних договорів є не історичним винятком, а логічним наслідком раціональних міркувань урядів. Для прийняття рішення на користь інтеграції необхідно, щоб збігалися три фактори: структура торгового обміну, переговорні позиції національних урядів і стимули для підвищення авторитету міждержавних зобов</w:t>
      </w:r>
      <w:r w:rsidR="00C631E2">
        <w:rPr>
          <w:rFonts w:eastAsiaTheme="minorEastAsia"/>
          <w:sz w:val="28"/>
          <w:szCs w:val="22"/>
          <w:lang w:eastAsia="ja-JP"/>
        </w:rPr>
        <w:t>’</w:t>
      </w:r>
      <w:r w:rsidRPr="005A23A5">
        <w:rPr>
          <w:rFonts w:eastAsiaTheme="minorEastAsia"/>
          <w:sz w:val="28"/>
          <w:szCs w:val="22"/>
          <w:lang w:eastAsia="ja-JP"/>
        </w:rPr>
        <w:t>язань. У випадку європейської інтеграції головним фактором був комерційний інтерес. Якщо інтереси за всіма цими факторами збігаються, інтеграція стає неминучою. Моравчік не вважає європейські інституції та їхніх керівників вирішальними у досягненні успішних переговорів</w:t>
      </w:r>
      <w:r w:rsidRPr="00DC61EB">
        <w:rPr>
          <w:rFonts w:eastAsiaTheme="minorEastAsia"/>
          <w:sz w:val="28"/>
          <w:szCs w:val="22"/>
          <w:lang w:eastAsia="ja-JP"/>
        </w:rPr>
        <w:t xml:space="preserve"> (</w:t>
      </w:r>
      <w:r w:rsidRPr="005A23A5">
        <w:rPr>
          <w:rFonts w:eastAsiaTheme="minorEastAsia"/>
          <w:sz w:val="28"/>
          <w:szCs w:val="22"/>
          <w:lang w:val="en-US" w:eastAsia="ja-JP"/>
        </w:rPr>
        <w:t>Akilatan</w:t>
      </w:r>
      <w:r w:rsidRPr="00DC61EB">
        <w:rPr>
          <w:rFonts w:eastAsiaTheme="minorEastAsia"/>
          <w:sz w:val="28"/>
          <w:szCs w:val="22"/>
          <w:lang w:eastAsia="ja-JP"/>
        </w:rPr>
        <w:t>, 2020)</w:t>
      </w:r>
      <w:r w:rsidRPr="005A23A5">
        <w:rPr>
          <w:rFonts w:eastAsiaTheme="minorEastAsia"/>
          <w:sz w:val="28"/>
          <w:szCs w:val="22"/>
          <w:lang w:eastAsia="ja-JP"/>
        </w:rPr>
        <w:t>.</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З цієї точки зору, Європейський Союз виступає як міждержавна митна інституція, що керує економічною взаємозалежністю і являє собою форму договірної координації політики. Управлінські органи ЄС, такі як Європейська Комісія, Європейський Парламент та Європейський Суд, виконують підпорядковані управлінські функції. Таким чином, держави погоджуються на інституціоналізацію на рівні ЄС головним чином для того, щоб офіційно закріпити свої зобов</w:t>
      </w:r>
      <w:r w:rsidR="00C631E2">
        <w:rPr>
          <w:rFonts w:eastAsiaTheme="minorEastAsia"/>
          <w:sz w:val="28"/>
          <w:szCs w:val="22"/>
          <w:lang w:eastAsia="ja-JP"/>
        </w:rPr>
        <w:t>’</w:t>
      </w:r>
      <w:r w:rsidRPr="005A23A5">
        <w:rPr>
          <w:rFonts w:eastAsiaTheme="minorEastAsia"/>
          <w:sz w:val="28"/>
          <w:szCs w:val="22"/>
          <w:lang w:eastAsia="ja-JP"/>
        </w:rPr>
        <w:t>язання щодо співпраці. Хоча європейські інституції можуть сприяти покращенню умов співпраці, зменшуючи трансакційні витрати і вирішуючи другорядні проблеми міжнародної кооперації, такі як санкціонування, контроль і розподіл переваг, делегування національного авторитету або створення нових лояльностей на європейському рівні не є пріоритетом</w:t>
      </w:r>
      <w:r w:rsidRPr="00DC61EB">
        <w:rPr>
          <w:rFonts w:eastAsiaTheme="minorEastAsia"/>
          <w:sz w:val="28"/>
          <w:szCs w:val="22"/>
          <w:lang w:eastAsia="ja-JP"/>
        </w:rPr>
        <w:t xml:space="preserve"> (</w:t>
      </w:r>
      <w:r w:rsidRPr="005A23A5">
        <w:rPr>
          <w:rFonts w:eastAsiaTheme="minorEastAsia"/>
          <w:sz w:val="28"/>
          <w:szCs w:val="22"/>
          <w:lang w:val="en-US" w:eastAsia="ja-JP"/>
        </w:rPr>
        <w:t>Moravcsik</w:t>
      </w:r>
      <w:r w:rsidRPr="00DC61EB">
        <w:rPr>
          <w:rFonts w:eastAsiaTheme="minorEastAsia"/>
          <w:sz w:val="28"/>
          <w:szCs w:val="22"/>
          <w:lang w:eastAsia="ja-JP"/>
        </w:rPr>
        <w:t>, 1993)</w:t>
      </w:r>
      <w:r w:rsidRPr="005A23A5">
        <w:rPr>
          <w:rFonts w:eastAsiaTheme="minorEastAsia"/>
          <w:sz w:val="28"/>
          <w:szCs w:val="22"/>
          <w:lang w:eastAsia="ja-JP"/>
        </w:rPr>
        <w:t>.</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В середині 2010-х років на основі своїх попередніх досліджень Крістофер Бікертон, Дермот Ходсон і Уве Пуеттер запропонували новий </w:t>
      </w:r>
      <w:r w:rsidRPr="005A23A5">
        <w:rPr>
          <w:rFonts w:eastAsiaTheme="minorEastAsia"/>
          <w:sz w:val="28"/>
          <w:szCs w:val="22"/>
          <w:lang w:eastAsia="ja-JP"/>
        </w:rPr>
        <w:lastRenderedPageBreak/>
        <w:t>міждержавний підхід. Вони вказали на парадокс інтеграції, який полягав в тому, що в той час як основні конституційні особливості Європейського Союзу залишаються стабільними, діяльність ЄС розширилася до безпрецедентного рівня. Оцінюючи інтеграційний процес, вони відзначили, що очікуваного ступеня наднаціоналізму не виникло, незважаючи на зростання активності євроінтеграції. Навіть у сферах, які були «комунітаризовані» (наприклад, юстиція та внутрішні справи), інтеграція відбулася не так, як очікувалося спочатку. В інших сферах (зайнятість та соціальна політика) передача суверенітету на наднаціональний рівень була незначною (</w:t>
      </w:r>
      <w:r w:rsidRPr="005A23A5">
        <w:rPr>
          <w:rFonts w:eastAsiaTheme="minorEastAsia"/>
          <w:sz w:val="28"/>
          <w:szCs w:val="22"/>
          <w:lang w:val="en-US" w:eastAsia="ja-JP"/>
        </w:rPr>
        <w:t>Bickerton</w:t>
      </w:r>
      <w:r w:rsidRPr="00DC61EB">
        <w:rPr>
          <w:rFonts w:eastAsiaTheme="minorEastAsia"/>
          <w:sz w:val="28"/>
          <w:szCs w:val="22"/>
          <w:lang w:eastAsia="ja-JP"/>
        </w:rPr>
        <w:t xml:space="preserve">, </w:t>
      </w:r>
      <w:r w:rsidRPr="005A23A5">
        <w:rPr>
          <w:rFonts w:eastAsiaTheme="minorEastAsia"/>
          <w:sz w:val="28"/>
          <w:szCs w:val="22"/>
          <w:lang w:val="en-US" w:eastAsia="ja-JP"/>
        </w:rPr>
        <w:t>Hodson</w:t>
      </w:r>
      <w:r w:rsidRPr="00DC61EB">
        <w:rPr>
          <w:rFonts w:eastAsiaTheme="minorEastAsia"/>
          <w:sz w:val="28"/>
          <w:szCs w:val="22"/>
          <w:lang w:eastAsia="ja-JP"/>
        </w:rPr>
        <w:t>, 2015).</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Спираючись на свою попередню роботу щодо кризи в єврозоні, вони вказали на дві міжурядові угоди, які були підписані для боротьби з кризою. Кожен із договорів був необхідний для створення нових інституційних структур: Європейського механізму стабільності (ЄМС), який надає позики державам-членам, які потребують допомоги, і так званого фіскального договору. Натомість вони стверджували, що спостерігається криза представництва і що громадяни більше не забезпечують так званого «дозвільного консенсусу» національним лідерам. Вони стверджували, що в результаті національна виконавча влада була водночас сильнішою, але в той же час обережно ставилася до своєї участі в загальноєвропейській політиці. Щоб реалізувати свою теорію, вони запропонували низку гіпотез і закликали наукову спільноту перевірити їх. Теми, які вони висунули, включали</w:t>
      </w:r>
      <w:r w:rsidRPr="005A23A5">
        <w:rPr>
          <w:rFonts w:eastAsiaTheme="minorEastAsia"/>
          <w:sz w:val="28"/>
          <w:szCs w:val="22"/>
          <w:lang w:val="en-US" w:eastAsia="ja-JP"/>
        </w:rPr>
        <w:t xml:space="preserve"> (Moravcsik, 1995)</w:t>
      </w:r>
      <w:r w:rsidRPr="005A23A5">
        <w:rPr>
          <w:rFonts w:eastAsiaTheme="minorEastAsia"/>
          <w:sz w:val="28"/>
          <w:szCs w:val="22"/>
          <w:lang w:eastAsia="ja-JP"/>
        </w:rPr>
        <w:t>:</w:t>
      </w:r>
    </w:p>
    <w:p w:rsidR="005A23A5" w:rsidRPr="005A23A5" w:rsidRDefault="005A23A5" w:rsidP="00713BAF">
      <w:pPr>
        <w:numPr>
          <w:ilvl w:val="0"/>
          <w:numId w:val="4"/>
        </w:numPr>
        <w:spacing w:line="360" w:lineRule="auto"/>
        <w:contextualSpacing/>
        <w:rPr>
          <w:rFonts w:eastAsiaTheme="minorEastAsia"/>
          <w:sz w:val="28"/>
          <w:szCs w:val="22"/>
          <w:lang w:eastAsia="ja-JP"/>
        </w:rPr>
      </w:pPr>
      <w:r w:rsidRPr="005A23A5">
        <w:rPr>
          <w:rFonts w:eastAsiaTheme="minorEastAsia"/>
          <w:sz w:val="28"/>
          <w:szCs w:val="22"/>
          <w:lang w:eastAsia="ja-JP"/>
        </w:rPr>
        <w:t>обговорення та консенсус як частина повсякденного прийняття рішень;</w:t>
      </w:r>
    </w:p>
    <w:p w:rsidR="005A23A5" w:rsidRPr="005A23A5" w:rsidRDefault="005A23A5" w:rsidP="00713BAF">
      <w:pPr>
        <w:numPr>
          <w:ilvl w:val="0"/>
          <w:numId w:val="4"/>
        </w:numPr>
        <w:spacing w:line="360" w:lineRule="auto"/>
        <w:contextualSpacing/>
        <w:rPr>
          <w:rFonts w:eastAsiaTheme="minorEastAsia"/>
          <w:sz w:val="28"/>
          <w:szCs w:val="22"/>
          <w:lang w:eastAsia="ja-JP"/>
        </w:rPr>
      </w:pPr>
      <w:r w:rsidRPr="005A23A5">
        <w:rPr>
          <w:rFonts w:eastAsiaTheme="minorEastAsia"/>
          <w:sz w:val="28"/>
          <w:szCs w:val="22"/>
          <w:lang w:eastAsia="ja-JP"/>
        </w:rPr>
        <w:t>чи завжди наднаціональні інституції сприяють глибшій інтеграції;</w:t>
      </w:r>
    </w:p>
    <w:p w:rsidR="005A23A5" w:rsidRPr="005A23A5" w:rsidRDefault="005A23A5" w:rsidP="00713BAF">
      <w:pPr>
        <w:numPr>
          <w:ilvl w:val="0"/>
          <w:numId w:val="4"/>
        </w:numPr>
        <w:spacing w:line="360" w:lineRule="auto"/>
        <w:contextualSpacing/>
        <w:rPr>
          <w:rFonts w:eastAsiaTheme="minorEastAsia"/>
          <w:sz w:val="28"/>
          <w:szCs w:val="22"/>
          <w:lang w:eastAsia="ja-JP"/>
        </w:rPr>
      </w:pPr>
      <w:r w:rsidRPr="005A23A5">
        <w:rPr>
          <w:rFonts w:eastAsiaTheme="minorEastAsia"/>
          <w:sz w:val="28"/>
          <w:szCs w:val="22"/>
          <w:lang w:eastAsia="ja-JP"/>
        </w:rPr>
        <w:t>чи у разі делегування створюються нові органи замість надання повноважень існуючим наднаціональним установам;</w:t>
      </w:r>
    </w:p>
    <w:p w:rsidR="005A23A5" w:rsidRPr="005A23A5" w:rsidRDefault="005A23A5" w:rsidP="00713BAF">
      <w:pPr>
        <w:numPr>
          <w:ilvl w:val="0"/>
          <w:numId w:val="4"/>
        </w:numPr>
        <w:spacing w:line="360" w:lineRule="auto"/>
        <w:contextualSpacing/>
        <w:rPr>
          <w:rFonts w:eastAsiaTheme="minorEastAsia"/>
          <w:sz w:val="28"/>
          <w:szCs w:val="22"/>
          <w:lang w:eastAsia="ja-JP"/>
        </w:rPr>
      </w:pPr>
      <w:r w:rsidRPr="005A23A5">
        <w:rPr>
          <w:rFonts w:eastAsiaTheme="minorEastAsia"/>
          <w:sz w:val="28"/>
          <w:szCs w:val="22"/>
          <w:lang w:eastAsia="ja-JP"/>
        </w:rPr>
        <w:lastRenderedPageBreak/>
        <w:t>внутрішня політика як самостійний внесок у євроінтеграцію;</w:t>
      </w:r>
    </w:p>
    <w:p w:rsidR="005A23A5" w:rsidRPr="005A23A5" w:rsidRDefault="005A23A5" w:rsidP="00713BAF">
      <w:pPr>
        <w:numPr>
          <w:ilvl w:val="0"/>
          <w:numId w:val="4"/>
        </w:numPr>
        <w:spacing w:line="360" w:lineRule="auto"/>
        <w:contextualSpacing/>
        <w:rPr>
          <w:rFonts w:eastAsiaTheme="minorEastAsia"/>
          <w:sz w:val="28"/>
          <w:szCs w:val="22"/>
          <w:lang w:eastAsia="ja-JP"/>
        </w:rPr>
      </w:pPr>
      <w:r w:rsidRPr="005A23A5">
        <w:rPr>
          <w:rFonts w:eastAsiaTheme="minorEastAsia"/>
          <w:sz w:val="28"/>
          <w:szCs w:val="22"/>
          <w:lang w:eastAsia="ja-JP"/>
        </w:rPr>
        <w:t>розмивання високої та низької політики;</w:t>
      </w:r>
    </w:p>
    <w:p w:rsidR="005A23A5" w:rsidRPr="005A23A5" w:rsidRDefault="005A23A5" w:rsidP="00713BAF">
      <w:pPr>
        <w:numPr>
          <w:ilvl w:val="0"/>
          <w:numId w:val="4"/>
        </w:numPr>
        <w:spacing w:line="360" w:lineRule="auto"/>
        <w:contextualSpacing/>
        <w:rPr>
          <w:rFonts w:eastAsiaTheme="minorEastAsia"/>
          <w:sz w:val="28"/>
          <w:szCs w:val="22"/>
          <w:lang w:eastAsia="ja-JP"/>
        </w:rPr>
      </w:pPr>
      <w:r w:rsidRPr="005A23A5">
        <w:rPr>
          <w:rFonts w:eastAsiaTheme="minorEastAsia"/>
          <w:sz w:val="28"/>
          <w:szCs w:val="22"/>
          <w:lang w:eastAsia="ja-JP"/>
        </w:rPr>
        <w:t>що Європейський Союз наразі перебуває у стані відсутності рівноваги.</w:t>
      </w:r>
      <w:r w:rsidRPr="005A23A5">
        <w:rPr>
          <w:rFonts w:eastAsiaTheme="minorEastAsia"/>
          <w:color w:val="FF0000"/>
          <w:sz w:val="28"/>
          <w:szCs w:val="22"/>
          <w:lang w:eastAsia="ja-JP"/>
        </w:rPr>
        <w:t xml:space="preserve"> </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Їх загальний внесок полягав у тому, щоб вказати на появу глибшої інтеграції без наднаціоналізму. Їхня мета полягала в тому, щоб розвинути судження над механізмами інтеграції, та вони заперечували класичний метод спільноти, який спирався на наднаціональних акторів на керівному місці. Вони також вказали на розрив у тому, як відбувається інтеграція, стверджуючи, що нинішній режим управління в ЄС відрізняється від режиму 1950-х років.</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Таким чином, застосовуючи міжурядовий підхід до аналізу діяльності СЗППБ Європейського Союзу на сучасному етапі, можна детально розглянути вплив кожної держави-члена ЄС на спільне формування та імплементацію СЗППБ, зокрема дослідити еволюцію політики через призму інтересів, цінностей та стратегій окремих країн. Міжурядовий підхід підкреслює важливість співпраці та діалогу між державами-членами. Аналізуючи розвиток СЗППБ, можна дослідити, як відбувається формування консенсусу серед країн щодо зовнішніх викликів та які механізми використовуються для досягнення спільних цілей. Окрім того, даний підхід підтримує ідею демократії та легітимності у прийнятті рішень, завдяки чому можна вивчити, які механізми демократичного контролю використовуються у процесі прийняття та викона</w:t>
      </w:r>
      <w:r w:rsidR="003B6D19">
        <w:rPr>
          <w:rFonts w:eastAsiaTheme="minorEastAsia"/>
          <w:sz w:val="28"/>
          <w:szCs w:val="22"/>
          <w:lang w:eastAsia="ja-JP"/>
        </w:rPr>
        <w:t>ння зовнішньополітичних рішень.</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Написання дослідницької роботи з теми ролі СЗППБ у системі європейської безпеки потребувала всебічного дослідження та ретельного вивчення документальної бази, промов та звернень посадових осіб, а також робіт як українських, так і зарубіжних дослідників, які можна систематизувати за певними категоріями проблематики європейської безпеки.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lastRenderedPageBreak/>
        <w:t>Оскільки з метою аналізу діяльності СЗППБ Європейського Союзу на сучасному етапі з урахуванням впливу кожної держави-члена ЄС на спільне формування та імплементацію СЗППБ використовувався ліберальний міжурядовий підхід, для дослідження його ключових аспектів та закономірностей функціонування використані три роботи Ендрю Моравчика. У «Преференції та влада в Європейському співтоваристві: ліберальний міждержавний підхід» (1993) представлені основні принципи ліберального міждержавного механізму. Моравчик стверджує, що європейська інтеграція здійснюється національними урядами, які діють на основі внутрішніх переваг. Його модель працює у два етапи: формування преференцій і міждержавні переговори. Тут національні переваги формуються в основному економічними інтересами всередині держав, а інтеграція є результатом міжурядових угод, що відображають відносну владу та переваги держав-членів.</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Дослідження «Чому Європейський Союз зміцнює державу: внутрішня політика та міжнародна співпраця» (1994) розвиває його аргументацію, досліджуючи, як членство в ЄС може фактично зміцнити, а не послабити державний суверенітет. Моравчик стверджує, що участь у ЄС надає національним лідерам повноважень, дозволяючи їм брати надійні зобов</w:t>
      </w:r>
      <w:r w:rsidR="00C631E2">
        <w:rPr>
          <w:rFonts w:eastAsiaTheme="minorEastAsia"/>
          <w:sz w:val="28"/>
          <w:szCs w:val="22"/>
          <w:lang w:eastAsia="ja-JP"/>
        </w:rPr>
        <w:t>’</w:t>
      </w:r>
      <w:r w:rsidRPr="005A23A5">
        <w:rPr>
          <w:rFonts w:eastAsiaTheme="minorEastAsia"/>
          <w:sz w:val="28"/>
          <w:szCs w:val="22"/>
          <w:lang w:eastAsia="ja-JP"/>
        </w:rPr>
        <w:t xml:space="preserve">язання, які служать внутрішньополітичним цілям. Дане дослідження демонструє, як міжнародна співпраця, зокрема через ЄС, дозволяє лідерам досягати політичних результатів, які може бути важко забезпечити в односторонньому порядку, таким чином зміцнюючи свій внутрішній авторитет. А в рамках роботи «Чому міжнародна співпраця зміцнює національних керівників: приклад Європейського співтовариства» (1995) Моравчик спирається на свої попередні ідеї, стверджуючи, що співпраця з ЄС не тільки зміцнює держави, але й посилює владу національних лідерів. Він стверджує, що рамки ЄС дозволяють лідерам проводити політику, яка може </w:t>
      </w:r>
      <w:r w:rsidRPr="005A23A5">
        <w:rPr>
          <w:rFonts w:eastAsiaTheme="minorEastAsia"/>
          <w:sz w:val="28"/>
          <w:szCs w:val="22"/>
          <w:lang w:eastAsia="ja-JP"/>
        </w:rPr>
        <w:lastRenderedPageBreak/>
        <w:t>зустріти опір усередині країни, відкладаючи відповідальність на міжнародний рівень і формулюючи цю політику як зобов</w:t>
      </w:r>
      <w:r w:rsidR="00C631E2">
        <w:rPr>
          <w:rFonts w:eastAsiaTheme="minorEastAsia"/>
          <w:sz w:val="28"/>
          <w:szCs w:val="22"/>
          <w:lang w:eastAsia="ja-JP"/>
        </w:rPr>
        <w:t>’</w:t>
      </w:r>
      <w:r w:rsidRPr="005A23A5">
        <w:rPr>
          <w:rFonts w:eastAsiaTheme="minorEastAsia"/>
          <w:sz w:val="28"/>
          <w:szCs w:val="22"/>
          <w:lang w:eastAsia="ja-JP"/>
        </w:rPr>
        <w:t>язання, випливаючи з зобов</w:t>
      </w:r>
      <w:r w:rsidR="00C631E2">
        <w:rPr>
          <w:rFonts w:eastAsiaTheme="minorEastAsia"/>
          <w:sz w:val="28"/>
          <w:szCs w:val="22"/>
          <w:lang w:eastAsia="ja-JP"/>
        </w:rPr>
        <w:t>’</w:t>
      </w:r>
      <w:r w:rsidRPr="005A23A5">
        <w:rPr>
          <w:rFonts w:eastAsiaTheme="minorEastAsia"/>
          <w:sz w:val="28"/>
          <w:szCs w:val="22"/>
          <w:lang w:eastAsia="ja-JP"/>
        </w:rPr>
        <w:t>язань ЄС. Це покращує здатність лідерів ефективно керувати, залучаючи ЄС для подолання внутрішніх політичних обмежень.</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Інші теоретичні дослідження </w:t>
      </w:r>
      <w:r w:rsidR="00BF07D7">
        <w:rPr>
          <w:rFonts w:eastAsiaTheme="minorEastAsia"/>
          <w:sz w:val="28"/>
          <w:szCs w:val="22"/>
          <w:lang w:eastAsia="ja-JP"/>
        </w:rPr>
        <w:t xml:space="preserve">К. </w:t>
      </w:r>
      <w:r w:rsidRPr="005A23A5">
        <w:rPr>
          <w:rFonts w:eastAsiaTheme="minorEastAsia"/>
          <w:sz w:val="28"/>
          <w:szCs w:val="22"/>
          <w:lang w:eastAsia="ja-JP"/>
        </w:rPr>
        <w:t xml:space="preserve">Бікертона та </w:t>
      </w:r>
      <w:r w:rsidR="00BF07D7">
        <w:rPr>
          <w:rFonts w:eastAsiaTheme="minorEastAsia"/>
          <w:sz w:val="28"/>
          <w:szCs w:val="22"/>
          <w:lang w:eastAsia="ja-JP"/>
        </w:rPr>
        <w:t xml:space="preserve">Д. </w:t>
      </w:r>
      <w:r w:rsidRPr="005A23A5">
        <w:rPr>
          <w:rFonts w:eastAsiaTheme="minorEastAsia"/>
          <w:sz w:val="28"/>
          <w:szCs w:val="22"/>
          <w:lang w:eastAsia="ja-JP"/>
        </w:rPr>
        <w:t>Ходсона (2015) «Новий міждержавний механізм і дослідження європейської інтеграції» та Акілатана (2020) «Ліберальний міждержавний рух: Огляд внеску Ендрю Моравчика в міжнародні відносини» відображають сучасне функціонування ліберального міжурядового підходу та його еволюцію, зокрема в рамках тривалого існування Європейського Союзу як самостійної інституційної організації на європейському просторі.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Розвиток європейської політики безпеки був сформований серією важливих документів, які відображають змінений підхід ЄС до глобальної та регіональної безпеки. Кожен із цих документів вніс певні ключові елементи та стратегічні орієнтири, відзначаючи ключові досягнення у європейській та міжнародній співпраці у сфері безпеки. Тому з метою глибокого аналізу європейської політики безпеки були досліджені: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1). Маастрихтський договір (1993), який заклав основу для зовнішньої політики та політики безпеки ЄС шляхом створення Спільної зовнішньої політики та політики безпеки. Він ознаменував важливу віху, формально запровадивши спільний підхід до безпеки, що призвело до збільшення спроможності ЄС врегулювати кризи та заклало основу для подальшого прогресу в оборонній співпраці. Це був перший крок ЄС до узгодженої політики безпеки, створення основи для колективних дипломатичних зусиль і військової співпраці.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2). Європейська стратегія безпеки «Безпечна Європа в кращому світі» (Солана, 2003), яка стала першим стратегічним документом ЄС, який окреслює єдине бачення європейської безпеки. В рамках першої європейської </w:t>
      </w:r>
      <w:r w:rsidRPr="005A23A5">
        <w:rPr>
          <w:rFonts w:eastAsiaTheme="minorEastAsia"/>
          <w:sz w:val="28"/>
          <w:szCs w:val="22"/>
          <w:lang w:eastAsia="ja-JP"/>
        </w:rPr>
        <w:lastRenderedPageBreak/>
        <w:t>стратегії визначені такі ключові загрози, як тероризм, розповсюдження зброї масового знищення та регіональні конфлікти, задаючи тон ролі ЄС як постачальника безпеки. Це забезпечило ЄС чітку стратегічну структуру та заклало основу для подальшої політики, наголошуючи на багатосторонності та превентивній участі у питаннях глобальної безпеки.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3). Звіт про реалізацію Європейської стратегії безпеки «Забезпечення безпеки у світі, що змінюється» (Солана, 2008), в якому оцінено прогрес ЄСБ 2003 року та оновлено її у світлі нових викликів, таких як глобальна фінансова криза та зростання проблем енергетичної безпеки. У звіті підкреслюється важливість співпраці з НАТО та іншими глобальними партнерами, водночас закликаючи до розширення можливостей і стратегічної автономії. У цьому звіті Х. Солана посилив увагу ЄС до стійкості до нових загроз, включаючи кібербезпеку та кліматичну безпеку, і надав дорожню карту для впровадження заходів безпеки.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4). Лісабонський договір (2009), який реформував інституційну структуру ЄС, зробивши політику безпеки та оборони більш узгодженою та чутливою. Він започаткував Спільну політику безпеки та оборони і створив посаду Верховного представника із закордонних справ і політики безпеки. Інституціоналізувавши політику безпеки та оборони, Лісабонський договір дозволив ЄС зайняти більш єдину позицію щодо питань безпеки, покращивши координацію та дозволивши спільні місії та оборонні ініціативи. Він запровадив «застереження про взаємну оборону» (стаття 42.7), яке дозволяло державам-членам ЄС пропонувати допомогу та сприяння одна одній у разі збройної агресії, що стало важливим кроком на шляху до політики колективної європейської оборони.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5). Глобальна стратегія зовнішньої політики та політики безпеки (</w:t>
      </w:r>
      <w:r w:rsidR="00324D9E">
        <w:rPr>
          <w:rFonts w:eastAsiaTheme="minorEastAsia"/>
          <w:sz w:val="28"/>
          <w:szCs w:val="22"/>
          <w:lang w:eastAsia="ja-JP"/>
        </w:rPr>
        <w:t xml:space="preserve">Ф. </w:t>
      </w:r>
      <w:r w:rsidRPr="005A23A5">
        <w:rPr>
          <w:rFonts w:eastAsiaTheme="minorEastAsia"/>
          <w:sz w:val="28"/>
          <w:szCs w:val="22"/>
          <w:lang w:eastAsia="ja-JP"/>
        </w:rPr>
        <w:t xml:space="preserve">Могеріні, 2016), яка представила широке бачення «сильнішої Європи», зосереджуючись на стійкості, безпеці та розбудові партнерських відносин. Ця </w:t>
      </w:r>
      <w:r w:rsidRPr="005A23A5">
        <w:rPr>
          <w:rFonts w:eastAsiaTheme="minorEastAsia"/>
          <w:sz w:val="28"/>
          <w:szCs w:val="22"/>
          <w:lang w:eastAsia="ja-JP"/>
        </w:rPr>
        <w:lastRenderedPageBreak/>
        <w:t>стратегія переосмислила підхід ЄС до безпеки, виступаючи за стратегічну автономію та наголошуючи на здатності ЄС діяти незалежно у сфері міжнародної безпеки. Вона також посилила прихильність ЄС спільній безпеці, заклавши основу для постійного структурованого співробітництва (PESCO) і надавши пріоритет кібербезпеці, боротьбі з тероризмом і врегулюванню криз.</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6). Новий стратегічний порядок денний на 2019-2024 роки (Європейська рада, 2019), який встановлює стратегічні пріоритети ЄС на п</w:t>
      </w:r>
      <w:r w:rsidR="00C631E2">
        <w:rPr>
          <w:rFonts w:eastAsiaTheme="minorEastAsia"/>
          <w:sz w:val="28"/>
          <w:szCs w:val="22"/>
          <w:lang w:eastAsia="ja-JP"/>
        </w:rPr>
        <w:t>’</w:t>
      </w:r>
      <w:r w:rsidRPr="005A23A5">
        <w:rPr>
          <w:rFonts w:eastAsiaTheme="minorEastAsia"/>
          <w:sz w:val="28"/>
          <w:szCs w:val="22"/>
          <w:lang w:eastAsia="ja-JP"/>
        </w:rPr>
        <w:t>ятирічний період, наголошуючи на «Захисті громадян і свобод», «Розвитку сильної та життєздатної економічної бази», «Побудові кліматично нейтр</w:t>
      </w:r>
      <w:r w:rsidR="00A46514">
        <w:rPr>
          <w:rFonts w:eastAsiaTheme="minorEastAsia"/>
          <w:sz w:val="28"/>
          <w:szCs w:val="22"/>
          <w:lang w:eastAsia="ja-JP"/>
        </w:rPr>
        <w:t>альної, зеленої, справедливої та соціальної Європи</w:t>
      </w:r>
      <w:r w:rsidRPr="005A23A5">
        <w:rPr>
          <w:rFonts w:eastAsiaTheme="minorEastAsia"/>
          <w:sz w:val="28"/>
          <w:szCs w:val="22"/>
          <w:lang w:eastAsia="ja-JP"/>
        </w:rPr>
        <w:t>» та «Просування європейських інтересів і цінностей на глобальній арені». У сфері безпеки порядок денний посилив зобов</w:t>
      </w:r>
      <w:r w:rsidR="00C631E2">
        <w:rPr>
          <w:rFonts w:eastAsiaTheme="minorEastAsia"/>
          <w:sz w:val="28"/>
          <w:szCs w:val="22"/>
          <w:lang w:eastAsia="ja-JP"/>
        </w:rPr>
        <w:t>’</w:t>
      </w:r>
      <w:r w:rsidRPr="005A23A5">
        <w:rPr>
          <w:rFonts w:eastAsiaTheme="minorEastAsia"/>
          <w:sz w:val="28"/>
          <w:szCs w:val="22"/>
          <w:lang w:eastAsia="ja-JP"/>
        </w:rPr>
        <w:t>язання щодо боротьби з гібридними загрозами, кібератаками та управління зовнішніми кордонами, зробивши безпеку опорою стратегічного напрямку ЄС. Він підкреслив стійкість, особливо до нових і нових загроз, і наголосив на сильній, автономній Європі в глобальному порядку.</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7). Стратегічний компас безпеки та оборони (2022), який мав на меті забезпечити більш чіткий напрямок для політики безпеки та оборони ЄС, зосередивши увагу на скороченні часу реагування та створенні сил швидкого реагування. Прийняття «Стратегічного компасу» сприяло конкретним крокам до оборонної автономії ЄС, включаючи створення сил швидкого розгортання чисельністю 5000 осіб. Це також відзначило значні інвестиції в кібербезпеку, обмін розвідданими та оперативні можливості, що дозволило ЄС ефективніше реагувати на кризи та гібридні загрози.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8). Щорічні звіти про хід впровадження «Стратегічного компасу безпеки та оборони» (2023, 2024), в яких оцінюється хід реалізації Стратегічного компасу, забезпечуючи підзвітність і відстежуючи досягнення </w:t>
      </w:r>
      <w:r w:rsidRPr="005A23A5">
        <w:rPr>
          <w:rFonts w:eastAsiaTheme="minorEastAsia"/>
          <w:sz w:val="28"/>
          <w:szCs w:val="22"/>
          <w:lang w:eastAsia="ja-JP"/>
        </w:rPr>
        <w:lastRenderedPageBreak/>
        <w:t>в сфері безпеки та оборони. У</w:t>
      </w:r>
      <w:r w:rsidR="00FE1D56">
        <w:rPr>
          <w:rFonts w:eastAsiaTheme="minorEastAsia"/>
          <w:sz w:val="28"/>
          <w:szCs w:val="22"/>
          <w:lang w:eastAsia="ja-JP"/>
        </w:rPr>
        <w:t xml:space="preserve"> </w:t>
      </w:r>
      <w:r w:rsidRPr="005A23A5">
        <w:rPr>
          <w:rFonts w:eastAsiaTheme="minorEastAsia"/>
          <w:sz w:val="28"/>
          <w:szCs w:val="22"/>
          <w:lang w:eastAsia="ja-JP"/>
        </w:rPr>
        <w:t>звітах задокументовано досягнення в оперативній готовності, створення можливостей швидкого реагування та посилення співпраці між силами оборони ЄС. Вони пропонують уявлення про недоліки та необхідні вдосконалення, зокрема в таких сферах, як логістика, кіберспроможності та розвідка, узгоджуючи дії ЄС зі стратегічними цілями.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Загалом за результатами аналізу документальної бази можна відмітити тенденції розвитку політики безпеки ЄС, яка поступово створила послідовну структуру для міжнародного співробітництва, оборонної автономії та стратегічного реагування на глобальні загрози. Завдяки офіційним документам та звітам організацій прослідковано прогрес ЄС від початкових амбіцій у сфері безпеки до дедалі наполегливішого та спроможного учасника безпеки на глобальній арені.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Окрім цього, під час написання даної дослідницької роботи використані промови та заяви посадових осіб та організацій, кожна з яких зробила свій внесок у розвиток дискурсу щодо європейської політики безпеки, відображаючи пріоритети, виклики та дух співпраці, що формує відповідь ЄС на останні кризи безпеки, особливо у світлі російсько-українського конфлікту. Наприклад, Заява членів Європейської ради у 2021 році прозвучала в період зростання проблем безпеки, саме тому в ній підкреслена необхідність європейської стратегічної автономії та поглибленої співпраці у сфері безпеки між державами-членами. Після російського вторгнення в Україну, Олаф Шольц у своїй Програмній заяві (2022) представив позицію Німеччини щодо європейської безпеки, виступаючи за більшу оборонну інтеграцію та стратегічну автономію ЄС, а також наголосив на необхідності зміцнення європейської опори в НАТО та важливості збільшення витрат на оборону серед держав-членів ЄС. На цьому ж тлі заява Президента Польщі щодо підтримки швидкого вступу України до ЄС (2022) та Високого представника із закордонних справ і політики безпеки у Данії (2022) </w:t>
      </w:r>
      <w:r w:rsidRPr="005A23A5">
        <w:rPr>
          <w:rFonts w:eastAsiaTheme="minorEastAsia"/>
          <w:sz w:val="28"/>
          <w:szCs w:val="22"/>
          <w:lang w:eastAsia="ja-JP"/>
        </w:rPr>
        <w:lastRenderedPageBreak/>
        <w:t>підкреслили відданість європейських держав підтримці миру в Україні та на всьому європейському просторі шляхом сприяння євроінтеграційним процесам та оборонній європейській політиці.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Зокрема важливо відзначити промову Президента Урсули фон дер Ляйєн (2022), яка стала ключовою для окреслення пріоритетів Європейської Комісії на тлі ескалації напруженості в Україні. Вона торкнулася відповіді ЄС на російське вторгнення, енергетичної безпеки та необхідності стратегічної автономії в обороні та критичній інфраструктурі. У своїй промові фон дер Ляйєн підтвердила підтримку ЄС з боку України та його зобов</w:t>
      </w:r>
      <w:r w:rsidR="00C631E2">
        <w:rPr>
          <w:rFonts w:eastAsiaTheme="minorEastAsia"/>
          <w:sz w:val="28"/>
          <w:szCs w:val="22"/>
          <w:lang w:eastAsia="ja-JP"/>
        </w:rPr>
        <w:t>’</w:t>
      </w:r>
      <w:r w:rsidRPr="005A23A5">
        <w:rPr>
          <w:rFonts w:eastAsiaTheme="minorEastAsia"/>
          <w:sz w:val="28"/>
          <w:szCs w:val="22"/>
          <w:lang w:eastAsia="ja-JP"/>
        </w:rPr>
        <w:t>язання зменшити залежність від російської енергії, що мало серйозні наслідки для європейської енергетичної безпеки та зовнішньої політики. Ця промова ознаменувала рішучу заяву про солідарність ЄС з Україною та заклик до стійкості проти авторитарних загроз, наголошуючи на необхідності для ЄС діяти рішуче для забезпечення своєї політичної та економічної стабільності.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Таким чином, ці заяви та промови разом відображають дедалі більшу відданість ЄС колективній безпеці, стратегічній автономії та підтримці східноєвропейських союзників. Вони являють собою віхи у відповіді ЄС на кризи, підкреслюючи європейську єдність і важливість зміцнення обороноздатності, водночас пропагуючи проактивний, орієнтований на цінності підхід до безпеки в мінливому глобальному порядку.</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Тематика європейської політики безпеки має широкий спектр аспектів та нюансів розвитку, через що до її дослідження були залучені не тільки зарубіжні, але й українські дослідники, кожен з яких зробив власний внесок та розкрив певну проблематику європейської безпеки. Наприклад, взаємодію </w:t>
      </w:r>
      <w:r w:rsidR="00C42BD0" w:rsidRPr="00C42BD0">
        <w:rPr>
          <w:rFonts w:eastAsiaTheme="minorEastAsia"/>
          <w:sz w:val="28"/>
          <w:szCs w:val="22"/>
          <w:lang w:eastAsia="ja-JP"/>
        </w:rPr>
        <w:t>Укра</w:t>
      </w:r>
      <w:r w:rsidR="00C42BD0">
        <w:rPr>
          <w:rFonts w:eastAsiaTheme="minorEastAsia"/>
          <w:sz w:val="28"/>
          <w:szCs w:val="22"/>
          <w:lang w:eastAsia="ja-JP"/>
        </w:rPr>
        <w:t>ї</w:t>
      </w:r>
      <w:r w:rsidR="00C42BD0" w:rsidRPr="00C42BD0">
        <w:rPr>
          <w:rFonts w:eastAsiaTheme="minorEastAsia"/>
          <w:sz w:val="28"/>
          <w:szCs w:val="22"/>
          <w:lang w:eastAsia="ja-JP"/>
        </w:rPr>
        <w:t xml:space="preserve">ни </w:t>
      </w:r>
      <w:r w:rsidRPr="005A23A5">
        <w:rPr>
          <w:rFonts w:eastAsiaTheme="minorEastAsia"/>
          <w:sz w:val="28"/>
          <w:szCs w:val="22"/>
          <w:lang w:eastAsia="ja-JP"/>
        </w:rPr>
        <w:t xml:space="preserve">та ЄС досліджували </w:t>
      </w:r>
      <w:r w:rsidR="00F42612">
        <w:rPr>
          <w:rFonts w:eastAsiaTheme="minorEastAsia"/>
          <w:sz w:val="28"/>
          <w:szCs w:val="22"/>
          <w:lang w:eastAsia="ja-JP"/>
        </w:rPr>
        <w:t xml:space="preserve">Н. </w:t>
      </w:r>
      <w:r w:rsidRPr="005A23A5">
        <w:rPr>
          <w:rFonts w:eastAsiaTheme="minorEastAsia"/>
          <w:sz w:val="28"/>
          <w:szCs w:val="22"/>
          <w:lang w:eastAsia="ja-JP"/>
        </w:rPr>
        <w:t xml:space="preserve">Середюк (2019) у своїй статті «Роль ЄС у реформуванні системи цивільної безпеки в Україні», в якій висвітлив роль ЄС у процесах трансформації сектору цивільної безпеки, а також адаптації європейських стандартів та принципів. </w:t>
      </w:r>
      <w:r w:rsidR="00F42612">
        <w:rPr>
          <w:rFonts w:eastAsiaTheme="minorEastAsia"/>
          <w:sz w:val="28"/>
          <w:szCs w:val="22"/>
          <w:lang w:eastAsia="ja-JP"/>
        </w:rPr>
        <w:t xml:space="preserve">Л. </w:t>
      </w:r>
      <w:r w:rsidRPr="005A23A5">
        <w:rPr>
          <w:rFonts w:eastAsiaTheme="minorEastAsia"/>
          <w:sz w:val="28"/>
          <w:szCs w:val="22"/>
          <w:lang w:eastAsia="ja-JP"/>
        </w:rPr>
        <w:t xml:space="preserve">Курносенко (2022) у «Проблеми та </w:t>
      </w:r>
      <w:r w:rsidRPr="005A23A5">
        <w:rPr>
          <w:rFonts w:eastAsiaTheme="minorEastAsia"/>
          <w:sz w:val="28"/>
          <w:szCs w:val="22"/>
          <w:lang w:eastAsia="ja-JP"/>
        </w:rPr>
        <w:lastRenderedPageBreak/>
        <w:t xml:space="preserve">особливості міжнародної фінансової підтримки України в умовах війни» дослідив фінансову підтримку України та роль ЄС у стабілізації української економіки в умовах повномасштабного вторгнення. </w:t>
      </w:r>
      <w:r w:rsidR="00F42612">
        <w:rPr>
          <w:rFonts w:eastAsiaTheme="minorEastAsia"/>
          <w:sz w:val="28"/>
          <w:szCs w:val="22"/>
          <w:lang w:eastAsia="ja-JP"/>
        </w:rPr>
        <w:t xml:space="preserve">С. </w:t>
      </w:r>
      <w:r w:rsidRPr="005A23A5">
        <w:rPr>
          <w:rFonts w:eastAsiaTheme="minorEastAsia"/>
          <w:sz w:val="28"/>
          <w:szCs w:val="22"/>
          <w:lang w:eastAsia="ja-JP"/>
        </w:rPr>
        <w:t xml:space="preserve">Віднянський (2022) в роботі «Україна – Європейський Союз: Новий етап взаємовідносин в умовах російсько-української війни 2014-2022 рр.» розкрив основні етапи еволюції відносин між ЄС та Україною на тлі російської агресії та потенційної подальшої загрози європейському простору, що допомогло зрозуміти, як війна в Україні змінила підходи ЄС до безпеки на Східному кордоні. Також у статті </w:t>
      </w:r>
      <w:r w:rsidR="00F42612">
        <w:rPr>
          <w:rFonts w:eastAsiaTheme="minorEastAsia"/>
          <w:sz w:val="28"/>
          <w:szCs w:val="22"/>
          <w:lang w:eastAsia="ja-JP"/>
        </w:rPr>
        <w:t xml:space="preserve">Л. </w:t>
      </w:r>
      <w:r w:rsidRPr="005A23A5">
        <w:rPr>
          <w:rFonts w:eastAsiaTheme="minorEastAsia"/>
          <w:sz w:val="28"/>
          <w:szCs w:val="22"/>
          <w:lang w:eastAsia="ja-JP"/>
        </w:rPr>
        <w:t>Коцура (2023) «Стратегії підтримки України від ЄС та НАТО у відповідь на повномасштабну агресію Російської Федерації» проаналізовано політику підтримки України, із акцентом на ЄС та НАТО як ключових факторів у стримування російської агресії.</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Становлення відносин ЄС та України розкриті також і в роботах зарубіжних дослідників. Канадський дослідник </w:t>
      </w:r>
      <w:r w:rsidR="00F42612">
        <w:rPr>
          <w:rFonts w:eastAsiaTheme="minorEastAsia"/>
          <w:sz w:val="28"/>
          <w:szCs w:val="22"/>
          <w:lang w:eastAsia="ja-JP"/>
        </w:rPr>
        <w:t xml:space="preserve">К. </w:t>
      </w:r>
      <w:r w:rsidRPr="005A23A5">
        <w:rPr>
          <w:rFonts w:eastAsiaTheme="minorEastAsia"/>
          <w:sz w:val="28"/>
          <w:szCs w:val="22"/>
          <w:lang w:eastAsia="ja-JP"/>
        </w:rPr>
        <w:t xml:space="preserve">Баррон (2022) у своїй статті «Анексія Криму та санкції ЄС: неефективна відповідь» проаналізував ефективність санкцій Європейського Союзу, накладених на Росію після анексії Криму в 2014 році, ставлячи під сумнів їхній вплив і досліджуючи причини їх передбачуваних обмежень у зміні дій Росії або впливу на її політичні рішення щодо України. Індонезійський науковець </w:t>
      </w:r>
      <w:r w:rsidR="00F42612">
        <w:rPr>
          <w:rFonts w:eastAsiaTheme="minorEastAsia"/>
          <w:sz w:val="28"/>
          <w:szCs w:val="22"/>
          <w:lang w:eastAsia="ja-JP"/>
        </w:rPr>
        <w:t xml:space="preserve">Б. </w:t>
      </w:r>
      <w:r w:rsidRPr="005A23A5">
        <w:rPr>
          <w:rFonts w:eastAsiaTheme="minorEastAsia"/>
          <w:sz w:val="28"/>
          <w:szCs w:val="22"/>
          <w:lang w:eastAsia="ja-JP"/>
        </w:rPr>
        <w:t xml:space="preserve">Новіато (2022) також аналізує європейські санкції проти Росії у статті «Санкції Європейського Союзу проти Росії як вплив російсько-українського конфлікту», однак вже після повномасштабного вторгнення, та оцінює, як конфлікт сформував політику ЄС, і обговорює передбачуваний і фактичний вплив санкцій на російську економіку та політичний ландшафт. Німецький дослідник </w:t>
      </w:r>
      <w:r w:rsidR="00F42612">
        <w:rPr>
          <w:rFonts w:eastAsiaTheme="minorEastAsia"/>
          <w:sz w:val="28"/>
          <w:szCs w:val="22"/>
          <w:lang w:eastAsia="ja-JP"/>
        </w:rPr>
        <w:t xml:space="preserve">Х. </w:t>
      </w:r>
      <w:r w:rsidRPr="005A23A5">
        <w:rPr>
          <w:rFonts w:eastAsiaTheme="minorEastAsia"/>
          <w:sz w:val="28"/>
          <w:szCs w:val="22"/>
          <w:lang w:eastAsia="ja-JP"/>
        </w:rPr>
        <w:t>Мауер та британські дослідники Вітмен і Райт у статті «ЄС і вторгнення в Україну: колективна відповідальність діяти?» (2023) досліджують колективну відповідальність ЄС у протидії вторгненню Росії в Україну, аналізуючи виклики та обов</w:t>
      </w:r>
      <w:r w:rsidR="00C631E2">
        <w:rPr>
          <w:rFonts w:eastAsiaTheme="minorEastAsia"/>
          <w:sz w:val="28"/>
          <w:szCs w:val="22"/>
          <w:lang w:eastAsia="ja-JP"/>
        </w:rPr>
        <w:t>’</w:t>
      </w:r>
      <w:r w:rsidRPr="005A23A5">
        <w:rPr>
          <w:rFonts w:eastAsiaTheme="minorEastAsia"/>
          <w:sz w:val="28"/>
          <w:szCs w:val="22"/>
          <w:lang w:eastAsia="ja-JP"/>
        </w:rPr>
        <w:t>язки, пов</w:t>
      </w:r>
      <w:r w:rsidR="00C631E2">
        <w:rPr>
          <w:rFonts w:eastAsiaTheme="minorEastAsia"/>
          <w:sz w:val="28"/>
          <w:szCs w:val="22"/>
          <w:lang w:eastAsia="ja-JP"/>
        </w:rPr>
        <w:t>’</w:t>
      </w:r>
      <w:r w:rsidRPr="005A23A5">
        <w:rPr>
          <w:rFonts w:eastAsiaTheme="minorEastAsia"/>
          <w:sz w:val="28"/>
          <w:szCs w:val="22"/>
          <w:lang w:eastAsia="ja-JP"/>
        </w:rPr>
        <w:t xml:space="preserve">язані з єдиною відповіддю </w:t>
      </w:r>
      <w:r w:rsidRPr="005A23A5">
        <w:rPr>
          <w:rFonts w:eastAsiaTheme="minorEastAsia"/>
          <w:sz w:val="28"/>
          <w:szCs w:val="22"/>
          <w:lang w:eastAsia="ja-JP"/>
        </w:rPr>
        <w:lastRenderedPageBreak/>
        <w:t>ЄС. Автори визначають, як вторгнення вплинуло на політичні рішення ЄС, колективну безпеку та дипломатичну позицію країн-членів ЄС.</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Повертаючись до українських науковців, вони також всебічно досліджували Європейську стратегію безпеки. Так, </w:t>
      </w:r>
      <w:r w:rsidR="005F7C46">
        <w:rPr>
          <w:rFonts w:eastAsiaTheme="minorEastAsia"/>
          <w:sz w:val="28"/>
          <w:szCs w:val="22"/>
          <w:lang w:eastAsia="ja-JP"/>
        </w:rPr>
        <w:t xml:space="preserve">О. </w:t>
      </w:r>
      <w:r w:rsidRPr="005A23A5">
        <w:rPr>
          <w:rFonts w:eastAsiaTheme="minorEastAsia"/>
          <w:sz w:val="28"/>
          <w:szCs w:val="22"/>
          <w:lang w:eastAsia="ja-JP"/>
        </w:rPr>
        <w:t xml:space="preserve">Александров (2011) у своїй статті «Щодо перспективи розробки нової редакції Європейської стратегії безпеки» проаналізував результати оновлення Європейської стратегії безпеки з огляду на нові загрози у мінливому світі, а </w:t>
      </w:r>
      <w:r w:rsidR="005F7C46">
        <w:rPr>
          <w:rFonts w:eastAsiaTheme="minorEastAsia"/>
          <w:sz w:val="28"/>
          <w:szCs w:val="22"/>
          <w:lang w:eastAsia="ja-JP"/>
        </w:rPr>
        <w:t xml:space="preserve">Б. </w:t>
      </w:r>
      <w:r w:rsidRPr="005A23A5">
        <w:rPr>
          <w:rFonts w:eastAsiaTheme="minorEastAsia"/>
          <w:sz w:val="28"/>
          <w:szCs w:val="22"/>
          <w:lang w:eastAsia="ja-JP"/>
        </w:rPr>
        <w:t xml:space="preserve">Горбач та </w:t>
      </w:r>
      <w:r w:rsidR="005F7C46">
        <w:rPr>
          <w:rFonts w:eastAsiaTheme="minorEastAsia"/>
          <w:sz w:val="28"/>
          <w:szCs w:val="22"/>
          <w:lang w:eastAsia="ja-JP"/>
        </w:rPr>
        <w:t xml:space="preserve">К. </w:t>
      </w:r>
      <w:r w:rsidRPr="005A23A5">
        <w:rPr>
          <w:rFonts w:eastAsiaTheme="minorEastAsia"/>
          <w:sz w:val="28"/>
          <w:szCs w:val="22"/>
          <w:lang w:eastAsia="ja-JP"/>
        </w:rPr>
        <w:t>Сигідус (2017) у статті «Порівняльний аналіз Європейської стратегії безпеки (2003) та Глобальної стратегії Європейського Союзу» провели порівняльний аналіз двох важливих стратегічних документів ЄС, показуючи їх розвиток у контексті змін у світовій політиці та ілюструючи еволюцію підходів ЄС до безпеки з урахуванням нових безпекових викликів на європейському просторі.</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У зарубіжних дослідженнях Європейським стратегіям безпеки теж приділена окрема увага. </w:t>
      </w:r>
      <w:r w:rsidR="00482D08">
        <w:rPr>
          <w:rFonts w:eastAsiaTheme="minorEastAsia"/>
          <w:sz w:val="28"/>
          <w:szCs w:val="22"/>
          <w:lang w:eastAsia="ja-JP"/>
        </w:rPr>
        <w:t xml:space="preserve">С. </w:t>
      </w:r>
      <w:r w:rsidRPr="005A23A5">
        <w:rPr>
          <w:rFonts w:eastAsiaTheme="minorEastAsia"/>
          <w:sz w:val="28"/>
          <w:szCs w:val="22"/>
          <w:lang w:eastAsia="ja-JP"/>
        </w:rPr>
        <w:t xml:space="preserve">Біскоп у своїх статтях «Європейська стратегія безпеки, що реалізує особливий підхід до безпеки» (2004) та «Основи оновленої Європейської стратегії безпеки» (2009) визначає роль </w:t>
      </w:r>
      <w:r w:rsidR="009322FC">
        <w:rPr>
          <w:rFonts w:eastAsiaTheme="minorEastAsia"/>
          <w:sz w:val="28"/>
          <w:szCs w:val="22"/>
          <w:lang w:eastAsia="ja-JP"/>
        </w:rPr>
        <w:t>Європейської стратегії безпеки в</w:t>
      </w:r>
      <w:r w:rsidRPr="005A23A5">
        <w:rPr>
          <w:rFonts w:eastAsiaTheme="minorEastAsia"/>
          <w:sz w:val="28"/>
          <w:szCs w:val="22"/>
          <w:lang w:eastAsia="ja-JP"/>
        </w:rPr>
        <w:t xml:space="preserve"> системі європейської безпекової політики, наголошуючи на м</w:t>
      </w:r>
      <w:r w:rsidR="00C631E2">
        <w:rPr>
          <w:rFonts w:eastAsiaTheme="minorEastAsia"/>
          <w:sz w:val="28"/>
          <w:szCs w:val="22"/>
          <w:lang w:eastAsia="ja-JP"/>
        </w:rPr>
        <w:t>’</w:t>
      </w:r>
      <w:r w:rsidRPr="005A23A5">
        <w:rPr>
          <w:rFonts w:eastAsiaTheme="minorEastAsia"/>
          <w:sz w:val="28"/>
          <w:szCs w:val="22"/>
          <w:lang w:eastAsia="ja-JP"/>
        </w:rPr>
        <w:t>якій силі, багатосторон</w:t>
      </w:r>
      <w:r w:rsidR="00F56624">
        <w:rPr>
          <w:rFonts w:eastAsiaTheme="minorEastAsia"/>
          <w:sz w:val="28"/>
          <w:szCs w:val="22"/>
          <w:lang w:eastAsia="ja-JP"/>
        </w:rPr>
        <w:t>ності та запобіганні конфліктам</w:t>
      </w:r>
      <w:r w:rsidRPr="005A23A5">
        <w:rPr>
          <w:rFonts w:eastAsiaTheme="minorEastAsia"/>
          <w:sz w:val="28"/>
          <w:szCs w:val="22"/>
          <w:lang w:eastAsia="ja-JP"/>
        </w:rPr>
        <w:t xml:space="preserve">. Британські дослідники </w:t>
      </w:r>
      <w:r w:rsidR="00482D08">
        <w:rPr>
          <w:rFonts w:eastAsiaTheme="minorEastAsia"/>
          <w:sz w:val="28"/>
          <w:szCs w:val="22"/>
          <w:lang w:eastAsia="ja-JP"/>
        </w:rPr>
        <w:t xml:space="preserve">М. </w:t>
      </w:r>
      <w:r w:rsidRPr="005A23A5">
        <w:rPr>
          <w:rFonts w:eastAsiaTheme="minorEastAsia"/>
          <w:sz w:val="28"/>
          <w:szCs w:val="22"/>
          <w:lang w:eastAsia="ja-JP"/>
        </w:rPr>
        <w:t xml:space="preserve">Леонард та </w:t>
      </w:r>
      <w:r w:rsidR="00482D08">
        <w:rPr>
          <w:rFonts w:eastAsiaTheme="minorEastAsia"/>
          <w:sz w:val="28"/>
          <w:szCs w:val="22"/>
          <w:lang w:eastAsia="ja-JP"/>
        </w:rPr>
        <w:t xml:space="preserve">Р. </w:t>
      </w:r>
      <w:r w:rsidRPr="005A23A5">
        <w:rPr>
          <w:rFonts w:eastAsiaTheme="minorEastAsia"/>
          <w:sz w:val="28"/>
          <w:szCs w:val="22"/>
          <w:lang w:eastAsia="ja-JP"/>
        </w:rPr>
        <w:t>Гован (2004) у статті «Глобальна Європа. Реалізація Європейської стратегії безпеки» всебічно досліджують застосування ЄСБ у глобальному масштабі, детально описуються стратегії ЄС щодо проектування безпеки за межі Європи та проблеми, пов</w:t>
      </w:r>
      <w:r w:rsidR="00C631E2">
        <w:rPr>
          <w:rFonts w:eastAsiaTheme="minorEastAsia"/>
          <w:sz w:val="28"/>
          <w:szCs w:val="22"/>
          <w:lang w:eastAsia="ja-JP"/>
        </w:rPr>
        <w:t>’</w:t>
      </w:r>
      <w:r w:rsidRPr="005A23A5">
        <w:rPr>
          <w:rFonts w:eastAsiaTheme="minorEastAsia"/>
          <w:sz w:val="28"/>
          <w:szCs w:val="22"/>
          <w:lang w:eastAsia="ja-JP"/>
        </w:rPr>
        <w:t>язані з вирішенням проблем глобальної безпеки.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На більш сучасному етапі нову Європейську стратегію безпеки досліджують </w:t>
      </w:r>
      <w:r w:rsidR="0033329F">
        <w:rPr>
          <w:rFonts w:eastAsiaTheme="minorEastAsia"/>
          <w:sz w:val="28"/>
          <w:szCs w:val="22"/>
          <w:lang w:eastAsia="ja-JP"/>
        </w:rPr>
        <w:t xml:space="preserve">А. </w:t>
      </w:r>
      <w:r w:rsidRPr="005A23A5">
        <w:rPr>
          <w:rFonts w:eastAsiaTheme="minorEastAsia"/>
          <w:sz w:val="28"/>
          <w:szCs w:val="22"/>
          <w:lang w:eastAsia="ja-JP"/>
        </w:rPr>
        <w:t xml:space="preserve">Бендієк та </w:t>
      </w:r>
      <w:r w:rsidR="0033329F">
        <w:rPr>
          <w:rFonts w:eastAsiaTheme="minorEastAsia"/>
          <w:sz w:val="28"/>
          <w:szCs w:val="22"/>
          <w:lang w:eastAsia="ja-JP"/>
        </w:rPr>
        <w:t xml:space="preserve">М. </w:t>
      </w:r>
      <w:r w:rsidRPr="005A23A5">
        <w:rPr>
          <w:rFonts w:eastAsiaTheme="minorEastAsia"/>
          <w:sz w:val="28"/>
          <w:szCs w:val="22"/>
          <w:lang w:eastAsia="ja-JP"/>
        </w:rPr>
        <w:t xml:space="preserve">Каїм (2015) у статті «Нова європейська стратегія безпеки – трансатлантичний фактор» та </w:t>
      </w:r>
      <w:r w:rsidR="0033329F">
        <w:rPr>
          <w:rFonts w:eastAsiaTheme="minorEastAsia"/>
          <w:sz w:val="28"/>
          <w:szCs w:val="22"/>
          <w:lang w:eastAsia="ja-JP"/>
        </w:rPr>
        <w:t xml:space="preserve">А. </w:t>
      </w:r>
      <w:r w:rsidRPr="005A23A5">
        <w:rPr>
          <w:rFonts w:eastAsiaTheme="minorEastAsia"/>
          <w:sz w:val="28"/>
          <w:szCs w:val="22"/>
          <w:lang w:eastAsia="ja-JP"/>
        </w:rPr>
        <w:t xml:space="preserve">Седе (2015) у статті «До нової європейської стратегії безпеки? Оцінка впливу змін у глобальному </w:t>
      </w:r>
      <w:r w:rsidRPr="005A23A5">
        <w:rPr>
          <w:rFonts w:eastAsiaTheme="minorEastAsia"/>
          <w:sz w:val="28"/>
          <w:szCs w:val="22"/>
          <w:lang w:eastAsia="ja-JP"/>
        </w:rPr>
        <w:lastRenderedPageBreak/>
        <w:t xml:space="preserve">безпековому середовищі», в якій вони аналізують передумови становлення Глобальної стратегії безпеки. А вже </w:t>
      </w:r>
      <w:r w:rsidR="0033329F">
        <w:rPr>
          <w:rFonts w:eastAsiaTheme="minorEastAsia"/>
          <w:sz w:val="28"/>
          <w:szCs w:val="22"/>
          <w:lang w:eastAsia="ja-JP"/>
        </w:rPr>
        <w:t xml:space="preserve">П. </w:t>
      </w:r>
      <w:r w:rsidRPr="005A23A5">
        <w:rPr>
          <w:rFonts w:eastAsiaTheme="minorEastAsia"/>
          <w:sz w:val="28"/>
          <w:szCs w:val="22"/>
          <w:lang w:eastAsia="ja-JP"/>
        </w:rPr>
        <w:t xml:space="preserve">Морілас та </w:t>
      </w:r>
      <w:r w:rsidR="0033329F">
        <w:rPr>
          <w:rFonts w:eastAsiaTheme="minorEastAsia"/>
          <w:sz w:val="28"/>
          <w:szCs w:val="22"/>
          <w:lang w:eastAsia="ja-JP"/>
        </w:rPr>
        <w:t xml:space="preserve">Т. </w:t>
      </w:r>
      <w:r w:rsidRPr="005A23A5">
        <w:rPr>
          <w:rFonts w:eastAsiaTheme="minorEastAsia"/>
          <w:sz w:val="28"/>
          <w:szCs w:val="22"/>
          <w:lang w:eastAsia="ja-JP"/>
        </w:rPr>
        <w:t>Уолл у своїх роботах «Розробка стратегії в ЄС. Від зовнішньої політики та політики безпеки до зовнішніх дій» (2019) та «Комісія: Нова стратегія для Союзу безпеки ЄС» (2020) відповідно аналізують змінений підхід ЄС до розробки стратегії, зосереджуючись на інтеграції зовнішньої політики, політики безпеки та зовнішньої політики, зокрема організованої злочинності, тероризму та кібербезпеки.</w:t>
      </w:r>
    </w:p>
    <w:p w:rsidR="005A23A5" w:rsidRP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У формуванні безпекової системи Європи важливу та безпосередню роль відіграло НАТО, з яким на регулярному базису будується оборонна взаємодія Європейського Союзу. Дослідили цю взаємодію британський дослідник </w:t>
      </w:r>
      <w:r w:rsidR="0033329F">
        <w:rPr>
          <w:rFonts w:eastAsiaTheme="minorEastAsia"/>
          <w:sz w:val="28"/>
          <w:szCs w:val="22"/>
          <w:lang w:eastAsia="ja-JP"/>
        </w:rPr>
        <w:t xml:space="preserve">С. </w:t>
      </w:r>
      <w:r w:rsidRPr="005A23A5">
        <w:rPr>
          <w:rFonts w:eastAsiaTheme="minorEastAsia"/>
          <w:sz w:val="28"/>
          <w:szCs w:val="22"/>
          <w:lang w:eastAsia="ja-JP"/>
        </w:rPr>
        <w:t>Дюк (2008) «Майбутнє відносин ЄС-НАТО: вихід із взаємної неузгодженості через конкуренцію?», зосередившись на викликах, пов</w:t>
      </w:r>
      <w:r w:rsidR="00C631E2">
        <w:rPr>
          <w:rFonts w:eastAsiaTheme="minorEastAsia"/>
          <w:sz w:val="28"/>
          <w:szCs w:val="22"/>
          <w:lang w:eastAsia="ja-JP"/>
        </w:rPr>
        <w:t>’</w:t>
      </w:r>
      <w:r w:rsidRPr="005A23A5">
        <w:rPr>
          <w:rFonts w:eastAsiaTheme="minorEastAsia"/>
          <w:sz w:val="28"/>
          <w:szCs w:val="22"/>
          <w:lang w:eastAsia="ja-JP"/>
        </w:rPr>
        <w:t>язаних із дублюванням обов</w:t>
      </w:r>
      <w:r w:rsidR="00C631E2">
        <w:rPr>
          <w:rFonts w:eastAsiaTheme="minorEastAsia"/>
          <w:sz w:val="28"/>
          <w:szCs w:val="22"/>
          <w:lang w:eastAsia="ja-JP"/>
        </w:rPr>
        <w:t>’</w:t>
      </w:r>
      <w:r w:rsidRPr="005A23A5">
        <w:rPr>
          <w:rFonts w:eastAsiaTheme="minorEastAsia"/>
          <w:sz w:val="28"/>
          <w:szCs w:val="22"/>
          <w:lang w:eastAsia="ja-JP"/>
        </w:rPr>
        <w:t xml:space="preserve">язків і різними стратегічними інтересами, а </w:t>
      </w:r>
      <w:r w:rsidR="0033329F">
        <w:rPr>
          <w:rFonts w:eastAsiaTheme="minorEastAsia"/>
          <w:sz w:val="28"/>
          <w:szCs w:val="22"/>
          <w:lang w:eastAsia="ja-JP"/>
        </w:rPr>
        <w:t xml:space="preserve">Н. </w:t>
      </w:r>
      <w:r w:rsidRPr="005A23A5">
        <w:rPr>
          <w:rFonts w:eastAsiaTheme="minorEastAsia"/>
          <w:sz w:val="28"/>
          <w:szCs w:val="22"/>
          <w:lang w:eastAsia="ja-JP"/>
        </w:rPr>
        <w:t>Грейгер в рамках дослідження «Європейська безпека як практика: чи створено практичні спільноти ЄС-НАТО?» (2016) проаналізував концепцію «практичних співтовариств» з метою з</w:t>
      </w:r>
      <w:r w:rsidR="00C631E2">
        <w:rPr>
          <w:rFonts w:eastAsiaTheme="minorEastAsia"/>
          <w:sz w:val="28"/>
          <w:szCs w:val="22"/>
          <w:lang w:eastAsia="ja-JP"/>
        </w:rPr>
        <w:t>’</w:t>
      </w:r>
      <w:r w:rsidRPr="005A23A5">
        <w:rPr>
          <w:rFonts w:eastAsiaTheme="minorEastAsia"/>
          <w:sz w:val="28"/>
          <w:szCs w:val="22"/>
          <w:lang w:eastAsia="ja-JP"/>
        </w:rPr>
        <w:t xml:space="preserve">ясування, чи можуть спільні цілі та практики покращити співпрацю та зменшити інституційні невідповідності. Румунський науковець </w:t>
      </w:r>
      <w:r w:rsidR="0033329F">
        <w:rPr>
          <w:rFonts w:eastAsiaTheme="minorEastAsia"/>
          <w:sz w:val="28"/>
          <w:szCs w:val="22"/>
          <w:lang w:eastAsia="ja-JP"/>
        </w:rPr>
        <w:t xml:space="preserve">О. </w:t>
      </w:r>
      <w:r w:rsidRPr="005A23A5">
        <w:rPr>
          <w:rFonts w:eastAsiaTheme="minorEastAsia"/>
          <w:sz w:val="28"/>
          <w:szCs w:val="22"/>
          <w:lang w:eastAsia="ja-JP"/>
        </w:rPr>
        <w:t>Мойзе у власній роботі «Партнерство НАТО-ЄС: сприяння стійкості для спільного простору безпеки» (2017) розглядає партнерство між НАТО та ЄС, спрямоване на стійкість, наголошуючи на співпраці в галузі кібербезпеки, б</w:t>
      </w:r>
      <w:r w:rsidR="00E20BF9">
        <w:rPr>
          <w:rFonts w:eastAsiaTheme="minorEastAsia"/>
          <w:sz w:val="28"/>
          <w:szCs w:val="22"/>
          <w:lang w:eastAsia="ja-JP"/>
        </w:rPr>
        <w:t>оротьби з тероризмом і гібридними</w:t>
      </w:r>
      <w:r w:rsidRPr="005A23A5">
        <w:rPr>
          <w:rFonts w:eastAsiaTheme="minorEastAsia"/>
          <w:sz w:val="28"/>
          <w:szCs w:val="22"/>
          <w:lang w:eastAsia="ja-JP"/>
        </w:rPr>
        <w:t xml:space="preserve"> загроз</w:t>
      </w:r>
      <w:r w:rsidR="00E20BF9">
        <w:rPr>
          <w:rFonts w:eastAsiaTheme="minorEastAsia"/>
          <w:sz w:val="28"/>
          <w:szCs w:val="22"/>
          <w:lang w:eastAsia="ja-JP"/>
        </w:rPr>
        <w:t>ами</w:t>
      </w:r>
      <w:r w:rsidRPr="005A23A5">
        <w:rPr>
          <w:rFonts w:eastAsiaTheme="minorEastAsia"/>
          <w:sz w:val="28"/>
          <w:szCs w:val="22"/>
          <w:lang w:eastAsia="ja-JP"/>
        </w:rPr>
        <w:t>, а також стверджує, що розбудова стійкості є важливою для згуртованого європейського простору безпеки.</w:t>
      </w:r>
    </w:p>
    <w:p w:rsidR="005A23A5" w:rsidRDefault="005A23A5" w:rsidP="00713BAF">
      <w:pPr>
        <w:spacing w:line="360" w:lineRule="auto"/>
        <w:ind w:firstLine="709"/>
        <w:rPr>
          <w:rFonts w:eastAsiaTheme="minorEastAsia"/>
          <w:sz w:val="28"/>
          <w:szCs w:val="22"/>
          <w:lang w:eastAsia="ja-JP"/>
        </w:rPr>
      </w:pPr>
      <w:r w:rsidRPr="005A23A5">
        <w:rPr>
          <w:rFonts w:eastAsiaTheme="minorEastAsia"/>
          <w:sz w:val="28"/>
          <w:szCs w:val="22"/>
          <w:lang w:eastAsia="ja-JP"/>
        </w:rPr>
        <w:t xml:space="preserve">Останньою віхою європейської структури безпеки наразі є «Стратегічний компас безпеки та оборони», прийнятий у 2022 році з урахуванням нових геополітичних викликів, а саме – повномасштабного вторгнення Росії на територію України. Таким чином, </w:t>
      </w:r>
      <w:r w:rsidR="0009528B">
        <w:rPr>
          <w:rFonts w:eastAsiaTheme="minorEastAsia"/>
          <w:sz w:val="28"/>
          <w:szCs w:val="22"/>
          <w:lang w:eastAsia="ja-JP"/>
        </w:rPr>
        <w:t xml:space="preserve">І. </w:t>
      </w:r>
      <w:r w:rsidRPr="005A23A5">
        <w:rPr>
          <w:rFonts w:eastAsiaTheme="minorEastAsia"/>
          <w:sz w:val="28"/>
          <w:szCs w:val="22"/>
          <w:lang w:eastAsia="ja-JP"/>
        </w:rPr>
        <w:t xml:space="preserve">Джорескі у </w:t>
      </w:r>
      <w:r w:rsidRPr="005A23A5">
        <w:rPr>
          <w:rFonts w:eastAsiaTheme="minorEastAsia"/>
          <w:sz w:val="28"/>
          <w:szCs w:val="22"/>
          <w:lang w:eastAsia="ja-JP"/>
        </w:rPr>
        <w:lastRenderedPageBreak/>
        <w:t xml:space="preserve">дослідженні «Аналіз стратегічних положень Стратегічного компасу ЄС з безпеки та оборони» (2022) надає поглиблений аналіз «Стратегічного компасу», оцінюючи його ключові положення та передбачувані цілі для зміцнення безпеки та оборони ЄС, а також підкреслюючи його потенційний вплив на обороноздатність і стратегічну автономію ЄС. </w:t>
      </w:r>
      <w:r w:rsidR="0009528B">
        <w:rPr>
          <w:rFonts w:eastAsiaTheme="minorEastAsia"/>
          <w:sz w:val="28"/>
          <w:szCs w:val="22"/>
          <w:lang w:eastAsia="ja-JP"/>
        </w:rPr>
        <w:t xml:space="preserve">М. </w:t>
      </w:r>
      <w:r w:rsidRPr="005A23A5">
        <w:rPr>
          <w:rFonts w:eastAsiaTheme="minorEastAsia"/>
          <w:sz w:val="28"/>
          <w:szCs w:val="22"/>
          <w:lang w:eastAsia="ja-JP"/>
        </w:rPr>
        <w:t>Соос (2023) «Дослідження динаміки змін у політиці безпеки та оборони ЄС: підприємці політики в стратегічному компасі» аналізує, як «політичні підприємці» в ЄС впливають на зміни в безпеці та обороні, зокрема в контексті «Стратегічного компасу», у тому числі досліджуючи взаємодію між окремими лідерами та інституційними змінами, які спонукають до еволюції політики.</w:t>
      </w:r>
    </w:p>
    <w:p w:rsidR="00DB65CD" w:rsidRDefault="00DB65CD" w:rsidP="00713BAF">
      <w:pPr>
        <w:spacing w:line="360" w:lineRule="auto"/>
        <w:ind w:firstLine="709"/>
        <w:rPr>
          <w:rFonts w:eastAsiaTheme="minorEastAsia"/>
          <w:sz w:val="28"/>
          <w:szCs w:val="22"/>
          <w:lang w:eastAsia="ja-JP"/>
        </w:rPr>
      </w:pPr>
      <w:r w:rsidRPr="00DB65CD">
        <w:rPr>
          <w:rFonts w:eastAsiaTheme="minorEastAsia"/>
          <w:sz w:val="28"/>
          <w:szCs w:val="22"/>
          <w:lang w:eastAsia="ja-JP"/>
        </w:rPr>
        <w:t>Таким чином, використання праць іноземних дослідників під час написання даного дослідження має вирішальне значення, оскільки іноземні дослідники часто пропонують унікальні погляди, сформовані їх власними проблемами національної безпеки, історичним досвідом і регіональним контекстом. Ця різноманітність розширює аналітичні рамки та допомагає запобігти односторонньому тлумаченню складних питань безпеки.</w:t>
      </w:r>
    </w:p>
    <w:p w:rsidR="00765C7C" w:rsidRDefault="003B6D19" w:rsidP="00713BAF">
      <w:pPr>
        <w:spacing w:line="360" w:lineRule="auto"/>
        <w:ind w:firstLine="709"/>
        <w:rPr>
          <w:rFonts w:eastAsiaTheme="minorEastAsia"/>
          <w:sz w:val="28"/>
          <w:szCs w:val="22"/>
          <w:lang w:eastAsia="ja-JP"/>
        </w:rPr>
      </w:pPr>
      <w:r w:rsidRPr="003B6D19">
        <w:rPr>
          <w:rFonts w:eastAsiaTheme="minorEastAsia"/>
          <w:sz w:val="28"/>
          <w:szCs w:val="22"/>
          <w:lang w:eastAsia="ja-JP"/>
        </w:rPr>
        <w:t>Категоріальний апарат даного дослідження визна</w:t>
      </w:r>
      <w:r w:rsidR="00765C7C">
        <w:rPr>
          <w:rFonts w:eastAsiaTheme="minorEastAsia"/>
          <w:sz w:val="28"/>
          <w:szCs w:val="22"/>
          <w:lang w:eastAsia="ja-JP"/>
        </w:rPr>
        <w:t>чається наступними категоріями:</w:t>
      </w:r>
    </w:p>
    <w:p w:rsidR="00765C7C" w:rsidRPr="00765C7C" w:rsidRDefault="00765C7C" w:rsidP="00FB4C7E">
      <w:pPr>
        <w:pStyle w:val="a8"/>
        <w:numPr>
          <w:ilvl w:val="0"/>
          <w:numId w:val="9"/>
        </w:numPr>
        <w:spacing w:line="360" w:lineRule="auto"/>
        <w:ind w:left="709"/>
        <w:rPr>
          <w:rFonts w:eastAsiaTheme="minorEastAsia"/>
          <w:sz w:val="28"/>
          <w:szCs w:val="22"/>
          <w:lang w:eastAsia="ja-JP"/>
        </w:rPr>
      </w:pPr>
      <w:r w:rsidRPr="00765C7C">
        <w:rPr>
          <w:rFonts w:eastAsiaTheme="minorEastAsia"/>
          <w:sz w:val="28"/>
          <w:szCs w:val="22"/>
          <w:lang w:eastAsia="ja-JP"/>
        </w:rPr>
        <w:t>Європейська система безпеки – комплекс політичних, правових, військових, економічних та дипломатичних заходів і структур, спрямованих на забезпечення стабільності, миру і безпеки в Європі. Вона включає міжнародні організації (наприклад, Європейський Союз, НАТО, ОБСЄ), угоди (наприклад, Лісабонський договір) та ініціативи, спрямовані на запобігання конфліктам, боротьбу з загрозами і підтримку прав людини.</w:t>
      </w:r>
    </w:p>
    <w:p w:rsidR="00765C7C" w:rsidRPr="00765C7C" w:rsidRDefault="00FB4C7E" w:rsidP="00FB4C7E">
      <w:pPr>
        <w:pStyle w:val="a8"/>
        <w:numPr>
          <w:ilvl w:val="0"/>
          <w:numId w:val="9"/>
        </w:numPr>
        <w:spacing w:line="360" w:lineRule="auto"/>
        <w:ind w:left="709"/>
        <w:rPr>
          <w:rFonts w:eastAsiaTheme="minorEastAsia"/>
          <w:sz w:val="28"/>
          <w:szCs w:val="22"/>
          <w:lang w:eastAsia="ja-JP"/>
        </w:rPr>
      </w:pPr>
      <w:r>
        <w:rPr>
          <w:rFonts w:eastAsiaTheme="minorEastAsia"/>
          <w:sz w:val="28"/>
          <w:szCs w:val="22"/>
          <w:lang w:eastAsia="ja-JP"/>
        </w:rPr>
        <w:t>М</w:t>
      </w:r>
      <w:r w:rsidR="00765C7C" w:rsidRPr="00765C7C">
        <w:rPr>
          <w:rFonts w:eastAsiaTheme="minorEastAsia"/>
          <w:sz w:val="28"/>
          <w:szCs w:val="22"/>
          <w:lang w:eastAsia="ja-JP"/>
        </w:rPr>
        <w:t>ирне співіснування</w:t>
      </w:r>
      <w:r>
        <w:rPr>
          <w:rFonts w:eastAsiaTheme="minorEastAsia"/>
          <w:sz w:val="28"/>
          <w:szCs w:val="22"/>
          <w:lang w:eastAsia="ja-JP"/>
        </w:rPr>
        <w:t xml:space="preserve"> – </w:t>
      </w:r>
      <w:r w:rsidRPr="00FB4C7E">
        <w:rPr>
          <w:rFonts w:eastAsiaTheme="minorEastAsia"/>
          <w:sz w:val="28"/>
          <w:szCs w:val="22"/>
          <w:lang w:eastAsia="ja-JP"/>
        </w:rPr>
        <w:t xml:space="preserve">концепція міжнародних відносин, яка передбачає співпрацю держав із різними політичними системами на основі взаємоповаги, суверенітету, </w:t>
      </w:r>
      <w:r>
        <w:rPr>
          <w:rFonts w:eastAsiaTheme="minorEastAsia"/>
          <w:sz w:val="28"/>
          <w:szCs w:val="22"/>
          <w:lang w:eastAsia="ja-JP"/>
        </w:rPr>
        <w:t>відмови від війни і насильства.</w:t>
      </w:r>
    </w:p>
    <w:p w:rsidR="00765C7C" w:rsidRPr="00765C7C" w:rsidRDefault="00FB4C7E" w:rsidP="00FB4C7E">
      <w:pPr>
        <w:pStyle w:val="a8"/>
        <w:numPr>
          <w:ilvl w:val="0"/>
          <w:numId w:val="9"/>
        </w:numPr>
        <w:spacing w:line="360" w:lineRule="auto"/>
        <w:ind w:left="709"/>
        <w:rPr>
          <w:rFonts w:eastAsiaTheme="minorEastAsia"/>
          <w:sz w:val="28"/>
          <w:szCs w:val="22"/>
          <w:lang w:eastAsia="ja-JP"/>
        </w:rPr>
      </w:pPr>
      <w:r>
        <w:rPr>
          <w:rFonts w:eastAsiaTheme="minorEastAsia"/>
          <w:sz w:val="28"/>
          <w:szCs w:val="22"/>
          <w:lang w:eastAsia="ja-JP"/>
        </w:rPr>
        <w:lastRenderedPageBreak/>
        <w:t>К</w:t>
      </w:r>
      <w:r w:rsidR="003B6D19" w:rsidRPr="00765C7C">
        <w:rPr>
          <w:rFonts w:eastAsiaTheme="minorEastAsia"/>
          <w:sz w:val="28"/>
          <w:szCs w:val="22"/>
          <w:lang w:eastAsia="ja-JP"/>
        </w:rPr>
        <w:t>онфлікти на європейськ</w:t>
      </w:r>
      <w:r>
        <w:rPr>
          <w:rFonts w:eastAsiaTheme="minorEastAsia"/>
          <w:sz w:val="28"/>
          <w:szCs w:val="22"/>
          <w:lang w:eastAsia="ja-JP"/>
        </w:rPr>
        <w:t xml:space="preserve">ому просторі та нестабільність – </w:t>
      </w:r>
      <w:r w:rsidRPr="00FB4C7E">
        <w:rPr>
          <w:rFonts w:eastAsiaTheme="minorEastAsia"/>
          <w:sz w:val="28"/>
          <w:szCs w:val="22"/>
          <w:lang w:eastAsia="ja-JP"/>
        </w:rPr>
        <w:t>сукупність політичних, економічних і соціальних криз або збройних конфліктів, які вплив</w:t>
      </w:r>
      <w:r>
        <w:rPr>
          <w:rFonts w:eastAsiaTheme="minorEastAsia"/>
          <w:sz w:val="28"/>
          <w:szCs w:val="22"/>
          <w:lang w:eastAsia="ja-JP"/>
        </w:rPr>
        <w:t>ають на мир і безпеку в регіоні, основними факторами яких етнічні та територіальні суперечки, соціально-економічна нерівність, зовнішні втручання та проблеми тероризму.</w:t>
      </w:r>
    </w:p>
    <w:p w:rsidR="003B6D19" w:rsidRDefault="003B6D19" w:rsidP="00713BAF">
      <w:pPr>
        <w:spacing w:line="360" w:lineRule="auto"/>
        <w:ind w:firstLine="709"/>
        <w:rPr>
          <w:rFonts w:eastAsiaTheme="minorEastAsia"/>
          <w:sz w:val="28"/>
          <w:szCs w:val="22"/>
          <w:lang w:eastAsia="ja-JP"/>
        </w:rPr>
      </w:pPr>
      <w:r w:rsidRPr="003B6D19">
        <w:rPr>
          <w:rFonts w:eastAsiaTheme="minorEastAsia"/>
          <w:sz w:val="28"/>
          <w:szCs w:val="22"/>
          <w:lang w:eastAsia="ja-JP"/>
        </w:rPr>
        <w:t>Вибір даних категорій зумовлений тим, що СЗППБ ЄС має безпосередній вплив на існування та функціонування безпекового механізму ЄС та його імплементацію на європейському просторі.</w:t>
      </w:r>
    </w:p>
    <w:p w:rsidR="00DB65CD" w:rsidRPr="00DB65CD" w:rsidRDefault="00DB65CD" w:rsidP="00713BAF">
      <w:pPr>
        <w:spacing w:line="360" w:lineRule="auto"/>
        <w:ind w:firstLine="709"/>
        <w:rPr>
          <w:rFonts w:eastAsiaTheme="minorEastAsia"/>
          <w:sz w:val="28"/>
          <w:szCs w:val="22"/>
          <w:lang w:eastAsia="ja-JP"/>
        </w:rPr>
      </w:pPr>
      <w:r w:rsidRPr="00DB65CD">
        <w:rPr>
          <w:rFonts w:eastAsiaTheme="minorEastAsia"/>
          <w:sz w:val="28"/>
          <w:szCs w:val="22"/>
          <w:lang w:eastAsia="ja-JP"/>
        </w:rPr>
        <w:t xml:space="preserve">Узагальнюючи представлений матеріал, можна </w:t>
      </w:r>
      <w:r w:rsidR="003B6D19">
        <w:rPr>
          <w:rFonts w:eastAsiaTheme="minorEastAsia"/>
          <w:sz w:val="28"/>
          <w:szCs w:val="22"/>
          <w:lang w:eastAsia="ja-JP"/>
        </w:rPr>
        <w:t xml:space="preserve">також </w:t>
      </w:r>
      <w:r w:rsidRPr="00DB65CD">
        <w:rPr>
          <w:rFonts w:eastAsiaTheme="minorEastAsia"/>
          <w:sz w:val="28"/>
          <w:szCs w:val="22"/>
          <w:lang w:eastAsia="ja-JP"/>
        </w:rPr>
        <w:t>зробити висновок, що ліберальний міжурядовий підхід, запропонований Ендрю Моравчіком, є адаптованою формою класичного міжурядового підходу, яка враховує як національні інтереси, так і вплив внутрішньодержавних процесів на міжнародні відносини. Цей підхід пропонує дво- або трирівневу модель аналізу інтеграції, яка включає формування внутрішньодержавних інтересів, міжурядові переговори та інституційний вибір. Таким чином, європейська інтеграція розглядається як результат раціонального компромісу між національними інтересами, що зміцнює державний суверенітет через ефективну співпрацю в</w:t>
      </w:r>
      <w:r>
        <w:rPr>
          <w:rFonts w:eastAsiaTheme="minorEastAsia"/>
          <w:sz w:val="28"/>
          <w:szCs w:val="22"/>
          <w:lang w:eastAsia="ja-JP"/>
        </w:rPr>
        <w:t xml:space="preserve"> рамках інтеграційних структур.</w:t>
      </w:r>
    </w:p>
    <w:p w:rsidR="00521003" w:rsidRPr="005A23A5" w:rsidRDefault="00DB65CD" w:rsidP="003B6D19">
      <w:pPr>
        <w:spacing w:after="160" w:line="360" w:lineRule="auto"/>
        <w:ind w:firstLine="709"/>
        <w:rPr>
          <w:rFonts w:eastAsiaTheme="minorEastAsia"/>
          <w:sz w:val="28"/>
          <w:szCs w:val="22"/>
          <w:lang w:eastAsia="ja-JP"/>
        </w:rPr>
      </w:pPr>
      <w:r w:rsidRPr="00DB65CD">
        <w:rPr>
          <w:rFonts w:eastAsiaTheme="minorEastAsia"/>
          <w:sz w:val="28"/>
          <w:szCs w:val="22"/>
          <w:lang w:eastAsia="ja-JP"/>
        </w:rPr>
        <w:t xml:space="preserve">Водночас сучасні дослідження вказують на те, що інтеграційні процеси в ЄС супроводжуються парадоксальними явищами. Попри поглиблення співпраці, очікуваний рівень наднаціоналізму не реалізується, а держави зберігають ключову роль у прийнятті рішень. Застосування міжурядового підходу дозволяє вивчати політичні та економічні механізми євроінтеграції, враховуючи інтереси, цінності та </w:t>
      </w:r>
      <w:r>
        <w:rPr>
          <w:rFonts w:eastAsiaTheme="minorEastAsia"/>
          <w:sz w:val="28"/>
          <w:szCs w:val="22"/>
          <w:lang w:eastAsia="ja-JP"/>
        </w:rPr>
        <w:t>стратегії кожної держави-члена.</w:t>
      </w:r>
      <w:r w:rsidR="003B6D19">
        <w:rPr>
          <w:rFonts w:eastAsiaTheme="minorEastAsia"/>
          <w:sz w:val="28"/>
          <w:szCs w:val="22"/>
          <w:lang w:eastAsia="ja-JP"/>
        </w:rPr>
        <w:t xml:space="preserve"> </w:t>
      </w:r>
      <w:r w:rsidRPr="00DB65CD">
        <w:rPr>
          <w:rFonts w:eastAsiaTheme="minorEastAsia"/>
          <w:sz w:val="28"/>
          <w:szCs w:val="22"/>
          <w:lang w:eastAsia="ja-JP"/>
        </w:rPr>
        <w:t>Таким чином, цей підхід сприяє розумінню балансу між суверенітетом та співпрацею, що є центральним у функціонуванні ЄС, та забезпечує можливість аналізу ефективності демократичного контролю й легітимності прийняття рішень у рамках спільної зовнішньої політики та політики безпеки.</w:t>
      </w:r>
      <w:r w:rsidR="00521003">
        <w:rPr>
          <w:sz w:val="28"/>
          <w:szCs w:val="28"/>
        </w:rPr>
        <w:br w:type="page"/>
      </w:r>
    </w:p>
    <w:p w:rsidR="00D7691B" w:rsidRPr="00D7691B" w:rsidRDefault="00521003" w:rsidP="00D7691B">
      <w:pPr>
        <w:spacing w:line="360" w:lineRule="auto"/>
        <w:jc w:val="center"/>
        <w:rPr>
          <w:rFonts w:eastAsiaTheme="minorEastAsia"/>
          <w:sz w:val="28"/>
          <w:szCs w:val="22"/>
          <w:lang w:eastAsia="ja-JP"/>
        </w:rPr>
      </w:pPr>
      <w:r>
        <w:rPr>
          <w:sz w:val="28"/>
          <w:szCs w:val="28"/>
        </w:rPr>
        <w:lastRenderedPageBreak/>
        <w:t>РОЗДІЛ 2.</w:t>
      </w:r>
      <w:r w:rsidR="00D7691B">
        <w:rPr>
          <w:sz w:val="28"/>
          <w:szCs w:val="28"/>
        </w:rPr>
        <w:t xml:space="preserve"> </w:t>
      </w:r>
      <w:r w:rsidR="004948DD">
        <w:rPr>
          <w:rFonts w:eastAsiaTheme="minorEastAsia"/>
          <w:sz w:val="28"/>
          <w:szCs w:val="22"/>
          <w:lang w:eastAsia="ja-JP"/>
        </w:rPr>
        <w:t>ФОРМУВАННЯ СИСТЕМИ БЕЗПЕКИ</w:t>
      </w:r>
      <w:r w:rsidR="00D7691B" w:rsidRPr="00D7691B">
        <w:rPr>
          <w:rFonts w:eastAsiaTheme="minorEastAsia"/>
          <w:sz w:val="28"/>
          <w:szCs w:val="22"/>
          <w:lang w:eastAsia="ja-JP"/>
        </w:rPr>
        <w:t xml:space="preserve"> ЄВРОПЕЙСЬКОГО СОЮЗУ</w:t>
      </w:r>
    </w:p>
    <w:p w:rsidR="00D7691B" w:rsidRPr="00D7691B" w:rsidRDefault="00D7691B" w:rsidP="00D7691B">
      <w:pPr>
        <w:spacing w:after="160" w:line="360" w:lineRule="auto"/>
        <w:jc w:val="center"/>
        <w:rPr>
          <w:rFonts w:eastAsiaTheme="minorEastAsia"/>
          <w:sz w:val="28"/>
          <w:szCs w:val="22"/>
          <w:lang w:eastAsia="ja-JP"/>
        </w:rPr>
      </w:pP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1970-ті роки почалися в розпал холодної війни, коли Європа була розділена на два протиборчі блоки: західні демократії, очолювані Сполученими Штатами та інтегровані через НАТО, і східний блок, який перебував під радянським впливом і об</w:t>
      </w:r>
      <w:r w:rsidR="00C631E2">
        <w:rPr>
          <w:rFonts w:eastAsiaTheme="minorEastAsia"/>
          <w:sz w:val="28"/>
          <w:szCs w:val="22"/>
          <w:lang w:eastAsia="ja-JP"/>
        </w:rPr>
        <w:t>’</w:t>
      </w:r>
      <w:r w:rsidRPr="00D7691B">
        <w:rPr>
          <w:rFonts w:eastAsiaTheme="minorEastAsia"/>
          <w:sz w:val="28"/>
          <w:szCs w:val="22"/>
          <w:lang w:eastAsia="ja-JP"/>
        </w:rPr>
        <w:t>єднався через Варшавський договір. Серед цієї біполярності Європа стала центром геополітичної напруги, особливо в контексті суперництва щодо ядерної зброї. На цьому тлі європейські держави визнали необхідність посилення співпраці перед лицем спільних викликів безпеці та бажання запобігти конфліктам на континенті.</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Однією з перших спроб створити форум для політичної та безпекової співпраці була Нарада з безпеки та співробітництва в Європі (НБСЄ), розпочата в 1973 році. Після тривалих переговорів це призвело до підписання Гельсінкськ</w:t>
      </w:r>
      <w:r w:rsidR="002A03B0">
        <w:rPr>
          <w:rFonts w:eastAsiaTheme="minorEastAsia"/>
          <w:sz w:val="28"/>
          <w:szCs w:val="22"/>
          <w:lang w:eastAsia="ja-JP"/>
        </w:rPr>
        <w:t xml:space="preserve">их угод у 1975 році, важливої </w:t>
      </w:r>
      <w:r w:rsidRPr="00D7691B">
        <w:rPr>
          <w:rFonts w:eastAsiaTheme="minorEastAsia"/>
          <w:sz w:val="28"/>
          <w:szCs w:val="22"/>
          <w:lang w:eastAsia="ja-JP"/>
        </w:rPr>
        <w:t>віхи у відносинах Схід-Захід. Угоди, підписані 35 державами, включаючи всі європейські країни (крім Албанії), Сполучені Штати та Канаду, встановили принципи зниження напруженості та посилення співпраці. Угода охоплювала три основні сфери: безпека в Європі, економічне співробітництво та права людини</w:t>
      </w:r>
      <w:r w:rsidRPr="00DC61EB">
        <w:rPr>
          <w:rFonts w:eastAsiaTheme="minorEastAsia"/>
          <w:sz w:val="28"/>
          <w:szCs w:val="22"/>
          <w:lang w:val="ru-RU" w:eastAsia="ja-JP"/>
        </w:rPr>
        <w:t xml:space="preserve"> (</w:t>
      </w:r>
      <w:r w:rsidRPr="00D7691B">
        <w:rPr>
          <w:rFonts w:eastAsiaTheme="minorEastAsia"/>
          <w:sz w:val="28"/>
          <w:szCs w:val="22"/>
          <w:lang w:val="en-US" w:eastAsia="ja-JP"/>
        </w:rPr>
        <w:t>Estes</w:t>
      </w:r>
      <w:r w:rsidRPr="00DC61EB">
        <w:rPr>
          <w:rFonts w:eastAsiaTheme="minorEastAsia"/>
          <w:sz w:val="28"/>
          <w:szCs w:val="22"/>
          <w:lang w:val="ru-RU" w:eastAsia="ja-JP"/>
        </w:rPr>
        <w:t xml:space="preserve">, 1997; </w:t>
      </w:r>
      <w:r w:rsidRPr="00D7691B">
        <w:rPr>
          <w:rFonts w:eastAsiaTheme="minorEastAsia"/>
          <w:sz w:val="28"/>
          <w:szCs w:val="22"/>
          <w:lang w:val="en-US" w:eastAsia="ja-JP"/>
        </w:rPr>
        <w:t>Rumford</w:t>
      </w:r>
      <w:r w:rsidRPr="00DC61EB">
        <w:rPr>
          <w:rFonts w:eastAsiaTheme="minorEastAsia"/>
          <w:sz w:val="28"/>
          <w:szCs w:val="22"/>
          <w:lang w:val="ru-RU" w:eastAsia="ja-JP"/>
        </w:rPr>
        <w:t>, 2000)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Західній Європі політична інтеграція просувалася через розвиток Європейських співтовариств. На початку 1970-х років країни-члени усвідомили необхідність скоординованої зовнішньої політики, що призвело до створення Європейського політичного співробітництва (ЄПC) у 1970 році, яке мало на меті гармонізувати зовнішню політику членів ЄС, забезпечуючи більш єдину позицію щодо глобальних політичних питань.</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lastRenderedPageBreak/>
        <w:t>Хоча це не була офіційна оборонна структура, ЄПC дозволяло європейським державам обговорювати питання зовнішньої політики та безпеки, поступово посилюючи колективний голос Європи в міжнародних справах.</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Протягом 1980-х років ЄПC ставало дедалі активнішим, оскільки європейські країни координували свої відповіді на основні глобальні проблеми, такі як ірано-іракська війна, апартеїд у Південній Африці та конфлікти на Близькому Сході. Незважаючи на те, що ЄПC залишався обмеженим у своїх можливостях безпосередньо займатися військовою безпекою, він був критично важливим кроком до більш формалізованих структур Спільної зовнішньої політики і політики безпеки, яка з</w:t>
      </w:r>
      <w:r w:rsidR="00C631E2">
        <w:rPr>
          <w:rFonts w:eastAsiaTheme="minorEastAsia"/>
          <w:sz w:val="28"/>
          <w:szCs w:val="22"/>
          <w:lang w:eastAsia="ja-JP"/>
        </w:rPr>
        <w:t>’</w:t>
      </w:r>
      <w:r w:rsidRPr="00D7691B">
        <w:rPr>
          <w:rFonts w:eastAsiaTheme="minorEastAsia"/>
          <w:sz w:val="28"/>
          <w:szCs w:val="22"/>
          <w:lang w:eastAsia="ja-JP"/>
        </w:rPr>
        <w:t>явилася в 1990-х роках</w:t>
      </w:r>
      <w:r w:rsidRPr="00DC61EB">
        <w:rPr>
          <w:rFonts w:eastAsiaTheme="minorEastAsia"/>
          <w:sz w:val="28"/>
          <w:szCs w:val="22"/>
          <w:lang w:eastAsia="ja-JP"/>
        </w:rPr>
        <w:t xml:space="preserve"> (</w:t>
      </w:r>
      <w:r w:rsidRPr="00D7691B">
        <w:rPr>
          <w:rFonts w:eastAsiaTheme="minorEastAsia"/>
          <w:sz w:val="28"/>
          <w:szCs w:val="22"/>
          <w:lang w:val="en-US" w:eastAsia="ja-JP"/>
        </w:rPr>
        <w:t>Estes</w:t>
      </w:r>
      <w:r w:rsidRPr="00DC61EB">
        <w:rPr>
          <w:rFonts w:eastAsiaTheme="minorEastAsia"/>
          <w:sz w:val="28"/>
          <w:szCs w:val="22"/>
          <w:lang w:eastAsia="ja-JP"/>
        </w:rPr>
        <w:t>, 1997)</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1980-х роках відбулися драматичні зміни у європейській співпраці у сфері безпеки, зокрема через зміну характеру відносин між Сходом і Заходом. Підйом реформістського радянського лідера Михайла Горбачова у 1985 році приніс нові можливості для діалогу та співпраці між Сходом і Заходом. Політика Горбачова щодо гласності (відкритості) та перебудови (реструктуризації) сигналізувала про відхід від жорсткої радянської політики попередніх десятиліть, сприяючи більшій атмосфері співпраці в Європі</w:t>
      </w:r>
      <w:r w:rsidRPr="00DC61EB">
        <w:rPr>
          <w:rFonts w:eastAsiaTheme="minorEastAsia"/>
          <w:sz w:val="28"/>
          <w:szCs w:val="22"/>
          <w:lang w:eastAsia="ja-JP"/>
        </w:rPr>
        <w:t xml:space="preserve"> (</w:t>
      </w:r>
      <w:r w:rsidRPr="00D7691B">
        <w:rPr>
          <w:rFonts w:eastAsiaTheme="minorEastAsia"/>
          <w:sz w:val="28"/>
          <w:szCs w:val="22"/>
          <w:lang w:val="en-US" w:eastAsia="ja-JP"/>
        </w:rPr>
        <w:t>Hoek</w:t>
      </w:r>
      <w:r w:rsidRPr="00DC61EB">
        <w:rPr>
          <w:rFonts w:eastAsiaTheme="minorEastAsia"/>
          <w:sz w:val="28"/>
          <w:szCs w:val="22"/>
          <w:lang w:eastAsia="ja-JP"/>
        </w:rPr>
        <w:t>, 2003)</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Відмова Горбачова застосувати силу для збереження контр</w:t>
      </w:r>
      <w:r w:rsidR="002A03B0">
        <w:rPr>
          <w:rFonts w:eastAsiaTheme="minorEastAsia"/>
          <w:sz w:val="28"/>
          <w:szCs w:val="22"/>
          <w:lang w:eastAsia="ja-JP"/>
        </w:rPr>
        <w:t>олю над Східною Європою призвел</w:t>
      </w:r>
      <w:r w:rsidR="002A03B0">
        <w:rPr>
          <w:rFonts w:eastAsiaTheme="minorEastAsia"/>
          <w:sz w:val="28"/>
          <w:szCs w:val="22"/>
          <w:lang w:val="ru-RU" w:eastAsia="ja-JP"/>
        </w:rPr>
        <w:t>а</w:t>
      </w:r>
      <w:r w:rsidRPr="00D7691B">
        <w:rPr>
          <w:rFonts w:eastAsiaTheme="minorEastAsia"/>
          <w:sz w:val="28"/>
          <w:szCs w:val="22"/>
          <w:lang w:eastAsia="ja-JP"/>
        </w:rPr>
        <w:t xml:space="preserve"> до падіння комуністичних сил в регіоні, що ознаменувало кінець холодної війни та остаточний розпуск Варшавського договору в 1991 році. Це зумовило більшу консолідацію повноважень на рівні ЄС і більшого ступеня національної адаптації до норм зовнішньої політики ЄС, або «європеїзації»</w:t>
      </w:r>
      <w:r w:rsidRPr="00DC61EB">
        <w:rPr>
          <w:rFonts w:eastAsiaTheme="minorEastAsia"/>
          <w:sz w:val="28"/>
          <w:szCs w:val="22"/>
          <w:lang w:eastAsia="ja-JP"/>
        </w:rPr>
        <w:t xml:space="preserve"> (</w:t>
      </w:r>
      <w:r w:rsidRPr="00D7691B">
        <w:rPr>
          <w:rFonts w:eastAsiaTheme="minorEastAsia"/>
          <w:sz w:val="28"/>
          <w:szCs w:val="22"/>
          <w:lang w:val="en-US" w:eastAsia="ja-JP"/>
        </w:rPr>
        <w:t>Hoek</w:t>
      </w:r>
      <w:r w:rsidRPr="00DC61EB">
        <w:rPr>
          <w:rFonts w:eastAsiaTheme="minorEastAsia"/>
          <w:sz w:val="28"/>
          <w:szCs w:val="22"/>
          <w:lang w:eastAsia="ja-JP"/>
        </w:rPr>
        <w:t>, 2003)</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Міжурядова конференція, запланована на 1990-1991 роки, спочатку мала бути зосереджена на валютному союзі та його інституційних наслідках, </w:t>
      </w:r>
      <w:r w:rsidRPr="00D7691B">
        <w:rPr>
          <w:rFonts w:eastAsiaTheme="minorEastAsia"/>
          <w:sz w:val="28"/>
          <w:szCs w:val="22"/>
          <w:lang w:eastAsia="ja-JP"/>
        </w:rPr>
        <w:lastRenderedPageBreak/>
        <w:t>а не безпосередньо на політичному союзі, визначеному в термінах зовнішньої та оборонної політики. Революції в Центральній та Східній Європі в 1989 році та стрімкі рухи до об</w:t>
      </w:r>
      <w:r w:rsidR="00C631E2">
        <w:rPr>
          <w:rFonts w:eastAsiaTheme="minorEastAsia"/>
          <w:sz w:val="28"/>
          <w:szCs w:val="22"/>
          <w:lang w:eastAsia="ja-JP"/>
        </w:rPr>
        <w:t>’</w:t>
      </w:r>
      <w:r w:rsidRPr="00D7691B">
        <w:rPr>
          <w:rFonts w:eastAsiaTheme="minorEastAsia"/>
          <w:sz w:val="28"/>
          <w:szCs w:val="22"/>
          <w:lang w:eastAsia="ja-JP"/>
        </w:rPr>
        <w:t>єднання Німеччини, які послідували в 1990 році, змусили питання зовнішньої політики та політики безпеки винести на порядок денний конференції</w:t>
      </w:r>
      <w:r w:rsidRPr="00DC61EB">
        <w:rPr>
          <w:rFonts w:eastAsiaTheme="minorEastAsia"/>
          <w:sz w:val="28"/>
          <w:szCs w:val="22"/>
          <w:lang w:eastAsia="ja-JP"/>
        </w:rPr>
        <w:t xml:space="preserve"> (</w:t>
      </w:r>
      <w:r w:rsidRPr="00D7691B">
        <w:rPr>
          <w:rFonts w:eastAsiaTheme="minorEastAsia"/>
          <w:sz w:val="28"/>
          <w:szCs w:val="22"/>
          <w:lang w:val="en-US" w:eastAsia="ja-JP"/>
        </w:rPr>
        <w:t>Slapin</w:t>
      </w:r>
      <w:r w:rsidRPr="00DC61EB">
        <w:rPr>
          <w:rFonts w:eastAsiaTheme="minorEastAsia"/>
          <w:sz w:val="28"/>
          <w:szCs w:val="22"/>
          <w:lang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Європейські уряди рухалися набагато повільніше. У березні 1990 року бельгійський уряд запропонував проведення другої міжурядової конференції щодо «політичного союзу». Франція та Німеччина спільно підтримали бельгійську ініціативу, запропонувавши міжурядовій конференції сформулювати спільну зовнішню політику та політику безпеки як центральну рису Європейського Союзу. Однак існували значні розбіжності щодо зв</w:t>
      </w:r>
      <w:r w:rsidR="00C631E2">
        <w:rPr>
          <w:rFonts w:eastAsiaTheme="minorEastAsia"/>
          <w:sz w:val="28"/>
          <w:szCs w:val="22"/>
          <w:lang w:eastAsia="ja-JP"/>
        </w:rPr>
        <w:t>’</w:t>
      </w:r>
      <w:r w:rsidRPr="00D7691B">
        <w:rPr>
          <w:rFonts w:eastAsiaTheme="minorEastAsia"/>
          <w:sz w:val="28"/>
          <w:szCs w:val="22"/>
          <w:lang w:eastAsia="ja-JP"/>
        </w:rPr>
        <w:t>язку між економічним і політичним союзом, а також велике небажання визнати, що риторичні зобов</w:t>
      </w:r>
      <w:r w:rsidR="00C631E2">
        <w:rPr>
          <w:rFonts w:eastAsiaTheme="minorEastAsia"/>
          <w:sz w:val="28"/>
          <w:szCs w:val="22"/>
          <w:lang w:eastAsia="ja-JP"/>
        </w:rPr>
        <w:t>’</w:t>
      </w:r>
      <w:r w:rsidRPr="00D7691B">
        <w:rPr>
          <w:rFonts w:eastAsiaTheme="minorEastAsia"/>
          <w:sz w:val="28"/>
          <w:szCs w:val="22"/>
          <w:lang w:eastAsia="ja-JP"/>
        </w:rPr>
        <w:t>язання передбачають реальні ресурси та практичні зобов</w:t>
      </w:r>
      <w:r w:rsidR="00C631E2">
        <w:rPr>
          <w:rFonts w:eastAsiaTheme="minorEastAsia"/>
          <w:sz w:val="28"/>
          <w:szCs w:val="22"/>
          <w:lang w:eastAsia="ja-JP"/>
        </w:rPr>
        <w:t>’</w:t>
      </w:r>
      <w:r w:rsidRPr="00D7691B">
        <w:rPr>
          <w:rFonts w:eastAsiaTheme="minorEastAsia"/>
          <w:sz w:val="28"/>
          <w:szCs w:val="22"/>
          <w:lang w:eastAsia="ja-JP"/>
        </w:rPr>
        <w:t>язання. Однак щодо політики безпеки та оборони існувала лінія розмежування між атлантистами (у Великобританії, Нідерландах та Португалії), які чинили опір будь-якому суттєвому послабленню структури НАТО, та європеїстами (у Франції, Бельгії та Італії), з німецьким урядом на чолі. Таким чином, переговори щодо бажаних результатів політики були заплутані ідеологічними та конституційними питаннями в рамках конференції</w:t>
      </w:r>
      <w:r w:rsidRPr="00DC61EB">
        <w:rPr>
          <w:rFonts w:eastAsiaTheme="minorEastAsia"/>
          <w:sz w:val="28"/>
          <w:szCs w:val="22"/>
          <w:lang w:val="ru-RU" w:eastAsia="ja-JP"/>
        </w:rPr>
        <w:t xml:space="preserve"> (</w:t>
      </w:r>
      <w:r w:rsidRPr="00D7691B">
        <w:rPr>
          <w:rFonts w:eastAsiaTheme="minorEastAsia"/>
          <w:sz w:val="28"/>
          <w:szCs w:val="22"/>
          <w:lang w:val="en-US" w:eastAsia="ja-JP"/>
        </w:rPr>
        <w:t>Slapin</w:t>
      </w:r>
      <w:r w:rsidRPr="00DC61EB">
        <w:rPr>
          <w:rFonts w:eastAsiaTheme="minorEastAsia"/>
          <w:sz w:val="28"/>
          <w:szCs w:val="22"/>
          <w:lang w:val="ru-RU"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Настільки важлива лінія розмежування пролягала між державами, які мають спроможність і внутрішню підтримку активної зовнішньої політики, і тими, для яких активна зовнішня політика (не кажучи вже про оборону) була оточена політичними стримуваннями. Тут Франція та Великобританія лежали на одному кінці спектру, а Німеччина, уряд, який найбільше рішуче наполягав на СЗППБ, на іншому. Неможливо було розглянути варіанти європейської оборонної інтеграції, попередньо не з</w:t>
      </w:r>
      <w:r w:rsidR="00C631E2">
        <w:rPr>
          <w:rFonts w:eastAsiaTheme="minorEastAsia"/>
          <w:sz w:val="28"/>
          <w:szCs w:val="22"/>
          <w:lang w:eastAsia="ja-JP"/>
        </w:rPr>
        <w:t>’</w:t>
      </w:r>
      <w:r w:rsidRPr="00D7691B">
        <w:rPr>
          <w:rFonts w:eastAsiaTheme="minorEastAsia"/>
          <w:sz w:val="28"/>
          <w:szCs w:val="22"/>
          <w:lang w:eastAsia="ja-JP"/>
        </w:rPr>
        <w:t xml:space="preserve">ясувавши, як вони можуть вплинути на відносини між Атлантичним альянсом і ЄС. Таким чином, США </w:t>
      </w:r>
      <w:r w:rsidRPr="00D7691B">
        <w:rPr>
          <w:rFonts w:eastAsiaTheme="minorEastAsia"/>
          <w:sz w:val="28"/>
          <w:szCs w:val="22"/>
          <w:lang w:eastAsia="ja-JP"/>
        </w:rPr>
        <w:lastRenderedPageBreak/>
        <w:t>були активним гравцем у всій спільній зовнішній політиці та політиці безпеки, сповнені рішучості зберегти першість НАТО в Європі після холодної війни.</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Якби учасники переговорів змогли зосередитися на поставлених на кону питаннях, деталі щодо СЗППБ у Маастрихтському договорі могли би бути розроблені детальніше. Однак нові режими на сході ЄС вимагали торгових поступок і обіцянок членства. Зникнення радянської загрози спонукало міністерства фінансів у всій Західній Європі прийняти скорочення витрат на оборону набагато глибше, ніж скорочення Вашингтона після холодної війни.</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Таким чином переговори в рамках міжурядової конференції були зосереджені на інституційних питаннях. Уряди Німеччини та країн Бенілюксу виступали за те, щоб зовнішня політика, а згодом і оборона, була включена в інтегровані рамки ЄС. Французи та британці стверджували проти цього, що ефективна зовнішня політика, яка включає «важкі» питання безпеки та оборони, може ґрунтуватися лише на зобов</w:t>
      </w:r>
      <w:r w:rsidR="00C631E2">
        <w:rPr>
          <w:rFonts w:eastAsiaTheme="minorEastAsia"/>
          <w:sz w:val="28"/>
          <w:szCs w:val="22"/>
          <w:lang w:eastAsia="ja-JP"/>
        </w:rPr>
        <w:t>’</w:t>
      </w:r>
      <w:r w:rsidRPr="00D7691B">
        <w:rPr>
          <w:rFonts w:eastAsiaTheme="minorEastAsia"/>
          <w:sz w:val="28"/>
          <w:szCs w:val="22"/>
          <w:lang w:eastAsia="ja-JP"/>
        </w:rPr>
        <w:t xml:space="preserve">язаннях урядів, які представляють держави. Перший неофіційний документ </w:t>
      </w:r>
      <w:r w:rsidR="00FE1D56" w:rsidRPr="00D7691B">
        <w:rPr>
          <w:rFonts w:eastAsiaTheme="minorEastAsia"/>
          <w:sz w:val="28"/>
          <w:szCs w:val="22"/>
          <w:lang w:eastAsia="ja-JP"/>
        </w:rPr>
        <w:t>Люксембургу</w:t>
      </w:r>
      <w:r w:rsidRPr="00D7691B">
        <w:rPr>
          <w:rFonts w:eastAsiaTheme="minorEastAsia"/>
          <w:sz w:val="28"/>
          <w:szCs w:val="22"/>
          <w:lang w:eastAsia="ja-JP"/>
        </w:rPr>
        <w:t>, який головував у ЄС, оприлюднений у квітні, окреслив модель «стовпа», де СЗППБ і правосуддя та внутрішні справи залишаються за межами власне ЄС</w:t>
      </w:r>
      <w:r w:rsidRPr="00DC61EB">
        <w:rPr>
          <w:rFonts w:eastAsiaTheme="minorEastAsia"/>
          <w:sz w:val="28"/>
          <w:szCs w:val="22"/>
          <w:lang w:val="ru-RU" w:eastAsia="ja-JP"/>
        </w:rPr>
        <w:t xml:space="preserve"> (</w:t>
      </w:r>
      <w:r w:rsidRPr="00D7691B">
        <w:rPr>
          <w:rFonts w:eastAsiaTheme="minorEastAsia"/>
          <w:sz w:val="28"/>
          <w:szCs w:val="22"/>
          <w:lang w:val="en-US" w:eastAsia="ja-JP"/>
        </w:rPr>
        <w:t>Merker</w:t>
      </w:r>
      <w:r w:rsidRPr="00DC61EB">
        <w:rPr>
          <w:rFonts w:eastAsiaTheme="minorEastAsia"/>
          <w:sz w:val="28"/>
          <w:szCs w:val="22"/>
          <w:lang w:val="ru-RU" w:eastAsia="ja-JP"/>
        </w:rPr>
        <w:t>, 2012)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Таким чином, впевнена початкова заява Маастрихтського договору про Європейський Союз звучить наступним чином: «Цим встановлюється спільна зовнішня політика та політика безпеки».</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Найбільш примітним аспектом переговорів СЗППБ у 1990-1991 роках було те, наскільки успішно вони були включені в мережу міністерств закордонних справ, створених через ЄПС, і як мало уваги приділяли їм преса, політики поза урядом, національні парламенти чи широка громадськість. Навіть міністерства оборони у Франції та Німеччині були виключені з консультацій щодо франко-німецьких політичних ініціатив, фактор, який </w:t>
      </w:r>
      <w:r w:rsidRPr="00D7691B">
        <w:rPr>
          <w:rFonts w:eastAsiaTheme="minorEastAsia"/>
          <w:sz w:val="28"/>
          <w:szCs w:val="22"/>
          <w:lang w:eastAsia="ja-JP"/>
        </w:rPr>
        <w:lastRenderedPageBreak/>
        <w:t>пояснював відсутність деталей у наступних французьких пропозиціях</w:t>
      </w:r>
      <w:r w:rsidRPr="00DC61EB">
        <w:rPr>
          <w:rFonts w:eastAsiaTheme="minorEastAsia"/>
          <w:sz w:val="28"/>
          <w:szCs w:val="22"/>
          <w:lang w:eastAsia="ja-JP"/>
        </w:rPr>
        <w:t xml:space="preserve"> (</w:t>
      </w:r>
      <w:r w:rsidRPr="00D7691B">
        <w:rPr>
          <w:rFonts w:eastAsiaTheme="minorEastAsia"/>
          <w:sz w:val="28"/>
          <w:szCs w:val="22"/>
          <w:lang w:val="en-US" w:eastAsia="ja-JP"/>
        </w:rPr>
        <w:t>Merket</w:t>
      </w:r>
      <w:r w:rsidRPr="00DC61EB">
        <w:rPr>
          <w:rFonts w:eastAsiaTheme="minorEastAsia"/>
          <w:sz w:val="28"/>
          <w:szCs w:val="22"/>
          <w:lang w:eastAsia="ja-JP"/>
        </w:rPr>
        <w:t>, 2012)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Однак подальші події дозволили вирішити деякі незавершені справи Маастрихту, не чекаючи ратифікації. Частково під тиском подій у Східній та Південно-Східній Європі, частково завдяки чудовим особистим стосункам між німецьким Генеральним секретарем НАТО та його голландським колегою в Західноєвропейському Союзі (ЗЄС), міністерська зустріч ЗЄС у Бонні в червні 1992 року змогла у Петербурзькій декларації окреслити особливу роль ЗЄС у здійсненні миротворчих і миротворчих операцій. Франко-британське суперництво щодо європейських об</w:t>
      </w:r>
      <w:r w:rsidR="00C631E2">
        <w:rPr>
          <w:rFonts w:eastAsiaTheme="minorEastAsia"/>
          <w:sz w:val="28"/>
          <w:szCs w:val="22"/>
          <w:lang w:eastAsia="ja-JP"/>
        </w:rPr>
        <w:t>’</w:t>
      </w:r>
      <w:r w:rsidRPr="00D7691B">
        <w:rPr>
          <w:rFonts w:eastAsiaTheme="minorEastAsia"/>
          <w:sz w:val="28"/>
          <w:szCs w:val="22"/>
          <w:lang w:eastAsia="ja-JP"/>
        </w:rPr>
        <w:t xml:space="preserve">єднаних сил вщухло – розширена франко-німецька бригада, тепер як Єврокорпус, до якого приєднаються подвійні іспанські та бельгійські контингенти, у майбутньому мала бути «приписана» до ЗЄС поряд з іншими подвійними «європейськими» силами в НАТО (найголовніше – британськими) на чолі з Корпусом швидкого реагування </w:t>
      </w:r>
      <w:r w:rsidRPr="00DC61EB">
        <w:rPr>
          <w:rFonts w:eastAsiaTheme="minorEastAsia"/>
          <w:sz w:val="28"/>
          <w:szCs w:val="22"/>
          <w:lang w:eastAsia="ja-JP"/>
        </w:rPr>
        <w:t>(</w:t>
      </w:r>
      <w:r w:rsidRPr="00D7691B">
        <w:rPr>
          <w:rFonts w:eastAsiaTheme="minorEastAsia"/>
          <w:sz w:val="28"/>
          <w:szCs w:val="22"/>
          <w:lang w:val="en-US" w:eastAsia="ja-JP"/>
        </w:rPr>
        <w:t>Howorth</w:t>
      </w:r>
      <w:r w:rsidRPr="00DC61EB">
        <w:rPr>
          <w:rFonts w:eastAsiaTheme="minorEastAsia"/>
          <w:sz w:val="28"/>
          <w:szCs w:val="22"/>
          <w:lang w:eastAsia="ja-JP"/>
        </w:rPr>
        <w:t>, 2000)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Однак саме розвиток югославської кризи був ключовим процесом навчання для європейських урядів. Західноєвропейці інстинктивно сподівалися, що США забезпечать лідерство, тоді як адміністрація США твердо сигналізувала, що західноєвропейці повинні взяти на себе відповідальність. ЗЄС бракувало командних і контрольних структур, необхідних для здійснення комплексного втручання, необхідного в Хорватії та Боснії. Французький командувач миротворчими силами ООН (UNPROFOR), початковими миротворчими силами, базував свій штаб на базі структури НАТО, офіцерів США та Німеччини було виведено, а французів доставлено. Французи та англійці забезпечили найбільші окремі сили на землі, іспанці та голландці також надали значні контингенти. П</w:t>
      </w:r>
      <w:r w:rsidR="00C631E2">
        <w:rPr>
          <w:rFonts w:eastAsiaTheme="minorEastAsia"/>
          <w:sz w:val="28"/>
          <w:szCs w:val="22"/>
          <w:lang w:eastAsia="ja-JP"/>
        </w:rPr>
        <w:t>’</w:t>
      </w:r>
      <w:r w:rsidRPr="00D7691B">
        <w:rPr>
          <w:rFonts w:eastAsiaTheme="minorEastAsia"/>
          <w:sz w:val="28"/>
          <w:szCs w:val="22"/>
          <w:lang w:eastAsia="ja-JP"/>
        </w:rPr>
        <w:t xml:space="preserve">ять з інших одинадцяти держав-членів ЄС мали війська в Боснії чи Хорватії на початку </w:t>
      </w:r>
      <w:r w:rsidRPr="00D7691B">
        <w:rPr>
          <w:rFonts w:eastAsiaTheme="minorEastAsia"/>
          <w:sz w:val="28"/>
          <w:szCs w:val="22"/>
          <w:lang w:eastAsia="ja-JP"/>
        </w:rPr>
        <w:lastRenderedPageBreak/>
        <w:t>1995 року, данці та шведи з норвежцями та фінами у спільному скандинавському батальйоні</w:t>
      </w:r>
      <w:r w:rsidRPr="00DC61EB">
        <w:rPr>
          <w:rFonts w:eastAsiaTheme="minorEastAsia"/>
          <w:sz w:val="28"/>
          <w:szCs w:val="22"/>
          <w:lang w:eastAsia="ja-JP"/>
        </w:rPr>
        <w:t xml:space="preserve"> (</w:t>
      </w:r>
      <w:r w:rsidRPr="00D7691B">
        <w:rPr>
          <w:rFonts w:eastAsiaTheme="minorEastAsia"/>
          <w:sz w:val="28"/>
          <w:szCs w:val="22"/>
          <w:lang w:val="en-US" w:eastAsia="ja-JP"/>
        </w:rPr>
        <w:t>Becker</w:t>
      </w:r>
      <w:r w:rsidRPr="00DC61EB">
        <w:rPr>
          <w:rFonts w:eastAsiaTheme="minorEastAsia"/>
          <w:sz w:val="28"/>
          <w:szCs w:val="22"/>
          <w:lang w:eastAsia="ja-JP"/>
        </w:rPr>
        <w:t>, 2017)</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той час як західноєвропейські уряди разом і окремо надавали найбільшу частку економічної допомоги колишнім соціалістичним державам, включаючи Росію, США визначили політичну стратегію Схід-Захід. Адміністрація Клінтона запропонувала ще одне переформулювання атлантичного військово-політичного партнерства на саміті НАТО в Брюсселі в січні 1994 року, яке тепер включає розширення НАТО до Польщі, Угорщини та Чехії. Підхід ЄС до розширення на схід був повільнішим і більш обдуманим процесом. На Близькому Сході ЄС та його члени надавали найбільшу частку економічної допомоги палестинцям, але без будь-якого значного впливу на ізраїльсько-палестинські відносини. Південні члени ЄС наполягали на тому, щоб середземноморські програми, орієнтовані, зокрема, на Магриб, були паралельні орієнтованим на схід програмам «ФАРЕ» та «ТАСІС». Головування Іспанії скликало Євро-Середземноморську конференцію в Барселоні в листопаді 1995 року, яка в принципі зобов</w:t>
      </w:r>
      <w:r w:rsidR="00C631E2">
        <w:rPr>
          <w:rFonts w:eastAsiaTheme="minorEastAsia"/>
          <w:sz w:val="28"/>
          <w:szCs w:val="22"/>
          <w:lang w:eastAsia="ja-JP"/>
        </w:rPr>
        <w:t>’</w:t>
      </w:r>
      <w:r w:rsidRPr="00D7691B">
        <w:rPr>
          <w:rFonts w:eastAsiaTheme="minorEastAsia"/>
          <w:sz w:val="28"/>
          <w:szCs w:val="22"/>
          <w:lang w:eastAsia="ja-JP"/>
        </w:rPr>
        <w:t>язала ЄС розробити щедру довгострокову програму</w:t>
      </w:r>
      <w:r w:rsidRPr="00DC61EB">
        <w:rPr>
          <w:rFonts w:eastAsiaTheme="minorEastAsia"/>
          <w:sz w:val="28"/>
          <w:szCs w:val="22"/>
          <w:lang w:val="ru-RU" w:eastAsia="ja-JP"/>
        </w:rPr>
        <w:t xml:space="preserve"> (</w:t>
      </w:r>
      <w:r w:rsidRPr="00D7691B">
        <w:rPr>
          <w:rFonts w:eastAsiaTheme="minorEastAsia"/>
          <w:sz w:val="28"/>
          <w:szCs w:val="22"/>
          <w:lang w:val="en-US" w:eastAsia="ja-JP"/>
        </w:rPr>
        <w:t>Duke</w:t>
      </w:r>
      <w:r w:rsidRPr="00DC61EB">
        <w:rPr>
          <w:rFonts w:eastAsiaTheme="minorEastAsia"/>
          <w:sz w:val="28"/>
          <w:szCs w:val="22"/>
          <w:lang w:val="ru-RU"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Існували також інституційні перешкоди всередині національних урядів для інтеграції політичних, безпекових та економічних аспектів зовнішньої політики. Більшість міністерств закордонних справ мали окремі політичні та економічні директорати, перший пов</w:t>
      </w:r>
      <w:r w:rsidR="00C631E2">
        <w:rPr>
          <w:rFonts w:eastAsiaTheme="minorEastAsia"/>
          <w:sz w:val="28"/>
          <w:szCs w:val="22"/>
          <w:lang w:eastAsia="ja-JP"/>
        </w:rPr>
        <w:t>’</w:t>
      </w:r>
      <w:r w:rsidRPr="00D7691B">
        <w:rPr>
          <w:rFonts w:eastAsiaTheme="minorEastAsia"/>
          <w:sz w:val="28"/>
          <w:szCs w:val="22"/>
          <w:lang w:eastAsia="ja-JP"/>
        </w:rPr>
        <w:t>язаний із СЗППБ і НАТО, другий – з ЄС, з окремими національними представництвами в Брюсселі при НАТО та ЄС. Міністри закордонних справ часто відволікалися на нагальні проблеми чи внутрішню політику, і мали обмежений час або бажання забезпечити чітку взаємодію різних організацій або мислити стратегічно.</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Франція, Німеччина та Британія були ключовими гравцями у просуванні до більш ефективної СЗППБ. Болісна переоцінка відповідальності Німеччини після закінчення холодної війни призвела до поступової </w:t>
      </w:r>
      <w:r w:rsidRPr="00D7691B">
        <w:rPr>
          <w:rFonts w:eastAsiaTheme="minorEastAsia"/>
          <w:sz w:val="28"/>
          <w:szCs w:val="22"/>
          <w:lang w:eastAsia="ja-JP"/>
        </w:rPr>
        <w:lastRenderedPageBreak/>
        <w:t>«нормалізації» зовнішньої та оборонної політики Німеччини. Позиції французького та британського урядів збігалися. Французький уряд чітко змоделював свій огляд оборони після війни в Перській затоці за британським, припинивши призов на військову службу, щоб зосередитися на менших, краще оснащених і зручніших військових силах.</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Серед урядів-членів було мало ентузіазму щодо великого огляду прогресу на шляху до СЗППБ, який вони зобов</w:t>
      </w:r>
      <w:r w:rsidR="00C631E2">
        <w:rPr>
          <w:rFonts w:eastAsiaTheme="minorEastAsia"/>
          <w:sz w:val="28"/>
          <w:szCs w:val="22"/>
          <w:lang w:eastAsia="ja-JP"/>
        </w:rPr>
        <w:t>’</w:t>
      </w:r>
      <w:r w:rsidRPr="00D7691B">
        <w:rPr>
          <w:rFonts w:eastAsiaTheme="minorEastAsia"/>
          <w:sz w:val="28"/>
          <w:szCs w:val="22"/>
          <w:lang w:eastAsia="ja-JP"/>
        </w:rPr>
        <w:t>язалися провести в рамках Договору про Європейський Союз у 1996 році. Оскільки ратифікація Договору була завершена лише в 1993 році, було мало корисного досвіду, на який можна було б почерпнути, також не було жодного консенсусу щодо того, чи зміцнювати, трансформувати чи скасовувати ЗЄС, коли договір досяг своєї п</w:t>
      </w:r>
      <w:r w:rsidR="00C631E2">
        <w:rPr>
          <w:rFonts w:eastAsiaTheme="minorEastAsia"/>
          <w:sz w:val="28"/>
          <w:szCs w:val="22"/>
          <w:lang w:eastAsia="ja-JP"/>
        </w:rPr>
        <w:t>’</w:t>
      </w:r>
      <w:r w:rsidRPr="00D7691B">
        <w:rPr>
          <w:rFonts w:eastAsiaTheme="minorEastAsia"/>
          <w:sz w:val="28"/>
          <w:szCs w:val="22"/>
          <w:lang w:eastAsia="ja-JP"/>
        </w:rPr>
        <w:t xml:space="preserve">ятдесятої річниці. Французький уряд наполягав на призначенні Високого представника з питань СЗППБ, щоб забезпечити спадкоємність і лідерство. Уряди менших держав підозрювали, що це була спроба консолідувати домінування великих держав у СЗППБ. Було досягнуто ширшої згоди щодо призначення відділу планування політики в рамках Секретаріату Ради з метою посилення централізованої підтримки міжурядової структури СЗППБ </w:t>
      </w:r>
      <w:r w:rsidRPr="00DC61EB">
        <w:rPr>
          <w:rFonts w:eastAsiaTheme="minorEastAsia"/>
          <w:sz w:val="28"/>
          <w:szCs w:val="22"/>
          <w:lang w:eastAsia="ja-JP"/>
        </w:rPr>
        <w:t>(</w:t>
      </w:r>
      <w:r w:rsidRPr="0033452C">
        <w:rPr>
          <w:rFonts w:eastAsiaTheme="minorEastAsia"/>
          <w:sz w:val="28"/>
          <w:szCs w:val="22"/>
          <w:lang w:val="en-US" w:eastAsia="ja-JP"/>
        </w:rPr>
        <w:t>Maastricht</w:t>
      </w:r>
      <w:r w:rsidRPr="0033452C">
        <w:rPr>
          <w:rFonts w:eastAsiaTheme="minorEastAsia"/>
          <w:sz w:val="28"/>
          <w:szCs w:val="22"/>
          <w:lang w:eastAsia="ja-JP"/>
        </w:rPr>
        <w:t xml:space="preserve"> </w:t>
      </w:r>
      <w:r w:rsidRPr="0033452C">
        <w:rPr>
          <w:rFonts w:eastAsiaTheme="minorEastAsia"/>
          <w:sz w:val="28"/>
          <w:szCs w:val="22"/>
          <w:lang w:val="en-US" w:eastAsia="ja-JP"/>
        </w:rPr>
        <w:t>Treaty</w:t>
      </w:r>
      <w:r w:rsidRPr="0033452C">
        <w:rPr>
          <w:rFonts w:eastAsiaTheme="minorEastAsia"/>
          <w:sz w:val="28"/>
          <w:szCs w:val="22"/>
          <w:lang w:eastAsia="ja-JP"/>
        </w:rPr>
        <w:t>,</w:t>
      </w:r>
      <w:r w:rsidRPr="00DC61EB">
        <w:rPr>
          <w:rFonts w:eastAsiaTheme="minorEastAsia"/>
          <w:sz w:val="28"/>
          <w:szCs w:val="22"/>
          <w:lang w:eastAsia="ja-JP"/>
        </w:rPr>
        <w:t xml:space="preserve"> 1993)</w:t>
      </w:r>
      <w:r w:rsidRPr="00D7691B">
        <w:rPr>
          <w:rFonts w:eastAsiaTheme="minorEastAsia"/>
          <w:sz w:val="28"/>
          <w:szCs w:val="22"/>
          <w:lang w:eastAsia="ja-JP"/>
        </w:rPr>
        <w:t xml:space="preserve">. </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Парадоксально, але франко-британське зближення з питань оборони не було відображено в офіційних результатах міжурядової конференції 1996-1997 років. Обом урядам не дозволяли визнати, наскільки далеко вони просунулися через прихильність до суверенітету в їхніх власних парламентах і громадськості, тому обидва наголошували на практичній співпраці, підході з набагато більшим змістом, але набагато меншим символізмом, ніж той, який характеризував франко-німецьку співпрацю в галузі оборони</w:t>
      </w:r>
      <w:r w:rsidRPr="00DC61EB">
        <w:rPr>
          <w:rFonts w:eastAsiaTheme="minorEastAsia"/>
          <w:sz w:val="28"/>
          <w:szCs w:val="22"/>
          <w:lang w:eastAsia="ja-JP"/>
        </w:rPr>
        <w:t xml:space="preserve"> (</w:t>
      </w:r>
      <w:r w:rsidRPr="00D7691B">
        <w:rPr>
          <w:rFonts w:eastAsiaTheme="minorEastAsia"/>
          <w:sz w:val="28"/>
          <w:szCs w:val="22"/>
          <w:lang w:val="en-US" w:eastAsia="ja-JP"/>
        </w:rPr>
        <w:t>Howorth</w:t>
      </w:r>
      <w:r w:rsidRPr="00DC61EB">
        <w:rPr>
          <w:rFonts w:eastAsiaTheme="minorEastAsia"/>
          <w:sz w:val="28"/>
          <w:szCs w:val="22"/>
          <w:lang w:eastAsia="ja-JP"/>
        </w:rPr>
        <w:t>, 2000)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Тривала міжурядова конференція перейшла від Італії до Ірландії у другому півріччі 1996 року, нейтральної, мало зацікавленої у просуванні цього досьє. Міністерство закордонних справ Німеччини було з ентузіазмом </w:t>
      </w:r>
      <w:r w:rsidRPr="00D7691B">
        <w:rPr>
          <w:rFonts w:eastAsiaTheme="minorEastAsia"/>
          <w:sz w:val="28"/>
          <w:szCs w:val="22"/>
          <w:lang w:eastAsia="ja-JP"/>
        </w:rPr>
        <w:lastRenderedPageBreak/>
        <w:t xml:space="preserve">налаштовано на більшу оборонну інтеграцію, в той час як міністерство оборони Німеччини набагато більше вагалося. Уряди Фінляндії та Швеції, нові члени та нейтральні країни, все ж були рішучими прихильниками тіснішої співпраці між ЗЄС та ЄС у врегулюванні криз, запобіганні конфліктам та збереженні миру. Плутанина в Парижі після блокування кроків до повного повернення Франції у військову структуру НАТО залишила італійців, люксембуржців, бельгійців та іспанців найсильнішими протагоністами повного злиття ЗЄС та ЄС наприкінці конференції </w:t>
      </w:r>
      <w:r w:rsidRPr="00DC61EB">
        <w:rPr>
          <w:rFonts w:eastAsiaTheme="minorEastAsia"/>
          <w:sz w:val="28"/>
          <w:szCs w:val="22"/>
          <w:lang w:eastAsia="ja-JP"/>
        </w:rPr>
        <w:t>(</w:t>
      </w:r>
      <w:r w:rsidRPr="00D7691B">
        <w:rPr>
          <w:rFonts w:eastAsiaTheme="minorEastAsia"/>
          <w:sz w:val="28"/>
          <w:szCs w:val="22"/>
          <w:lang w:val="en-US" w:eastAsia="ja-JP"/>
        </w:rPr>
        <w:t>Ojanen</w:t>
      </w:r>
      <w:r w:rsidRPr="00DC61EB">
        <w:rPr>
          <w:rFonts w:eastAsiaTheme="minorEastAsia"/>
          <w:sz w:val="28"/>
          <w:szCs w:val="22"/>
          <w:lang w:eastAsia="ja-JP"/>
        </w:rPr>
        <w:t xml:space="preserve">, 2000; </w:t>
      </w:r>
      <w:r w:rsidRPr="00D7691B">
        <w:rPr>
          <w:rFonts w:eastAsiaTheme="minorEastAsia"/>
          <w:sz w:val="28"/>
          <w:szCs w:val="22"/>
          <w:lang w:val="en-US" w:eastAsia="ja-JP"/>
        </w:rPr>
        <w:t>Slapin</w:t>
      </w:r>
      <w:r w:rsidRPr="00DC61EB">
        <w:rPr>
          <w:rFonts w:eastAsiaTheme="minorEastAsia"/>
          <w:sz w:val="28"/>
          <w:szCs w:val="22"/>
          <w:lang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Розгублені глави урядів, серед них новообрані прем</w:t>
      </w:r>
      <w:r w:rsidR="00C631E2">
        <w:rPr>
          <w:rFonts w:eastAsiaTheme="minorEastAsia"/>
          <w:sz w:val="28"/>
          <w:szCs w:val="22"/>
          <w:lang w:eastAsia="ja-JP"/>
        </w:rPr>
        <w:t>’</w:t>
      </w:r>
      <w:r w:rsidRPr="00D7691B">
        <w:rPr>
          <w:rFonts w:eastAsiaTheme="minorEastAsia"/>
          <w:sz w:val="28"/>
          <w:szCs w:val="22"/>
          <w:lang w:eastAsia="ja-JP"/>
        </w:rPr>
        <w:t>єр-міністри Британії та Франції, не бажали рухатися далі в цьому складному напрямку, коли вони зустрілися в Амстердамі, щоб узгодити остаточні умови договору. Угода на офіційному рівні в міру просування міжурядової конференції створила тексти, які зафіксували незначне посилення позицій Комісії та Європейського парламенту (ЄП) у другому стовпі. Витрати на СЗППБ були спірним питанням на міжурядовій конференції у Маастрихті через спротив Франції та Британії тому, щоб ЄП отримав нагляд за витратами, що могло б дати йому важіль впливу на СЗППБ у майбутньому. Згідно зі статтею 28 Договору адміністративні витрати та невійськові оперативні витрати покладалися на бюджет ЄС, залишаючи «операції, що мають військові або оборонні наслідки» для фінансування тими державами, які не скористалися своїм правом конструктивного утримання</w:t>
      </w:r>
      <w:r w:rsidRPr="00DC61EB">
        <w:rPr>
          <w:rFonts w:eastAsiaTheme="minorEastAsia"/>
          <w:sz w:val="28"/>
          <w:szCs w:val="22"/>
          <w:lang w:eastAsia="ja-JP"/>
        </w:rPr>
        <w:t xml:space="preserve"> (</w:t>
      </w:r>
      <w:r w:rsidRPr="0033452C">
        <w:rPr>
          <w:rFonts w:eastAsiaTheme="minorEastAsia"/>
          <w:sz w:val="28"/>
          <w:szCs w:val="22"/>
          <w:lang w:val="en-US" w:eastAsia="ja-JP"/>
        </w:rPr>
        <w:t>Maastricht</w:t>
      </w:r>
      <w:r w:rsidRPr="0033452C">
        <w:rPr>
          <w:rFonts w:eastAsiaTheme="minorEastAsia"/>
          <w:sz w:val="28"/>
          <w:szCs w:val="22"/>
          <w:lang w:eastAsia="ja-JP"/>
        </w:rPr>
        <w:t xml:space="preserve"> </w:t>
      </w:r>
      <w:r w:rsidRPr="0033452C">
        <w:rPr>
          <w:rFonts w:eastAsiaTheme="minorEastAsia"/>
          <w:sz w:val="28"/>
          <w:szCs w:val="22"/>
          <w:lang w:val="en-US" w:eastAsia="ja-JP"/>
        </w:rPr>
        <w:t>Treaty</w:t>
      </w:r>
      <w:r w:rsidRPr="00DC61EB">
        <w:rPr>
          <w:rFonts w:eastAsiaTheme="minorEastAsia"/>
          <w:sz w:val="28"/>
          <w:szCs w:val="22"/>
          <w:lang w:eastAsia="ja-JP"/>
        </w:rPr>
        <w:t>, 1993)</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Ключовим фактором у розблокуванні оборонного виміру протягом вісімнадцяти місяців після завершення міжурядової конференції і в прийнятті Хав</w:t>
      </w:r>
      <w:r w:rsidR="00C631E2">
        <w:rPr>
          <w:rFonts w:eastAsiaTheme="minorEastAsia"/>
          <w:sz w:val="28"/>
          <w:szCs w:val="22"/>
          <w:lang w:eastAsia="ja-JP"/>
        </w:rPr>
        <w:t>’</w:t>
      </w:r>
      <w:r w:rsidRPr="00D7691B">
        <w:rPr>
          <w:rFonts w:eastAsiaTheme="minorEastAsia"/>
          <w:sz w:val="28"/>
          <w:szCs w:val="22"/>
          <w:lang w:eastAsia="ja-JP"/>
        </w:rPr>
        <w:t xml:space="preserve">єра Солани, політичного діяча, на посаду Високого представника, став постійний досвід управління конфліктом у Південно-Східній Європі. Розбіжності між Європою та США знову стали очевидними, коли наприкінці 1998 року розгорнувся конфлікт у Косово. Новий британський уряд провів </w:t>
      </w:r>
      <w:r w:rsidRPr="00D7691B">
        <w:rPr>
          <w:rFonts w:eastAsiaTheme="minorEastAsia"/>
          <w:sz w:val="28"/>
          <w:szCs w:val="22"/>
          <w:lang w:eastAsia="ja-JP"/>
        </w:rPr>
        <w:lastRenderedPageBreak/>
        <w:t>власний стратегічний огляд оборони протягом 1997-1998 років, де європейський вимір був лише фоновим фактором</w:t>
      </w:r>
      <w:r w:rsidRPr="00DC61EB">
        <w:rPr>
          <w:rFonts w:eastAsiaTheme="minorEastAsia"/>
          <w:sz w:val="28"/>
          <w:szCs w:val="22"/>
          <w:lang w:val="ru-RU" w:eastAsia="ja-JP"/>
        </w:rPr>
        <w:t xml:space="preserve"> (</w:t>
      </w:r>
      <w:r w:rsidRPr="00D7691B">
        <w:rPr>
          <w:rFonts w:eastAsiaTheme="minorEastAsia"/>
          <w:sz w:val="28"/>
          <w:szCs w:val="22"/>
          <w:lang w:val="en-US" w:eastAsia="ja-JP"/>
        </w:rPr>
        <w:t>Slapin</w:t>
      </w:r>
      <w:r w:rsidRPr="00DC61EB">
        <w:rPr>
          <w:rFonts w:eastAsiaTheme="minorEastAsia"/>
          <w:sz w:val="28"/>
          <w:szCs w:val="22"/>
          <w:lang w:val="ru-RU"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Паралельно з подіями в Косово британський уряд тепер переходив від відстаючого до лідера у просуванні європейської оборонної інтеграції. На неформальному засіданні Європейської ради в Пьорчаху в жовтні 1998 року Тоні Блер, прем</w:t>
      </w:r>
      <w:r w:rsidR="00C631E2">
        <w:rPr>
          <w:rFonts w:eastAsiaTheme="minorEastAsia"/>
          <w:sz w:val="28"/>
          <w:szCs w:val="22"/>
          <w:lang w:eastAsia="ja-JP"/>
        </w:rPr>
        <w:t>’</w:t>
      </w:r>
      <w:r w:rsidRPr="00D7691B">
        <w:rPr>
          <w:rFonts w:eastAsiaTheme="minorEastAsia"/>
          <w:sz w:val="28"/>
          <w:szCs w:val="22"/>
          <w:lang w:eastAsia="ja-JP"/>
        </w:rPr>
        <w:t>єр-міністр Великобританії, представив низку пропозицій щодо тіснішої оборонної співпраці. За цим послідувала франко-британська Декларація Сен-Мало від грудня 1998 року, в якій рішуче зазначалося, що «Союз повинен мати здатність до автономних дій, підкріплених надійними військовими силами», з урядами членів, що діють «в інституційних рамках Європейського Союзу», включаючи «зустрічі міністрів оборони». Інтенсивні франко-британські консультації між політичними директорами та вищими посадовими особами оборони поширилися на двосторонній основі до інших ключових урядів ЄС, а потім до США, норвежців і турків. Німці та голландці були втягнуті в ЄС найбільше, хоча новому коаліційному уряду в Берліні з міністром оборони «соціал-демократа» та міністром закордонних справ «зеленим» було важко сформулювати послідовну відповідь</w:t>
      </w:r>
      <w:r w:rsidRPr="00DC61EB">
        <w:rPr>
          <w:rFonts w:eastAsiaTheme="minorEastAsia"/>
          <w:sz w:val="28"/>
          <w:szCs w:val="22"/>
          <w:lang w:eastAsia="ja-JP"/>
        </w:rPr>
        <w:t xml:space="preserve"> (</w:t>
      </w:r>
      <w:r w:rsidRPr="00D7691B">
        <w:rPr>
          <w:rFonts w:eastAsiaTheme="minorEastAsia"/>
          <w:sz w:val="28"/>
          <w:szCs w:val="22"/>
          <w:lang w:val="en-US" w:eastAsia="ja-JP"/>
        </w:rPr>
        <w:t>Merket</w:t>
      </w:r>
      <w:r w:rsidRPr="00DC61EB">
        <w:rPr>
          <w:rFonts w:eastAsiaTheme="minorEastAsia"/>
          <w:sz w:val="28"/>
          <w:szCs w:val="22"/>
          <w:lang w:eastAsia="ja-JP"/>
        </w:rPr>
        <w:t>, 2012)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Франко-британське партнерство за підтримки головування Німеччини запровадило й інші значні нововведення. На неофіційному засіданні Ради із закордонних справ у березні 1999 року пропозиція президента ЄС створити військовий комітет ЄС зустріла спочатку деякий опір, особливо з боку нейтральної Ірландії, але британська пропозиція створити постійний комітет заступників політичних директорів у Брюсселі для покращення координації СЗППБ була прийнята. У червні уряд Німеччини запропонував ширший «пакт стабільності» ЄС для Південно-Східної Європи. На Європейській раді в Кельні в червні 1999 року уряди країн-членів прийняли свою першу «Спільну стратегію» – розлогу заяву про принципи майбутніх відносин між ЄС і Росією. Тепер існувала загальна згода, що новим генеральним секретарем має </w:t>
      </w:r>
      <w:r w:rsidR="00A15B4C">
        <w:rPr>
          <w:rFonts w:eastAsiaTheme="minorEastAsia"/>
          <w:sz w:val="28"/>
          <w:szCs w:val="22"/>
          <w:lang w:eastAsia="ja-JP"/>
        </w:rPr>
        <w:lastRenderedPageBreak/>
        <w:t xml:space="preserve">бути високопоставлена </w:t>
      </w:r>
      <w:r w:rsidRPr="00D7691B">
        <w:rPr>
          <w:rFonts w:eastAsiaTheme="minorEastAsia"/>
          <w:sz w:val="28"/>
          <w:szCs w:val="22"/>
          <w:lang w:eastAsia="ja-JP"/>
        </w:rPr>
        <w:t>політична фігура, а не чиновник. Висування Хав</w:t>
      </w:r>
      <w:r w:rsidR="00C631E2">
        <w:rPr>
          <w:rFonts w:eastAsiaTheme="minorEastAsia"/>
          <w:sz w:val="28"/>
          <w:szCs w:val="22"/>
          <w:lang w:eastAsia="ja-JP"/>
        </w:rPr>
        <w:t>’</w:t>
      </w:r>
      <w:r w:rsidRPr="00D7691B">
        <w:rPr>
          <w:rFonts w:eastAsiaTheme="minorEastAsia"/>
          <w:sz w:val="28"/>
          <w:szCs w:val="22"/>
          <w:lang w:eastAsia="ja-JP"/>
        </w:rPr>
        <w:t>єра Солани, колишнього міністра закордонних справ Іспанії та нинішнього генерального секретаря НАТО, було доречним і символічним</w:t>
      </w:r>
      <w:r w:rsidRPr="00DC61EB">
        <w:rPr>
          <w:rFonts w:eastAsiaTheme="minorEastAsia"/>
          <w:sz w:val="28"/>
          <w:szCs w:val="22"/>
          <w:lang w:val="ru-RU" w:eastAsia="ja-JP"/>
        </w:rPr>
        <w:t xml:space="preserve"> (</w:t>
      </w:r>
      <w:r w:rsidRPr="00D7691B">
        <w:rPr>
          <w:rFonts w:eastAsiaTheme="minorEastAsia"/>
          <w:sz w:val="28"/>
          <w:szCs w:val="22"/>
          <w:lang w:val="en-US" w:eastAsia="ja-JP"/>
        </w:rPr>
        <w:t>Howorth</w:t>
      </w:r>
      <w:r w:rsidRPr="00DC61EB">
        <w:rPr>
          <w:rFonts w:eastAsiaTheme="minorEastAsia"/>
          <w:sz w:val="28"/>
          <w:szCs w:val="22"/>
          <w:lang w:val="ru-RU" w:eastAsia="ja-JP"/>
        </w:rPr>
        <w:t>, 2000)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Вплив конфлікту в Косово був вирішальним елементом у цьому пост-амстердамському сплеску до більш ефективної співпраці у сфері зовнішньої та оборонної політики (ЄПБО). Комітет з політики та безпеки (КПБ) почав працювати на «тимчасовій» основі до подальшого перегляду Договору в березні 2000 року. Розширення Секретаріату Ради за рахунок включення військового персоналу вимагало різкої корекції традиційно відкритих робочих практик ЄС із створенням «безпечної» зони всередині будівлі секретаріату ради</w:t>
      </w:r>
      <w:r w:rsidRPr="00DC61EB">
        <w:rPr>
          <w:rFonts w:eastAsiaTheme="minorEastAsia"/>
          <w:sz w:val="28"/>
          <w:szCs w:val="22"/>
          <w:lang w:eastAsia="ja-JP"/>
        </w:rPr>
        <w:t xml:space="preserve"> (</w:t>
      </w:r>
      <w:r w:rsidRPr="00D7691B">
        <w:rPr>
          <w:rFonts w:eastAsiaTheme="minorEastAsia"/>
          <w:sz w:val="28"/>
          <w:szCs w:val="22"/>
          <w:lang w:val="en-US" w:eastAsia="ja-JP"/>
        </w:rPr>
        <w:t>Christiansen</w:t>
      </w:r>
      <w:r w:rsidRPr="00DC61EB">
        <w:rPr>
          <w:rFonts w:eastAsiaTheme="minorEastAsia"/>
          <w:sz w:val="28"/>
          <w:szCs w:val="22"/>
          <w:lang w:eastAsia="ja-JP"/>
        </w:rPr>
        <w:t xml:space="preserve"> </w:t>
      </w:r>
      <w:r w:rsidRPr="00D7691B">
        <w:rPr>
          <w:rFonts w:eastAsiaTheme="minorEastAsia"/>
          <w:sz w:val="28"/>
          <w:szCs w:val="22"/>
          <w:lang w:val="en-US" w:eastAsia="ja-JP"/>
        </w:rPr>
        <w:t>et</w:t>
      </w:r>
      <w:r w:rsidRPr="00DC61EB">
        <w:rPr>
          <w:rFonts w:eastAsiaTheme="minorEastAsia"/>
          <w:sz w:val="28"/>
          <w:szCs w:val="22"/>
          <w:lang w:eastAsia="ja-JP"/>
        </w:rPr>
        <w:t xml:space="preserve"> </w:t>
      </w:r>
      <w:r w:rsidRPr="00D7691B">
        <w:rPr>
          <w:rFonts w:eastAsiaTheme="minorEastAsia"/>
          <w:sz w:val="28"/>
          <w:szCs w:val="22"/>
          <w:lang w:val="en-US" w:eastAsia="ja-JP"/>
        </w:rPr>
        <w:t>al</w:t>
      </w:r>
      <w:r w:rsidRPr="00DC61EB">
        <w:rPr>
          <w:rFonts w:eastAsiaTheme="minorEastAsia"/>
          <w:sz w:val="28"/>
          <w:szCs w:val="22"/>
          <w:lang w:eastAsia="ja-JP"/>
        </w:rPr>
        <w:t>., 2012)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Франко-британська стратегія полягала в тому, щоб спершу зосередитися на потенціалі, а вже потім на інституційній реформі. Вони закликали своїх європейських партнерів переформувати свої збройні сили, а в деяких випадках і збільшити витрати на оборону, щоб дати європейським державам можливість керувати конфліктами у власному регіоні та брати участь у миротворчих операціях за межами свого регіону, незалежно від США. Їхній намір, викладений у Кельнському комюніке, полягав у тому, щоб домогтися від своїх партнерів твердіших зобов</w:t>
      </w:r>
      <w:r w:rsidR="00C631E2">
        <w:rPr>
          <w:rFonts w:eastAsiaTheme="minorEastAsia"/>
          <w:sz w:val="28"/>
          <w:szCs w:val="22"/>
          <w:lang w:eastAsia="ja-JP"/>
        </w:rPr>
        <w:t>’</w:t>
      </w:r>
      <w:r w:rsidRPr="00D7691B">
        <w:rPr>
          <w:rFonts w:eastAsiaTheme="minorEastAsia"/>
          <w:sz w:val="28"/>
          <w:szCs w:val="22"/>
          <w:lang w:eastAsia="ja-JP"/>
        </w:rPr>
        <w:t>язань щодо створення європейських збройних сил, які можна розгортати, а потім об</w:t>
      </w:r>
      <w:r w:rsidR="00C631E2">
        <w:rPr>
          <w:rFonts w:eastAsiaTheme="minorEastAsia"/>
          <w:sz w:val="28"/>
          <w:szCs w:val="22"/>
          <w:lang w:eastAsia="ja-JP"/>
        </w:rPr>
        <w:t>’</w:t>
      </w:r>
      <w:r w:rsidRPr="00D7691B">
        <w:rPr>
          <w:rFonts w:eastAsiaTheme="minorEastAsia"/>
          <w:sz w:val="28"/>
          <w:szCs w:val="22"/>
          <w:lang w:eastAsia="ja-JP"/>
        </w:rPr>
        <w:t>єднати ЗЄС із ЄС у переговорах щодо перегляду договорів на міжурядовій конференції, які планувалося укласти в грудні 2000 року</w:t>
      </w:r>
      <w:r w:rsidRPr="00DC61EB">
        <w:rPr>
          <w:rFonts w:eastAsiaTheme="minorEastAsia"/>
          <w:sz w:val="28"/>
          <w:szCs w:val="22"/>
          <w:lang w:eastAsia="ja-JP"/>
        </w:rPr>
        <w:t xml:space="preserve"> (</w:t>
      </w:r>
      <w:r w:rsidRPr="00D7691B">
        <w:rPr>
          <w:rFonts w:eastAsiaTheme="minorEastAsia"/>
          <w:sz w:val="28"/>
          <w:szCs w:val="22"/>
          <w:lang w:val="en-US" w:eastAsia="ja-JP"/>
        </w:rPr>
        <w:t>Howorth</w:t>
      </w:r>
      <w:r w:rsidRPr="00DC61EB">
        <w:rPr>
          <w:rFonts w:eastAsiaTheme="minorEastAsia"/>
          <w:sz w:val="28"/>
          <w:szCs w:val="22"/>
          <w:lang w:eastAsia="ja-JP"/>
        </w:rPr>
        <w:t>, 2000)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листопаді 2000 року на наступній конференції щодо забезпечення можливостей були визначені головні недоліки в озброєнні та транспортних системах, а також було складено список зобов</w:t>
      </w:r>
      <w:r w:rsidR="00C631E2">
        <w:rPr>
          <w:rFonts w:eastAsiaTheme="minorEastAsia"/>
          <w:sz w:val="28"/>
          <w:szCs w:val="22"/>
          <w:lang w:eastAsia="ja-JP"/>
        </w:rPr>
        <w:t>’</w:t>
      </w:r>
      <w:r w:rsidRPr="00D7691B">
        <w:rPr>
          <w:rFonts w:eastAsiaTheme="minorEastAsia"/>
          <w:sz w:val="28"/>
          <w:szCs w:val="22"/>
          <w:lang w:eastAsia="ja-JP"/>
        </w:rPr>
        <w:t xml:space="preserve">язань і пріоритетів. Метод роботи був подібний до методу Лісабонського процесу, спрямованого на поширення «найкращої практики» від найбільш просунутих до тих, хто </w:t>
      </w:r>
      <w:r w:rsidRPr="00D7691B">
        <w:rPr>
          <w:rFonts w:eastAsiaTheme="minorEastAsia"/>
          <w:sz w:val="28"/>
          <w:szCs w:val="22"/>
          <w:lang w:eastAsia="ja-JP"/>
        </w:rPr>
        <w:lastRenderedPageBreak/>
        <w:t>відстає, і змусити уряди з найбільшими недоліками покращити свою ефективність. Проте жоден із цих процесів не мав особливого впливу на більшість урядів. Зустрічі міністрів оборони ЄС майже не привертали уваги ні в парламентах, ні в пресі. Конкуруючий тиск на національні бюджети заблокував будь-який поворот у скороченні витрат на оборону. Коливання в багатьох державах-членах щодо внутрішньої прийнятності планування поширення влади за межі Європи заблокували пряме обговорення того, де такі сили можуть бути розгорнуті.</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Наслідки майбутнього розширення ЄС на схід для європейського регіону турбували європейські уряди набагато більше. Якщо розширення розглядається як частина зовнішньої політики ЄС, розширення безпеки, процвітання та демократії в межах міцної міжнародної структури на всю Східну Європу слід вважати великим досягненням. Європейська рада в Гельсінкі в грудні 1999 року також побачила неохоче глав держав і урядів прийняти Туреччину в якості офіційного кандидата під сильним тиском США, виправданим на підставі стратегічної важливості Туреччини для інтересів Заходу на Близькому Сході. Переговори з Росією, якими в громіздкий спосіб керували представники Комісії, Високий представник і ротаційне головування Ради, варіювалися від відносин з Білоруссю до енергетичної безпеки до майбутнього Калінінграда та транскордонних злочинних мереж. Розширення НАТО, яке подолало чергову віху з Празьким самітом 2002 року, було відносно простим в інституційному плані. Розширення ЄС вимагало делікатного коригування спільної політики, фінансових потоків, інституційного представництва та ваги голосування</w:t>
      </w:r>
      <w:r w:rsidRPr="00DC61EB">
        <w:rPr>
          <w:rFonts w:eastAsiaTheme="minorEastAsia"/>
          <w:sz w:val="28"/>
          <w:szCs w:val="22"/>
          <w:lang w:eastAsia="ja-JP"/>
        </w:rPr>
        <w:t xml:space="preserve"> (</w:t>
      </w:r>
      <w:r w:rsidRPr="00D7691B">
        <w:rPr>
          <w:rFonts w:eastAsiaTheme="minorEastAsia"/>
          <w:sz w:val="28"/>
          <w:szCs w:val="22"/>
          <w:lang w:val="en-US" w:eastAsia="ja-JP"/>
        </w:rPr>
        <w:t>Rumford</w:t>
      </w:r>
      <w:r w:rsidRPr="00DC61EB">
        <w:rPr>
          <w:rFonts w:eastAsiaTheme="minorEastAsia"/>
          <w:sz w:val="28"/>
          <w:szCs w:val="22"/>
          <w:lang w:eastAsia="ja-JP"/>
        </w:rPr>
        <w:t>, 2000)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Неможливість узгодити ці питання в Амстердамі призвела до нової міжурядової конференції, яка закінчилася невдалими компромісами президента Ширака в Ніцці в грудні 2000 року. Це, у свою чергу, заклало </w:t>
      </w:r>
      <w:r w:rsidRPr="00D7691B">
        <w:rPr>
          <w:rFonts w:eastAsiaTheme="minorEastAsia"/>
          <w:sz w:val="28"/>
          <w:szCs w:val="22"/>
          <w:lang w:eastAsia="ja-JP"/>
        </w:rPr>
        <w:lastRenderedPageBreak/>
        <w:t>основу для амбітної пропозиції Конвенції про майбутнє Європи з представниками тринадцяти держав-кандидатів (включаючи Болгарію, Румунію та Туреччину) як спостерігачів-учасників, які зустрічалися з середини 2002 року до липня 2003 року. Тим часом Європейська комісія намагалася зосередити увагу урядів членів на наслідках розширення для ширшої європейської периферії на схід і південь. На початку 2003 року вона висунула пропозиції щодо ширшої «політики сусідства», спрямованої на створення основи для економічної асоціації та політичних консультацій для держав Західної Євразії та південного Середземномор</w:t>
      </w:r>
      <w:r w:rsidR="00C631E2">
        <w:rPr>
          <w:rFonts w:eastAsiaTheme="minorEastAsia"/>
          <w:sz w:val="28"/>
          <w:szCs w:val="22"/>
          <w:lang w:eastAsia="ja-JP"/>
        </w:rPr>
        <w:t>’</w:t>
      </w:r>
      <w:r w:rsidRPr="00D7691B">
        <w:rPr>
          <w:rFonts w:eastAsiaTheme="minorEastAsia"/>
          <w:sz w:val="28"/>
          <w:szCs w:val="22"/>
          <w:lang w:eastAsia="ja-JP"/>
        </w:rPr>
        <w:t>я</w:t>
      </w:r>
      <w:r w:rsidRPr="00DC61EB">
        <w:rPr>
          <w:rFonts w:eastAsiaTheme="minorEastAsia"/>
          <w:sz w:val="28"/>
          <w:szCs w:val="22"/>
          <w:lang w:eastAsia="ja-JP"/>
        </w:rPr>
        <w:t xml:space="preserve"> (</w:t>
      </w:r>
      <w:r w:rsidRPr="00D7691B">
        <w:rPr>
          <w:rFonts w:eastAsiaTheme="minorEastAsia"/>
          <w:sz w:val="28"/>
          <w:szCs w:val="22"/>
          <w:lang w:val="en-US" w:eastAsia="ja-JP"/>
        </w:rPr>
        <w:t>Slapin</w:t>
      </w:r>
      <w:r w:rsidRPr="00DC61EB">
        <w:rPr>
          <w:rFonts w:eastAsiaTheme="minorEastAsia"/>
          <w:sz w:val="28"/>
          <w:szCs w:val="22"/>
          <w:lang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Зміна адміністрації у Вашингтоні в січні 2001 року призвела до зовнішньополітичної команди, яка виступала проти трансатлантичного партнерства, натомість зосередилася на геополітиці «великого Близького Сходу» та Східної Азії та сповнена рішучості залишити розбудову нації та підтримання миру іншим. Перший візит президента Буша до Європи на саміт ЄС-США в Гетеборзі в червні 2001 року став катастрофічним обміном непорозуміннями та демонстрацією небажання національних лідерів підпорядковувати внутрішні проблеми спільним європейським інтересам</w:t>
      </w:r>
      <w:r w:rsidRPr="00DC61EB">
        <w:rPr>
          <w:rFonts w:eastAsiaTheme="minorEastAsia"/>
          <w:sz w:val="28"/>
          <w:szCs w:val="22"/>
          <w:lang w:eastAsia="ja-JP"/>
        </w:rPr>
        <w:t xml:space="preserve"> (</w:t>
      </w:r>
      <w:r w:rsidRPr="00D7691B">
        <w:rPr>
          <w:rFonts w:eastAsiaTheme="minorEastAsia"/>
          <w:sz w:val="28"/>
          <w:szCs w:val="22"/>
          <w:lang w:val="en-US" w:eastAsia="ja-JP"/>
        </w:rPr>
        <w:t>BBC</w:t>
      </w:r>
      <w:r w:rsidRPr="00DC61EB">
        <w:rPr>
          <w:rFonts w:eastAsiaTheme="minorEastAsia"/>
          <w:sz w:val="28"/>
          <w:szCs w:val="22"/>
          <w:lang w:eastAsia="ja-JP"/>
        </w:rPr>
        <w:t>, 2001)</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2001 році терористичні атаки 11 вересня змінили контекст як для європейської зовнішньої політики та політики безпеки, так і для трансатлантичних відносин, а швидке переміщення уваги США від збройного втручання в Афганістан до підготовки до вторгнення в Ірак знову змінило контекст. Європейська солідарність зі США щодо нападів на Нью-Йорк і Вашингтон призвела до першого в історії застосування статті 5 Північноатлантичного договору. У квітні 2002 року альтернативна трійка у складі Хав</w:t>
      </w:r>
      <w:r w:rsidR="00C631E2">
        <w:rPr>
          <w:rFonts w:eastAsiaTheme="minorEastAsia"/>
          <w:sz w:val="28"/>
          <w:szCs w:val="22"/>
          <w:lang w:eastAsia="ja-JP"/>
        </w:rPr>
        <w:t>’</w:t>
      </w:r>
      <w:r w:rsidRPr="00D7691B">
        <w:rPr>
          <w:rFonts w:eastAsiaTheme="minorEastAsia"/>
          <w:sz w:val="28"/>
          <w:szCs w:val="22"/>
          <w:lang w:eastAsia="ja-JP"/>
        </w:rPr>
        <w:t>єра Солани, міністра закордонних справ (Данії) в президентстві, та комісара із зовнішніх зв</w:t>
      </w:r>
      <w:r w:rsidR="00C631E2">
        <w:rPr>
          <w:rFonts w:eastAsiaTheme="minorEastAsia"/>
          <w:sz w:val="28"/>
          <w:szCs w:val="22"/>
          <w:lang w:eastAsia="ja-JP"/>
        </w:rPr>
        <w:t>’</w:t>
      </w:r>
      <w:r w:rsidRPr="00D7691B">
        <w:rPr>
          <w:rFonts w:eastAsiaTheme="minorEastAsia"/>
          <w:sz w:val="28"/>
          <w:szCs w:val="22"/>
          <w:lang w:eastAsia="ja-JP"/>
        </w:rPr>
        <w:t xml:space="preserve">язків Кріса Паттена приєдналася до Державного секретаря США Коліна Пауелла, Генерального секретаря ООН та міністра </w:t>
      </w:r>
      <w:r w:rsidRPr="00D7691B">
        <w:rPr>
          <w:rFonts w:eastAsiaTheme="minorEastAsia"/>
          <w:sz w:val="28"/>
          <w:szCs w:val="22"/>
          <w:lang w:eastAsia="ja-JP"/>
        </w:rPr>
        <w:lastRenderedPageBreak/>
        <w:t>закордонних справ Росії у формуванні «четвірки» для відновлення зусиль із вирішення ізраїльсько-палестинського конфлікту шляхом переговорів (</w:t>
      </w:r>
      <w:r w:rsidRPr="00D7691B">
        <w:rPr>
          <w:rFonts w:eastAsiaTheme="minorEastAsia"/>
          <w:sz w:val="28"/>
          <w:szCs w:val="22"/>
          <w:lang w:val="en-US" w:eastAsia="ja-JP"/>
        </w:rPr>
        <w:t>Merket</w:t>
      </w:r>
      <w:r w:rsidRPr="00DC61EB">
        <w:rPr>
          <w:rFonts w:eastAsiaTheme="minorEastAsia"/>
          <w:sz w:val="28"/>
          <w:szCs w:val="22"/>
          <w:lang w:eastAsia="ja-JP"/>
        </w:rPr>
        <w:t>, 2012)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Проте, стрімко просуваючись від Афганістану до Іраку, політичні діячі США не докладали зусиль, щоб перетягнути за собою своїх європейських союзників. Крихкі структури СЗППБ, ще більше ослаблені поганими особистими стосунками між британськими та французькими лідерами та внутрішньою політикою німецької виборчої кампанії, прогнулися під напругою. Британський і французький уряди повернулися до своїх різних підходів до трансатлантичних відносин: британці запропонували повну громадську підтримку, сподіваючись вплинути на політику США, і британські війська увійшли до Іраку разом із США; Франція відмовилася від підтримки без поступок США і підірвала зусилля Британії та США отримати дозвіл Ради Безпеки ООН на проведення військових дій. Франко-німецькі претензії представляти «європейську» опозицію вторгненню викликали конкуруючі заяви інших груп урядів. У квітні 2003 року бельгійський уряд посилив розбіжності, скликавши «саміт» для створення незалежного європейського штабу оборони в Тервюрені, на якому були присутні лише глави урядів Франції, Німеччини та Люксембургу. Вашингтонські політики відзначали поділ між «старою Європою» та «новою Європою»</w:t>
      </w:r>
      <w:r w:rsidRPr="00DC61EB">
        <w:rPr>
          <w:rFonts w:eastAsiaTheme="minorEastAsia"/>
          <w:sz w:val="28"/>
          <w:szCs w:val="22"/>
          <w:lang w:eastAsia="ja-JP"/>
        </w:rPr>
        <w:t xml:space="preserve"> (</w:t>
      </w:r>
      <w:r w:rsidRPr="00D7691B">
        <w:rPr>
          <w:rFonts w:eastAsiaTheme="minorEastAsia"/>
          <w:sz w:val="28"/>
          <w:szCs w:val="22"/>
          <w:lang w:val="en-US" w:eastAsia="ja-JP"/>
        </w:rPr>
        <w:t>Duke</w:t>
      </w:r>
      <w:r w:rsidRPr="00DC61EB">
        <w:rPr>
          <w:rFonts w:eastAsiaTheme="minorEastAsia"/>
          <w:sz w:val="28"/>
          <w:szCs w:val="22"/>
          <w:lang w:eastAsia="ja-JP"/>
        </w:rPr>
        <w:t>, 200)</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Дезінтеграція спільної європейської зовнішньої політики через вторгнення в Ірак взимку 2002-2003 років продемонструвала крихкість консенсусу, встановленого між урядами ЄС. Він виявив великий розрив між «спільною» політикою, створеною в результаті політичних переговорів між главами урядів і міністерств закордонних справ, і «єдиною» політикою, побудованою на інтегрованих установах і видатках, а також на загальноєвропейському громадському обговоренні.</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lastRenderedPageBreak/>
        <w:t>Втручання в Ірак стало найгострішою кризою в трансатлантичних відносинах з 1973-1974 років. Основним питанням спільної зовнішньої політики та політики безпеки залишалося те, наскільки європейські уряди мають наблизитися до автономної міжнародної ролі, на відміну від тієї, що вкорінена в атлантичній структурі. Уряди Британії та Франції разом просували програму ЄПБО лише через кілька місяців після вторгнення в Ірак. Розчаровані невдачею інших урядів у багатосторонньому процесі надання збройних засобів для досягнення Гельсінкських цілей, вони заявили в лютому 2004 року, що просуватимуть оборону шляхом «посиленої співпраці», вони оголосили, що нададуть «бойові групи» у відповідь на міжнародні кризи, і запросили інших членів, які могли б продемонструвати подібні можливості, приєднатися до них. Уряд Німеччини оголосив про своє зобов</w:t>
      </w:r>
      <w:r w:rsidR="00C631E2">
        <w:rPr>
          <w:rFonts w:eastAsiaTheme="minorEastAsia"/>
          <w:sz w:val="28"/>
          <w:szCs w:val="22"/>
          <w:lang w:eastAsia="ja-JP"/>
        </w:rPr>
        <w:t>’</w:t>
      </w:r>
      <w:r w:rsidRPr="00D7691B">
        <w:rPr>
          <w:rFonts w:eastAsiaTheme="minorEastAsia"/>
          <w:sz w:val="28"/>
          <w:szCs w:val="22"/>
          <w:lang w:eastAsia="ja-JP"/>
        </w:rPr>
        <w:t>язання приєднатися до них наступного дня. Шведи та фіни оголосили про створення спільної бойової групи восени 2004 року, ведучи переговори з Норвегією про надання контингенту, також велися переговори про створення об</w:t>
      </w:r>
      <w:r w:rsidR="00C631E2">
        <w:rPr>
          <w:rFonts w:eastAsiaTheme="minorEastAsia"/>
          <w:sz w:val="28"/>
          <w:szCs w:val="22"/>
          <w:lang w:eastAsia="ja-JP"/>
        </w:rPr>
        <w:t>’</w:t>
      </w:r>
      <w:r w:rsidRPr="00D7691B">
        <w:rPr>
          <w:rFonts w:eastAsiaTheme="minorEastAsia"/>
          <w:sz w:val="28"/>
          <w:szCs w:val="22"/>
          <w:lang w:eastAsia="ja-JP"/>
        </w:rPr>
        <w:t>єднаних сил Бенілюксу</w:t>
      </w:r>
      <w:r w:rsidRPr="00DC61EB">
        <w:rPr>
          <w:rFonts w:eastAsiaTheme="minorEastAsia"/>
          <w:sz w:val="28"/>
          <w:szCs w:val="22"/>
          <w:lang w:val="ru-RU" w:eastAsia="ja-JP"/>
        </w:rPr>
        <w:t xml:space="preserve"> (</w:t>
      </w:r>
      <w:r w:rsidRPr="00D7691B">
        <w:rPr>
          <w:rFonts w:eastAsiaTheme="minorEastAsia"/>
          <w:sz w:val="28"/>
          <w:szCs w:val="22"/>
          <w:lang w:val="en-US" w:eastAsia="ja-JP"/>
        </w:rPr>
        <w:t>Duke</w:t>
      </w:r>
      <w:r w:rsidRPr="00DC61EB">
        <w:rPr>
          <w:rFonts w:eastAsiaTheme="minorEastAsia"/>
          <w:sz w:val="28"/>
          <w:szCs w:val="22"/>
          <w:lang w:val="ru-RU" w:eastAsia="ja-JP"/>
        </w:rPr>
        <w:t>, 2008)</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Розташування КПБ, Військового комітету та паралельного Комітету з цивільних аспектів врегулювання кризових ситуацій разом із допоміжним персоналом у Секретаріаті Ради перемістило баланс СЗППБ у Брюссель.</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Лісабонський договір, який набув чинності 1 грудня 2009 року, надав Союзу статус юридичної особи та інституційну структуру для його зовнішньої служби. Крім того, він скасував опорну структуру, запроваджену Договором про Європейський Союз у 1993 році. Договір створив низку нових учасників СЗППБ, у тому числі Верховного представника Союзу із закордонних справ і політики безпеки, який також є віце-президентом Європейської комісії, і нового постійного президента Європейської ради. Крім того, було створено Європейську службу зовнішніх дій (EEAS) і </w:t>
      </w:r>
      <w:r w:rsidRPr="00D7691B">
        <w:rPr>
          <w:rFonts w:eastAsiaTheme="minorEastAsia"/>
          <w:sz w:val="28"/>
          <w:szCs w:val="22"/>
          <w:lang w:eastAsia="ja-JP"/>
        </w:rPr>
        <w:lastRenderedPageBreak/>
        <w:t>оновлено Спільну політику безпеки та оборони, яка є невід</w:t>
      </w:r>
      <w:r w:rsidR="00C631E2">
        <w:rPr>
          <w:rFonts w:eastAsiaTheme="minorEastAsia"/>
          <w:sz w:val="28"/>
          <w:szCs w:val="22"/>
          <w:lang w:eastAsia="ja-JP"/>
        </w:rPr>
        <w:t>’</w:t>
      </w:r>
      <w:r w:rsidRPr="00D7691B">
        <w:rPr>
          <w:rFonts w:eastAsiaTheme="minorEastAsia"/>
          <w:sz w:val="28"/>
          <w:szCs w:val="22"/>
          <w:lang w:eastAsia="ja-JP"/>
        </w:rPr>
        <w:t>ємною частиною СЗППБ</w:t>
      </w:r>
      <w:r w:rsidRPr="00DC61EB">
        <w:rPr>
          <w:rFonts w:eastAsiaTheme="minorEastAsia"/>
          <w:sz w:val="28"/>
          <w:szCs w:val="22"/>
          <w:lang w:eastAsia="ja-JP"/>
        </w:rPr>
        <w:t xml:space="preserve"> (</w:t>
      </w:r>
      <w:r w:rsidRPr="0008542F">
        <w:rPr>
          <w:rFonts w:eastAsiaTheme="minorEastAsia"/>
          <w:iCs/>
          <w:sz w:val="28"/>
          <w:szCs w:val="22"/>
          <w:lang w:val="en-US" w:eastAsia="ja-JP"/>
        </w:rPr>
        <w:t>The</w:t>
      </w:r>
      <w:r w:rsidRPr="0008542F">
        <w:rPr>
          <w:rFonts w:eastAsiaTheme="minorEastAsia"/>
          <w:iCs/>
          <w:sz w:val="28"/>
          <w:szCs w:val="22"/>
          <w:lang w:eastAsia="ja-JP"/>
        </w:rPr>
        <w:t xml:space="preserve"> </w:t>
      </w:r>
      <w:r w:rsidRPr="0008542F">
        <w:rPr>
          <w:rFonts w:eastAsiaTheme="minorEastAsia"/>
          <w:iCs/>
          <w:sz w:val="28"/>
          <w:szCs w:val="22"/>
          <w:lang w:val="en-US" w:eastAsia="ja-JP"/>
        </w:rPr>
        <w:t>Treaty</w:t>
      </w:r>
      <w:r w:rsidRPr="0008542F">
        <w:rPr>
          <w:rFonts w:eastAsiaTheme="minorEastAsia"/>
          <w:iCs/>
          <w:sz w:val="28"/>
          <w:szCs w:val="22"/>
          <w:lang w:eastAsia="ja-JP"/>
        </w:rPr>
        <w:t xml:space="preserve"> </w:t>
      </w:r>
      <w:r w:rsidRPr="0008542F">
        <w:rPr>
          <w:rFonts w:eastAsiaTheme="minorEastAsia"/>
          <w:iCs/>
          <w:sz w:val="28"/>
          <w:szCs w:val="22"/>
          <w:lang w:val="en-US" w:eastAsia="ja-JP"/>
        </w:rPr>
        <w:t>of</w:t>
      </w:r>
      <w:r w:rsidRPr="0008542F">
        <w:rPr>
          <w:rFonts w:eastAsiaTheme="minorEastAsia"/>
          <w:iCs/>
          <w:sz w:val="28"/>
          <w:szCs w:val="22"/>
          <w:lang w:eastAsia="ja-JP"/>
        </w:rPr>
        <w:t xml:space="preserve"> </w:t>
      </w:r>
      <w:r w:rsidRPr="0008542F">
        <w:rPr>
          <w:rFonts w:eastAsiaTheme="minorEastAsia"/>
          <w:iCs/>
          <w:sz w:val="28"/>
          <w:szCs w:val="22"/>
          <w:lang w:val="en-US" w:eastAsia="ja-JP"/>
        </w:rPr>
        <w:t>Lisbon</w:t>
      </w:r>
      <w:r w:rsidRPr="0008542F">
        <w:rPr>
          <w:rFonts w:eastAsiaTheme="minorEastAsia"/>
          <w:iCs/>
          <w:sz w:val="28"/>
          <w:szCs w:val="22"/>
          <w:lang w:eastAsia="ja-JP"/>
        </w:rPr>
        <w:t>,</w:t>
      </w:r>
      <w:r w:rsidRPr="00DC61EB">
        <w:rPr>
          <w:rFonts w:eastAsiaTheme="minorEastAsia"/>
          <w:iCs/>
          <w:sz w:val="28"/>
          <w:szCs w:val="22"/>
          <w:lang w:eastAsia="ja-JP"/>
        </w:rPr>
        <w:t xml:space="preserve"> 2009)</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перші роки після Лісабонського договору ЄС продовжував розвивати існуючі місії СПБО, зосереджуючись на врегулюванні криз, запобіганні конфліктам і постконфліктній стабілізації, особливо в таких регіонах, як Африка та Балкани.</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Однією з найуспішніших місій СПБО за цей період стала операція «Аталанта», розпочата в 2008 році для боротьби з піратством біля узбережжя Сомалі. До 2009 року місія зросла в розмірах і стала більш ефективною завдяки внескам багатьох держав-членів ЄС, включаючи військово-морські сили Франції, Німеччини, Іспанії та Сполученого Королівства. ЄС також розширив свої цивільні та військові місії в нестабільних регіонах. У Косово місія EULEX (2008) була зосереджена на зміцненні верховенства права, тоді як в Африці місії ЄС були розгорнуті в Демократичній Республіці Конго та Малі, сприяючи стабілізаційним зусиллям і розбудові потенціалу в сферах безпеки та управління</w:t>
      </w:r>
      <w:r w:rsidRPr="00DC61EB">
        <w:rPr>
          <w:rFonts w:eastAsiaTheme="minorEastAsia"/>
          <w:sz w:val="28"/>
          <w:szCs w:val="22"/>
          <w:lang w:eastAsia="ja-JP"/>
        </w:rPr>
        <w:t xml:space="preserve"> (</w:t>
      </w:r>
      <w:r w:rsidRPr="00D7691B">
        <w:rPr>
          <w:rFonts w:eastAsiaTheme="minorEastAsia"/>
          <w:sz w:val="28"/>
          <w:szCs w:val="22"/>
          <w:lang w:val="en-US" w:eastAsia="ja-JP"/>
        </w:rPr>
        <w:t>Bremberg</w:t>
      </w:r>
      <w:r w:rsidRPr="00DC61EB">
        <w:rPr>
          <w:rFonts w:eastAsiaTheme="minorEastAsia"/>
          <w:sz w:val="28"/>
          <w:szCs w:val="22"/>
          <w:lang w:eastAsia="ja-JP"/>
        </w:rPr>
        <w:t xml:space="preserve">, </w:t>
      </w:r>
      <w:r w:rsidRPr="00D7691B">
        <w:rPr>
          <w:rFonts w:eastAsiaTheme="minorEastAsia"/>
          <w:sz w:val="28"/>
          <w:szCs w:val="22"/>
          <w:lang w:val="en-US" w:eastAsia="ja-JP"/>
        </w:rPr>
        <w:t>Hedling</w:t>
      </w:r>
      <w:r w:rsidRPr="00DC61EB">
        <w:rPr>
          <w:rFonts w:eastAsiaTheme="minorEastAsia"/>
          <w:sz w:val="28"/>
          <w:szCs w:val="22"/>
          <w:lang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Однак СЗППБ та СПБО залишалися неспроможними через обмежений військовий потенціал ЄС і небажання деяких держав-членів брати участь у високоризикованих військових інтервенціях. Наприклад, під час лівійської кризи 2011 року ЄС був відсторонений НАТО, оскільки країни-члени, зокрема Франція та Великобританія, обрали більш прямий військовий підхід через операцію під проводом НАТО «Юніфайд Протектор».</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Період розвитку безпекової політики ЄС після заключення Лісабонського договору характеризувався поступовим прогресом у розвитку СЗППБ і СПБО, але події 2014 року стали переломним моментом. Анексія Росією Криму в березні 2014 року та подальша війна на сході України створили найбільшу загрозу європейській безпеці з часів закінчення холодної війни, що спонукало ЄС переглянути свою стратегічну позицію.</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lastRenderedPageBreak/>
        <w:t>Негайною реакцією ЄС на анексію Криму та дестабілізацію Сходу України стало запровадження економічних санкцій проти Росії. Серед них заборона на поїздки, заморожування активів і галузеві санкції, спрямовані проти фінансового, енергетичного та військового секторів Росії. Санкції були скоординовані зі Сполученими Штатами та іншими західними союзниками, що стало рідкісним моментом єдності у зовнішній політиці ЄС. Німеччина під керівництвом канцлера Ангели Меркель відіграла ключову роль у згуртуванні підтримки санкцій, незважаючи на міцні економічні зв</w:t>
      </w:r>
      <w:r w:rsidR="00C631E2">
        <w:rPr>
          <w:rFonts w:eastAsiaTheme="minorEastAsia"/>
          <w:sz w:val="28"/>
          <w:szCs w:val="22"/>
          <w:lang w:eastAsia="ja-JP"/>
        </w:rPr>
        <w:t>’</w:t>
      </w:r>
      <w:r w:rsidRPr="00D7691B">
        <w:rPr>
          <w:rFonts w:eastAsiaTheme="minorEastAsia"/>
          <w:sz w:val="28"/>
          <w:szCs w:val="22"/>
          <w:lang w:eastAsia="ja-JP"/>
        </w:rPr>
        <w:t>язки з Росією</w:t>
      </w:r>
      <w:r w:rsidRPr="00DC61EB">
        <w:rPr>
          <w:rFonts w:eastAsiaTheme="minorEastAsia"/>
          <w:sz w:val="28"/>
          <w:szCs w:val="22"/>
          <w:lang w:eastAsia="ja-JP"/>
        </w:rPr>
        <w:t xml:space="preserve"> (</w:t>
      </w:r>
      <w:r w:rsidRPr="00D7691B">
        <w:rPr>
          <w:rFonts w:eastAsiaTheme="minorEastAsia"/>
          <w:sz w:val="28"/>
          <w:szCs w:val="22"/>
          <w:lang w:val="en-US" w:eastAsia="ja-JP"/>
        </w:rPr>
        <w:t>Barron</w:t>
      </w:r>
      <w:r w:rsidRPr="00DC61EB">
        <w:rPr>
          <w:rFonts w:eastAsiaTheme="minorEastAsia"/>
          <w:sz w:val="28"/>
          <w:szCs w:val="22"/>
          <w:lang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Після кризи ЄС збільшив підтримку України через політичну, економічну та фінансову допомогу. Підписання Угоди про асоціацію між ЄС та Україною в червні 2014 року після усунення президента Віктора Януковича символізувало поглиблення зв</w:t>
      </w:r>
      <w:r w:rsidR="00C631E2">
        <w:rPr>
          <w:rFonts w:eastAsiaTheme="minorEastAsia"/>
          <w:sz w:val="28"/>
          <w:szCs w:val="22"/>
          <w:lang w:eastAsia="ja-JP"/>
        </w:rPr>
        <w:t>’</w:t>
      </w:r>
      <w:r w:rsidRPr="00D7691B">
        <w:rPr>
          <w:rFonts w:eastAsiaTheme="minorEastAsia"/>
          <w:sz w:val="28"/>
          <w:szCs w:val="22"/>
          <w:lang w:eastAsia="ja-JP"/>
        </w:rPr>
        <w:t>язків. ЄС також запустив цивільну місію СПБО, Консультативну місію ЄС (EUAM) в України, щоб підтримати реформу цивільного сектору безпеки в країні.</w:t>
      </w:r>
      <w:r w:rsidRPr="00DC61EB">
        <w:rPr>
          <w:rFonts w:eastAsiaTheme="minorEastAsia"/>
          <w:sz w:val="28"/>
          <w:szCs w:val="22"/>
          <w:lang w:eastAsia="ja-JP"/>
        </w:rPr>
        <w:t xml:space="preserve"> </w:t>
      </w:r>
      <w:r w:rsidRPr="00D7691B">
        <w:rPr>
          <w:rFonts w:eastAsiaTheme="minorEastAsia"/>
          <w:sz w:val="28"/>
          <w:szCs w:val="22"/>
          <w:lang w:eastAsia="ja-JP"/>
        </w:rPr>
        <w:t>Анексія Криму призвела до відновлення уваги до співпраці ЄС і НАТО, зокрема у сферах гібридних загроз, кібербезпеки та захисту критичної інфраструктури. У той час як НАТО залишалася головним форумом колективної оборони в Європі, СПБО ЄС почала більше зосереджуватися на «гібридній війні» – поєднанні звичайних військових тактик, кібератак, дезінформації та економічного тиску – які Росія застосовувала в Україні (Середюк, 2019).</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Німеччина, яка спочатку не бажала брати на себе провідну військову роль, стала центральним гравцем у відповіді ЄС на кризу в Україні. Берлін зіграв важливу роль у формуванні режиму санкцій ЄС проти Росії та відіграв ключову дипломатичну роль у Мінському мирному процесі, який мав на меті деескалацію конфлікту на сході України</w:t>
      </w:r>
      <w:r w:rsidRPr="00DC61EB">
        <w:rPr>
          <w:rFonts w:eastAsiaTheme="minorEastAsia"/>
          <w:sz w:val="28"/>
          <w:szCs w:val="22"/>
          <w:lang w:eastAsia="ja-JP"/>
        </w:rPr>
        <w:t xml:space="preserve"> (</w:t>
      </w:r>
      <w:r w:rsidRPr="00D7691B">
        <w:rPr>
          <w:rFonts w:eastAsiaTheme="minorEastAsia"/>
          <w:sz w:val="28"/>
          <w:szCs w:val="22"/>
          <w:lang w:val="en-US" w:eastAsia="ja-JP"/>
        </w:rPr>
        <w:t>Barron</w:t>
      </w:r>
      <w:r w:rsidRPr="00DC61EB">
        <w:rPr>
          <w:rFonts w:eastAsiaTheme="minorEastAsia"/>
          <w:sz w:val="28"/>
          <w:szCs w:val="22"/>
          <w:lang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Франція та Сполучене Королівство зберегли свої позиції як найбоєздатніші військові сили ЄС. Хоча їхня участь у місіях СПБО була </w:t>
      </w:r>
      <w:r w:rsidRPr="00D7691B">
        <w:rPr>
          <w:rFonts w:eastAsiaTheme="minorEastAsia"/>
          <w:sz w:val="28"/>
          <w:szCs w:val="22"/>
          <w:lang w:eastAsia="ja-JP"/>
        </w:rPr>
        <w:lastRenderedPageBreak/>
        <w:t>значною, вони часто віддавали пріоритет НАТО або національним ініціативам для військового втручання, як це можна побачити в Лівії. Однак їхня участь у спільних операціях ЄС, таких як операція «Аталанта», продемонструвала їхню відданість зусиллям у сфері європейської безпеки</w:t>
      </w:r>
      <w:r w:rsidRPr="00DC61EB">
        <w:rPr>
          <w:rFonts w:eastAsiaTheme="minorEastAsia"/>
          <w:sz w:val="28"/>
          <w:szCs w:val="22"/>
          <w:lang w:eastAsia="ja-JP"/>
        </w:rPr>
        <w:t xml:space="preserve"> (</w:t>
      </w:r>
      <w:r w:rsidRPr="00D7691B">
        <w:rPr>
          <w:rFonts w:eastAsiaTheme="minorEastAsia"/>
          <w:sz w:val="28"/>
          <w:szCs w:val="22"/>
          <w:lang w:val="en-US" w:eastAsia="ja-JP"/>
        </w:rPr>
        <w:t>Barron</w:t>
      </w:r>
      <w:r w:rsidRPr="00DC61EB">
        <w:rPr>
          <w:rFonts w:eastAsiaTheme="minorEastAsia"/>
          <w:sz w:val="28"/>
          <w:szCs w:val="22"/>
          <w:lang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Польща та країни Балтії враховуючи їх близькість до Росії та історичний досвід, були активними прихильниками жорсткої відповіді ЄС на російську агресію. Польща, зокрема, наполягала на зміцненні оборонної співпраці в рамках ЄС і тісніших зв</w:t>
      </w:r>
      <w:r w:rsidR="00C631E2">
        <w:rPr>
          <w:rFonts w:eastAsiaTheme="minorEastAsia"/>
          <w:sz w:val="28"/>
          <w:szCs w:val="22"/>
          <w:lang w:eastAsia="ja-JP"/>
        </w:rPr>
        <w:t>’</w:t>
      </w:r>
      <w:r w:rsidRPr="00D7691B">
        <w:rPr>
          <w:rFonts w:eastAsiaTheme="minorEastAsia"/>
          <w:sz w:val="28"/>
          <w:szCs w:val="22"/>
          <w:lang w:eastAsia="ja-JP"/>
        </w:rPr>
        <w:t>язків з НАТО, тоді як країни Балтії закликали до збільшення присутності ЄС і НАТО в Східній Європі, щоб стримати подальші вторгнення Росії</w:t>
      </w:r>
      <w:r w:rsidRPr="00DC61EB">
        <w:rPr>
          <w:rFonts w:eastAsiaTheme="minorEastAsia"/>
          <w:sz w:val="28"/>
          <w:szCs w:val="22"/>
          <w:lang w:eastAsia="ja-JP"/>
        </w:rPr>
        <w:t xml:space="preserve"> (</w:t>
      </w:r>
      <w:r w:rsidRPr="00D7691B">
        <w:rPr>
          <w:rFonts w:eastAsiaTheme="minorEastAsia"/>
          <w:sz w:val="28"/>
          <w:szCs w:val="22"/>
          <w:lang w:val="en-US" w:eastAsia="ja-JP"/>
        </w:rPr>
        <w:t>Barron</w:t>
      </w:r>
      <w:r w:rsidRPr="00DC61EB">
        <w:rPr>
          <w:rFonts w:eastAsiaTheme="minorEastAsia"/>
          <w:sz w:val="28"/>
          <w:szCs w:val="22"/>
          <w:lang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Таким чином, швидкі зміни в ландшафті європейської безпеки спонукали лідерів ЄС почати розглядати європейську безпеку більш узгоджено. У ширшому міжнародному масштабі загальна тенденція дерегуляції міжнародних справ, делегітимації фундаментальних інститутів багатосторонньо</w:t>
      </w:r>
      <w:r w:rsidR="002069D6">
        <w:rPr>
          <w:rFonts w:eastAsiaTheme="minorEastAsia"/>
          <w:sz w:val="28"/>
          <w:szCs w:val="22"/>
          <w:lang w:eastAsia="ja-JP"/>
        </w:rPr>
        <w:t xml:space="preserve">го управління та наполегливої </w:t>
      </w:r>
      <w:r w:rsidRPr="00D7691B">
        <w:rPr>
          <w:rFonts w:eastAsiaTheme="minorEastAsia"/>
          <w:sz w:val="28"/>
          <w:szCs w:val="22"/>
          <w:lang w:eastAsia="ja-JP"/>
        </w:rPr>
        <w:t>політики найсильніших глобальних гравців лише ускладнили нове стратегічне середовище ЄС. Іншими словами, жорсткі конструкції безпеки, які зазвичай приписували лише періоду холодної війни, такі як геополітика, ексклюзивні зони інтересів, стримування та військова сила, повернулися на перший план.</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Віддзеркалюючи ці зміни, ЄС почав змінювати свої наративи і змінювати погляди. Європейська Рада у своєму Стратегічному порядку денному на 2019-2024 роки зазначила наступне: «У світі дедалі більшої невизначеності, складності та змін ЄС має дотримуватися стратегічного курсу дій і збільшити свою здатність діяти автономно для захисту своїх інтересів, підтримувати її цінності та спосіб життя та допомагати формувати глобальне майбутнє». Під час презентації своєї програми перед Європейським парламентом обрана на той час президентом Європейської комісії Урсула фон </w:t>
      </w:r>
      <w:r w:rsidRPr="00D7691B">
        <w:rPr>
          <w:rFonts w:eastAsiaTheme="minorEastAsia"/>
          <w:sz w:val="28"/>
          <w:szCs w:val="22"/>
          <w:lang w:eastAsia="ja-JP"/>
        </w:rPr>
        <w:lastRenderedPageBreak/>
        <w:t>дер Ля</w:t>
      </w:r>
      <w:r w:rsidR="00736818">
        <w:rPr>
          <w:rFonts w:eastAsiaTheme="minorEastAsia"/>
          <w:sz w:val="28"/>
          <w:szCs w:val="22"/>
          <w:lang w:eastAsia="ja-JP"/>
        </w:rPr>
        <w:t>й</w:t>
      </w:r>
      <w:r w:rsidRPr="00D7691B">
        <w:rPr>
          <w:rFonts w:eastAsiaTheme="minorEastAsia"/>
          <w:sz w:val="28"/>
          <w:szCs w:val="22"/>
          <w:lang w:eastAsia="ja-JP"/>
        </w:rPr>
        <w:t>єн оголосила, що її комісія буде геополітичною, тоді як Верховний представник ЄС із закордонних справ і політики безпеки і віце-президент Європейської комісії Жозеп Бо</w:t>
      </w:r>
      <w:r w:rsidR="002069D6" w:rsidRPr="002069D6">
        <w:rPr>
          <w:rFonts w:eastAsiaTheme="minorEastAsia"/>
          <w:sz w:val="28"/>
          <w:szCs w:val="22"/>
          <w:lang w:eastAsia="ja-JP"/>
        </w:rPr>
        <w:t>р</w:t>
      </w:r>
      <w:r w:rsidRPr="00D7691B">
        <w:rPr>
          <w:rFonts w:eastAsiaTheme="minorEastAsia"/>
          <w:sz w:val="28"/>
          <w:szCs w:val="22"/>
          <w:lang w:eastAsia="ja-JP"/>
        </w:rPr>
        <w:t>рель стверджував, що ЄС має «вивчити мову сили»</w:t>
      </w:r>
      <w:r w:rsidRPr="00DC61EB">
        <w:rPr>
          <w:rFonts w:eastAsiaTheme="minorEastAsia"/>
          <w:sz w:val="28"/>
          <w:szCs w:val="22"/>
          <w:lang w:eastAsia="ja-JP"/>
        </w:rPr>
        <w:t xml:space="preserve"> (</w:t>
      </w:r>
      <w:r w:rsidRPr="00D7691B">
        <w:rPr>
          <w:rFonts w:eastAsiaTheme="minorEastAsia"/>
          <w:i/>
          <w:iCs/>
          <w:sz w:val="28"/>
          <w:szCs w:val="22"/>
          <w:lang w:val="en-US" w:eastAsia="ja-JP"/>
        </w:rPr>
        <w:t>A</w:t>
      </w:r>
      <w:r w:rsidRPr="00DC61EB">
        <w:rPr>
          <w:rFonts w:eastAsiaTheme="minorEastAsia"/>
          <w:i/>
          <w:iCs/>
          <w:sz w:val="28"/>
          <w:szCs w:val="22"/>
          <w:lang w:eastAsia="ja-JP"/>
        </w:rPr>
        <w:t xml:space="preserve"> </w:t>
      </w:r>
      <w:r w:rsidRPr="00D7691B">
        <w:rPr>
          <w:rFonts w:eastAsiaTheme="minorEastAsia"/>
          <w:i/>
          <w:iCs/>
          <w:sz w:val="28"/>
          <w:szCs w:val="22"/>
          <w:lang w:val="en-US" w:eastAsia="ja-JP"/>
        </w:rPr>
        <w:t>new</w:t>
      </w:r>
      <w:r w:rsidRPr="00DC61EB">
        <w:rPr>
          <w:rFonts w:eastAsiaTheme="minorEastAsia"/>
          <w:i/>
          <w:iCs/>
          <w:sz w:val="28"/>
          <w:szCs w:val="22"/>
          <w:lang w:eastAsia="ja-JP"/>
        </w:rPr>
        <w:t xml:space="preserve"> </w:t>
      </w:r>
      <w:r w:rsidRPr="00D7691B">
        <w:rPr>
          <w:rFonts w:eastAsiaTheme="minorEastAsia"/>
          <w:i/>
          <w:iCs/>
          <w:sz w:val="28"/>
          <w:szCs w:val="22"/>
          <w:lang w:val="en-US" w:eastAsia="ja-JP"/>
        </w:rPr>
        <w:t>strategic</w:t>
      </w:r>
      <w:r w:rsidRPr="00DC61EB">
        <w:rPr>
          <w:rFonts w:eastAsiaTheme="minorEastAsia"/>
          <w:i/>
          <w:iCs/>
          <w:sz w:val="28"/>
          <w:szCs w:val="22"/>
          <w:lang w:eastAsia="ja-JP"/>
        </w:rPr>
        <w:t xml:space="preserve"> </w:t>
      </w:r>
      <w:r w:rsidRPr="00D7691B">
        <w:rPr>
          <w:rFonts w:eastAsiaTheme="minorEastAsia"/>
          <w:i/>
          <w:iCs/>
          <w:sz w:val="28"/>
          <w:szCs w:val="22"/>
          <w:lang w:val="en-US" w:eastAsia="ja-JP"/>
        </w:rPr>
        <w:t>agenda</w:t>
      </w:r>
      <w:r w:rsidRPr="00DC61EB">
        <w:rPr>
          <w:rFonts w:eastAsiaTheme="minorEastAsia"/>
          <w:i/>
          <w:iCs/>
          <w:sz w:val="28"/>
          <w:szCs w:val="22"/>
          <w:lang w:eastAsia="ja-JP"/>
        </w:rPr>
        <w:t xml:space="preserve"> 2019-2024</w:t>
      </w:r>
      <w:r w:rsidRPr="00DC61EB">
        <w:rPr>
          <w:rFonts w:eastAsiaTheme="minorEastAsia"/>
          <w:sz w:val="28"/>
          <w:szCs w:val="22"/>
          <w:lang w:eastAsia="ja-JP"/>
        </w:rPr>
        <w:t>, 2019)</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У червні 2021 року ЄС розпочав аналіз майбутнього європейської безпеки та оборони. Цей процес призвів до створення Стратегічного компасу безпеки та оборони, політичного документа, який визначає стратегію безпеки та оборони ЄС на наступні 5-10 років. Стратегічний компас забезпечує рамки дій для розробки спільного бачення у сфері безпеки та оборони. Документ розроблявся в три етапи: аналіз загроз, структурований стратегічний діалог, подальший розвиток і перегляд перед прийняттям. Його головна мета – забезпечити політичне керівництво для реалізації «стратегічної автономії» ЄС у чотирьох ключових сферах: врегулювання криз, стійкість, можливості та партнерство. Цей процес спрямований на задоволення зростаючої потреби ЄС у тому, щоб мати можливість діяти як постачальник безпеки. У листопаді 2021 року віце-президент Боррель представив початкову версію документа на спільній сесії міністрів закордонних справ і оборони ЄС</w:t>
      </w:r>
      <w:r w:rsidRPr="00DC61EB">
        <w:rPr>
          <w:rFonts w:eastAsiaTheme="minorEastAsia"/>
          <w:sz w:val="28"/>
          <w:szCs w:val="22"/>
          <w:lang w:val="ru-RU" w:eastAsia="ja-JP"/>
        </w:rPr>
        <w:t xml:space="preserve"> (</w:t>
      </w:r>
      <w:r w:rsidRPr="00D7691B">
        <w:rPr>
          <w:rFonts w:eastAsiaTheme="minorEastAsia"/>
          <w:sz w:val="28"/>
          <w:szCs w:val="22"/>
          <w:lang w:val="en-US" w:eastAsia="ja-JP"/>
        </w:rPr>
        <w:t>Gjoreski</w:t>
      </w:r>
      <w:r w:rsidRPr="00DC61EB">
        <w:rPr>
          <w:rFonts w:eastAsiaTheme="minorEastAsia"/>
          <w:sz w:val="28"/>
          <w:szCs w:val="22"/>
          <w:lang w:val="ru-RU"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Як ніщо раніше, вторгнення Росії в Україну у 2022 році підштовхнуло ЄС та його держави-члени до об</w:t>
      </w:r>
      <w:r w:rsidR="00C631E2">
        <w:rPr>
          <w:rFonts w:eastAsiaTheme="minorEastAsia"/>
          <w:sz w:val="28"/>
          <w:szCs w:val="22"/>
          <w:lang w:eastAsia="ja-JP"/>
        </w:rPr>
        <w:t>’</w:t>
      </w:r>
      <w:r w:rsidRPr="00D7691B">
        <w:rPr>
          <w:rFonts w:eastAsiaTheme="minorEastAsia"/>
          <w:sz w:val="28"/>
          <w:szCs w:val="22"/>
          <w:lang w:eastAsia="ja-JP"/>
        </w:rPr>
        <w:t>єднання у роздумах про європейську безпеку, таким чином додатково активізувавши процес, який набрав обертів із прийняттям Глобальної безпекової стратегії ЄС у 2016 році та започаткуванням процесу створення ширшого інструментарію розвитку спроможності та оборонно-промислової політики. Отже, вперше в історії ЄС почав розвивати можливості політики безпеки та оборони, окрім завдань з управління кризами та миротворчої діяльності.</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Очевидно, що драматичні геополітичні події спричинили інтенсивний тиск на ЄС, щоб створити стійкий потенціал для колективних дій у певній сфері безпеки та оборони, де навіть найсильніші держави-члени явно не </w:t>
      </w:r>
      <w:r w:rsidRPr="00D7691B">
        <w:rPr>
          <w:rFonts w:eastAsiaTheme="minorEastAsia"/>
          <w:sz w:val="28"/>
          <w:szCs w:val="22"/>
          <w:lang w:eastAsia="ja-JP"/>
        </w:rPr>
        <w:lastRenderedPageBreak/>
        <w:t>мають спроможності індивідуально реагувати на сучасні виклики. Крім того, стало зрозуміло, що ЄС зіткнеться з дуже серйозною проблемою «стратегічного скорочення».</w:t>
      </w:r>
      <w:r w:rsidRPr="00DC61EB">
        <w:rPr>
          <w:rFonts w:eastAsiaTheme="minorEastAsia"/>
          <w:sz w:val="28"/>
          <w:szCs w:val="22"/>
          <w:lang w:val="ru-RU" w:eastAsia="ja-JP"/>
        </w:rPr>
        <w:t xml:space="preserve"> </w:t>
      </w:r>
      <w:r w:rsidRPr="00D7691B">
        <w:rPr>
          <w:rFonts w:eastAsiaTheme="minorEastAsia"/>
          <w:sz w:val="28"/>
          <w:szCs w:val="22"/>
          <w:lang w:eastAsia="ja-JP"/>
        </w:rPr>
        <w:t>Весь процес мав спричинити еволюцію спільної європейської культури безпеки та оборони, яка є фундаментальною передумовою для функціональної Спільної політики безпеки та оборони ЄС у все більш нестабільному міжнародному середовищі.</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Саме тому, у 2022 році був прийнятий Стратегічний компас, який став кроком вперед у тривалому та громіздкому процесі розвитку Європейської політики безпеки та оборони в спробі ЄС інституціоналізувати свою здатність реагувати на сучасні виклики безпеці. Він є як продовженням процесу, який набрав обертів із прийняттям Глобальної стратегії ЄС, так і відображенням геостратегічної реальності на тлі російської агресії в Україні. У контексті російської агресії документ довелося суттєво змінити, щоб врахувати дестабілізацію європейського порядку безпеки та подальшу зміну позиції, амбіцій та інструментів ЄС у сфері оборони. 24 і 25 березня 2022 року, під час головування Франції в Раді, Європейська рада схвалила остаточну версію Стратегічного компасу</w:t>
      </w:r>
      <w:r w:rsidRPr="00DC61EB">
        <w:rPr>
          <w:rFonts w:eastAsiaTheme="minorEastAsia"/>
          <w:sz w:val="28"/>
          <w:szCs w:val="22"/>
          <w:lang w:eastAsia="ja-JP"/>
        </w:rPr>
        <w:t xml:space="preserve"> (</w:t>
      </w:r>
      <w:r w:rsidRPr="00D7691B">
        <w:rPr>
          <w:rFonts w:eastAsiaTheme="minorEastAsia"/>
          <w:sz w:val="28"/>
          <w:szCs w:val="22"/>
          <w:lang w:val="en-US" w:eastAsia="ja-JP"/>
        </w:rPr>
        <w:t>Gjoreski</w:t>
      </w:r>
      <w:r w:rsidRPr="00DC61EB">
        <w:rPr>
          <w:rFonts w:eastAsiaTheme="minorEastAsia"/>
          <w:sz w:val="28"/>
          <w:szCs w:val="22"/>
          <w:lang w:eastAsia="ja-JP"/>
        </w:rPr>
        <w:t>, 2022)</w:t>
      </w:r>
      <w:r w:rsidRPr="00D7691B">
        <w:rPr>
          <w:rFonts w:eastAsiaTheme="minorEastAsia"/>
          <w:sz w:val="28"/>
          <w:szCs w:val="22"/>
          <w:lang w:eastAsia="ja-JP"/>
        </w:rPr>
        <w:t>.</w:t>
      </w:r>
    </w:p>
    <w:p w:rsidR="00D7691B"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Внаслідок війни Данія скасувала своє право відмови від участі в оборонній політиці ЄС, яке вона отримала в 1992 році. Данці погодилися приєднатися до СПБО на референдумі, організованому 1 червня 2022 року (66,9% проголосували «за»). Таким чином, усі 27 держав-членів зараз беруть участь у СПБО</w:t>
      </w:r>
      <w:r w:rsidRPr="00DC61EB">
        <w:rPr>
          <w:rFonts w:eastAsiaTheme="minorEastAsia"/>
          <w:sz w:val="28"/>
          <w:szCs w:val="22"/>
          <w:lang w:eastAsia="ja-JP"/>
        </w:rPr>
        <w:t xml:space="preserve"> (</w:t>
      </w:r>
      <w:r w:rsidRPr="00D7691B">
        <w:rPr>
          <w:rFonts w:eastAsiaTheme="minorEastAsia"/>
          <w:i/>
          <w:iCs/>
          <w:sz w:val="28"/>
          <w:szCs w:val="22"/>
          <w:lang w:val="en-US" w:eastAsia="ja-JP"/>
        </w:rPr>
        <w:t>Denmark</w:t>
      </w:r>
      <w:r w:rsidRPr="00DC61EB">
        <w:rPr>
          <w:rFonts w:eastAsiaTheme="minorEastAsia"/>
          <w:i/>
          <w:iCs/>
          <w:sz w:val="28"/>
          <w:szCs w:val="22"/>
          <w:lang w:eastAsia="ja-JP"/>
        </w:rPr>
        <w:t xml:space="preserve">: </w:t>
      </w:r>
      <w:r w:rsidRPr="00D7691B">
        <w:rPr>
          <w:rFonts w:eastAsiaTheme="minorEastAsia"/>
          <w:i/>
          <w:iCs/>
          <w:sz w:val="28"/>
          <w:szCs w:val="22"/>
          <w:lang w:val="en-US" w:eastAsia="ja-JP"/>
        </w:rPr>
        <w:t>Statement</w:t>
      </w:r>
      <w:r w:rsidRPr="00DC61EB">
        <w:rPr>
          <w:rFonts w:eastAsiaTheme="minorEastAsia"/>
          <w:i/>
          <w:iCs/>
          <w:sz w:val="28"/>
          <w:szCs w:val="22"/>
          <w:lang w:eastAsia="ja-JP"/>
        </w:rPr>
        <w:t xml:space="preserve"> </w:t>
      </w:r>
      <w:r w:rsidRPr="00D7691B">
        <w:rPr>
          <w:rFonts w:eastAsiaTheme="minorEastAsia"/>
          <w:i/>
          <w:iCs/>
          <w:sz w:val="28"/>
          <w:szCs w:val="22"/>
          <w:lang w:val="en-US" w:eastAsia="ja-JP"/>
        </w:rPr>
        <w:t>by</w:t>
      </w:r>
      <w:r w:rsidRPr="00DC61EB">
        <w:rPr>
          <w:rFonts w:eastAsiaTheme="minorEastAsia"/>
          <w:i/>
          <w:iCs/>
          <w:sz w:val="28"/>
          <w:szCs w:val="22"/>
          <w:lang w:eastAsia="ja-JP"/>
        </w:rPr>
        <w:t xml:space="preserve"> </w:t>
      </w:r>
      <w:r w:rsidRPr="00D7691B">
        <w:rPr>
          <w:rFonts w:eastAsiaTheme="minorEastAsia"/>
          <w:i/>
          <w:iCs/>
          <w:sz w:val="28"/>
          <w:szCs w:val="22"/>
          <w:lang w:val="en-US" w:eastAsia="ja-JP"/>
        </w:rPr>
        <w:t>the</w:t>
      </w:r>
      <w:r w:rsidRPr="00DC61EB">
        <w:rPr>
          <w:rFonts w:eastAsiaTheme="minorEastAsia"/>
          <w:i/>
          <w:iCs/>
          <w:sz w:val="28"/>
          <w:szCs w:val="22"/>
          <w:lang w:eastAsia="ja-JP"/>
        </w:rPr>
        <w:t xml:space="preserve"> </w:t>
      </w:r>
      <w:r w:rsidRPr="00D7691B">
        <w:rPr>
          <w:rFonts w:eastAsiaTheme="minorEastAsia"/>
          <w:i/>
          <w:iCs/>
          <w:sz w:val="28"/>
          <w:szCs w:val="22"/>
          <w:lang w:val="en-US" w:eastAsia="ja-JP"/>
        </w:rPr>
        <w:t>High</w:t>
      </w:r>
      <w:r w:rsidRPr="00DC61EB">
        <w:rPr>
          <w:rFonts w:eastAsiaTheme="minorEastAsia"/>
          <w:i/>
          <w:iCs/>
          <w:sz w:val="28"/>
          <w:szCs w:val="22"/>
          <w:lang w:eastAsia="ja-JP"/>
        </w:rPr>
        <w:t xml:space="preserve"> </w:t>
      </w:r>
      <w:r w:rsidRPr="00D7691B">
        <w:rPr>
          <w:rFonts w:eastAsiaTheme="minorEastAsia"/>
          <w:i/>
          <w:iCs/>
          <w:sz w:val="28"/>
          <w:szCs w:val="22"/>
          <w:lang w:val="en-US" w:eastAsia="ja-JP"/>
        </w:rPr>
        <w:t>Representative</w:t>
      </w:r>
      <w:r w:rsidRPr="00DC61EB">
        <w:rPr>
          <w:rFonts w:eastAsiaTheme="minorEastAsia"/>
          <w:sz w:val="28"/>
          <w:szCs w:val="22"/>
          <w:lang w:eastAsia="ja-JP"/>
        </w:rPr>
        <w:t>, 2022)</w:t>
      </w:r>
      <w:r w:rsidRPr="00D7691B">
        <w:rPr>
          <w:rFonts w:eastAsiaTheme="minorEastAsia"/>
          <w:sz w:val="28"/>
          <w:szCs w:val="22"/>
          <w:lang w:eastAsia="ja-JP"/>
        </w:rPr>
        <w:t>.</w:t>
      </w:r>
    </w:p>
    <w:p w:rsid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 xml:space="preserve">Місії та операції з врегулювання криз є найбільш помітним і відчутним проявом СПБО. Стратегічний компас усуває прогалини Глобальної безпекової стратегії ЄС в інструментах та інституціях управління кризами, наприклад, шляхом створення нового потенціалу швидкого розгортання ЄС. У звіті за 2021 рік про реалізацію СПБО парламент висловив підтримку запропонованого «швидкого вступу». Стратегічний компас також </w:t>
      </w:r>
      <w:r w:rsidRPr="00D7691B">
        <w:rPr>
          <w:rFonts w:eastAsiaTheme="minorEastAsia"/>
          <w:sz w:val="28"/>
          <w:szCs w:val="22"/>
          <w:lang w:eastAsia="ja-JP"/>
        </w:rPr>
        <w:lastRenderedPageBreak/>
        <w:t>спрямований на забезпечення узгоджених цілей і завдань для інших ініціатив і відповідних процесів (таких як PESCO, EDF і CARD)</w:t>
      </w:r>
      <w:r w:rsidRPr="00DC61EB">
        <w:rPr>
          <w:rFonts w:eastAsiaTheme="minorEastAsia"/>
          <w:sz w:val="28"/>
          <w:szCs w:val="22"/>
          <w:lang w:eastAsia="ja-JP"/>
        </w:rPr>
        <w:t xml:space="preserve"> (</w:t>
      </w:r>
      <w:r w:rsidRPr="00D7691B">
        <w:rPr>
          <w:rFonts w:eastAsiaTheme="minorEastAsia"/>
          <w:sz w:val="28"/>
          <w:szCs w:val="22"/>
          <w:lang w:val="en-US" w:eastAsia="ja-JP"/>
        </w:rPr>
        <w:t>Gjoreski</w:t>
      </w:r>
      <w:r w:rsidRPr="00DC61EB">
        <w:rPr>
          <w:rFonts w:eastAsiaTheme="minorEastAsia"/>
          <w:sz w:val="28"/>
          <w:szCs w:val="22"/>
          <w:lang w:eastAsia="ja-JP"/>
        </w:rPr>
        <w:t>, 2022)</w:t>
      </w:r>
      <w:r w:rsidRPr="00D7691B">
        <w:rPr>
          <w:rFonts w:eastAsiaTheme="minorEastAsia"/>
          <w:sz w:val="28"/>
          <w:szCs w:val="22"/>
          <w:lang w:eastAsia="ja-JP"/>
        </w:rPr>
        <w:t>.</w:t>
      </w:r>
    </w:p>
    <w:p w:rsidR="00521003" w:rsidRPr="00D7691B" w:rsidRDefault="00D7691B" w:rsidP="00713BAF">
      <w:pPr>
        <w:spacing w:line="360" w:lineRule="auto"/>
        <w:ind w:firstLine="709"/>
        <w:rPr>
          <w:rFonts w:eastAsiaTheme="minorEastAsia"/>
          <w:sz w:val="28"/>
          <w:szCs w:val="22"/>
          <w:lang w:eastAsia="ja-JP"/>
        </w:rPr>
      </w:pPr>
      <w:r w:rsidRPr="00D7691B">
        <w:rPr>
          <w:rFonts w:eastAsiaTheme="minorEastAsia"/>
          <w:sz w:val="28"/>
          <w:szCs w:val="22"/>
          <w:lang w:eastAsia="ja-JP"/>
        </w:rPr>
        <w:t>Таким чином, СЗППБ і СПБО еволюціонували від структур, зосереджених головним чином на врегулюванні криз і зовнішньої стабілізації, до більш надійних структур, спрямованих на захист стратегічних інтересів ЄС. ЄС перейшов від реагування на зовнішні кризи до проактивного формування свого середовища безпеки шляхом тіснішої співпраці в галузі оборони, зміцнення військового потенціалу та розробки комплексного підходу до гібридних загроз. Хоча внутрішні розбіжності та опора на НАТО для колективної оборони залишаються проблемами, спроможність ЄС діяти як згуртований глобальний гравець у зовнішній політиці та політиці безпеки значно зміцнилася.</w:t>
      </w:r>
      <w:r w:rsidR="00521003">
        <w:rPr>
          <w:sz w:val="28"/>
          <w:szCs w:val="28"/>
        </w:rPr>
        <w:br w:type="page"/>
      </w:r>
    </w:p>
    <w:p w:rsidR="00A40B0B" w:rsidRPr="00A40B0B" w:rsidRDefault="00521003" w:rsidP="00A40B0B">
      <w:pPr>
        <w:spacing w:line="360" w:lineRule="auto"/>
        <w:ind w:firstLine="709"/>
        <w:jc w:val="center"/>
        <w:rPr>
          <w:rFonts w:eastAsiaTheme="minorEastAsia"/>
          <w:sz w:val="28"/>
          <w:szCs w:val="28"/>
          <w:lang w:eastAsia="ja-JP"/>
        </w:rPr>
      </w:pPr>
      <w:r>
        <w:rPr>
          <w:sz w:val="28"/>
          <w:szCs w:val="28"/>
        </w:rPr>
        <w:lastRenderedPageBreak/>
        <w:t>РОЗДІЛ 3.</w:t>
      </w:r>
      <w:r w:rsidR="00A40B0B">
        <w:rPr>
          <w:sz w:val="28"/>
          <w:szCs w:val="28"/>
        </w:rPr>
        <w:t xml:space="preserve"> </w:t>
      </w:r>
      <w:r w:rsidR="00A40B0B" w:rsidRPr="00A40B0B">
        <w:rPr>
          <w:rFonts w:eastAsiaTheme="minorEastAsia"/>
          <w:sz w:val="28"/>
          <w:szCs w:val="28"/>
          <w:lang w:eastAsia="ja-JP"/>
        </w:rPr>
        <w:t>ЄВРОПЕЙСЬКА СТРАТЕГІЯ БЕЗПЕКИ ЯК КЛЮЧОВА ЧАСТИНА БЕЗПЕКОВОГО ПРОСТОРУ ЄС</w:t>
      </w:r>
    </w:p>
    <w:p w:rsidR="00A40B0B" w:rsidRPr="00A40B0B" w:rsidRDefault="00A40B0B" w:rsidP="00A40B0B">
      <w:pPr>
        <w:spacing w:after="160" w:line="360" w:lineRule="auto"/>
        <w:ind w:firstLine="709"/>
        <w:jc w:val="center"/>
        <w:rPr>
          <w:rFonts w:eastAsiaTheme="minorEastAsia"/>
          <w:sz w:val="28"/>
          <w:szCs w:val="28"/>
          <w:lang w:eastAsia="ja-JP"/>
        </w:rPr>
      </w:pP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Спільна зовнішня політика та політика безпеки Європейського Союзу головним чином спрямована на безпекову та оборонну дипломатичну діяльність, таким чином складаючи вагому частину зовнішньополітичних відносин ЄС. Ключова роль у системі європейської безпекової політики належить Європейським стратегіям безпеки (ЄСБ), функція яких полягає у визначенні стратегічних цілей, пріоритетів і напрямів діяльності ЄС у сфері міжнародної безпеки та оборони. Одним із головних досягнень першої Європейської стратегії безпеки (2003) є чітке визначення загроз європейській безпеці. Наразі, пройшовши три етапи формування, останньою зі створених лишається нова Європейська стратегія безпеки представлена Верховним представником Європейського Союзу з питань закордонних справ і політики безпеки пані Федерікою Могеріні у 2016 році.</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2"/>
          <w:lang w:eastAsia="ja-JP"/>
        </w:rPr>
        <w:t>Європейська стратегія безпеки є новим підходом до європейської політики безпеки. Ніколи раніше Європейський Союз не брав участі у подібному проекті. Причини цього очевидні, адже до 1999 року діяльність Європейського Союзу у сфері безпеки обмежувалася лише її економічними аспектами. Він не мав мандату в цій галузі політики, і не вистачало політичної волі для розвитку аспекту безпеки у зовнішній політиці ЄС.</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Зовнішня політика ЄС не належала до самостійної сфери політики, а являла собою процес об</w:t>
      </w:r>
      <w:r w:rsidR="00C631E2">
        <w:rPr>
          <w:rFonts w:eastAsiaTheme="minorEastAsia"/>
          <w:sz w:val="28"/>
          <w:szCs w:val="28"/>
          <w:lang w:eastAsia="ja-JP"/>
        </w:rPr>
        <w:t>’</w:t>
      </w:r>
      <w:r w:rsidRPr="00A40B0B">
        <w:rPr>
          <w:rFonts w:eastAsiaTheme="minorEastAsia"/>
          <w:sz w:val="28"/>
          <w:szCs w:val="28"/>
          <w:lang w:eastAsia="ja-JP"/>
        </w:rPr>
        <w:t xml:space="preserve">єднання політики та дій держав-членів щодо зовнішнього світу. Насамперед вся європейська стратегічна політика безпеки гуртувалася на Спільній зовнішній та безпековій політиці, прописаній у Договорі про ЄС. У ній оголошувалося про загальні принципи та орієнтири СЗППБ для всіх держав-членів, які мали займати єдині позиції щодо </w:t>
      </w:r>
      <w:r w:rsidRPr="00A40B0B">
        <w:rPr>
          <w:rFonts w:eastAsiaTheme="minorEastAsia"/>
          <w:sz w:val="28"/>
          <w:szCs w:val="28"/>
          <w:lang w:eastAsia="ja-JP"/>
        </w:rPr>
        <w:lastRenderedPageBreak/>
        <w:t>прийнятих рішень. В рамках СЗППБ також діяла Європейська політика у сфері безпеки та оборони, яка затверджувала комплекс заходів у військовій сфері. Мета ЄПБО – миротворчі операції в Європі та, можливо, інших регіонах планети (Haugsdal, 2005).</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Горизонти ЄС незмінно розширювалися, а політичні та інтелектуальні дебати лише набували більшого значення в контексті конституції, трансатлантичних відносин та питання про те, для чого потрібен Союз. Відповіді на загрози, що виникають, могли посилатися лише на питання стратегії та безпеки, адже розширений ЄС ставав сусідом тих регіонів, які нещодавно торкнулася війни, а деякі все ще страждали від внутрішніх конфліктів і репресій.</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Як наслідок, небезпеки, які набувають міжнародного характеру у процесі глобалізації вимагали від світового суспільства згуртованих організаційних зусиль. Це стало приводом до розгляду такого результату подій, як створення певної загальної стратегії безпеки, яка б поєднувала в собі як внутрішню, так і зовнішню складові. Але оскільки Амстердамський договір 1997 року розділив питання безпеки між усіма стовпами ЄС, необхідно було виробити підхід «міжопорний», за допомогою якого стало б можливим стерти межі внутрішньої та зовнішньої безпеки держав і стати єдиним цілим у контексті появи нових загроз (Романова, 2003).</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У червні 2003 року Хав</w:t>
      </w:r>
      <w:r w:rsidR="00C631E2">
        <w:rPr>
          <w:rFonts w:eastAsiaTheme="minorEastAsia"/>
          <w:sz w:val="28"/>
          <w:szCs w:val="28"/>
          <w:lang w:eastAsia="ja-JP"/>
        </w:rPr>
        <w:t>’</w:t>
      </w:r>
      <w:r w:rsidRPr="00A40B0B">
        <w:rPr>
          <w:rFonts w:eastAsiaTheme="minorEastAsia"/>
          <w:sz w:val="28"/>
          <w:szCs w:val="28"/>
          <w:lang w:eastAsia="ja-JP"/>
        </w:rPr>
        <w:t>єр Солана заявив, що Європейська стратегія безпеки є необхідною реакцією на глибокі зміни в міжнародному безпековому середовищі, вимагаючи, щоб пріоритети безпеки були зосереджені на міжнародному тероризмі та поширенні зброї масово</w:t>
      </w:r>
      <w:r w:rsidR="00623AE2">
        <w:rPr>
          <w:rFonts w:eastAsiaTheme="minorEastAsia"/>
          <w:sz w:val="28"/>
          <w:szCs w:val="28"/>
          <w:lang w:eastAsia="ja-JP"/>
        </w:rPr>
        <w:t>го знищення (Quille, 2004</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 xml:space="preserve">ЄСБ було розроблено в період жорстокого протистояння в Європейському Союзі з питань різних підходів до ситуації в Іраку (Александров, 2011). Усередині Союзу намітився розкол через сформовану </w:t>
      </w:r>
      <w:r w:rsidRPr="00A40B0B">
        <w:rPr>
          <w:rFonts w:eastAsiaTheme="minorEastAsia"/>
          <w:sz w:val="28"/>
          <w:szCs w:val="28"/>
          <w:lang w:eastAsia="ja-JP"/>
        </w:rPr>
        <w:lastRenderedPageBreak/>
        <w:t>групу держав-прихильників американської політики з інтервенції в Ірак. До прихильників увійшли такі європейські держави як Великобританія, Португалія, Данія, Нідерланди, Італія та Іспанія. Їх противниками стали Німеччина та Франція, до яких приєдналися інші держави, які дотримуються позиції нейтралітету чи неприєднання. Цей розкол був спровокований не так різним ставленням до війни, як поділом на прихильників атлантичної та проамериканської орієнтації та прихильників внутрішньої єдності ЄС як незалежного міжнародного суб</w:t>
      </w:r>
      <w:r w:rsidR="00C631E2">
        <w:rPr>
          <w:rFonts w:eastAsiaTheme="minorEastAsia"/>
          <w:sz w:val="28"/>
          <w:szCs w:val="28"/>
          <w:lang w:eastAsia="ja-JP"/>
        </w:rPr>
        <w:t>’</w:t>
      </w:r>
      <w:r w:rsidRPr="00A40B0B">
        <w:rPr>
          <w:rFonts w:eastAsiaTheme="minorEastAsia"/>
          <w:sz w:val="28"/>
          <w:szCs w:val="28"/>
          <w:lang w:eastAsia="ja-JP"/>
        </w:rPr>
        <w:t>єкта (Талайко, 2005).</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Восени 2003 року у Брюсселі відбувся саміт між главами держав-членів ЄС. Серед тем було питання загальної оборонної політики ЄС, у перспективі якого розглядалося питання реконструкції Іраку після інтервенції США. Проте розбіжності учасників щодо оборонної політики були настільки великі, що у підсумках саміту остаточного рішення не було прийнято.</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У таких умовах у грудні 2003 року було розроблено та прийнято документ Х. Солани «Безпечна Європа в кращому світі». Вперше в ЄС з</w:t>
      </w:r>
      <w:r w:rsidR="00C631E2">
        <w:rPr>
          <w:rFonts w:eastAsiaTheme="minorEastAsia"/>
          <w:sz w:val="28"/>
          <w:szCs w:val="28"/>
          <w:lang w:eastAsia="ja-JP"/>
        </w:rPr>
        <w:t>’</w:t>
      </w:r>
      <w:r w:rsidRPr="00A40B0B">
        <w:rPr>
          <w:rFonts w:eastAsiaTheme="minorEastAsia"/>
          <w:sz w:val="28"/>
          <w:szCs w:val="28"/>
          <w:lang w:eastAsia="ja-JP"/>
        </w:rPr>
        <w:t xml:space="preserve">явилася спільна оцінка загрози та були визначені конкретні завдання у роботі щодо зміцнення сфер інтересів Союзу, що ґрунтуються на його ключових цінностях </w:t>
      </w:r>
      <w:r w:rsidR="00F44E49">
        <w:rPr>
          <w:rFonts w:eastAsiaTheme="minorEastAsia"/>
          <w:sz w:val="28"/>
          <w:szCs w:val="28"/>
          <w:lang w:eastAsia="ja-JP"/>
        </w:rPr>
        <w:t>(Рада Європейського Союзу, 2009</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Документ містить у собі настанову про необхідність розширювати спектр дій для забезпечення безпеки та просування європейських цінностей. Для досягнення даних завдань було висунуто три стратегічні цілі, які полягають в:</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1) удосконаленні співпраці та оборони у питанні боротьби з тероризмом у відповідь на події 11 вересня;</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2) узгодженні подальших дій щодо запобіга</w:t>
      </w:r>
      <w:r w:rsidR="00CF5FA4">
        <w:rPr>
          <w:rFonts w:eastAsiaTheme="minorEastAsia"/>
          <w:sz w:val="28"/>
          <w:szCs w:val="28"/>
          <w:lang w:eastAsia="ja-JP"/>
        </w:rPr>
        <w:t xml:space="preserve">ння розповсюдженню зброї </w:t>
      </w:r>
      <w:r w:rsidR="00CF5FA4" w:rsidRPr="00CF5FA4">
        <w:rPr>
          <w:rFonts w:eastAsiaTheme="minorEastAsia"/>
          <w:sz w:val="28"/>
          <w:szCs w:val="28"/>
          <w:lang w:eastAsia="ja-JP"/>
        </w:rPr>
        <w:t>масового</w:t>
      </w:r>
      <w:r w:rsidRPr="00A40B0B">
        <w:rPr>
          <w:rFonts w:eastAsiaTheme="minorEastAsia"/>
          <w:sz w:val="28"/>
          <w:szCs w:val="28"/>
          <w:lang w:eastAsia="ja-JP"/>
        </w:rPr>
        <w:t xml:space="preserve"> </w:t>
      </w:r>
      <w:r w:rsidR="00CF5FA4">
        <w:rPr>
          <w:rFonts w:eastAsiaTheme="minorEastAsia"/>
          <w:sz w:val="28"/>
          <w:szCs w:val="28"/>
          <w:lang w:eastAsia="ja-JP"/>
        </w:rPr>
        <w:t>ураження</w:t>
      </w:r>
      <w:r w:rsidRPr="00A40B0B">
        <w:rPr>
          <w:rFonts w:eastAsiaTheme="minorEastAsia"/>
          <w:sz w:val="28"/>
          <w:szCs w:val="28"/>
          <w:lang w:eastAsia="ja-JP"/>
        </w:rPr>
        <w:t xml:space="preserve">, а також зміцненню МАГАТЕ та заходів щодо посилення експортного контролю для боротьби з незаконними поставками та </w:t>
      </w:r>
      <w:r w:rsidRPr="00A40B0B">
        <w:rPr>
          <w:rFonts w:eastAsiaTheme="minorEastAsia"/>
          <w:sz w:val="28"/>
          <w:szCs w:val="28"/>
          <w:lang w:eastAsia="ja-JP"/>
        </w:rPr>
        <w:lastRenderedPageBreak/>
        <w:t>покупками; вираження прихильності ЄС у досягненні загального приєднання до режимів багатосторонніх договорів та їх перевірки;</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 xml:space="preserve">3) розпорядженні одного з найбільш ефективних способів боротьби з організованою злочинністю шляхом відновлення </w:t>
      </w:r>
      <w:r w:rsidRPr="00171968">
        <w:rPr>
          <w:rFonts w:eastAsiaTheme="minorEastAsia"/>
          <w:sz w:val="28"/>
          <w:szCs w:val="28"/>
          <w:lang w:eastAsia="ja-JP"/>
        </w:rPr>
        <w:t xml:space="preserve">уряду на </w:t>
      </w:r>
      <w:r w:rsidRPr="00A40B0B">
        <w:rPr>
          <w:rFonts w:eastAsiaTheme="minorEastAsia"/>
          <w:sz w:val="28"/>
          <w:szCs w:val="28"/>
          <w:lang w:eastAsia="ja-JP"/>
        </w:rPr>
        <w:t>Балканах, зміцнення демократії та надання владі можливості самостійно боротися з організованою злочинністю.</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Європейська стратегія забезпечення безпеки полягає в інтеграції сусідніх держав та встановлення мирного контролю та режиму на цих територіях. Проте, з іншого боку, активна інтеграція сусідніх держав не лише розширює сферу безпеки ЄС, а й наближає його межі до проблемних зон. Мета, запропонована в документі, полягає в розширенні країн, що добре керуються, на схід від ЄС і кордонів Середземномор</w:t>
      </w:r>
      <w:r w:rsidR="00C631E2">
        <w:rPr>
          <w:rFonts w:eastAsiaTheme="minorEastAsia"/>
          <w:sz w:val="28"/>
          <w:szCs w:val="28"/>
          <w:lang w:eastAsia="ja-JP"/>
        </w:rPr>
        <w:t>’</w:t>
      </w:r>
      <w:r w:rsidRPr="00A40B0B">
        <w:rPr>
          <w:rFonts w:eastAsiaTheme="minorEastAsia"/>
          <w:sz w:val="28"/>
          <w:szCs w:val="28"/>
          <w:lang w:eastAsia="ja-JP"/>
        </w:rPr>
        <w:t xml:space="preserve">я, де вдасться підтримувати тісні відносини співпраці. Таким чином, поширення економічної та політичної співпраці на східних сусідів дозволить не лише запровадити європейські цінності, а й вирішити місцеві політичні проблеми </w:t>
      </w:r>
      <w:r w:rsidRPr="00A40B0B">
        <w:rPr>
          <w:rFonts w:eastAsiaTheme="minorEastAsia"/>
          <w:sz w:val="28"/>
          <w:szCs w:val="22"/>
          <w:lang w:eastAsia="ja-JP"/>
        </w:rPr>
        <w:t>(</w:t>
      </w:r>
      <w:r w:rsidRPr="00A40B0B">
        <w:rPr>
          <w:rFonts w:eastAsiaTheme="minorEastAsia"/>
          <w:sz w:val="28"/>
          <w:szCs w:val="22"/>
          <w:lang w:val="ru-RU" w:eastAsia="ja-JP"/>
        </w:rPr>
        <w:t>Solana</w:t>
      </w:r>
      <w:r w:rsidR="00F44E49">
        <w:rPr>
          <w:rFonts w:eastAsiaTheme="minorEastAsia"/>
          <w:sz w:val="28"/>
          <w:szCs w:val="22"/>
          <w:lang w:eastAsia="ja-JP"/>
        </w:rPr>
        <w:t>, 2003</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2"/>
          <w:lang w:eastAsia="ja-JP"/>
        </w:rPr>
        <w:t xml:space="preserve">Європейська стратегія безпеки є концептуальною основою для зовнішньої діяльності ЄС та забезпечує керівництво для діяльності ЄС за його межами. Стратегію слід розглядати як концептуальний та процедурний поворотний момент у розвитку Спільної зовнішньої та безпекової політики ЄС. Поряд із розповсюдженням зброї масового знищення, регіональними конфліктами, неспроможними державами, поганим управлінням та організованою злочинністю, тероризм виділено у Стратегії як одну з ключових загроз, з якими нині стикається ЄС. Це чітке визначення «нових» </w:t>
      </w:r>
      <w:r w:rsidR="00CF5FA4">
        <w:rPr>
          <w:rFonts w:eastAsiaTheme="minorEastAsia"/>
          <w:sz w:val="28"/>
          <w:szCs w:val="22"/>
          <w:lang w:eastAsia="ja-JP"/>
        </w:rPr>
        <w:t>загроз</w:t>
      </w:r>
      <w:r w:rsidRPr="00A40B0B">
        <w:rPr>
          <w:rFonts w:eastAsiaTheme="minorEastAsia"/>
          <w:sz w:val="28"/>
          <w:szCs w:val="22"/>
          <w:lang w:eastAsia="ja-JP"/>
        </w:rPr>
        <w:t xml:space="preserve"> показує, що тема зовнішньої безпеки більше не є закритою для ЄС, як це було раніше. Натомість ЄС вважає своїм обов</w:t>
      </w:r>
      <w:r w:rsidR="00C631E2">
        <w:rPr>
          <w:rFonts w:eastAsiaTheme="minorEastAsia"/>
          <w:sz w:val="28"/>
          <w:szCs w:val="22"/>
          <w:lang w:eastAsia="ja-JP"/>
        </w:rPr>
        <w:t>’</w:t>
      </w:r>
      <w:r w:rsidRPr="00A40B0B">
        <w:rPr>
          <w:rFonts w:eastAsiaTheme="minorEastAsia"/>
          <w:sz w:val="28"/>
          <w:szCs w:val="22"/>
          <w:lang w:eastAsia="ja-JP"/>
        </w:rPr>
        <w:t xml:space="preserve">язком забезпечити свободу, мир та високий рівень безпеки для своїх громадян через просування безпеки </w:t>
      </w:r>
      <w:r w:rsidRPr="00A40B0B">
        <w:rPr>
          <w:rFonts w:eastAsiaTheme="minorEastAsia"/>
          <w:sz w:val="28"/>
          <w:szCs w:val="22"/>
          <w:lang w:eastAsia="ja-JP"/>
        </w:rPr>
        <w:lastRenderedPageBreak/>
        <w:t>та стабільності за межами ЄС, що означає, що зовнішні та внутрішні аспекти безпеки стають нерозривно пов</w:t>
      </w:r>
      <w:r w:rsidR="00C631E2">
        <w:rPr>
          <w:rFonts w:eastAsiaTheme="minorEastAsia"/>
          <w:sz w:val="28"/>
          <w:szCs w:val="22"/>
          <w:lang w:eastAsia="ja-JP"/>
        </w:rPr>
        <w:t>’</w:t>
      </w:r>
      <w:r w:rsidRPr="00A40B0B">
        <w:rPr>
          <w:rFonts w:eastAsiaTheme="minorEastAsia"/>
          <w:sz w:val="28"/>
          <w:szCs w:val="22"/>
          <w:lang w:eastAsia="ja-JP"/>
        </w:rPr>
        <w:t>язаними (</w:t>
      </w:r>
      <w:r w:rsidRPr="00A40B0B">
        <w:rPr>
          <w:rFonts w:eastAsiaTheme="minorEastAsia"/>
          <w:sz w:val="28"/>
          <w:szCs w:val="22"/>
          <w:lang w:val="en-US" w:eastAsia="ja-JP"/>
        </w:rPr>
        <w:t>Cornish</w:t>
      </w:r>
      <w:r w:rsidRPr="00A40B0B">
        <w:rPr>
          <w:rFonts w:eastAsiaTheme="minorEastAsia"/>
          <w:sz w:val="28"/>
          <w:szCs w:val="22"/>
          <w:lang w:eastAsia="ja-JP"/>
        </w:rPr>
        <w:t xml:space="preserve"> </w:t>
      </w:r>
      <w:r w:rsidR="00623AE2">
        <w:rPr>
          <w:rFonts w:eastAsiaTheme="minorEastAsia"/>
          <w:sz w:val="28"/>
          <w:szCs w:val="22"/>
          <w:lang w:val="en-US" w:eastAsia="ja-JP"/>
        </w:rPr>
        <w:t>et</w:t>
      </w:r>
      <w:r w:rsidR="00623AE2" w:rsidRPr="00DC61EB">
        <w:rPr>
          <w:rFonts w:eastAsiaTheme="minorEastAsia"/>
          <w:sz w:val="28"/>
          <w:szCs w:val="22"/>
          <w:lang w:eastAsia="ja-JP"/>
        </w:rPr>
        <w:t xml:space="preserve"> </w:t>
      </w:r>
      <w:r w:rsidR="00623AE2">
        <w:rPr>
          <w:rFonts w:eastAsiaTheme="minorEastAsia"/>
          <w:sz w:val="28"/>
          <w:szCs w:val="22"/>
          <w:lang w:val="en-US" w:eastAsia="ja-JP"/>
        </w:rPr>
        <w:t>al</w:t>
      </w:r>
      <w:r w:rsidR="00623AE2" w:rsidRPr="00DC61EB">
        <w:rPr>
          <w:rFonts w:eastAsiaTheme="minorEastAsia"/>
          <w:sz w:val="28"/>
          <w:szCs w:val="22"/>
          <w:lang w:eastAsia="ja-JP"/>
        </w:rPr>
        <w:t>.</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Пріоритетом, визначеним для ЄС, є врегулювання арабо-ізраїльського конфлікту, без якого неможливе вирішення інших проблем на Близькому Сході. Для цього Євросоюзу необхідно регулярно залишатися залученим до вирішення ситуації і бути готовим виділити стільки ресурсів, скільки виявиться необхідним.</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Більше того, інтереси ЄС потребують постійної взаємодії з середземноморськими партнерами в галузі економіки, безпеки та культури в рамках євросередземноморського партнерства (барселонського процесу).</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Заключним, третім розділом, документа була підведена характеристика наслідків для європейського простору зі зведенням певних рекомендаціях для наступних дій.</w:t>
      </w:r>
    </w:p>
    <w:p w:rsidR="00A40B0B" w:rsidRPr="00A40B0B" w:rsidRDefault="00A40B0B" w:rsidP="00713BAF">
      <w:pPr>
        <w:spacing w:line="360" w:lineRule="auto"/>
        <w:ind w:firstLine="709"/>
        <w:rPr>
          <w:rFonts w:eastAsiaTheme="minorEastAsia"/>
          <w:sz w:val="28"/>
          <w:szCs w:val="22"/>
          <w:lang w:val="ru-RU" w:eastAsia="ja-JP"/>
        </w:rPr>
      </w:pPr>
      <w:r w:rsidRPr="00A40B0B">
        <w:rPr>
          <w:rFonts w:eastAsiaTheme="minorEastAsia"/>
          <w:sz w:val="28"/>
          <w:szCs w:val="28"/>
          <w:lang w:eastAsia="ja-JP"/>
        </w:rPr>
        <w:t xml:space="preserve">По-перше, бути активнішими у досягненні поставлених стратегічних цілей. Активна політика необхідна для протидії новим динамічним загрозам, які вимагають моментального вирішення на етапі зародження </w:t>
      </w:r>
      <w:r w:rsidR="00F44E49">
        <w:rPr>
          <w:rFonts w:eastAsiaTheme="minorEastAsia"/>
          <w:sz w:val="28"/>
          <w:szCs w:val="22"/>
          <w:lang w:val="ru-RU" w:eastAsia="ja-JP"/>
        </w:rPr>
        <w:t>(Solana, 2003</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По-друге, бути більш дієздатними, незважаючи на те, що для реалізації потенціалу ЄС потрібен певний час. Необхідність забезпечити сильніший дипломатичний потенціал обумовлена потребою системи, що поєднує ресурси держав-членів з ресурсами інститутів ЄС для кращого порозуміння </w:t>
      </w:r>
      <w:r w:rsidRPr="00A40B0B">
        <w:rPr>
          <w:rFonts w:eastAsiaTheme="minorEastAsia"/>
          <w:sz w:val="28"/>
          <w:szCs w:val="22"/>
          <w:lang w:eastAsia="ja-JP"/>
        </w:rPr>
        <w:t>(</w:t>
      </w:r>
      <w:r w:rsidRPr="00A40B0B">
        <w:rPr>
          <w:rFonts w:eastAsiaTheme="minorEastAsia"/>
          <w:sz w:val="28"/>
          <w:szCs w:val="22"/>
          <w:lang w:val="ru-RU" w:eastAsia="ja-JP"/>
        </w:rPr>
        <w:t>Solana</w:t>
      </w:r>
      <w:r w:rsidR="00F44E49">
        <w:rPr>
          <w:rFonts w:eastAsiaTheme="minorEastAsia"/>
          <w:sz w:val="28"/>
          <w:szCs w:val="22"/>
          <w:lang w:eastAsia="ja-JP"/>
        </w:rPr>
        <w:t>, 2003</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По-третє, зовнішній політиці ЄС важливо стати більш послідовною, адже як СЗП</w:t>
      </w:r>
      <w:r w:rsidR="005D1E4A">
        <w:rPr>
          <w:rFonts w:eastAsiaTheme="minorEastAsia"/>
          <w:sz w:val="28"/>
          <w:szCs w:val="28"/>
          <w:lang w:eastAsia="ja-JP"/>
        </w:rPr>
        <w:t>П</w:t>
      </w:r>
      <w:r w:rsidRPr="00A40B0B">
        <w:rPr>
          <w:rFonts w:eastAsiaTheme="minorEastAsia"/>
          <w:sz w:val="28"/>
          <w:szCs w:val="28"/>
          <w:lang w:eastAsia="ja-JP"/>
        </w:rPr>
        <w:t>Б, ЄПБО так і цей документ можуть мати силу лише при спільних діях. Ціль, поставлена Соланою, об</w:t>
      </w:r>
      <w:r w:rsidR="00C631E2">
        <w:rPr>
          <w:rFonts w:eastAsiaTheme="minorEastAsia"/>
          <w:sz w:val="28"/>
          <w:szCs w:val="28"/>
          <w:lang w:eastAsia="ja-JP"/>
        </w:rPr>
        <w:t>’</w:t>
      </w:r>
      <w:r w:rsidRPr="00A40B0B">
        <w:rPr>
          <w:rFonts w:eastAsiaTheme="minorEastAsia"/>
          <w:sz w:val="28"/>
          <w:szCs w:val="28"/>
          <w:lang w:eastAsia="ja-JP"/>
        </w:rPr>
        <w:t xml:space="preserve">єднати різні європейські структури з метою впливу на безпеку європейських держав та країн третього світу. Більше того, важливо скоординувати зовнішню політику Євросоюзу з його внутрішніми діями для забезпечення загальної системи реагування </w:t>
      </w:r>
      <w:r w:rsidRPr="00A40B0B">
        <w:rPr>
          <w:rFonts w:eastAsiaTheme="minorEastAsia"/>
          <w:sz w:val="28"/>
          <w:szCs w:val="22"/>
          <w:lang w:eastAsia="ja-JP"/>
        </w:rPr>
        <w:t>(</w:t>
      </w:r>
      <w:r w:rsidRPr="00A40B0B">
        <w:rPr>
          <w:rFonts w:eastAsiaTheme="minorEastAsia"/>
          <w:sz w:val="28"/>
          <w:szCs w:val="22"/>
          <w:lang w:val="ru-RU" w:eastAsia="ja-JP"/>
        </w:rPr>
        <w:t>Solana</w:t>
      </w:r>
      <w:r w:rsidR="00F44E49">
        <w:rPr>
          <w:rFonts w:eastAsiaTheme="minorEastAsia"/>
          <w:sz w:val="28"/>
          <w:szCs w:val="22"/>
          <w:lang w:eastAsia="ja-JP"/>
        </w:rPr>
        <w:t>, 2003</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val="ru-RU" w:eastAsia="ja-JP"/>
        </w:rPr>
      </w:pPr>
      <w:r w:rsidRPr="00A40B0B">
        <w:rPr>
          <w:rFonts w:eastAsiaTheme="minorEastAsia"/>
          <w:sz w:val="28"/>
          <w:szCs w:val="28"/>
          <w:lang w:eastAsia="ja-JP"/>
        </w:rPr>
        <w:lastRenderedPageBreak/>
        <w:t xml:space="preserve">Й останнє, але не менш важливе, зміцнення міжнародного співробітництва для спільного реагування на проблеми </w:t>
      </w:r>
      <w:r w:rsidR="0073521C">
        <w:rPr>
          <w:rFonts w:eastAsiaTheme="minorEastAsia"/>
          <w:sz w:val="28"/>
          <w:szCs w:val="28"/>
          <w:lang w:eastAsia="ja-JP"/>
        </w:rPr>
        <w:t>глобального</w:t>
      </w:r>
      <w:r w:rsidRPr="00A40B0B">
        <w:rPr>
          <w:rFonts w:eastAsiaTheme="minorEastAsia"/>
          <w:sz w:val="28"/>
          <w:szCs w:val="28"/>
          <w:lang w:eastAsia="ja-JP"/>
        </w:rPr>
        <w:t xml:space="preserve"> масштабу, які не можуть бути вирішені зусиллями лише однієї сторони. Корінь стратегічного партнерства – повага до спільних цінностей </w:t>
      </w:r>
      <w:r w:rsidR="00F44E49">
        <w:rPr>
          <w:rFonts w:eastAsiaTheme="minorEastAsia"/>
          <w:sz w:val="28"/>
          <w:szCs w:val="22"/>
          <w:lang w:val="ru-RU" w:eastAsia="ja-JP"/>
        </w:rPr>
        <w:t>(Solana, 2003</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2"/>
          <w:lang w:val="ru-RU" w:eastAsia="ja-JP"/>
        </w:rPr>
      </w:pPr>
      <w:r w:rsidRPr="00A40B0B">
        <w:rPr>
          <w:rFonts w:eastAsiaTheme="minorEastAsia"/>
          <w:sz w:val="28"/>
          <w:szCs w:val="28"/>
          <w:lang w:eastAsia="ja-JP"/>
        </w:rPr>
        <w:t>У невеликому висновку документа зазначено, що активний та дієздатний Європейський Союз здатний впливати у глобальному масштабі лише при створенні чинної багатосторонньої системи, що веде до більш справедливого та безпечного світу</w:t>
      </w:r>
      <w:r w:rsidR="00F44E49">
        <w:rPr>
          <w:rFonts w:eastAsiaTheme="minorEastAsia"/>
          <w:sz w:val="28"/>
          <w:szCs w:val="22"/>
          <w:lang w:val="ru-RU" w:eastAsia="ja-JP"/>
        </w:rPr>
        <w:t xml:space="preserve"> (Solana, 2003</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2"/>
          <w:lang w:eastAsia="ja-JP"/>
        </w:rPr>
        <w:t>Більше того, Європейська рада, ухвалюючи Стратегію безпеки, закликала до конкретних пропозицій щодо того, як розвивати «ефективну багатосторонність» під егідою ООН, що в Стратегії описано як «фундаментальна основа міжнародних в</w:t>
      </w:r>
      <w:r w:rsidR="00F44E49">
        <w:rPr>
          <w:rFonts w:eastAsiaTheme="minorEastAsia"/>
          <w:sz w:val="28"/>
          <w:szCs w:val="22"/>
          <w:lang w:eastAsia="ja-JP"/>
        </w:rPr>
        <w:t>ідносин» (Leonard &amp; Gowan, 2004</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«Безпечна Європа у найкращому світі» стала основою для формування стратегічної ідентичності Європи. Навіть незважаючи на недосконалість реалізації ЄСБ, особливо у забезпеченні оборонних здібностей, ця стратегія забезпечила фундаментальну основу для майбутніх концептів та стратегій безпеки (Александров, 2011). У міжнародній ситуації, що склалася, на тлі Іракської кризи і розколу всередині Союзу, ЄСБ відобразила потреби держав-членів у необхідності формування механізму вироблення спільних рішень та координації дій з зовнішньополітичних, економічних та інших питань.</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Документ за своєю структурою не передбачає створення колективної системи безпеки, а лише спрямовує зусилля на протидію новим загрозам. Але саме це дозволяє створити сприятливе оточення ЄС для подальших кроків у сфері безпеки, а також підтримки міжнародного порядку.</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 xml:space="preserve">Прийняття Стратегії стало важливим кроком для зовнішньої діяльності ЄС, кроком, який до кризи в Іраку був неймовірний. З того часу завдання полягало в тому, щоб оцінити цей прорив та ефективно реалізувати </w:t>
      </w:r>
      <w:r w:rsidRPr="00A40B0B">
        <w:rPr>
          <w:rFonts w:eastAsiaTheme="minorEastAsia"/>
          <w:sz w:val="28"/>
          <w:szCs w:val="28"/>
          <w:lang w:eastAsia="ja-JP"/>
        </w:rPr>
        <w:lastRenderedPageBreak/>
        <w:t>всеосяжний підхід Стратегії, або, як сформулювала це рішення Європейська рада у грудні 2003 р., «витягти всі наслідки цих стратегічних орієнтирів і включити їх до всіх відповідних європе</w:t>
      </w:r>
      <w:r w:rsidR="00F44E49">
        <w:rPr>
          <w:rFonts w:eastAsiaTheme="minorEastAsia"/>
          <w:sz w:val="28"/>
          <w:szCs w:val="28"/>
          <w:lang w:eastAsia="ja-JP"/>
        </w:rPr>
        <w:t>йських політиків» (Biscop, 2004</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Європейська стратегія безпеки була чіткою всеосяжною заявою про погляди ЄС на зовнішню безпеку – перша у своєму роді. Більше того, це одна з найзмістовніших політичних заяв, які коли-небудь були зроблені урядами ЄС, що містить загальну оцінку загроз і узгоджує принципи глобальних дій, навіть якщо не обумовлюються конкретні кроки вперед або умови для запуску участі ЄС. Навіть ті пункти Стратегії, які були розпливчастими та неуточненими, можуть бути виправдані як частина здійсненності стратегії безпеки, що охоплює безліч різних ста</w:t>
      </w:r>
      <w:r w:rsidR="00F44E49">
        <w:rPr>
          <w:rFonts w:eastAsiaTheme="minorEastAsia"/>
          <w:sz w:val="28"/>
          <w:szCs w:val="28"/>
          <w:lang w:eastAsia="ja-JP"/>
        </w:rPr>
        <w:t xml:space="preserve">нів (Andersson </w:t>
      </w:r>
      <w:r w:rsidR="00C631E2">
        <w:rPr>
          <w:rFonts w:eastAsiaTheme="minorEastAsia"/>
          <w:sz w:val="28"/>
          <w:szCs w:val="28"/>
          <w:lang w:val="en-US" w:eastAsia="ja-JP"/>
        </w:rPr>
        <w:t>et</w:t>
      </w:r>
      <w:r w:rsidR="00C631E2" w:rsidRPr="00DC61EB">
        <w:rPr>
          <w:rFonts w:eastAsiaTheme="minorEastAsia"/>
          <w:sz w:val="28"/>
          <w:szCs w:val="28"/>
          <w:lang w:eastAsia="ja-JP"/>
        </w:rPr>
        <w:t xml:space="preserve"> </w:t>
      </w:r>
      <w:r w:rsidR="00C631E2">
        <w:rPr>
          <w:rFonts w:eastAsiaTheme="minorEastAsia"/>
          <w:sz w:val="28"/>
          <w:szCs w:val="28"/>
          <w:lang w:val="en-US" w:eastAsia="ja-JP"/>
        </w:rPr>
        <w:t>al</w:t>
      </w:r>
      <w:r w:rsidR="00C631E2" w:rsidRPr="00DC61EB">
        <w:rPr>
          <w:rFonts w:eastAsiaTheme="minorEastAsia"/>
          <w:sz w:val="28"/>
          <w:szCs w:val="28"/>
          <w:lang w:eastAsia="ja-JP"/>
        </w:rPr>
        <w:t>.</w:t>
      </w:r>
      <w:r w:rsidR="00F44E49">
        <w:rPr>
          <w:rFonts w:eastAsiaTheme="minorEastAsia"/>
          <w:sz w:val="28"/>
          <w:szCs w:val="28"/>
          <w:lang w:eastAsia="ja-JP"/>
        </w:rPr>
        <w:t>, 2011</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Створення першої стратегії ЄС під час жорсткого протистояння на тлі Іракської кризи мало вигляд створення лише певного компромісу, що становить досить тендітну рівновагу у такій міжнародної критичної обстановці. Александров (2011) стверджував, що у цей період Європа розділилася на «нову» та «стару». Отже, такий документ не міг бути досконалим і вирішити один раз усі існуючі проблеми та недоліки діючих інститутів ЄС. Але факт можливості знайти якийсь компроміс, і що більше, перетворити його на стратегію, що об</w:t>
      </w:r>
      <w:r w:rsidR="00C631E2">
        <w:rPr>
          <w:rFonts w:eastAsiaTheme="minorEastAsia"/>
          <w:sz w:val="28"/>
          <w:szCs w:val="28"/>
          <w:lang w:eastAsia="ja-JP"/>
        </w:rPr>
        <w:t>’</w:t>
      </w:r>
      <w:r w:rsidRPr="00A40B0B">
        <w:rPr>
          <w:rFonts w:eastAsiaTheme="minorEastAsia"/>
          <w:sz w:val="28"/>
          <w:szCs w:val="28"/>
          <w:lang w:eastAsia="ja-JP"/>
        </w:rPr>
        <w:t>єднує всі країни, зародив зацікавленість у подальшому розвитку та зміцненні системи безпеки ЄС.</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Однак держави-члени через відсутність єдиного згуртованого апарату мали свої погляди на роль ЄС як учасника міжнародних відносин. Тому у новому документі, який розглядався у перспективі, необхідно було систематизувати весь набутий досвід ЄС для створення спільних принципів, концепцій та плану дій. Згодом наростаючі потреби в об</w:t>
      </w:r>
      <w:r w:rsidR="00C631E2">
        <w:rPr>
          <w:rFonts w:eastAsiaTheme="minorEastAsia"/>
          <w:sz w:val="28"/>
          <w:szCs w:val="28"/>
          <w:lang w:eastAsia="ja-JP"/>
        </w:rPr>
        <w:t>’</w:t>
      </w:r>
      <w:r w:rsidRPr="00A40B0B">
        <w:rPr>
          <w:rFonts w:eastAsiaTheme="minorEastAsia"/>
          <w:sz w:val="28"/>
          <w:szCs w:val="28"/>
          <w:lang w:eastAsia="ja-JP"/>
        </w:rPr>
        <w:t>єднанні та перегляді внутрішніх розбіжностей призвели до підписання в 2007 році Лісабонського договору.</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lastRenderedPageBreak/>
        <w:t>Лісабонський договір (2007) встановлює чіткі цілі Європейського Союзу у його прагненні забезпечити мир, демократію, справедливість та дотримання прав людини. З основних положень, що сприяють подальшому створенню оновленої стратегії безпеки, важливо виділити нові обов</w:t>
      </w:r>
      <w:r w:rsidR="00C631E2">
        <w:rPr>
          <w:rFonts w:eastAsiaTheme="minorEastAsia"/>
          <w:sz w:val="28"/>
          <w:szCs w:val="28"/>
          <w:lang w:eastAsia="ja-JP"/>
        </w:rPr>
        <w:t>’</w:t>
      </w:r>
      <w:r w:rsidRPr="00A40B0B">
        <w:rPr>
          <w:rFonts w:eastAsiaTheme="minorEastAsia"/>
          <w:sz w:val="28"/>
          <w:szCs w:val="28"/>
          <w:lang w:eastAsia="ja-JP"/>
        </w:rPr>
        <w:t xml:space="preserve">язки ЄС відповідно до договору </w:t>
      </w:r>
      <w:r w:rsidRPr="00DC61EB">
        <w:rPr>
          <w:rFonts w:eastAsiaTheme="minorEastAsia"/>
          <w:sz w:val="28"/>
          <w:szCs w:val="28"/>
          <w:lang w:eastAsia="ja-JP"/>
        </w:rPr>
        <w:t>(</w:t>
      </w:r>
      <w:r w:rsidR="00577C82" w:rsidRPr="00577C82">
        <w:rPr>
          <w:rFonts w:eastAsiaTheme="minorEastAsia"/>
          <w:i/>
          <w:sz w:val="28"/>
          <w:szCs w:val="28"/>
          <w:lang w:val="en-US" w:eastAsia="ja-JP"/>
        </w:rPr>
        <w:t>The</w:t>
      </w:r>
      <w:r w:rsidR="00577C82" w:rsidRPr="00DC61EB">
        <w:rPr>
          <w:rFonts w:eastAsiaTheme="minorEastAsia"/>
          <w:i/>
          <w:sz w:val="28"/>
          <w:szCs w:val="28"/>
          <w:lang w:eastAsia="ja-JP"/>
        </w:rPr>
        <w:t xml:space="preserve"> </w:t>
      </w:r>
      <w:r w:rsidR="00577C82" w:rsidRPr="00577C82">
        <w:rPr>
          <w:rFonts w:eastAsiaTheme="minorEastAsia"/>
          <w:i/>
          <w:sz w:val="28"/>
          <w:szCs w:val="28"/>
          <w:lang w:val="en-US" w:eastAsia="ja-JP"/>
        </w:rPr>
        <w:t>Treaty</w:t>
      </w:r>
      <w:r w:rsidR="00577C82" w:rsidRPr="00DC61EB">
        <w:rPr>
          <w:rFonts w:eastAsiaTheme="minorEastAsia"/>
          <w:i/>
          <w:sz w:val="28"/>
          <w:szCs w:val="28"/>
          <w:lang w:eastAsia="ja-JP"/>
        </w:rPr>
        <w:t xml:space="preserve"> </w:t>
      </w:r>
      <w:r w:rsidR="00577C82" w:rsidRPr="00577C82">
        <w:rPr>
          <w:rFonts w:eastAsiaTheme="minorEastAsia"/>
          <w:i/>
          <w:sz w:val="28"/>
          <w:szCs w:val="28"/>
          <w:lang w:val="en-US" w:eastAsia="ja-JP"/>
        </w:rPr>
        <w:t>of</w:t>
      </w:r>
      <w:r w:rsidR="00577C82" w:rsidRPr="00DC61EB">
        <w:rPr>
          <w:rFonts w:eastAsiaTheme="minorEastAsia"/>
          <w:i/>
          <w:sz w:val="28"/>
          <w:szCs w:val="28"/>
          <w:lang w:eastAsia="ja-JP"/>
        </w:rPr>
        <w:t xml:space="preserve"> </w:t>
      </w:r>
      <w:r w:rsidR="00577C82" w:rsidRPr="00577C82">
        <w:rPr>
          <w:rFonts w:eastAsiaTheme="minorEastAsia"/>
          <w:i/>
          <w:sz w:val="28"/>
          <w:szCs w:val="28"/>
          <w:lang w:val="en-US" w:eastAsia="ja-JP"/>
        </w:rPr>
        <w:t>Lisbon</w:t>
      </w:r>
      <w:r w:rsidR="00577C82" w:rsidRPr="00DC61EB">
        <w:rPr>
          <w:rFonts w:eastAsiaTheme="minorEastAsia"/>
          <w:sz w:val="28"/>
          <w:szCs w:val="28"/>
          <w:lang w:eastAsia="ja-JP"/>
        </w:rPr>
        <w:t>, 2009</w:t>
      </w:r>
      <w:r w:rsidRPr="00DC61EB">
        <w:rPr>
          <w:rFonts w:eastAsiaTheme="minorEastAsia"/>
          <w:sz w:val="28"/>
          <w:szCs w:val="28"/>
          <w:lang w:eastAsia="ja-JP"/>
        </w:rPr>
        <w:t>)</w:t>
      </w:r>
      <w:r w:rsidRPr="00A40B0B">
        <w:rPr>
          <w:rFonts w:eastAsiaTheme="minorEastAsia"/>
          <w:sz w:val="28"/>
          <w:szCs w:val="28"/>
          <w:lang w:eastAsia="ja-JP"/>
        </w:rPr>
        <w:t>:</w:t>
      </w:r>
    </w:p>
    <w:p w:rsidR="00A40B0B" w:rsidRPr="00A40B0B" w:rsidRDefault="00A40B0B" w:rsidP="00713BAF">
      <w:pPr>
        <w:numPr>
          <w:ilvl w:val="0"/>
          <w:numId w:val="6"/>
        </w:numPr>
        <w:spacing w:line="360" w:lineRule="auto"/>
        <w:contextualSpacing/>
        <w:rPr>
          <w:rFonts w:eastAsiaTheme="minorEastAsia"/>
          <w:sz w:val="28"/>
          <w:szCs w:val="28"/>
          <w:lang w:eastAsia="ja-JP"/>
        </w:rPr>
      </w:pPr>
      <w:r w:rsidRPr="00A40B0B">
        <w:rPr>
          <w:rFonts w:eastAsiaTheme="minorEastAsia"/>
          <w:sz w:val="28"/>
          <w:szCs w:val="28"/>
          <w:lang w:eastAsia="ja-JP"/>
        </w:rPr>
        <w:t>забезпечення існування безпечної зони свободи без внутрішніх кордонів, а також боротьба із соціальною ізоляцією;</w:t>
      </w:r>
    </w:p>
    <w:p w:rsidR="00A40B0B" w:rsidRPr="00A40B0B" w:rsidRDefault="00A40B0B" w:rsidP="00713BAF">
      <w:pPr>
        <w:numPr>
          <w:ilvl w:val="0"/>
          <w:numId w:val="6"/>
        </w:numPr>
        <w:spacing w:line="360" w:lineRule="auto"/>
        <w:contextualSpacing/>
        <w:rPr>
          <w:rFonts w:eastAsiaTheme="minorEastAsia"/>
          <w:sz w:val="28"/>
          <w:szCs w:val="28"/>
          <w:lang w:eastAsia="ja-JP"/>
        </w:rPr>
      </w:pPr>
      <w:r w:rsidRPr="00A40B0B">
        <w:rPr>
          <w:rFonts w:eastAsiaTheme="minorEastAsia"/>
          <w:sz w:val="28"/>
          <w:szCs w:val="28"/>
          <w:lang w:eastAsia="ja-JP"/>
        </w:rPr>
        <w:t>підтримка сталого економічного розвитку Європи, що ґрунтується на збалансованому зростанні економіки, чому сприятиме цілісність та міцний валютний союз;</w:t>
      </w:r>
    </w:p>
    <w:p w:rsidR="00A40B0B" w:rsidRPr="00A40B0B" w:rsidRDefault="00A40B0B" w:rsidP="00713BAF">
      <w:pPr>
        <w:numPr>
          <w:ilvl w:val="0"/>
          <w:numId w:val="6"/>
        </w:numPr>
        <w:spacing w:line="360" w:lineRule="auto"/>
        <w:contextualSpacing/>
        <w:rPr>
          <w:rFonts w:eastAsiaTheme="minorEastAsia"/>
          <w:sz w:val="28"/>
          <w:szCs w:val="28"/>
          <w:lang w:eastAsia="ja-JP"/>
        </w:rPr>
      </w:pPr>
      <w:r w:rsidRPr="00A40B0B">
        <w:rPr>
          <w:rFonts w:eastAsiaTheme="minorEastAsia"/>
          <w:sz w:val="28"/>
          <w:szCs w:val="28"/>
          <w:lang w:eastAsia="ja-JP"/>
        </w:rPr>
        <w:t>спрощення та впорядкування процедури прийняття рішень шляхом кваліфікованої більшості голосів;</w:t>
      </w:r>
    </w:p>
    <w:p w:rsidR="00A40B0B" w:rsidRPr="00A40B0B" w:rsidRDefault="00A40B0B" w:rsidP="00713BAF">
      <w:pPr>
        <w:numPr>
          <w:ilvl w:val="0"/>
          <w:numId w:val="6"/>
        </w:numPr>
        <w:spacing w:line="360" w:lineRule="auto"/>
        <w:contextualSpacing/>
        <w:rPr>
          <w:rFonts w:eastAsiaTheme="minorEastAsia"/>
          <w:sz w:val="28"/>
          <w:szCs w:val="28"/>
          <w:lang w:eastAsia="ja-JP"/>
        </w:rPr>
      </w:pPr>
      <w:r w:rsidRPr="00A40B0B">
        <w:rPr>
          <w:rFonts w:eastAsiaTheme="minorEastAsia"/>
          <w:sz w:val="28"/>
          <w:szCs w:val="28"/>
          <w:lang w:eastAsia="ja-JP"/>
        </w:rPr>
        <w:t>розширення можливостей ЄС щодо участі в місіях за межами власної території для забезпечення миру.</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Наближаючись безпосередньо до оновленої ЄСБ, яка безпосередньо має зв</w:t>
      </w:r>
      <w:r w:rsidR="00C631E2">
        <w:rPr>
          <w:rFonts w:eastAsiaTheme="minorEastAsia"/>
          <w:sz w:val="28"/>
          <w:szCs w:val="28"/>
          <w:lang w:eastAsia="ja-JP"/>
        </w:rPr>
        <w:t>’</w:t>
      </w:r>
      <w:r w:rsidRPr="00A40B0B">
        <w:rPr>
          <w:rFonts w:eastAsiaTheme="minorEastAsia"/>
          <w:sz w:val="28"/>
          <w:szCs w:val="28"/>
          <w:lang w:eastAsia="ja-JP"/>
        </w:rPr>
        <w:t>язок зі структурою СЗППБ/ЄПБО, слід зазначити, що у Лісабонському договорі реформування не торкнулося саме її, залишивши формою міжурядової співпраці. У договорі є положення про спільні дії щодо відображення агресії в обов</w:t>
      </w:r>
      <w:r w:rsidR="00C631E2">
        <w:rPr>
          <w:rFonts w:eastAsiaTheme="minorEastAsia"/>
          <w:sz w:val="28"/>
          <w:szCs w:val="28"/>
          <w:lang w:eastAsia="ja-JP"/>
        </w:rPr>
        <w:t>’</w:t>
      </w:r>
      <w:r w:rsidRPr="00A40B0B">
        <w:rPr>
          <w:rFonts w:eastAsiaTheme="minorEastAsia"/>
          <w:sz w:val="28"/>
          <w:szCs w:val="28"/>
          <w:lang w:eastAsia="ja-JP"/>
        </w:rPr>
        <w:t>язковому порядку проти однієї з держав-членів. Це означало, що розвиток СЗППБ відбуватиметься у вигляді структурування без участі всіх держав-членів. Такі зміни давали натяк на становлення зовнішньої політики ЄС більш узгодженої, що призведе до посилення ролі ЄС як глобального актора.</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У грудні 2007 року Європейська рада ухвалила рішення переглянути реалізацію Європейської стратегії безпеки 2003 року, особливо у світлі уроків, що були засвоєні з місій, проведених в рамках Європейської політики безпеки та оборони, і, можливо, запропонувати нові, оновлені складові, що доповнюють її. Доповідь Хав</w:t>
      </w:r>
      <w:r w:rsidR="00C631E2">
        <w:rPr>
          <w:rFonts w:eastAsiaTheme="minorEastAsia"/>
          <w:sz w:val="28"/>
          <w:szCs w:val="28"/>
          <w:lang w:eastAsia="ja-JP"/>
        </w:rPr>
        <w:t>’</w:t>
      </w:r>
      <w:r w:rsidRPr="00A40B0B">
        <w:rPr>
          <w:rFonts w:eastAsiaTheme="minorEastAsia"/>
          <w:sz w:val="28"/>
          <w:szCs w:val="28"/>
          <w:lang w:eastAsia="ja-JP"/>
        </w:rPr>
        <w:t xml:space="preserve">єра Солани про Оновлену безпекову стратегію </w:t>
      </w:r>
      <w:r w:rsidRPr="00A40B0B">
        <w:rPr>
          <w:rFonts w:eastAsiaTheme="minorEastAsia"/>
          <w:sz w:val="28"/>
          <w:szCs w:val="28"/>
          <w:lang w:eastAsia="ja-JP"/>
        </w:rPr>
        <w:lastRenderedPageBreak/>
        <w:t>поставила перед собою завдання ретельного вивчення європейських інтересів та стратегічних варіантів. Проведення стратегічних дебатів на європейському рівні за участю різних регіональних та тематичних точок зору є однією з ключових умов для зміцнення згуртованості між державами-членами та узгодженості зовнішн</w:t>
      </w:r>
      <w:r w:rsidR="00F44E49">
        <w:rPr>
          <w:rFonts w:eastAsiaTheme="minorEastAsia"/>
          <w:sz w:val="28"/>
          <w:szCs w:val="28"/>
          <w:lang w:eastAsia="ja-JP"/>
        </w:rPr>
        <w:t>ьої політики ЄС (Schmid, 2009</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Однак ще одним ключовим фактором, який вплинув на формування бачення нової стратегії, стала грузинська криза 2008 року, яка викрила слабкість Заходу та повний провал європейської політики щодо запобігання конфліктам (</w:t>
      </w:r>
      <w:r w:rsidRPr="00A40B0B">
        <w:rPr>
          <w:rFonts w:eastAsiaTheme="minorEastAsia"/>
          <w:sz w:val="28"/>
          <w:szCs w:val="28"/>
          <w:lang w:val="en-US" w:eastAsia="ja-JP"/>
        </w:rPr>
        <w:t>Bandeoglu</w:t>
      </w:r>
      <w:r w:rsidRPr="00A40B0B">
        <w:rPr>
          <w:rFonts w:eastAsiaTheme="minorEastAsia"/>
          <w:sz w:val="28"/>
          <w:szCs w:val="28"/>
          <w:lang w:eastAsia="ja-JP"/>
        </w:rPr>
        <w:t>, 2014). Викриття Р</w:t>
      </w:r>
      <w:r w:rsidR="0073521C">
        <w:rPr>
          <w:rFonts w:eastAsiaTheme="minorEastAsia"/>
          <w:sz w:val="28"/>
          <w:szCs w:val="28"/>
          <w:lang w:eastAsia="ja-JP"/>
        </w:rPr>
        <w:t xml:space="preserve">осії як можливої </w:t>
      </w:r>
      <w:r w:rsidRPr="00A40B0B">
        <w:rPr>
          <w:rFonts w:eastAsiaTheme="minorEastAsia"/>
          <w:sz w:val="28"/>
          <w:szCs w:val="28"/>
          <w:lang w:eastAsia="ja-JP"/>
        </w:rPr>
        <w:t>загрози на європейському просторі означало необхідність повного перегляду чи коригування попередніх переконань щодо справді актуальних загроз.</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Подолавши етапи дебатів, чвар, а після шляху поступок та підписання вищезгаданих документів, неминуче настав момент перегляду ЄСБ з метою оновлення та зміцнення основ. Її автору – Хав</w:t>
      </w:r>
      <w:r w:rsidR="00C631E2">
        <w:rPr>
          <w:rFonts w:eastAsiaTheme="minorEastAsia"/>
          <w:sz w:val="28"/>
          <w:szCs w:val="28"/>
          <w:lang w:eastAsia="ja-JP"/>
        </w:rPr>
        <w:t>’</w:t>
      </w:r>
      <w:r w:rsidRPr="00A40B0B">
        <w:rPr>
          <w:rFonts w:eastAsiaTheme="minorEastAsia"/>
          <w:sz w:val="28"/>
          <w:szCs w:val="28"/>
          <w:lang w:eastAsia="ja-JP"/>
        </w:rPr>
        <w:t>єру Солану – було доручено місія упорядкування доповіді, що містив структурний аналіз ходу реалізації цієї стратегії, який потім називався «Забезпечення безпеки у світі, що змінюється». Цей документ не був певною заміною минулої ЄСБ, а лише зміцнив її основні положення, враховуючи недоліки та проблеми, які стали очевидними за минулі 5 років.</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Хав</w:t>
      </w:r>
      <w:r w:rsidR="00C631E2">
        <w:rPr>
          <w:rFonts w:eastAsiaTheme="minorEastAsia"/>
          <w:sz w:val="28"/>
          <w:szCs w:val="28"/>
          <w:lang w:eastAsia="ja-JP"/>
        </w:rPr>
        <w:t>’</w:t>
      </w:r>
      <w:r w:rsidRPr="00A40B0B">
        <w:rPr>
          <w:rFonts w:eastAsiaTheme="minorEastAsia"/>
          <w:sz w:val="28"/>
          <w:szCs w:val="28"/>
          <w:lang w:eastAsia="ja-JP"/>
        </w:rPr>
        <w:t>єр Солана (2008) у Доповіді про виконану ЄСБ роботі стверджує наступне: «Щоб повністю реалізувати свій потенціал, нам потрібно бути ще більш здатними, більш послідовними та активнішими» (</w:t>
      </w:r>
      <w:r w:rsidRPr="00A40B0B">
        <w:rPr>
          <w:rFonts w:eastAsiaTheme="minorEastAsia"/>
          <w:sz w:val="28"/>
          <w:szCs w:val="28"/>
          <w:lang w:val="en-US" w:eastAsia="ja-JP"/>
        </w:rPr>
        <w:t>Solana</w:t>
      </w:r>
      <w:r w:rsidR="00F44E49">
        <w:rPr>
          <w:rFonts w:eastAsiaTheme="minorEastAsia"/>
          <w:sz w:val="28"/>
          <w:szCs w:val="28"/>
          <w:lang w:eastAsia="ja-JP"/>
        </w:rPr>
        <w:t>, 2008</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По-перше, було виявлено низку викликів, що загрожують інтересам безпеки ЄС, які за минулий час не змінилися, не зникли, а набули складнішого характеру, вимагаючи від оборонної системи більшого реагування та згуртованості. Хав</w:t>
      </w:r>
      <w:r w:rsidR="00C631E2">
        <w:rPr>
          <w:rFonts w:eastAsiaTheme="minorEastAsia"/>
          <w:sz w:val="28"/>
          <w:szCs w:val="28"/>
          <w:lang w:eastAsia="ja-JP"/>
        </w:rPr>
        <w:t>’</w:t>
      </w:r>
      <w:r w:rsidRPr="00A40B0B">
        <w:rPr>
          <w:rFonts w:eastAsiaTheme="minorEastAsia"/>
          <w:sz w:val="28"/>
          <w:szCs w:val="28"/>
          <w:lang w:eastAsia="ja-JP"/>
        </w:rPr>
        <w:t>єр Солана наголошує на п</w:t>
      </w:r>
      <w:r w:rsidR="00C631E2">
        <w:rPr>
          <w:rFonts w:eastAsiaTheme="minorEastAsia"/>
          <w:sz w:val="28"/>
          <w:szCs w:val="28"/>
          <w:lang w:eastAsia="ja-JP"/>
        </w:rPr>
        <w:t>’</w:t>
      </w:r>
      <w:r w:rsidRPr="00A40B0B">
        <w:rPr>
          <w:rFonts w:eastAsiaTheme="minorEastAsia"/>
          <w:sz w:val="28"/>
          <w:szCs w:val="28"/>
          <w:lang w:eastAsia="ja-JP"/>
        </w:rPr>
        <w:t>яти ключових загрозах:</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lastRenderedPageBreak/>
        <w:t xml:space="preserve">1. Поширення зброї масового ураження. Загроза позначена як найбільш потенційна для безпеки ЄС. Працюючи переважно через ООН, ЄС сприяє ефективному виконанню ДНЯЗ у доступних йому межах можливого. В результаті аналізу, визначено необхідність підтримки ЄС у протидії фінансуванню поширення та зміцненню політики стримування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2. Тероризм та організована злочинність. У цій галузі було вжито заходів у вигляді Гаазької програми (2004), Стратегії зовнішнього виміру правосуддя та внутрішніх справ (2005) та Контртерористичної стратегії ЄС (2005), які працюють на запобігання поширенню та фінансуванню тероризму та злочинності. Було визначено необхідність зближення зі США з метою зміцнення контртерористичного співробітництва. Прогрес у сфері кращої координації визнаний повільним та неповним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3. Інформаційна безпека. Після прийнятої у 2006 році Стратегії ЄС для безпечного інформаційного суспільства виникла проблема недостатньої поінформованості та міжнародного співробітництва у сфері ІТ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4. Енергетична безпека. Із виникненням проблеми зі зниження видобутку копалин у Європі випливає необхідність створення та розвитку енергетичної політики ЄС з єдиним енергетичним ринком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5. Кліматичні зміни. Визначено крайню важливість активізації роботи з країнами, що наражаються на найбільший ризик кліматичних змін шляхом зміцнення міжнародного співробітництва з ООН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Хав</w:t>
      </w:r>
      <w:r w:rsidR="00C631E2">
        <w:rPr>
          <w:rFonts w:eastAsiaTheme="minorEastAsia"/>
          <w:sz w:val="28"/>
          <w:szCs w:val="28"/>
          <w:lang w:eastAsia="ja-JP"/>
        </w:rPr>
        <w:t>’</w:t>
      </w:r>
      <w:r w:rsidRPr="00A40B0B">
        <w:rPr>
          <w:rFonts w:eastAsiaTheme="minorEastAsia"/>
          <w:sz w:val="28"/>
          <w:szCs w:val="28"/>
          <w:lang w:eastAsia="ja-JP"/>
        </w:rPr>
        <w:t xml:space="preserve">єр Солана наголошує на нарощуванні галузі можливостей та розширенні спільної співпраці з метою розподілу відповідальності у військових місіях. Крім механічного нарощування потенціалу, важливо підтримувати надійну оборонну промисловість по всій Європі, що підтримується інвестиціями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Також було наголошено на великому потенціалі ЄС у розширенні політики сусідства для досягнення багатостороннього порядку у світі. </w:t>
      </w:r>
      <w:r w:rsidRPr="00A40B0B">
        <w:rPr>
          <w:rFonts w:eastAsiaTheme="minorEastAsia"/>
          <w:sz w:val="28"/>
          <w:szCs w:val="28"/>
          <w:lang w:eastAsia="ja-JP"/>
        </w:rPr>
        <w:lastRenderedPageBreak/>
        <w:t xml:space="preserve">Ключовим партнером стали США, а очолює всю систему міжнародного порядку ООН, цілями якого постійно керувався ЄС, зокрема, в Афганістані, Косово, Сомалі тощо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Зміцнення зв</w:t>
      </w:r>
      <w:r w:rsidR="00C631E2">
        <w:rPr>
          <w:rFonts w:eastAsiaTheme="minorEastAsia"/>
          <w:sz w:val="28"/>
          <w:szCs w:val="28"/>
          <w:lang w:eastAsia="ja-JP"/>
        </w:rPr>
        <w:t>’</w:t>
      </w:r>
      <w:r w:rsidRPr="00A40B0B">
        <w:rPr>
          <w:rFonts w:eastAsiaTheme="minorEastAsia"/>
          <w:sz w:val="28"/>
          <w:szCs w:val="28"/>
          <w:lang w:eastAsia="ja-JP"/>
        </w:rPr>
        <w:t>язків з НАТО дозволило співпрацювати на Балканах та в Афганістані у зв</w:t>
      </w:r>
      <w:r w:rsidR="00C631E2">
        <w:rPr>
          <w:rFonts w:eastAsiaTheme="minorEastAsia"/>
          <w:sz w:val="28"/>
          <w:szCs w:val="28"/>
          <w:lang w:eastAsia="ja-JP"/>
        </w:rPr>
        <w:t>’</w:t>
      </w:r>
      <w:r w:rsidRPr="00A40B0B">
        <w:rPr>
          <w:rFonts w:eastAsiaTheme="minorEastAsia"/>
          <w:sz w:val="28"/>
          <w:szCs w:val="28"/>
          <w:lang w:eastAsia="ja-JP"/>
        </w:rPr>
        <w:t>язку зі спільними стратегічними інтересами. Розширилися відносини з Китаєм, а Росія залишилася важливим партнером із глобальних питань. Крім того, зріс зв</w:t>
      </w:r>
      <w:r w:rsidR="00C631E2">
        <w:rPr>
          <w:rFonts w:eastAsiaTheme="minorEastAsia"/>
          <w:sz w:val="28"/>
          <w:szCs w:val="28"/>
          <w:lang w:eastAsia="ja-JP"/>
        </w:rPr>
        <w:t>’</w:t>
      </w:r>
      <w:r w:rsidRPr="00A40B0B">
        <w:rPr>
          <w:rFonts w:eastAsiaTheme="minorEastAsia"/>
          <w:sz w:val="28"/>
          <w:szCs w:val="28"/>
          <w:lang w:eastAsia="ja-JP"/>
        </w:rPr>
        <w:t xml:space="preserve">язок ЄС із регіональними організаціями, такими як Африканський Союз, разом з яким ЄС покращує можливості управління кризовими ситуаціями на африканському континенті </w:t>
      </w:r>
      <w:r w:rsidRPr="00A40B0B">
        <w:rPr>
          <w:rFonts w:eastAsiaTheme="minorEastAsia"/>
          <w:sz w:val="28"/>
          <w:szCs w:val="22"/>
          <w:lang w:eastAsia="ja-JP"/>
        </w:rPr>
        <w:t>(</w:t>
      </w:r>
      <w:r w:rsidRPr="00A40B0B">
        <w:rPr>
          <w:rFonts w:eastAsiaTheme="minorEastAsia"/>
          <w:sz w:val="28"/>
          <w:szCs w:val="22"/>
          <w:lang w:val="en-US" w:eastAsia="ja-JP"/>
        </w:rPr>
        <w:t>Solana</w:t>
      </w:r>
      <w:r w:rsidR="00F44E49">
        <w:rPr>
          <w:rFonts w:eastAsiaTheme="minorEastAsia"/>
          <w:sz w:val="28"/>
          <w:szCs w:val="22"/>
          <w:lang w:eastAsia="ja-JP"/>
        </w:rPr>
        <w:t>, 2008</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 xml:space="preserve">Досліджуючи дискусії, що послідували за набранням чинності </w:t>
      </w:r>
      <w:r w:rsidR="00FE1D56" w:rsidRPr="00A40B0B">
        <w:rPr>
          <w:rFonts w:eastAsiaTheme="minorEastAsia"/>
          <w:sz w:val="28"/>
          <w:szCs w:val="28"/>
          <w:lang w:eastAsia="ja-JP"/>
        </w:rPr>
        <w:t>Доповіді</w:t>
      </w:r>
      <w:r w:rsidRPr="00A40B0B">
        <w:rPr>
          <w:rFonts w:eastAsiaTheme="minorEastAsia"/>
          <w:sz w:val="28"/>
          <w:szCs w:val="28"/>
          <w:lang w:eastAsia="ja-JP"/>
        </w:rPr>
        <w:t>, виникає головна з недостатніх рис, яких активно прагне ЄС у своїй ЄСБ – це цілісний підхід, який полягає у згуртованості та єдиному погляді на політичну стратегію. ЄСБ підтримує цілісний підхід, однак механізми ЄС не відповідають заявленим критеріям, з чого виникає потреба в повторному реформуванні інститутів ЄС для збереження легітимності влади. Адже для переходу зі стратегії та теорії в послідовну єдину політику необхідно діяти як цілісний механізм, внаслідок чого необхідно встановити жорсткий консенсус, або знайти баланс між «європейською» і «атлантичною» сторо</w:t>
      </w:r>
      <w:r w:rsidR="00F44E49">
        <w:rPr>
          <w:rFonts w:eastAsiaTheme="minorEastAsia"/>
          <w:sz w:val="28"/>
          <w:szCs w:val="28"/>
          <w:lang w:eastAsia="ja-JP"/>
        </w:rPr>
        <w:t>нами Союзу (Біскоп, 2009</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Між ЄС і НАТО – двома найбільшими гравцями на міжнародній арені у сфері безпеки – так само поглиблювалися взаємини за рахунок існуючих конфліктів на європейському просторі, а саме, турецько-кіпрського конфлікту та розгортання американських сил в Афганістані. Розбіжність відбувається на тлі тиску з боку НАТО, який наполягає на наданні ЄС додаткових озброєнь та військових сил, на що європейська сторона категорично відмовляється, не бажаючи брати участь в існуючому конфлікті. З іншого боку, НАТО залишалося важливим партнером в операціях з врегулювання криз, є якоюсь проекцією жорсткої сили ЄС, який у своїй політиці орієнтований на м</w:t>
      </w:r>
      <w:r w:rsidR="00C631E2">
        <w:rPr>
          <w:rFonts w:eastAsiaTheme="minorEastAsia"/>
          <w:sz w:val="28"/>
          <w:szCs w:val="28"/>
          <w:lang w:eastAsia="ja-JP"/>
        </w:rPr>
        <w:t>’</w:t>
      </w:r>
      <w:r w:rsidRPr="00A40B0B">
        <w:rPr>
          <w:rFonts w:eastAsiaTheme="minorEastAsia"/>
          <w:sz w:val="28"/>
          <w:szCs w:val="28"/>
          <w:lang w:eastAsia="ja-JP"/>
        </w:rPr>
        <w:t xml:space="preserve">яку </w:t>
      </w:r>
      <w:r w:rsidRPr="00A40B0B">
        <w:rPr>
          <w:rFonts w:eastAsiaTheme="minorEastAsia"/>
          <w:sz w:val="28"/>
          <w:szCs w:val="28"/>
          <w:lang w:eastAsia="ja-JP"/>
        </w:rPr>
        <w:lastRenderedPageBreak/>
        <w:t>силу. У свою чергу, для НАТО Європейський Союз є гарантом стабільної Європи, що дозволяє США, як основному борцю проти терористичних загроз, що зростають, зосередитися на подоланні нових зро</w:t>
      </w:r>
      <w:r w:rsidR="00F44E49">
        <w:rPr>
          <w:rFonts w:eastAsiaTheme="minorEastAsia"/>
          <w:sz w:val="28"/>
          <w:szCs w:val="28"/>
          <w:lang w:eastAsia="ja-JP"/>
        </w:rPr>
        <w:t>стаючих загроз (Larive, 2012</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Як результат, ЄС поступово нарощує потенціал шляхом активного розширення співпраці, зміцнення військової структури та розповсюдження власних цінностей з метою залучення зацікавлених сторін, які зможуть забезпечувати безпечний простір як у межах, так і на світовій арені.</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Характеристика Євросоюзу, як політичної організації, що керується «м</w:t>
      </w:r>
      <w:r w:rsidR="00C631E2">
        <w:rPr>
          <w:rFonts w:eastAsiaTheme="minorEastAsia"/>
          <w:sz w:val="28"/>
          <w:szCs w:val="28"/>
          <w:lang w:eastAsia="ja-JP"/>
        </w:rPr>
        <w:t>’</w:t>
      </w:r>
      <w:r w:rsidRPr="00A40B0B">
        <w:rPr>
          <w:rFonts w:eastAsiaTheme="minorEastAsia"/>
          <w:sz w:val="28"/>
          <w:szCs w:val="28"/>
          <w:lang w:eastAsia="ja-JP"/>
        </w:rPr>
        <w:t>якою» силою, поступово йде на другий план, формуючи його як глобального актора з потужним військовим потенціалом, здатного експортувати свою модель шляхом влади спокійного переконання, що наводить становлення ЄС зразком для наслідування та могутнь</w:t>
      </w:r>
      <w:r w:rsidR="00F44E49">
        <w:rPr>
          <w:rFonts w:eastAsiaTheme="minorEastAsia"/>
          <w:sz w:val="28"/>
          <w:szCs w:val="28"/>
          <w:lang w:eastAsia="ja-JP"/>
        </w:rPr>
        <w:t>ою владою (Біскоп, 2009</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Оновлена стратегія безпеки успішно виявила нові глобальні тенденції та загрози, які були підтверджені на практиці. Нові сформовані основні засади зовнішньої діяльності ЄС повністю відповідали його цінностям. На світовій арені було виведено концепцію «ефективної багатосторонності», хоча прогрес у цьому напрямі був явно менш великим, скільки очікувалося. ЄС став постачальником безпеки на Балканах і в боротьбі з піратством, проте найважливіша риса ЄС – це транслювання цінностей, які кидають виклик іншим світовим акторам. Незважаючи на великі амбіції, заявлені у 2008 році цілі мали безліч перешкод та випробувань на міцність для всієї системи функціонуванн</w:t>
      </w:r>
      <w:r w:rsidR="00F44E49">
        <w:rPr>
          <w:rFonts w:eastAsiaTheme="minorEastAsia"/>
          <w:sz w:val="28"/>
          <w:szCs w:val="28"/>
          <w:lang w:eastAsia="ja-JP"/>
        </w:rPr>
        <w:t>я стратегії безпеки (Sede, 2015</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Фактор, що відрізняє організації та спілки, що складаються з великої кількості учасників, які володіють рівною силою голосу, полягає в регулярно зростаючій невизначеності та конфліктності</w:t>
      </w:r>
      <w:r w:rsidR="0073521C">
        <w:rPr>
          <w:rFonts w:eastAsiaTheme="minorEastAsia"/>
          <w:sz w:val="28"/>
          <w:szCs w:val="28"/>
          <w:lang w:eastAsia="ja-JP"/>
        </w:rPr>
        <w:t xml:space="preserve"> всередині. Оскільки оновлена </w:t>
      </w:r>
      <w:r w:rsidRPr="00A40B0B">
        <w:rPr>
          <w:rFonts w:eastAsiaTheme="minorEastAsia"/>
          <w:sz w:val="28"/>
          <w:szCs w:val="28"/>
          <w:lang w:eastAsia="ja-JP"/>
        </w:rPr>
        <w:t xml:space="preserve">стратегія безпеки не була новим документом, а лише відображала досягнуті </w:t>
      </w:r>
      <w:r w:rsidRPr="00A40B0B">
        <w:rPr>
          <w:rFonts w:eastAsiaTheme="minorEastAsia"/>
          <w:sz w:val="28"/>
          <w:szCs w:val="28"/>
          <w:lang w:eastAsia="ja-JP"/>
        </w:rPr>
        <w:lastRenderedPageBreak/>
        <w:t>цілі з 2003 року і закріплювала деякі нові положення стали втрачати свою актуальність, адже обстановка в системі безпеки зазнала фундаментальних змін, що спонукало до внесення оновлень.</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ЄС до прийняття нової стратегії безпеки під керівництвом Федеріки Могеріні оприлюднив три спільні стратегії щодо Росії, України та Середземномор</w:t>
      </w:r>
      <w:r w:rsidR="00C631E2">
        <w:rPr>
          <w:rFonts w:eastAsiaTheme="minorEastAsia"/>
          <w:sz w:val="28"/>
          <w:szCs w:val="28"/>
          <w:lang w:eastAsia="ja-JP"/>
        </w:rPr>
        <w:t>’</w:t>
      </w:r>
      <w:r w:rsidRPr="00A40B0B">
        <w:rPr>
          <w:rFonts w:eastAsiaTheme="minorEastAsia"/>
          <w:sz w:val="28"/>
          <w:szCs w:val="28"/>
          <w:lang w:eastAsia="ja-JP"/>
        </w:rPr>
        <w:t>я (четверта щодо Балкан була виключена до моменту прийняття), хоча вони не привели до будь-яких спільних дій. Таким чином, загальні стратегії показали погані результати щодо їх реалізації. Це було пов</w:t>
      </w:r>
      <w:r w:rsidR="00C631E2">
        <w:rPr>
          <w:rFonts w:eastAsiaTheme="minorEastAsia"/>
          <w:sz w:val="28"/>
          <w:szCs w:val="28"/>
          <w:lang w:eastAsia="ja-JP"/>
        </w:rPr>
        <w:t>’</w:t>
      </w:r>
      <w:r w:rsidRPr="00A40B0B">
        <w:rPr>
          <w:rFonts w:eastAsiaTheme="minorEastAsia"/>
          <w:sz w:val="28"/>
          <w:szCs w:val="28"/>
          <w:lang w:eastAsia="ja-JP"/>
        </w:rPr>
        <w:t xml:space="preserve">язано з відсутністю у них розуміння цінності в областях, де політика була добре встановлена, відсутністю посібників щодо їх розробки та декларативного характеру їхніх текстів. Крім того, вони ніколи не призначалися для охоплення всієї зовнішньої політики ЄС, а скоріше мали конкретне географічне та тематичне охоплення </w:t>
      </w:r>
      <w:r w:rsidRPr="00A40B0B">
        <w:rPr>
          <w:rFonts w:eastAsiaTheme="minorEastAsia"/>
          <w:sz w:val="28"/>
          <w:szCs w:val="22"/>
          <w:lang w:val="ru-RU" w:eastAsia="ja-JP"/>
        </w:rPr>
        <w:t>(</w:t>
      </w:r>
      <w:r w:rsidRPr="00A40B0B">
        <w:rPr>
          <w:rFonts w:eastAsiaTheme="minorEastAsia"/>
          <w:sz w:val="28"/>
          <w:szCs w:val="22"/>
          <w:lang w:val="en-US" w:eastAsia="ja-JP"/>
        </w:rPr>
        <w:t>Morillas</w:t>
      </w:r>
      <w:r w:rsidR="000B4780">
        <w:rPr>
          <w:rFonts w:eastAsiaTheme="minorEastAsia"/>
          <w:sz w:val="28"/>
          <w:szCs w:val="22"/>
          <w:lang w:val="ru-RU" w:eastAsia="ja-JP"/>
        </w:rPr>
        <w:t>, 2019</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Вперше повторна згадка про можливу зміну існуючого документа про європейську безпеку було здійснено у 2012 році з ініціативи міністрів закордонних справ Швеції, Польщі, Іспанії та Італії. Пропозиція мала характер створення абсолютно нової стратегії, ґрунтуючись на положеннях попередника Хав</w:t>
      </w:r>
      <w:r w:rsidR="00C631E2">
        <w:rPr>
          <w:rFonts w:eastAsiaTheme="minorEastAsia"/>
          <w:sz w:val="28"/>
          <w:szCs w:val="28"/>
          <w:lang w:eastAsia="ja-JP"/>
        </w:rPr>
        <w:t>’</w:t>
      </w:r>
      <w:r w:rsidRPr="00A40B0B">
        <w:rPr>
          <w:rFonts w:eastAsiaTheme="minorEastAsia"/>
          <w:sz w:val="28"/>
          <w:szCs w:val="28"/>
          <w:lang w:eastAsia="ja-JP"/>
        </w:rPr>
        <w:t>єра Солани та вчинених за цей період помилок (</w:t>
      </w:r>
      <w:r w:rsidRPr="00A40B0B">
        <w:rPr>
          <w:rFonts w:eastAsiaTheme="minorEastAsia"/>
          <w:sz w:val="28"/>
          <w:szCs w:val="28"/>
          <w:lang w:val="en-US" w:eastAsia="ja-JP"/>
        </w:rPr>
        <w:t>Lundin</w:t>
      </w:r>
      <w:r w:rsidRPr="00A40B0B">
        <w:rPr>
          <w:rFonts w:eastAsiaTheme="minorEastAsia"/>
          <w:sz w:val="28"/>
          <w:szCs w:val="28"/>
          <w:lang w:val="ru-RU" w:eastAsia="ja-JP"/>
        </w:rPr>
        <w:t>, 2012</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Суть нового проекту, що відроджує зовнішньополітичну міць Європейського Союзу, полягала у модернізації вже існуючих підходів реалізації політики, які були окреслені в тексті Лісабонського договору, закріплюючи основні перспективи діяльності ЄС у зовнішній політиці. Стан діяльності ЄС у зовнішній політиці завжди характеризувався кризою перманентних принципів у поглядах, основним з яких є застосування «м</w:t>
      </w:r>
      <w:r w:rsidR="00C631E2">
        <w:rPr>
          <w:rFonts w:eastAsiaTheme="minorEastAsia"/>
          <w:sz w:val="28"/>
          <w:szCs w:val="28"/>
          <w:lang w:eastAsia="ja-JP"/>
        </w:rPr>
        <w:t>’</w:t>
      </w:r>
      <w:r w:rsidRPr="00A40B0B">
        <w:rPr>
          <w:rFonts w:eastAsiaTheme="minorEastAsia"/>
          <w:sz w:val="28"/>
          <w:szCs w:val="28"/>
          <w:lang w:eastAsia="ja-JP"/>
        </w:rPr>
        <w:t>якої» сили як основного важеля впливу. Але адаптація до умов мінливого світу вимагали досягнення балансу між «м</w:t>
      </w:r>
      <w:r w:rsidR="00C631E2">
        <w:rPr>
          <w:rFonts w:eastAsiaTheme="minorEastAsia"/>
          <w:sz w:val="28"/>
          <w:szCs w:val="28"/>
          <w:lang w:eastAsia="ja-JP"/>
        </w:rPr>
        <w:t>’</w:t>
      </w:r>
      <w:r w:rsidRPr="00A40B0B">
        <w:rPr>
          <w:rFonts w:eastAsiaTheme="minorEastAsia"/>
          <w:sz w:val="28"/>
          <w:szCs w:val="28"/>
          <w:lang w:eastAsia="ja-JP"/>
        </w:rPr>
        <w:t>якою» і «жорсткою» силою для збереження позицій, адже той, хто володіє силою – має владу.</w:t>
      </w:r>
    </w:p>
    <w:p w:rsidR="00A40B0B" w:rsidRPr="00A40B0B" w:rsidRDefault="00A40B0B" w:rsidP="00713BAF">
      <w:pPr>
        <w:spacing w:line="360" w:lineRule="auto"/>
        <w:ind w:firstLine="709"/>
        <w:rPr>
          <w:rFonts w:eastAsiaTheme="minorEastAsia"/>
          <w:sz w:val="28"/>
          <w:szCs w:val="22"/>
          <w:lang w:val="ru-RU" w:eastAsia="ja-JP"/>
        </w:rPr>
      </w:pPr>
      <w:r w:rsidRPr="00A40B0B">
        <w:rPr>
          <w:rFonts w:eastAsiaTheme="minorEastAsia"/>
          <w:sz w:val="28"/>
          <w:szCs w:val="28"/>
          <w:lang w:eastAsia="ja-JP"/>
        </w:rPr>
        <w:lastRenderedPageBreak/>
        <w:t xml:space="preserve">Подією, що перевернула європейський порядок, стала анексія Криму Росією, що означало зміну європейських кордонів силою із застосуванням військового втручання. Військовий конфлікт навколо України став показником ерозії євроатлантичного порядку. Універсальні цінності та багатосторонні інституції втрачали свою силу. Надалі, щоб уникнути критики та втрати позицій, ЄС необхідно було запровадити санкції проти Росії, проте з іншого боку це означало втрату допомоги у вирішенні іншого кризового питання – підтримки Москви у переговорах про ядерну зброю з Тегераном. Периферія різко загострених проблем на європейському обрії позначилася зникненням впливової та вирішальної ролі США на теренах Європи, які після невдалих втручань </w:t>
      </w:r>
      <w:r w:rsidRPr="000B4780">
        <w:rPr>
          <w:rFonts w:eastAsiaTheme="minorEastAsia"/>
          <w:sz w:val="28"/>
          <w:szCs w:val="28"/>
          <w:lang w:eastAsia="ja-JP"/>
        </w:rPr>
        <w:t xml:space="preserve">у справи європейських </w:t>
      </w:r>
      <w:r w:rsidRPr="00A40B0B">
        <w:rPr>
          <w:rFonts w:eastAsiaTheme="minorEastAsia"/>
          <w:sz w:val="28"/>
          <w:szCs w:val="28"/>
          <w:lang w:eastAsia="ja-JP"/>
        </w:rPr>
        <w:t>держав прийняли рішення про зосередження уваги на проблемах усередині країни. Створений після відходу геополітичний вакуум не зміг бути заповнений «м</w:t>
      </w:r>
      <w:r w:rsidR="00C631E2">
        <w:rPr>
          <w:rFonts w:eastAsiaTheme="minorEastAsia"/>
          <w:sz w:val="28"/>
          <w:szCs w:val="28"/>
          <w:lang w:eastAsia="ja-JP"/>
        </w:rPr>
        <w:t>’</w:t>
      </w:r>
      <w:r w:rsidRPr="00A40B0B">
        <w:rPr>
          <w:rFonts w:eastAsiaTheme="minorEastAsia"/>
          <w:sz w:val="28"/>
          <w:szCs w:val="28"/>
          <w:lang w:eastAsia="ja-JP"/>
        </w:rPr>
        <w:t xml:space="preserve">якою» присутністю ЄС, на плечі якого була покладена відповідальність за довгострокову політику безпечного сусідства в рамках трансатлантичного співробітництва </w:t>
      </w:r>
      <w:r w:rsidR="000B4780">
        <w:rPr>
          <w:rFonts w:eastAsiaTheme="minorEastAsia"/>
          <w:sz w:val="28"/>
          <w:szCs w:val="22"/>
          <w:lang w:val="ru-RU" w:eastAsia="ja-JP"/>
        </w:rPr>
        <w:t>(Bendiek &amp; Kaim, 2015</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Згодом виникнення гострих конфліктів, які підривали роль ЄС як лідера, було ухвалено остаточне рішення про створення нового документа, в якому будуть передбачені та переглянуті помилки минулих років з урахування</w:t>
      </w:r>
      <w:r w:rsidR="00C56D23">
        <w:rPr>
          <w:rFonts w:eastAsiaTheme="minorEastAsia"/>
          <w:sz w:val="28"/>
          <w:szCs w:val="28"/>
          <w:lang w:eastAsia="ja-JP"/>
        </w:rPr>
        <w:t xml:space="preserve">м мінливої </w:t>
      </w:r>
      <w:r w:rsidRPr="00A40B0B">
        <w:rPr>
          <w:rFonts w:eastAsiaTheme="minorEastAsia"/>
          <w:sz w:val="28"/>
          <w:szCs w:val="28"/>
          <w:lang w:eastAsia="ja-JP"/>
        </w:rPr>
        <w:t>обстановки.</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Таким чином, у 2014 році Глобальна стратегія ЄС була запущена у стадію двоетапного процесу розробки. Підготовка розділилася на два етапи через зміну в 2014 році верховного представника, коли оглядом проблем і викликів почала займатися Кетрін Ештон, а збиранням та систематизацією інформації з проблем зайнялася Федеріка Могеріні.</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 xml:space="preserve">Глобальне середовище різко змінилося з моменту ухвалення першої Стратегії у 2003 році. Крім широкомасштабних трансформацій міжнародного порядку і глобальної зміни влади, ЄС зіткнувся з дестабілізуючим впливом </w:t>
      </w:r>
      <w:r w:rsidRPr="00A40B0B">
        <w:rPr>
          <w:rFonts w:eastAsiaTheme="minorEastAsia"/>
          <w:sz w:val="28"/>
          <w:szCs w:val="28"/>
          <w:lang w:eastAsia="ja-JP"/>
        </w:rPr>
        <w:lastRenderedPageBreak/>
        <w:t xml:space="preserve">кризи, що триває, на його регіон. На півдні так звана «арабська весна» перетворилася на «затяжну зиму» з громадянською війною в Сирії, розпадом лівійської держави, консолідацією авторитарної держави в Єгипті та локальними загрозами безпеці. На сході Росія займала зухвалу позицію щодо ЄС і продовжувала загрожувати порядку європейської безпеки після конфліктів у Криму та в Україні </w:t>
      </w:r>
      <w:r w:rsidRPr="00A40B0B">
        <w:rPr>
          <w:rFonts w:eastAsiaTheme="minorEastAsia"/>
          <w:sz w:val="28"/>
          <w:szCs w:val="22"/>
          <w:lang w:eastAsia="ja-JP"/>
        </w:rPr>
        <w:t>(</w:t>
      </w:r>
      <w:r w:rsidRPr="00A40B0B">
        <w:rPr>
          <w:rFonts w:eastAsiaTheme="minorEastAsia"/>
          <w:sz w:val="28"/>
          <w:szCs w:val="22"/>
          <w:lang w:val="en-US" w:eastAsia="ja-JP"/>
        </w:rPr>
        <w:t>Morillas</w:t>
      </w:r>
      <w:r w:rsidR="000B4780">
        <w:rPr>
          <w:rFonts w:eastAsiaTheme="minorEastAsia"/>
          <w:sz w:val="28"/>
          <w:szCs w:val="22"/>
          <w:lang w:eastAsia="ja-JP"/>
        </w:rPr>
        <w:t>, 2019</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При розробці документа важливо було брати до уваги багато факторів: від мінливого характеру трансатлантичних відносин до якості та витоків загроз, що виникають. Важливий аспект, який турбував держави-члени, полягав у побудові грамотних відносин з НАТО, які давно поділяють спільне членство та працюють разом. Таким чином, при написанні нової стратегії враховувалися зміни рамок політики та безпеки, розглядалися фундаментальні зміни у підході до зовнішньої політики ЄС у бік більш реалістичного підходу та становлення відносин між ЄС та США на нову основу з метою забезпечення нового світового порядку та відносин з іншими суб</w:t>
      </w:r>
      <w:r w:rsidR="00C631E2">
        <w:rPr>
          <w:rFonts w:eastAsiaTheme="minorEastAsia"/>
          <w:sz w:val="28"/>
          <w:szCs w:val="28"/>
          <w:lang w:eastAsia="ja-JP"/>
        </w:rPr>
        <w:t>’</w:t>
      </w:r>
      <w:r w:rsidRPr="00A40B0B">
        <w:rPr>
          <w:rFonts w:eastAsiaTheme="minorEastAsia"/>
          <w:sz w:val="28"/>
          <w:szCs w:val="28"/>
          <w:lang w:eastAsia="ja-JP"/>
        </w:rPr>
        <w:t xml:space="preserve">єктами міжнародних відносин </w:t>
      </w:r>
      <w:r w:rsidRPr="00A40B0B">
        <w:rPr>
          <w:rFonts w:eastAsiaTheme="minorEastAsia"/>
          <w:sz w:val="28"/>
          <w:szCs w:val="22"/>
          <w:lang w:eastAsia="ja-JP"/>
        </w:rPr>
        <w:t>(</w:t>
      </w:r>
      <w:r w:rsidRPr="00A40B0B">
        <w:rPr>
          <w:rFonts w:eastAsiaTheme="minorEastAsia"/>
          <w:sz w:val="28"/>
          <w:szCs w:val="22"/>
          <w:lang w:val="en-US" w:eastAsia="ja-JP"/>
        </w:rPr>
        <w:t>Grager</w:t>
      </w:r>
      <w:r w:rsidR="000B4780">
        <w:rPr>
          <w:rFonts w:eastAsiaTheme="minorEastAsia"/>
          <w:sz w:val="28"/>
          <w:szCs w:val="22"/>
          <w:lang w:eastAsia="ja-JP"/>
        </w:rPr>
        <w:t>, 2016</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Модернізація створення нової стратегії полягала у застосуванні більш відкритого процесу залучення зовнішнього досвіду, що означало стирання рамок стандартного мислення країн-учасниць з метою пошуку більш нетрадиційних підходів у виробленні спільних рішень. Такий підхід служить сполучною ланкою між державами, пропонуючи їм загальну основу, яка не базується на національних засадах. Якщо перші прояви агресії нової сильної держави на постбіполярному просторі – Росії – у 2008 році в Грузії призвели до поділу іншої трансатлантичної організації надвоє, то мета ЄС полягала у пошуку належного балансу між динамічним процесом та інклюзивністю по відношенню до всіх країн-учасниць. Суть полягала в тому, щоб об</w:t>
      </w:r>
      <w:r w:rsidR="00C631E2">
        <w:rPr>
          <w:rFonts w:eastAsiaTheme="minorEastAsia"/>
          <w:sz w:val="28"/>
          <w:szCs w:val="28"/>
          <w:lang w:eastAsia="ja-JP"/>
        </w:rPr>
        <w:t>’</w:t>
      </w:r>
      <w:r w:rsidRPr="00A40B0B">
        <w:rPr>
          <w:rFonts w:eastAsiaTheme="minorEastAsia"/>
          <w:sz w:val="28"/>
          <w:szCs w:val="28"/>
          <w:lang w:eastAsia="ja-JP"/>
        </w:rPr>
        <w:t xml:space="preserve">єднати держави в малі та експертні групи, таким чином створюючи незалежність вироблених рішень та можливість контактувати у різних умовах, беручи до </w:t>
      </w:r>
      <w:r w:rsidRPr="00A40B0B">
        <w:rPr>
          <w:rFonts w:eastAsiaTheme="minorEastAsia"/>
          <w:sz w:val="28"/>
          <w:szCs w:val="28"/>
          <w:lang w:eastAsia="ja-JP"/>
        </w:rPr>
        <w:lastRenderedPageBreak/>
        <w:t xml:space="preserve">уваги різні точки зору та підходи. Це дозволило б новій стратегії виробити збалансований підхід до прийняття рішень </w:t>
      </w:r>
      <w:r w:rsidRPr="00A40B0B">
        <w:rPr>
          <w:rFonts w:eastAsiaTheme="minorEastAsia"/>
          <w:sz w:val="28"/>
          <w:szCs w:val="22"/>
          <w:lang w:val="ru-RU" w:eastAsia="ja-JP"/>
        </w:rPr>
        <w:t>(</w:t>
      </w:r>
      <w:r w:rsidRPr="00A40B0B">
        <w:rPr>
          <w:rFonts w:eastAsiaTheme="minorEastAsia"/>
          <w:sz w:val="28"/>
          <w:szCs w:val="22"/>
          <w:lang w:val="en-US" w:eastAsia="ja-JP"/>
        </w:rPr>
        <w:t>Sede</w:t>
      </w:r>
      <w:r w:rsidR="000B4780">
        <w:rPr>
          <w:rFonts w:eastAsiaTheme="minorEastAsia"/>
          <w:sz w:val="28"/>
          <w:szCs w:val="22"/>
          <w:lang w:val="ru-RU" w:eastAsia="ja-JP"/>
        </w:rPr>
        <w:t>, 2015</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Документ «Загальне бачення, єдиний підхід: сильна Європа» було оголошено у 2016 році, ставши черговою поворотною подією у долі ЄС. Глобальність нової стратегії передбачає застосування широкого спектра політичних заходів, які потребують активізації усіма державами-учасницями. Незважаючи на те, що «м</w:t>
      </w:r>
      <w:r w:rsidR="00C631E2">
        <w:rPr>
          <w:rFonts w:eastAsiaTheme="minorEastAsia"/>
          <w:sz w:val="28"/>
          <w:szCs w:val="28"/>
          <w:lang w:eastAsia="ja-JP"/>
        </w:rPr>
        <w:t>’</w:t>
      </w:r>
      <w:r w:rsidRPr="00A40B0B">
        <w:rPr>
          <w:rFonts w:eastAsiaTheme="minorEastAsia"/>
          <w:sz w:val="28"/>
          <w:szCs w:val="28"/>
          <w:lang w:eastAsia="ja-JP"/>
        </w:rPr>
        <w:t xml:space="preserve">яка» сила завжди була пріоритетом і рисою ЄС, більше неможливо утримуватися від потреби застосувати «жорстку» силу </w:t>
      </w:r>
      <w:r w:rsidRPr="00A40B0B">
        <w:rPr>
          <w:rFonts w:eastAsiaTheme="minorEastAsia"/>
          <w:sz w:val="28"/>
          <w:szCs w:val="22"/>
          <w:lang w:eastAsia="ja-JP"/>
        </w:rPr>
        <w:t>(</w:t>
      </w:r>
      <w:r w:rsidRPr="00A40B0B">
        <w:rPr>
          <w:rFonts w:eastAsiaTheme="minorEastAsia"/>
          <w:sz w:val="28"/>
          <w:szCs w:val="22"/>
          <w:lang w:val="ru-RU" w:eastAsia="ja-JP"/>
        </w:rPr>
        <w:t>Mogherini</w:t>
      </w:r>
      <w:r w:rsidR="000B4780">
        <w:rPr>
          <w:rFonts w:eastAsiaTheme="minorEastAsia"/>
          <w:sz w:val="28"/>
          <w:szCs w:val="22"/>
          <w:lang w:eastAsia="ja-JP"/>
        </w:rPr>
        <w:t>, 2016</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val="ru-RU" w:eastAsia="ja-JP"/>
        </w:rPr>
      </w:pPr>
      <w:r w:rsidRPr="00A40B0B">
        <w:rPr>
          <w:rFonts w:eastAsiaTheme="minorEastAsia"/>
          <w:sz w:val="28"/>
          <w:szCs w:val="28"/>
          <w:lang w:eastAsia="ja-JP"/>
        </w:rPr>
        <w:t xml:space="preserve">Внаслідок порушення поблизу кордонів Європейської системи безпеки, актуальних проблем тероризму та насильства, напруги в Азії та зміни клімату, відкривається величезний спектр нових можливостей, тому в документі було проголошено такі нові цінності та принципи ЄС </w:t>
      </w:r>
      <w:r w:rsidR="000B4780">
        <w:rPr>
          <w:rFonts w:eastAsiaTheme="minorEastAsia"/>
          <w:sz w:val="28"/>
          <w:szCs w:val="22"/>
          <w:lang w:val="ru-RU" w:eastAsia="ja-JP"/>
        </w:rPr>
        <w:t>(Mogherini, 2016</w:t>
      </w:r>
      <w:r w:rsidRPr="00A40B0B">
        <w:rPr>
          <w:rFonts w:eastAsiaTheme="minorEastAsia"/>
          <w:sz w:val="28"/>
          <w:szCs w:val="22"/>
          <w:lang w:val="ru-RU"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1. Мета ЄС – сприяти збереженню миру та безпеки громадян шляхом зміцнення стійкості своїх демократичних держав, відданість європейським цінностям яких визначає вплив Союзу у світі. Забезпечення світового порядку керуватиметься принципом багатосторонності на основі ООН, а визначальним напрямом зовнішніх дій стане безкомпромісний прагматизм. Віднині гарантом збереження статусу глобального гравця має виступати спільна відповідальність, що поширюється як на ЄС, так і на партнерів.</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2. П</w:t>
      </w:r>
      <w:r w:rsidR="00C631E2">
        <w:rPr>
          <w:rFonts w:eastAsiaTheme="minorEastAsia"/>
          <w:sz w:val="28"/>
          <w:szCs w:val="28"/>
          <w:lang w:eastAsia="ja-JP"/>
        </w:rPr>
        <w:t>’</w:t>
      </w:r>
      <w:r w:rsidRPr="00A40B0B">
        <w:rPr>
          <w:rFonts w:eastAsiaTheme="minorEastAsia"/>
          <w:sz w:val="28"/>
          <w:szCs w:val="28"/>
          <w:lang w:eastAsia="ja-JP"/>
        </w:rPr>
        <w:t>ять нових пріоритетних напрямків, які сприятимуть просуванню інтересів ЄС:</w:t>
      </w:r>
    </w:p>
    <w:p w:rsidR="00A40B0B" w:rsidRPr="00A40B0B" w:rsidRDefault="00A40B0B" w:rsidP="00713BAF">
      <w:pPr>
        <w:numPr>
          <w:ilvl w:val="0"/>
          <w:numId w:val="5"/>
        </w:numPr>
        <w:spacing w:line="360" w:lineRule="auto"/>
        <w:contextualSpacing/>
        <w:rPr>
          <w:rFonts w:eastAsiaTheme="minorEastAsia"/>
          <w:sz w:val="28"/>
          <w:szCs w:val="28"/>
          <w:lang w:eastAsia="ja-JP"/>
        </w:rPr>
      </w:pPr>
      <w:r w:rsidRPr="00A40B0B">
        <w:rPr>
          <w:rFonts w:eastAsiaTheme="minorEastAsia"/>
          <w:sz w:val="28"/>
          <w:szCs w:val="28"/>
          <w:lang w:eastAsia="ja-JP"/>
        </w:rPr>
        <w:t>безпека Союзу, яка можлива лише за наявністю відповідного рівня амбіцій та стратегічної автономії, буде спрямована на оборону, боротьбу з тероризмом, кібербезпеку, енергетику та стратегічні комунікації, що здійснена шляхом взаємодії з партнерами та, в першу чергу, НАТО;</w:t>
      </w:r>
    </w:p>
    <w:p w:rsidR="00A40B0B" w:rsidRPr="00A40B0B" w:rsidRDefault="00A40B0B" w:rsidP="00713BAF">
      <w:pPr>
        <w:numPr>
          <w:ilvl w:val="0"/>
          <w:numId w:val="5"/>
        </w:numPr>
        <w:spacing w:line="360" w:lineRule="auto"/>
        <w:contextualSpacing/>
        <w:rPr>
          <w:rFonts w:eastAsiaTheme="minorEastAsia"/>
          <w:sz w:val="28"/>
          <w:szCs w:val="28"/>
          <w:lang w:eastAsia="ja-JP"/>
        </w:rPr>
      </w:pPr>
      <w:r w:rsidRPr="00A40B0B">
        <w:rPr>
          <w:rFonts w:eastAsiaTheme="minorEastAsia"/>
          <w:sz w:val="28"/>
          <w:szCs w:val="28"/>
          <w:lang w:eastAsia="ja-JP"/>
        </w:rPr>
        <w:lastRenderedPageBreak/>
        <w:t>державна та соціальна стійкість у країнах, розташованих на схід та південь від ЄС, передбачає розширення Європейського Союзу шляхом прийняття нових членів на суворих умовах для зміцнення стійкості на Західних Балканах та в Туреччині;</w:t>
      </w:r>
    </w:p>
    <w:p w:rsidR="00A40B0B" w:rsidRPr="00A40B0B" w:rsidRDefault="00A40B0B" w:rsidP="00713BAF">
      <w:pPr>
        <w:numPr>
          <w:ilvl w:val="0"/>
          <w:numId w:val="5"/>
        </w:numPr>
        <w:spacing w:line="360" w:lineRule="auto"/>
        <w:contextualSpacing/>
        <w:rPr>
          <w:rFonts w:eastAsiaTheme="minorEastAsia"/>
          <w:sz w:val="28"/>
          <w:szCs w:val="28"/>
          <w:lang w:eastAsia="ja-JP"/>
        </w:rPr>
      </w:pPr>
      <w:r w:rsidRPr="00A40B0B">
        <w:rPr>
          <w:rFonts w:eastAsiaTheme="minorEastAsia"/>
          <w:sz w:val="28"/>
          <w:szCs w:val="28"/>
          <w:lang w:eastAsia="ja-JP"/>
        </w:rPr>
        <w:t>комплексний підхід до вирішення конфліктів буде забезпечений за допомогою пропорційного використання всіх політичних засобів, які має в своєму розпорядженні ЄС і використовуватиметься на всіх стадіях конфлікту: від своєчасного запобігання конфлікту до неможливості відмовитися від участі в припиненні конфлікту;</w:t>
      </w:r>
    </w:p>
    <w:p w:rsidR="00A40B0B" w:rsidRPr="00A40B0B" w:rsidRDefault="00A40B0B" w:rsidP="00713BAF">
      <w:pPr>
        <w:numPr>
          <w:ilvl w:val="0"/>
          <w:numId w:val="5"/>
        </w:numPr>
        <w:spacing w:line="360" w:lineRule="auto"/>
        <w:contextualSpacing/>
        <w:rPr>
          <w:rFonts w:eastAsiaTheme="minorEastAsia"/>
          <w:sz w:val="28"/>
          <w:szCs w:val="28"/>
          <w:lang w:eastAsia="ja-JP"/>
        </w:rPr>
      </w:pPr>
      <w:r w:rsidRPr="00A40B0B">
        <w:rPr>
          <w:rFonts w:eastAsiaTheme="minorEastAsia"/>
          <w:sz w:val="28"/>
          <w:szCs w:val="28"/>
          <w:lang w:eastAsia="ja-JP"/>
        </w:rPr>
        <w:t>відкриті до співпраці регіональні системи зможуть забезпечити можливість краще впоратися з загрозами безпеці державам та народам;</w:t>
      </w:r>
    </w:p>
    <w:p w:rsidR="00A40B0B" w:rsidRPr="00A40B0B" w:rsidRDefault="00A40B0B" w:rsidP="00713BAF">
      <w:pPr>
        <w:numPr>
          <w:ilvl w:val="0"/>
          <w:numId w:val="5"/>
        </w:numPr>
        <w:spacing w:line="360" w:lineRule="auto"/>
        <w:contextualSpacing/>
        <w:rPr>
          <w:rFonts w:eastAsiaTheme="minorEastAsia"/>
          <w:sz w:val="28"/>
          <w:szCs w:val="28"/>
          <w:lang w:eastAsia="ja-JP"/>
        </w:rPr>
      </w:pPr>
      <w:r w:rsidRPr="00A40B0B">
        <w:rPr>
          <w:rFonts w:eastAsiaTheme="minorEastAsia"/>
          <w:sz w:val="28"/>
          <w:szCs w:val="28"/>
          <w:lang w:eastAsia="ja-JP"/>
        </w:rPr>
        <w:t>глобальне управління буде забезпечено трансформацією вже існуючої системи шляхом підтримки ООН як основу багатостороннього порядку.</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3. Європейський Союз стає надійним, ефективним та згуртованим. Інвестиції в обороноздатність більше не можуть зазнавати зволікань, а співпраця у сфері оборони буде головною метою створення міцної європейської промисловості. Будь-яка дипломатична дія має бути здійснена відповідно до положень Лісабонського договору, а загальна політика має стати гнучкою і водночас жорсткою.</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Збалансувати стратегію, що існувала протягом 13 років, виявилося не так просто, адже незважаючи на очевидні відмінності, виробити єдиний підхід у питанні вирішення комплексних нових проблем практично неможливо. Тому до питання безпеки здійснено глобальніший підхід, що означає ширший розгляд ситуації та якісну оцінку існуючи</w:t>
      </w:r>
      <w:r w:rsidR="000B4780">
        <w:rPr>
          <w:rFonts w:eastAsiaTheme="minorEastAsia"/>
          <w:sz w:val="28"/>
          <w:szCs w:val="28"/>
          <w:lang w:eastAsia="ja-JP"/>
        </w:rPr>
        <w:t>х загроз (Горбач, 2017</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 xml:space="preserve">Неможливо розглядати існування ЄС та розвитку його стратегії безпеки без контексту взаємин з НАТО та Україною, зокрема, після подій 2014 року. </w:t>
      </w:r>
    </w:p>
    <w:p w:rsidR="00A40B0B" w:rsidRPr="00DC61E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lastRenderedPageBreak/>
        <w:t>Одне із основних тверджень Могеріні полягало в ефективному управлінні відносинами з Росією, що є ключовим стратегічним викликом. Політика ЄС щодо Росії має бути послідовною та єдиною, а будь-які значні зміни у відносинах між ЄС і Росією мають базуватися на повній повазі до міжнародного права та принципів європейського порядку безпеки, включаючи Гельсінський заключний акт і Паризьку хартію. У свою чергу, ЄС не визнавало незаконну анексію Росією Криму або дестабілізацію східної України: «будуть докладені зусилля для зміцнення ЄС, підтримки стійкості східних сусідів і захисту їх права вільно вибирати відносини з ЄС. Незважаючи на розбіжності, ЄС і Росія взаємопов</w:t>
      </w:r>
      <w:r w:rsidR="00C631E2">
        <w:rPr>
          <w:rFonts w:eastAsiaTheme="minorEastAsia"/>
          <w:sz w:val="28"/>
          <w:szCs w:val="28"/>
          <w:lang w:eastAsia="ja-JP"/>
        </w:rPr>
        <w:t>’</w:t>
      </w:r>
      <w:r w:rsidRPr="00A40B0B">
        <w:rPr>
          <w:rFonts w:eastAsiaTheme="minorEastAsia"/>
          <w:sz w:val="28"/>
          <w:szCs w:val="28"/>
          <w:lang w:eastAsia="ja-JP"/>
        </w:rPr>
        <w:t>язані, тому діалог буде продовжуватися для вирішення розбіжностей і співпраці, коли взаємні інтереси збігаються»</w:t>
      </w:r>
      <w:r w:rsidRPr="00DC61EB">
        <w:rPr>
          <w:rFonts w:asciiTheme="minorHAnsi" w:eastAsiaTheme="minorEastAsia" w:hAnsiTheme="minorHAnsi" w:cstheme="minorBidi"/>
          <w:sz w:val="22"/>
          <w:szCs w:val="22"/>
          <w:lang w:eastAsia="ja-JP"/>
        </w:rPr>
        <w:t xml:space="preserve"> </w:t>
      </w:r>
      <w:r w:rsidR="000B4780" w:rsidRPr="00DC61EB">
        <w:rPr>
          <w:rFonts w:eastAsiaTheme="minorEastAsia"/>
          <w:sz w:val="28"/>
          <w:szCs w:val="22"/>
          <w:lang w:eastAsia="ja-JP"/>
        </w:rPr>
        <w:t>(</w:t>
      </w:r>
      <w:r w:rsidR="000B4780">
        <w:rPr>
          <w:rFonts w:eastAsiaTheme="minorEastAsia"/>
          <w:sz w:val="28"/>
          <w:szCs w:val="22"/>
          <w:lang w:val="ru-RU" w:eastAsia="ja-JP"/>
        </w:rPr>
        <w:t>Mogherini</w:t>
      </w:r>
      <w:r w:rsidR="000B4780" w:rsidRPr="00DC61EB">
        <w:rPr>
          <w:rFonts w:eastAsiaTheme="minorEastAsia"/>
          <w:sz w:val="28"/>
          <w:szCs w:val="22"/>
          <w:lang w:eastAsia="ja-JP"/>
        </w:rPr>
        <w:t>, 2016</w:t>
      </w:r>
      <w:r w:rsidRPr="00DC61E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2"/>
          <w:lang w:eastAsia="ja-JP"/>
        </w:rPr>
        <w:t>Для тогочасного світового порядку, головним недоліком Глобальної стратегії ЄС стала відсутність чітких пропозицій військово-політичної відповіді на загарбницькі дії Росії в Україні. У той час Україна прагнула не лише економічної допомоги та санкцій проти агресора, але й відчутної військової підтримки – або у формі поставок зброї, обміну розвідданими, або навіть розгортання миротворчих місій під проводом ЄС. Однак здебільшого це питання лишилось не розкритим, а акцент був зосереджений на розв</w:t>
      </w:r>
      <w:r w:rsidR="00C631E2">
        <w:rPr>
          <w:rFonts w:eastAsiaTheme="minorEastAsia"/>
          <w:sz w:val="28"/>
          <w:szCs w:val="22"/>
          <w:lang w:eastAsia="ja-JP"/>
        </w:rPr>
        <w:t>’</w:t>
      </w:r>
      <w:r w:rsidRPr="00A40B0B">
        <w:rPr>
          <w:rFonts w:eastAsiaTheme="minorEastAsia"/>
          <w:sz w:val="28"/>
          <w:szCs w:val="22"/>
          <w:lang w:eastAsia="ja-JP"/>
        </w:rPr>
        <w:t>язанні конфліктів, дипломатії та економічній стабілізації.</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2"/>
          <w:lang w:eastAsia="ja-JP"/>
        </w:rPr>
        <w:t>Відповідь ЄС на військові потреби України залишалася переважно невійськовою, зосереджуючись на наданні фінансової допомоги через такі ініціативи, як Європейський інструмент сусідства та впровадження санкцій. Небажання ЄС брати участь у більш прямій військовій допомозі чітко відображало внутрішні розбіжності всередині Союзу щодо масштабів військового протистояння Росії, а також відсутність єдиної системи спільного військового реагування на загрози та виклики, що виникають.</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lastRenderedPageBreak/>
        <w:t xml:space="preserve">Замість своєчасного реагування на розміщення Росією своїх військ в Україні, ЄС вдалися до тактики прямого засудження та висунення ультиматумів. Одночасно з НАТО, ЄС як єдина структура не надавав озброєння або військову допомогу для стабілізації ситуації в сусідній державі. Серед держав-членів НАТО та ЄС існує лише малий відсоток підтримки прямого втручання у справи України, проте натомість проводиться фінансування для підтримки рівня життя та економіки. ЄС забезпечив захист Україні від фінансового шантажу з боку Російської Федерації, що дозволило українському уряду вести незалежну політику з метою подолання конфлікту </w:t>
      </w:r>
      <w:r w:rsidRPr="00A40B0B">
        <w:rPr>
          <w:rFonts w:eastAsiaTheme="minorEastAsia"/>
          <w:sz w:val="28"/>
          <w:szCs w:val="22"/>
          <w:lang w:eastAsia="ja-JP"/>
        </w:rPr>
        <w:t>(</w:t>
      </w:r>
      <w:r w:rsidRPr="00A40B0B">
        <w:rPr>
          <w:rFonts w:eastAsiaTheme="minorEastAsia"/>
          <w:sz w:val="28"/>
          <w:szCs w:val="22"/>
          <w:lang w:val="en-US" w:eastAsia="ja-JP"/>
        </w:rPr>
        <w:t>Jungmann</w:t>
      </w:r>
      <w:r w:rsidR="000B4780">
        <w:rPr>
          <w:rFonts w:eastAsiaTheme="minorEastAsia"/>
          <w:sz w:val="28"/>
          <w:szCs w:val="22"/>
          <w:lang w:eastAsia="ja-JP"/>
        </w:rPr>
        <w:t>, 2016</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2"/>
          <w:lang w:eastAsia="ja-JP"/>
        </w:rPr>
        <w:t>Говорячи про безпеку та оборону, Глобальна стратегія ЄС закликала до «надійної європейської оборони» та наголошувала на важливості поглиблення партнерства з НАТО та іншими організаціями безпеки. Тим не менш, у ньому не було чітко окреслено, як ЄС може надати пряму військову допомогу Україні чи підтримати її оборонні зусилля перед обличчям російської агресії. Формула стратегії залишалася розпливчастою, і, хоча в ній підтверджувалася прихильність ЄС суверенітету та територіальній цілісності України, у ній не було представлено жодних конкретних планів військової співпраці чи допомоги.</w:t>
      </w:r>
    </w:p>
    <w:p w:rsidR="00A40B0B" w:rsidRPr="00A40B0B" w:rsidRDefault="00A40B0B" w:rsidP="00713BAF">
      <w:pPr>
        <w:spacing w:line="360" w:lineRule="auto"/>
        <w:ind w:firstLine="709"/>
        <w:rPr>
          <w:rFonts w:eastAsiaTheme="minorEastAsia"/>
          <w:sz w:val="28"/>
          <w:szCs w:val="22"/>
          <w:lang w:eastAsia="ja-JP"/>
        </w:rPr>
      </w:pPr>
      <w:r w:rsidRPr="00A40B0B">
        <w:rPr>
          <w:rFonts w:eastAsiaTheme="minorEastAsia"/>
          <w:sz w:val="28"/>
          <w:szCs w:val="28"/>
          <w:lang w:eastAsia="ja-JP"/>
        </w:rPr>
        <w:t xml:space="preserve">Відносини між НАТО і ЄС мають глибоке коріння і ґрунтуються на попередніх досягненнях. Співробітництво між НАТО і ЄС вважається змінним, оскільки його еволюція впливає на здатність підвищувати стійкість та створювати простір спільної безпеки. Декларація НАТО-ЄС щодо ЄПБО встановила політичні принципи, що передбачають відносини, а також підтвердила «доступ ЄС до можливостей планування НАТО для власних військових операцій ЄС», тоді як угоди «Берлін плюс» «заклали основу для Альянс для підтримки операцій під керівництвом ЄС, в яких НАТО в цілому не бере участі» </w:t>
      </w:r>
      <w:r w:rsidRPr="00A40B0B">
        <w:rPr>
          <w:rFonts w:eastAsiaTheme="minorEastAsia"/>
          <w:sz w:val="28"/>
          <w:szCs w:val="22"/>
          <w:lang w:eastAsia="ja-JP"/>
        </w:rPr>
        <w:t>(</w:t>
      </w:r>
      <w:r w:rsidRPr="00A40B0B">
        <w:rPr>
          <w:rFonts w:eastAsiaTheme="minorEastAsia"/>
          <w:sz w:val="28"/>
          <w:szCs w:val="22"/>
          <w:lang w:val="en-US" w:eastAsia="ja-JP"/>
        </w:rPr>
        <w:t>Moise</w:t>
      </w:r>
      <w:r w:rsidRPr="00A40B0B">
        <w:rPr>
          <w:rFonts w:eastAsiaTheme="minorEastAsia"/>
          <w:sz w:val="28"/>
          <w:szCs w:val="22"/>
          <w:lang w:val="ru-RU" w:eastAsia="ja-JP"/>
        </w:rPr>
        <w:t>, 2017</w:t>
      </w:r>
      <w:r w:rsidRPr="00A40B0B">
        <w:rPr>
          <w:rFonts w:eastAsiaTheme="minorEastAsia"/>
          <w:sz w:val="28"/>
          <w:szCs w:val="22"/>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lastRenderedPageBreak/>
        <w:t>Біскоп (2016) стверджував, що незважаючи на більш тендітний стан ЄС зараз, ніж у 2003 році, неможливо уникати відповідальності за безпеку навколишнього світу. Нова Глобальна європейська стратегія – це крок до фундаментального забезпечення єдності серед держав-членів з метою нести спільну відповідальність не лише перед Європою, а й усім світом.</w:t>
      </w:r>
    </w:p>
    <w:p w:rsidR="00A40B0B" w:rsidRPr="00A40B0B" w:rsidRDefault="00A40B0B" w:rsidP="00713BAF">
      <w:pPr>
        <w:spacing w:line="360" w:lineRule="auto"/>
        <w:ind w:firstLine="709"/>
        <w:rPr>
          <w:rFonts w:eastAsiaTheme="minorEastAsia"/>
          <w:sz w:val="28"/>
          <w:szCs w:val="22"/>
          <w:lang w:val="ru-RU" w:eastAsia="ja-JP"/>
        </w:rPr>
      </w:pPr>
      <w:r w:rsidRPr="00A40B0B">
        <w:rPr>
          <w:rFonts w:eastAsiaTheme="minorEastAsia"/>
          <w:sz w:val="28"/>
          <w:szCs w:val="28"/>
          <w:lang w:eastAsia="ja-JP"/>
        </w:rPr>
        <w:t xml:space="preserve">Тим не менш, ЄС не стоїть на місці і рухається далі у бік досягнення найбільш оптимальної збалансованої стратегії, яка зможе бути реалізована і задовольняти потреби всіх держав-членів. Тому 24 липня 2020 року Комісія представила нову Стратегію безпеки на період 2020-2025 років, яка обґрунтовувала політичні настанови президента Європейської Комісії Урсули фон дер Ляйєн, яка підкреслила покращення транскордонного співробітництва для усунення прогалин у боротьбі з масовою злочинністю та тероризмом в Європі в якості основних цілей протягом терміну її повноважень. Основні стратегічні цілі були позначені наступним чином </w:t>
      </w:r>
      <w:r w:rsidRPr="00A40B0B">
        <w:rPr>
          <w:rFonts w:eastAsiaTheme="minorEastAsia"/>
          <w:sz w:val="28"/>
          <w:szCs w:val="22"/>
          <w:lang w:val="ru-RU" w:eastAsia="ja-JP"/>
        </w:rPr>
        <w:t>(</w:t>
      </w:r>
      <w:r w:rsidRPr="00A40B0B">
        <w:rPr>
          <w:rFonts w:eastAsiaTheme="minorEastAsia"/>
          <w:sz w:val="28"/>
          <w:szCs w:val="22"/>
          <w:lang w:val="en-US" w:eastAsia="ja-JP"/>
        </w:rPr>
        <w:t>Wahl</w:t>
      </w:r>
      <w:r w:rsidR="000B4780">
        <w:rPr>
          <w:rFonts w:eastAsiaTheme="minorEastAsia"/>
          <w:sz w:val="28"/>
          <w:szCs w:val="22"/>
          <w:lang w:val="ru-RU" w:eastAsia="ja-JP"/>
        </w:rPr>
        <w:t>, 2020</w:t>
      </w:r>
      <w:r w:rsidRPr="00A40B0B">
        <w:rPr>
          <w:rFonts w:eastAsiaTheme="minorEastAsia"/>
          <w:sz w:val="28"/>
          <w:szCs w:val="22"/>
          <w:lang w:val="ru-RU" w:eastAsia="ja-JP"/>
        </w:rPr>
        <w:t>):</w:t>
      </w:r>
    </w:p>
    <w:p w:rsidR="00A40B0B" w:rsidRPr="00A40B0B" w:rsidRDefault="00A40B0B" w:rsidP="00713BAF">
      <w:pPr>
        <w:numPr>
          <w:ilvl w:val="0"/>
          <w:numId w:val="7"/>
        </w:numPr>
        <w:spacing w:line="360" w:lineRule="auto"/>
        <w:contextualSpacing/>
        <w:rPr>
          <w:rFonts w:eastAsiaTheme="minorEastAsia"/>
          <w:sz w:val="28"/>
          <w:szCs w:val="28"/>
          <w:lang w:eastAsia="ja-JP"/>
        </w:rPr>
      </w:pPr>
      <w:r w:rsidRPr="00A40B0B">
        <w:rPr>
          <w:rFonts w:eastAsiaTheme="minorEastAsia"/>
          <w:sz w:val="28"/>
          <w:szCs w:val="28"/>
          <w:lang w:eastAsia="ja-JP"/>
        </w:rPr>
        <w:t>Перспективне безпечне середовище, що передбачає створення надійнішої осн</w:t>
      </w:r>
      <w:r w:rsidR="00C56D23">
        <w:rPr>
          <w:rFonts w:eastAsiaTheme="minorEastAsia"/>
          <w:sz w:val="28"/>
          <w:szCs w:val="28"/>
          <w:lang w:eastAsia="ja-JP"/>
        </w:rPr>
        <w:t xml:space="preserve">ови захисту критично важливої </w:t>
      </w:r>
      <w:r w:rsidRPr="00A40B0B">
        <w:rPr>
          <w:rFonts w:eastAsiaTheme="minorEastAsia"/>
          <w:sz w:val="28"/>
          <w:szCs w:val="28"/>
          <w:lang w:eastAsia="ja-JP"/>
        </w:rPr>
        <w:t>інфраструктури.</w:t>
      </w:r>
    </w:p>
    <w:p w:rsidR="00A40B0B" w:rsidRPr="00A40B0B" w:rsidRDefault="00A40B0B" w:rsidP="00713BAF">
      <w:pPr>
        <w:numPr>
          <w:ilvl w:val="0"/>
          <w:numId w:val="7"/>
        </w:numPr>
        <w:spacing w:line="360" w:lineRule="auto"/>
        <w:contextualSpacing/>
        <w:rPr>
          <w:rFonts w:eastAsiaTheme="minorEastAsia"/>
          <w:sz w:val="28"/>
          <w:szCs w:val="28"/>
          <w:lang w:eastAsia="ja-JP"/>
        </w:rPr>
      </w:pPr>
      <w:r w:rsidRPr="00A40B0B">
        <w:rPr>
          <w:rFonts w:eastAsiaTheme="minorEastAsia"/>
          <w:sz w:val="28"/>
          <w:szCs w:val="28"/>
          <w:lang w:eastAsia="ja-JP"/>
        </w:rPr>
        <w:t>Боротьба з загрозами, що розвиваються, де будуть розроблені індивідуальні плани боротьби з різними типами загроз, в першу чергу, кібер-характеру.</w:t>
      </w:r>
    </w:p>
    <w:p w:rsidR="00A40B0B" w:rsidRPr="00A40B0B" w:rsidRDefault="00A40B0B" w:rsidP="00713BAF">
      <w:pPr>
        <w:numPr>
          <w:ilvl w:val="0"/>
          <w:numId w:val="7"/>
        </w:numPr>
        <w:spacing w:line="360" w:lineRule="auto"/>
        <w:contextualSpacing/>
        <w:rPr>
          <w:rFonts w:eastAsiaTheme="minorEastAsia"/>
          <w:sz w:val="28"/>
          <w:szCs w:val="28"/>
          <w:lang w:eastAsia="ja-JP"/>
        </w:rPr>
      </w:pPr>
      <w:r w:rsidRPr="00A40B0B">
        <w:rPr>
          <w:rFonts w:eastAsiaTheme="minorEastAsia"/>
          <w:sz w:val="28"/>
          <w:szCs w:val="28"/>
          <w:lang w:eastAsia="ja-JP"/>
        </w:rPr>
        <w:t>Захист європейців від тероризму та організованої злочинності, в основу якої входить ґрунтовна боротьба з радикалізмом, ефективне судове переслідування терористів та співпраця з країнами, які не входять до ЄС для запобігання поширення та фінансуванню тероризму.</w:t>
      </w:r>
    </w:p>
    <w:p w:rsidR="00A40B0B" w:rsidRPr="00A40B0B" w:rsidRDefault="00A40B0B" w:rsidP="00713BAF">
      <w:pPr>
        <w:numPr>
          <w:ilvl w:val="0"/>
          <w:numId w:val="7"/>
        </w:numPr>
        <w:spacing w:line="360" w:lineRule="auto"/>
        <w:contextualSpacing/>
        <w:rPr>
          <w:rFonts w:eastAsiaTheme="minorEastAsia"/>
          <w:sz w:val="28"/>
          <w:szCs w:val="28"/>
          <w:lang w:eastAsia="ja-JP"/>
        </w:rPr>
      </w:pPr>
      <w:r w:rsidRPr="00A40B0B">
        <w:rPr>
          <w:rFonts w:eastAsiaTheme="minorEastAsia"/>
          <w:sz w:val="28"/>
          <w:szCs w:val="28"/>
          <w:lang w:eastAsia="ja-JP"/>
        </w:rPr>
        <w:t>Сильна екосистема європейського суспільства, націлена на зміцнення стійкості урядів, правоохоронних органів та цивільних осіб шляхом застосування інновацій у сфері безпеки.</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lastRenderedPageBreak/>
        <w:t>У результаті ЄС намагається рухатися далі й бути гнучким по відношенню до нових загроз, які лише стають масивнішими та більш загрозливими в сучасних реаліях. У контексті російського вторгнення в Україну, ЄС виробив відповідь у вигляді санкцій, маючи намір таким чином зупинити вторгнення, проте це лише призвело до переорієнтації взаємин на геополітичній карті світу, відвернувши Росію від Західного блоку та зблизивши з її схі</w:t>
      </w:r>
      <w:r w:rsidR="000B4780">
        <w:rPr>
          <w:rFonts w:eastAsiaTheme="minorEastAsia"/>
          <w:sz w:val="28"/>
          <w:szCs w:val="28"/>
          <w:lang w:eastAsia="ja-JP"/>
        </w:rPr>
        <w:t>дними партнерами (Noviato, 2022</w:t>
      </w:r>
      <w:r w:rsidRPr="00A40B0B">
        <w:rPr>
          <w:rFonts w:eastAsiaTheme="minorEastAsia"/>
          <w:sz w:val="28"/>
          <w:szCs w:val="28"/>
          <w:lang w:eastAsia="ja-JP"/>
        </w:rPr>
        <w:t>).</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Європейський Союз протягом довгого часу прагне утвердитися як могутній гравець на глобальній арені не лише в економічному плані, а й у сферах зовнішньої політики та безпеки. Щоб досягти цього, ЄС розробив Європейську стратегію безпеки, що відіграє центральне значення у системі Спільної зовнішньої та безпекової політики, структурі, призначеній для координації зовнішньої політики держав-членів і забезпечення колективного підходу до міжнародних викликів.</w:t>
      </w:r>
    </w:p>
    <w:p w:rsidR="00A40B0B"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Одним із головних внесків ЄСБ у СЗППБ є її роль у визначенні загроз та викликів, з якими має боротися ЄС. ЄСБ визначає низку загроз безпеці, забезпечуючи СЗППБ чіткими координаційними центрами та забезпечуючи скоординованість та ефективність дій держав-членів. У той час як СЗППБ окреслює структуру зовнішньої політики та політики безпеки ЄС, ЄСБ містить детальне бачення, необхідне для перетворення цієї структури в конкретну політику та дії.</w:t>
      </w:r>
    </w:p>
    <w:p w:rsid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t>Окрім безпосередніх загроз, Європейська стратегія безпеки забезпечує довгострокове бачення ролі ЄС у світі, що відображає прагнення ЄС бути ключовим гравцем у просуванні глобальної стабільності, прав людини та верховенства права. Завдяки СЗППБ ЄС може втілити бачення ЄСБ у практичні дії, які сприятимуть більш стабільній і справедливій міжнародній системі.</w:t>
      </w:r>
    </w:p>
    <w:p w:rsidR="00521003" w:rsidRPr="00A40B0B" w:rsidRDefault="00A40B0B" w:rsidP="00713BAF">
      <w:pPr>
        <w:spacing w:line="360" w:lineRule="auto"/>
        <w:ind w:firstLine="709"/>
        <w:rPr>
          <w:rFonts w:eastAsiaTheme="minorEastAsia"/>
          <w:sz w:val="28"/>
          <w:szCs w:val="28"/>
          <w:lang w:eastAsia="ja-JP"/>
        </w:rPr>
      </w:pPr>
      <w:r w:rsidRPr="00A40B0B">
        <w:rPr>
          <w:rFonts w:eastAsiaTheme="minorEastAsia"/>
          <w:sz w:val="28"/>
          <w:szCs w:val="28"/>
          <w:lang w:eastAsia="ja-JP"/>
        </w:rPr>
        <w:lastRenderedPageBreak/>
        <w:t>Таким чином, Європейська стратегія безпеки є необхідною теоретичною базою для Спільної зовнішньої та безпекової політики, яка забезпечує стратегічний напрямок, необхідний ЄС для ефективної відповіді на глобальні виклики безпеці, шляхом узгодженості та злагодженості дій його держав-членів. Визначаючи ключові загрози, керуючи впровадженням політики, сприяючи єдності та пропонуючи довгострокове бачення, ЄСБ дозволяє СЗППБ бути не просто політичною структурою – вона перетворює її на потужний інструмент для просування ролі ЄС як глобальної безпековий актор.</w:t>
      </w:r>
      <w:r w:rsidR="00521003">
        <w:rPr>
          <w:sz w:val="28"/>
          <w:szCs w:val="28"/>
        </w:rPr>
        <w:br w:type="page"/>
      </w:r>
    </w:p>
    <w:p w:rsidR="00CD4776" w:rsidRPr="00CD4776" w:rsidRDefault="00521003" w:rsidP="00CD4776">
      <w:pPr>
        <w:spacing w:line="360" w:lineRule="auto"/>
        <w:jc w:val="center"/>
        <w:rPr>
          <w:rFonts w:eastAsiaTheme="minorHAnsi"/>
          <w:sz w:val="28"/>
          <w:szCs w:val="22"/>
        </w:rPr>
      </w:pPr>
      <w:r>
        <w:rPr>
          <w:sz w:val="28"/>
          <w:szCs w:val="28"/>
        </w:rPr>
        <w:lastRenderedPageBreak/>
        <w:t>РОЗДІЛ 4.</w:t>
      </w:r>
      <w:r w:rsidR="00CD4776">
        <w:rPr>
          <w:sz w:val="28"/>
          <w:szCs w:val="28"/>
        </w:rPr>
        <w:t xml:space="preserve"> </w:t>
      </w:r>
      <w:r w:rsidR="004948DD">
        <w:rPr>
          <w:rFonts w:eastAsiaTheme="minorHAnsi"/>
          <w:sz w:val="28"/>
          <w:szCs w:val="22"/>
        </w:rPr>
        <w:t>СУЧАСНІ БЕЗПЕКОВІ ВИКЛИКИ ЄВРОПЕЙСЬКІЙ СИСТЕМІ БЕЗПЕКИ</w:t>
      </w:r>
    </w:p>
    <w:p w:rsidR="00CD4776" w:rsidRPr="00CD4776" w:rsidRDefault="00CD4776" w:rsidP="00CD4776">
      <w:pPr>
        <w:spacing w:after="160" w:line="360" w:lineRule="auto"/>
        <w:jc w:val="center"/>
        <w:rPr>
          <w:rFonts w:eastAsiaTheme="minorHAnsi"/>
          <w:sz w:val="28"/>
          <w:szCs w:val="22"/>
        </w:rPr>
      </w:pP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Минуло більше 50 років відтоді, як країни-члени ЄС розпочали зовнішньополітичну співпрацю під егідою Європейської політичної співпраці. За цей час, хоча вони розробили складний набір інституцій та інструментів як основу своєї Спільної зовнішньої політики та політики безпеки, вони також зіткнулися з критикою за часто слабкі та обмежені відповіді, особливо у врегулюванні військових криз. Отже, на перший погляд, колективні дії, вжиті проти Росії після повномасштабного вторгнення в Україну у 2022 році, для деяких викликали здивування. Чи справді ЄС вдалося подолати «розрив між можливостями та очікуваннями»? Що зараз відрізняється від майже трьох десятиліть тому, коли розпад Югославії та проголошення «години Європи» вважалися найнижчою точкою спільної зовнішньої політики? Непередбачуваний і справді неочікуваний ступінь узгодженості політики між державами-членами в лютому 2022 року та після нього навіть описується як «поворотний момент для ЄС». Однак, розглядати відповідь ЄС на виклик європейській безпеці варто не як поворотний момент, а більше як перевірку реальності – цей надзвичайний виклик показує, як далеко просунулося європейське зовнішньополітичне співробітництво з 1970 року. Крім того, воно підкреслює багаторівневу та багатоакторну систему, яка лежить в основі сучасної зовнішньополітичної діяльності ЄС.</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Російське вторгнення в Україну в лютому 2022 року докорінно змінило безпековий ландшафт Європи. Це спричинило зміни в поглядах на безпеку Європейського Союзу, спонукаючи його взяти на себе більше відповідальності за власну безпеку, а в сфері оборони – дотримуватися стратегічного курсу дій і збільшити свою здатність діяти автономно. Проте </w:t>
      </w:r>
      <w:r w:rsidRPr="00CD4776">
        <w:rPr>
          <w:rFonts w:eastAsiaTheme="minorHAnsi"/>
          <w:sz w:val="28"/>
          <w:szCs w:val="22"/>
        </w:rPr>
        <w:lastRenderedPageBreak/>
        <w:t>погіршення ситуації з безпекою в Європі почалося ще десять років тому з кризи безпеки в ширшому регіоні Сахеля, включаючи Малі, Лівію, Сирію, Афганістан та Україну. Крім того, трансатлантичні відносини під керівництвом президента Трампа погіршилися, оскільки він поставив під сумнів зобов</w:t>
      </w:r>
      <w:r w:rsidR="00C631E2">
        <w:rPr>
          <w:rFonts w:eastAsiaTheme="minorHAnsi"/>
          <w:sz w:val="28"/>
          <w:szCs w:val="22"/>
        </w:rPr>
        <w:t>’</w:t>
      </w:r>
      <w:r w:rsidRPr="00CD4776">
        <w:rPr>
          <w:rFonts w:eastAsiaTheme="minorHAnsi"/>
          <w:sz w:val="28"/>
          <w:szCs w:val="22"/>
        </w:rPr>
        <w:t>язання США перед НАТО, підштовхнувши ЄС до дебатів щодо своєї стратегічної автономії. Реакцією ЄС на мінливе геополітичне середовище було просування зовнішньої політики ЄС, зокрема його можливостей безпеки та оборони. З моменту публікації Глобальної стратегії ЄС та її введення в дію Планом впровадження з питань безпеки та оборони відбувся виключний розвиток інституцій та можливостей ЄС. Було прийнято кілька нових політичних інструментів, таких як Постійне структуроване співробітництво (PESCO), Європейський фонд миру (</w:t>
      </w:r>
      <w:r w:rsidR="00C631E2">
        <w:rPr>
          <w:rFonts w:eastAsiaTheme="minorHAnsi"/>
          <w:sz w:val="28"/>
          <w:szCs w:val="22"/>
        </w:rPr>
        <w:t>ЄФМ</w:t>
      </w:r>
      <w:r w:rsidRPr="00CD4776">
        <w:rPr>
          <w:rFonts w:eastAsiaTheme="minorHAnsi"/>
          <w:sz w:val="28"/>
          <w:szCs w:val="22"/>
        </w:rPr>
        <w:t>) і Європейський оборонний фонд (EDF)</w:t>
      </w:r>
      <w:r w:rsidRPr="00DC61EB">
        <w:rPr>
          <w:rFonts w:eastAsiaTheme="minorHAnsi"/>
          <w:sz w:val="28"/>
          <w:szCs w:val="22"/>
        </w:rPr>
        <w:t xml:space="preserve"> (</w:t>
      </w:r>
      <w:r w:rsidRPr="00CD4776">
        <w:rPr>
          <w:rFonts w:eastAsiaTheme="minorHAnsi"/>
          <w:sz w:val="28"/>
          <w:szCs w:val="22"/>
          <w:lang w:val="en-US"/>
        </w:rPr>
        <w:t>Tulun</w:t>
      </w:r>
      <w:r w:rsidRPr="00DC61EB">
        <w:rPr>
          <w:rFonts w:eastAsiaTheme="minorHAnsi"/>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З метою подальшого вдосконалення можливостей безпеки та оборони та покращення координації між новими інструментами країни-члени розпочали процес стратегічного обмірковування. В результаті, «Стратегічний компас безпеки та оборони» був ухвалений Європейською Радою в березні 2022 року, що стало першим випадком в історії Союзу, коли глави держав і урядів офіційно взяли на себе такі всеосяжні домовленості з питань безпеки. </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Відповідно до інформаційного бюлетеня, підготовленого Службою зовнішніх дій ЄС, яка проводить спільну зовнішню політику та політику безпеки ЄС, «Стратегічний компас» містить аналіз стратегічного середовища ЄС і прагне забезпечити більшу узгодженість і сильне спільне відчуття мети зусиль ЄС у сфері безпеки та оборони. З цією метою зазначається, що прийняття «Стратегічного компасу» є сильним знаком єдності, що держави-члени ЄС вперше погодили спільне бачення з детальними цілями щодо того, чого вони хочуть досягти у сфері безпеки та оборони, а також що «Стратегічний компас» демонструє свою тверду рішучість зробити ЄС більш </w:t>
      </w:r>
      <w:r w:rsidRPr="00CD4776">
        <w:rPr>
          <w:rFonts w:eastAsiaTheme="minorHAnsi"/>
          <w:sz w:val="28"/>
          <w:szCs w:val="22"/>
        </w:rPr>
        <w:lastRenderedPageBreak/>
        <w:t>спроможним гравцем у сфері безпеки та оборони. Крім того, «Стратегічний компас» описаний як керівництво до дій, що містить конкретні пропозиції та часові рамки на найближчі 5-10 років ЄС. «Стратегічний компас» також зазначає, що вона встановлює амбітний, але здійсненний план щодо зміцнення Спільної політики безпеки та оборони до 2030 року. У зв</w:t>
      </w:r>
      <w:r w:rsidR="00C631E2">
        <w:rPr>
          <w:rFonts w:eastAsiaTheme="minorHAnsi"/>
          <w:sz w:val="28"/>
          <w:szCs w:val="22"/>
        </w:rPr>
        <w:t>’</w:t>
      </w:r>
      <w:r w:rsidRPr="00CD4776">
        <w:rPr>
          <w:rFonts w:eastAsiaTheme="minorHAnsi"/>
          <w:sz w:val="28"/>
          <w:szCs w:val="22"/>
        </w:rPr>
        <w:t xml:space="preserve">язку з цим Рада безпеки визначає чотири основних сфери діяльності </w:t>
      </w:r>
      <w:r w:rsidRPr="00DC61EB">
        <w:rPr>
          <w:rFonts w:eastAsiaTheme="minorHAnsi"/>
          <w:sz w:val="28"/>
          <w:szCs w:val="22"/>
        </w:rPr>
        <w:t>(</w:t>
      </w:r>
      <w:r w:rsidRPr="00CD4776">
        <w:rPr>
          <w:rFonts w:eastAsiaTheme="minorHAnsi"/>
          <w:i/>
          <w:sz w:val="28"/>
          <w:szCs w:val="22"/>
          <w:lang w:val="en-US"/>
        </w:rPr>
        <w:t>A</w:t>
      </w:r>
      <w:r w:rsidRPr="00DC61EB">
        <w:rPr>
          <w:rFonts w:eastAsiaTheme="minorHAnsi"/>
          <w:i/>
          <w:sz w:val="28"/>
          <w:szCs w:val="22"/>
        </w:rPr>
        <w:t xml:space="preserve"> </w:t>
      </w:r>
      <w:r w:rsidRPr="00CD4776">
        <w:rPr>
          <w:rFonts w:eastAsiaTheme="minorHAnsi"/>
          <w:i/>
          <w:sz w:val="28"/>
          <w:szCs w:val="22"/>
          <w:lang w:val="en-US"/>
        </w:rPr>
        <w:t>Strategic</w:t>
      </w:r>
      <w:r w:rsidRPr="00DC61EB">
        <w:rPr>
          <w:rFonts w:eastAsiaTheme="minorHAnsi"/>
          <w:i/>
          <w:sz w:val="28"/>
          <w:szCs w:val="22"/>
        </w:rPr>
        <w:t xml:space="preserve"> </w:t>
      </w:r>
      <w:r w:rsidRPr="00CD4776">
        <w:rPr>
          <w:rFonts w:eastAsiaTheme="minorHAnsi"/>
          <w:i/>
          <w:sz w:val="28"/>
          <w:szCs w:val="22"/>
          <w:lang w:val="en-US"/>
        </w:rPr>
        <w:t>Compass</w:t>
      </w:r>
      <w:r w:rsidRPr="00DC61EB">
        <w:rPr>
          <w:rFonts w:eastAsiaTheme="minorHAnsi"/>
          <w:sz w:val="28"/>
          <w:szCs w:val="22"/>
        </w:rPr>
        <w:t>, 2022)</w:t>
      </w:r>
      <w:r w:rsidRPr="00CD4776">
        <w:rPr>
          <w:rFonts w:eastAsiaTheme="minorHAnsi"/>
          <w:sz w:val="28"/>
          <w:szCs w:val="22"/>
        </w:rPr>
        <w:t>:</w:t>
      </w:r>
    </w:p>
    <w:p w:rsidR="00CD4776" w:rsidRPr="00CD4776" w:rsidRDefault="00CD4776" w:rsidP="00713BAF">
      <w:pPr>
        <w:numPr>
          <w:ilvl w:val="0"/>
          <w:numId w:val="8"/>
        </w:numPr>
        <w:spacing w:line="360" w:lineRule="auto"/>
        <w:ind w:left="851"/>
        <w:contextualSpacing/>
        <w:rPr>
          <w:rFonts w:eastAsiaTheme="minorHAnsi"/>
          <w:sz w:val="28"/>
          <w:szCs w:val="22"/>
        </w:rPr>
      </w:pPr>
      <w:r w:rsidRPr="00CD4776">
        <w:rPr>
          <w:rFonts w:eastAsiaTheme="minorHAnsi"/>
          <w:sz w:val="28"/>
          <w:szCs w:val="22"/>
        </w:rPr>
        <w:t>швидша та більш рішучіша відповідь під час стикання з кризами;</w:t>
      </w:r>
    </w:p>
    <w:p w:rsidR="00CD4776" w:rsidRPr="00CD4776" w:rsidRDefault="00CD4776" w:rsidP="00713BAF">
      <w:pPr>
        <w:numPr>
          <w:ilvl w:val="0"/>
          <w:numId w:val="8"/>
        </w:numPr>
        <w:spacing w:line="360" w:lineRule="auto"/>
        <w:ind w:left="851"/>
        <w:contextualSpacing/>
        <w:rPr>
          <w:rFonts w:eastAsiaTheme="minorHAnsi"/>
          <w:sz w:val="28"/>
          <w:szCs w:val="22"/>
        </w:rPr>
      </w:pPr>
      <w:r w:rsidRPr="00CD4776">
        <w:rPr>
          <w:rFonts w:eastAsiaTheme="minorHAnsi"/>
          <w:sz w:val="28"/>
          <w:szCs w:val="22"/>
        </w:rPr>
        <w:t>захист своїх громадян від загроз, що швидко змінюються;</w:t>
      </w:r>
    </w:p>
    <w:p w:rsidR="00CD4776" w:rsidRPr="00CD4776" w:rsidRDefault="00CD4776" w:rsidP="00713BAF">
      <w:pPr>
        <w:numPr>
          <w:ilvl w:val="0"/>
          <w:numId w:val="8"/>
        </w:numPr>
        <w:spacing w:line="360" w:lineRule="auto"/>
        <w:ind w:left="851"/>
        <w:contextualSpacing/>
        <w:rPr>
          <w:rFonts w:eastAsiaTheme="minorHAnsi"/>
          <w:sz w:val="28"/>
          <w:szCs w:val="22"/>
        </w:rPr>
      </w:pPr>
      <w:r w:rsidRPr="00CD4776">
        <w:rPr>
          <w:rFonts w:eastAsiaTheme="minorHAnsi"/>
          <w:sz w:val="28"/>
          <w:szCs w:val="22"/>
        </w:rPr>
        <w:t>інвестиційні можливості та технології;</w:t>
      </w:r>
    </w:p>
    <w:p w:rsidR="00CD4776" w:rsidRPr="00CD4776" w:rsidRDefault="00CD4776" w:rsidP="00713BAF">
      <w:pPr>
        <w:numPr>
          <w:ilvl w:val="0"/>
          <w:numId w:val="8"/>
        </w:numPr>
        <w:spacing w:line="360" w:lineRule="auto"/>
        <w:ind w:left="851"/>
        <w:contextualSpacing/>
        <w:rPr>
          <w:rFonts w:eastAsiaTheme="minorHAnsi"/>
          <w:sz w:val="28"/>
          <w:szCs w:val="22"/>
        </w:rPr>
      </w:pPr>
      <w:r w:rsidRPr="00CD4776">
        <w:rPr>
          <w:rFonts w:eastAsiaTheme="minorHAnsi"/>
          <w:sz w:val="28"/>
          <w:szCs w:val="22"/>
        </w:rPr>
        <w:t>співробітництво з іншими для досягнення спільних цілей.</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Під рубрикою швидких і рішучих дій під час стикання з кризами Рада з питань безпеки посилається на розвиток Спроможності ЄС у швидкому розгортанні сил, який є одним із найяскравіших аспектів документа</w:t>
      </w:r>
      <w:r w:rsidRPr="00DC61EB">
        <w:rPr>
          <w:rFonts w:eastAsiaTheme="minorHAnsi"/>
          <w:sz w:val="28"/>
          <w:szCs w:val="22"/>
        </w:rPr>
        <w:t xml:space="preserve"> (</w:t>
      </w:r>
      <w:r w:rsidRPr="00CD4776">
        <w:rPr>
          <w:rFonts w:eastAsiaTheme="minorHAnsi"/>
          <w:i/>
          <w:sz w:val="28"/>
          <w:szCs w:val="22"/>
          <w:lang w:val="en-US"/>
        </w:rPr>
        <w:t>A</w:t>
      </w:r>
      <w:r w:rsidRPr="00DC61EB">
        <w:rPr>
          <w:rFonts w:eastAsiaTheme="minorHAnsi"/>
          <w:i/>
          <w:sz w:val="28"/>
          <w:szCs w:val="22"/>
        </w:rPr>
        <w:t xml:space="preserve"> </w:t>
      </w:r>
      <w:r w:rsidRPr="00CD4776">
        <w:rPr>
          <w:rFonts w:eastAsiaTheme="minorHAnsi"/>
          <w:i/>
          <w:sz w:val="28"/>
          <w:szCs w:val="22"/>
          <w:lang w:val="en-US"/>
        </w:rPr>
        <w:t>Strategic</w:t>
      </w:r>
      <w:r w:rsidRPr="00DC61EB">
        <w:rPr>
          <w:rFonts w:eastAsiaTheme="minorHAnsi"/>
          <w:i/>
          <w:sz w:val="28"/>
          <w:szCs w:val="22"/>
        </w:rPr>
        <w:t xml:space="preserve"> </w:t>
      </w:r>
      <w:r w:rsidRPr="00CD4776">
        <w:rPr>
          <w:rFonts w:eastAsiaTheme="minorHAnsi"/>
          <w:i/>
          <w:sz w:val="28"/>
          <w:szCs w:val="22"/>
          <w:lang w:val="en-US"/>
        </w:rPr>
        <w:t>Compass</w:t>
      </w:r>
      <w:r w:rsidRPr="00DC61EB">
        <w:rPr>
          <w:rFonts w:eastAsiaTheme="minorHAnsi"/>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«Ми повинні бути здатними реагувати на безпосередні загрози або швидко реагувати на кризову ситуацію за межами Союзу на всіх етапах конфліктного циклу. З цією метою ми розробимо Спроможність ЄС у швидкому розгортанні сил, яка дозволить нам швидко розгорнути модульні сили чисельністю до 5000 військовослужбовців, включаючи сухопутні, повітряні та морські компоненти, а також необхідні стратегічні засоби. Розвиток цієї спроможності базуватиметься на оперативних сценаріях, які спочатку будуть зосереджені на операціях з порятунку та евакуації, а також на початковому етапі стабілізаційних операцій. Спроможність складатиметься із суттєво модифікованих бойових груп ЄС та попередньо визначених військових сил і засобів держав-членів відповідно до принципу єдиного набору сил. У зв</w:t>
      </w:r>
      <w:r w:rsidR="00C631E2">
        <w:rPr>
          <w:rFonts w:eastAsiaTheme="minorHAnsi"/>
          <w:sz w:val="28"/>
          <w:szCs w:val="22"/>
        </w:rPr>
        <w:t>’</w:t>
      </w:r>
      <w:r w:rsidRPr="00CD4776">
        <w:rPr>
          <w:rFonts w:eastAsiaTheme="minorHAnsi"/>
          <w:sz w:val="28"/>
          <w:szCs w:val="22"/>
        </w:rPr>
        <w:t>язку з цим ми зобов</w:t>
      </w:r>
      <w:r w:rsidR="00C631E2">
        <w:rPr>
          <w:rFonts w:eastAsiaTheme="minorHAnsi"/>
          <w:sz w:val="28"/>
          <w:szCs w:val="22"/>
        </w:rPr>
        <w:t>’</w:t>
      </w:r>
      <w:r w:rsidRPr="00CD4776">
        <w:rPr>
          <w:rFonts w:eastAsiaTheme="minorHAnsi"/>
          <w:sz w:val="28"/>
          <w:szCs w:val="22"/>
        </w:rPr>
        <w:t xml:space="preserve">язуємося підвищити готовність </w:t>
      </w:r>
      <w:r w:rsidRPr="00CD4776">
        <w:rPr>
          <w:rFonts w:eastAsiaTheme="minorHAnsi"/>
          <w:sz w:val="28"/>
          <w:szCs w:val="22"/>
        </w:rPr>
        <w:lastRenderedPageBreak/>
        <w:t>наших збройних сил. Суттєва модифікація бойових груп ЄС має призвести до створення більш надійного та гнучкого інструменту, наприклад, за допомогою спеціальних пакетів сил, включаючи сухопутні, морські та повітряні компоненти, різні рівні оперативної готовності та триваліші періоди готовності. Комплексний і повний огляд усіх наявних елементів дасть нам необхідну гнучкість, щоб адаптувати наші сили до характеру кризи та вимог і цілей операції, як це ухвалила Рада, використовуючи суттєво модифіковані бойові групи ЄС, збройні сили держав-членів сил і можливостей або їх поєднання».</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«Стратегічний компас» наголошує на важливості поступового зміцнення цивільних і військових командних і контрольних структур в ЄС, а також забезпечення того, щоб військовий потенціал планування та поведінки був повністю здатний планувати, контролювати та керувати невиконавчими та виконавчими завданнями та операціями. Зокрема, в рамках «Стратегічного компасу» заявлено, що в рамках Спроможності ЄС у швидкому розгортанні сил заздалегідь визначений національний оперативний штаб або військовий потенціал ЄС з планування та поведінки буде використовуватися для командування та контролю над бойовими групами ЄС, коли вони досягнуть повної оперативної спроможності. Це також стосується організації підготовки та навчань у рамках ЄС для підвищення готовності та оперативної сумісності (також відповідно до стандартів НАТО) усіх елементів цього потенціалу</w:t>
      </w:r>
      <w:r w:rsidRPr="00DC61EB">
        <w:rPr>
          <w:rFonts w:eastAsiaTheme="minorHAnsi"/>
          <w:sz w:val="28"/>
          <w:szCs w:val="22"/>
        </w:rPr>
        <w:t xml:space="preserve"> (</w:t>
      </w:r>
      <w:r w:rsidRPr="00CD4776">
        <w:rPr>
          <w:rFonts w:eastAsiaTheme="minorHAnsi"/>
          <w:i/>
          <w:sz w:val="28"/>
          <w:szCs w:val="22"/>
          <w:lang w:val="en-US"/>
        </w:rPr>
        <w:t>A</w:t>
      </w:r>
      <w:r w:rsidRPr="00DC61EB">
        <w:rPr>
          <w:rFonts w:eastAsiaTheme="minorHAnsi"/>
          <w:i/>
          <w:sz w:val="28"/>
          <w:szCs w:val="22"/>
        </w:rPr>
        <w:t xml:space="preserve"> </w:t>
      </w:r>
      <w:r w:rsidRPr="00CD4776">
        <w:rPr>
          <w:rFonts w:eastAsiaTheme="minorHAnsi"/>
          <w:i/>
          <w:sz w:val="28"/>
          <w:szCs w:val="22"/>
          <w:lang w:val="en-US"/>
        </w:rPr>
        <w:t>Strategic</w:t>
      </w:r>
      <w:r w:rsidRPr="00DC61EB">
        <w:rPr>
          <w:rFonts w:eastAsiaTheme="minorHAnsi"/>
          <w:i/>
          <w:sz w:val="28"/>
          <w:szCs w:val="22"/>
        </w:rPr>
        <w:t xml:space="preserve"> </w:t>
      </w:r>
      <w:r w:rsidRPr="00CD4776">
        <w:rPr>
          <w:rFonts w:eastAsiaTheme="minorHAnsi"/>
          <w:i/>
          <w:sz w:val="28"/>
          <w:szCs w:val="22"/>
          <w:lang w:val="en-US"/>
        </w:rPr>
        <w:t>Compass</w:t>
      </w:r>
      <w:r w:rsidRPr="00DC61EB">
        <w:rPr>
          <w:rFonts w:eastAsiaTheme="minorHAnsi"/>
          <w:sz w:val="28"/>
          <w:szCs w:val="22"/>
        </w:rPr>
        <w:t>, 2022)</w:t>
      </w:r>
      <w:r w:rsidRPr="00CD4776">
        <w:rPr>
          <w:rFonts w:eastAsiaTheme="minorHAnsi"/>
          <w:sz w:val="28"/>
          <w:szCs w:val="22"/>
        </w:rPr>
        <w:t xml:space="preserve">. </w:t>
      </w:r>
    </w:p>
    <w:p w:rsidR="00CD4776" w:rsidRPr="00DC61EB" w:rsidRDefault="00CD4776" w:rsidP="00713BAF">
      <w:pPr>
        <w:spacing w:line="360" w:lineRule="auto"/>
        <w:ind w:firstLine="709"/>
        <w:rPr>
          <w:rFonts w:eastAsiaTheme="minorHAnsi"/>
          <w:sz w:val="28"/>
          <w:szCs w:val="22"/>
        </w:rPr>
      </w:pPr>
      <w:r w:rsidRPr="00CD4776">
        <w:rPr>
          <w:rFonts w:eastAsiaTheme="minorHAnsi"/>
          <w:sz w:val="28"/>
          <w:szCs w:val="22"/>
        </w:rPr>
        <w:t xml:space="preserve">Важливо відзначити той факт, що розробка «Стратегічного компасу» була розпочата задовго до того, як 24 лютого 2022 року Росія розпочала повномасштабне вторгнення в Україну. Тому можна сказати, що «Стратегічний компас» – це документ, який спочатку готувався без урахування можливості серйозної воєнної ситуації в Європі. Сліди цієї </w:t>
      </w:r>
      <w:r w:rsidRPr="00CD4776">
        <w:rPr>
          <w:rFonts w:eastAsiaTheme="minorHAnsi"/>
          <w:sz w:val="28"/>
          <w:szCs w:val="22"/>
        </w:rPr>
        <w:lastRenderedPageBreak/>
        <w:t>неготовності можна помітити, починаючи з Резюме «Компасу», яке починається таким реченням</w:t>
      </w:r>
      <w:r w:rsidRPr="00DC61EB">
        <w:rPr>
          <w:rFonts w:eastAsiaTheme="minorHAnsi"/>
          <w:sz w:val="28"/>
          <w:szCs w:val="22"/>
        </w:rPr>
        <w:t xml:space="preserve"> (</w:t>
      </w:r>
      <w:r w:rsidRPr="00CD4776">
        <w:rPr>
          <w:rFonts w:eastAsiaTheme="minorHAnsi"/>
          <w:i/>
          <w:sz w:val="28"/>
          <w:szCs w:val="22"/>
          <w:lang w:val="en-US"/>
        </w:rPr>
        <w:t>A</w:t>
      </w:r>
      <w:r w:rsidRPr="00DC61EB">
        <w:rPr>
          <w:rFonts w:eastAsiaTheme="minorHAnsi"/>
          <w:i/>
          <w:sz w:val="28"/>
          <w:szCs w:val="22"/>
        </w:rPr>
        <w:t xml:space="preserve"> </w:t>
      </w:r>
      <w:r w:rsidRPr="00CD4776">
        <w:rPr>
          <w:rFonts w:eastAsiaTheme="minorHAnsi"/>
          <w:i/>
          <w:sz w:val="28"/>
          <w:szCs w:val="22"/>
          <w:lang w:val="en-US"/>
        </w:rPr>
        <w:t>Strategic</w:t>
      </w:r>
      <w:r w:rsidRPr="00DC61EB">
        <w:rPr>
          <w:rFonts w:eastAsiaTheme="minorHAnsi"/>
          <w:i/>
          <w:sz w:val="28"/>
          <w:szCs w:val="22"/>
        </w:rPr>
        <w:t xml:space="preserve"> </w:t>
      </w:r>
      <w:r w:rsidRPr="00CD4776">
        <w:rPr>
          <w:rFonts w:eastAsiaTheme="minorHAnsi"/>
          <w:i/>
          <w:sz w:val="28"/>
          <w:szCs w:val="22"/>
          <w:lang w:val="en-US"/>
        </w:rPr>
        <w:t>Compass</w:t>
      </w:r>
      <w:r w:rsidRPr="00DC61EB">
        <w:rPr>
          <w:rFonts w:eastAsiaTheme="minorHAnsi"/>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«Розгортання війни в Європі з невиправданою та неспровокованою агресією Росії проти України, а також великі геополітичні зрушення є викликом нашій здатності просувати наше бачення та захищати наші інтереси». Крім того, перше речення вступного розділу документа таке: «Ми приймаємо цей Стратегічний компас у той час, коли ми спостерігаємо розгортання війни в Європі». Тому можна стверджувати, що документ у його нинішньому вигляді створює враження, що він був прийнятий необдумано в той час, коли в Європі виникла серйозна воєнна ситуація і ситуація з безпекою була перевернута з ніг на голову.</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У свою чергу, в «Стратегічному компасі» є три посилання на Туреччину. Ці посилання містяться в підзаголовку «Наше стратегічне середовище», який пов</w:t>
      </w:r>
      <w:r w:rsidR="00C631E2">
        <w:rPr>
          <w:rFonts w:eastAsiaTheme="minorHAnsi"/>
          <w:sz w:val="28"/>
          <w:szCs w:val="22"/>
        </w:rPr>
        <w:t>’</w:t>
      </w:r>
      <w:r w:rsidRPr="00CD4776">
        <w:rPr>
          <w:rFonts w:eastAsiaTheme="minorHAnsi"/>
          <w:sz w:val="28"/>
          <w:szCs w:val="22"/>
        </w:rPr>
        <w:t>язаний з основною назвою «Світ, з яким ми стикаємося», і в підзаголовку «Індивідуальне двостороннє партнерство», пов</w:t>
      </w:r>
      <w:r w:rsidR="00C631E2">
        <w:rPr>
          <w:rFonts w:eastAsiaTheme="minorHAnsi"/>
          <w:sz w:val="28"/>
          <w:szCs w:val="22"/>
        </w:rPr>
        <w:t>’</w:t>
      </w:r>
      <w:r w:rsidRPr="00CD4776">
        <w:rPr>
          <w:rFonts w:eastAsiaTheme="minorHAnsi"/>
          <w:sz w:val="28"/>
          <w:szCs w:val="22"/>
        </w:rPr>
        <w:t>язаному з основною назвою «Партнер». Ці посилання, які стосуються Східного Середземномор</w:t>
      </w:r>
      <w:r w:rsidR="00C631E2">
        <w:rPr>
          <w:rFonts w:eastAsiaTheme="minorHAnsi"/>
          <w:sz w:val="28"/>
          <w:szCs w:val="22"/>
        </w:rPr>
        <w:t>’</w:t>
      </w:r>
      <w:r w:rsidRPr="00CD4776">
        <w:rPr>
          <w:rFonts w:eastAsiaTheme="minorHAnsi"/>
          <w:sz w:val="28"/>
          <w:szCs w:val="22"/>
        </w:rPr>
        <w:t>я та Спільної політики безпеки та оборони ЄС, є такими</w:t>
      </w:r>
      <w:r w:rsidRPr="00DC61EB">
        <w:rPr>
          <w:rFonts w:eastAsiaTheme="minorHAnsi"/>
          <w:sz w:val="28"/>
          <w:szCs w:val="22"/>
        </w:rPr>
        <w:t xml:space="preserve"> (</w:t>
      </w:r>
      <w:r w:rsidRPr="00CD4776">
        <w:rPr>
          <w:rFonts w:eastAsiaTheme="minorHAnsi"/>
          <w:i/>
          <w:sz w:val="28"/>
          <w:szCs w:val="22"/>
          <w:lang w:val="en-US"/>
        </w:rPr>
        <w:t>A</w:t>
      </w:r>
      <w:r w:rsidRPr="00DC61EB">
        <w:rPr>
          <w:rFonts w:eastAsiaTheme="minorHAnsi"/>
          <w:i/>
          <w:sz w:val="28"/>
          <w:szCs w:val="22"/>
        </w:rPr>
        <w:t xml:space="preserve"> </w:t>
      </w:r>
      <w:r w:rsidRPr="00CD4776">
        <w:rPr>
          <w:rFonts w:eastAsiaTheme="minorHAnsi"/>
          <w:i/>
          <w:sz w:val="28"/>
          <w:szCs w:val="22"/>
          <w:lang w:val="en-US"/>
        </w:rPr>
        <w:t>Strategic</w:t>
      </w:r>
      <w:r w:rsidRPr="00DC61EB">
        <w:rPr>
          <w:rFonts w:eastAsiaTheme="minorHAnsi"/>
          <w:i/>
          <w:sz w:val="28"/>
          <w:szCs w:val="22"/>
        </w:rPr>
        <w:t xml:space="preserve"> </w:t>
      </w:r>
      <w:r w:rsidRPr="00CD4776">
        <w:rPr>
          <w:rFonts w:eastAsiaTheme="minorHAnsi"/>
          <w:i/>
          <w:sz w:val="28"/>
          <w:szCs w:val="22"/>
          <w:lang w:val="en-US"/>
        </w:rPr>
        <w:t>Compass</w:t>
      </w:r>
      <w:r w:rsidRPr="00DC61EB">
        <w:rPr>
          <w:rFonts w:eastAsiaTheme="minorHAnsi"/>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«Ми продовжуватимемо прагнути до миру та безпеки в євро-середземноморському регіоні, в тому числі шляхом посередництва, вирішення конфліктів, відновлення інституцій та реінтеграції всіх членів суспільства. Для цього ми будемо посилювати співпрацю з регіональними партнерами. Напруженість у Східному Середземномор</w:t>
      </w:r>
      <w:r w:rsidR="00C631E2">
        <w:rPr>
          <w:rFonts w:eastAsiaTheme="minorHAnsi"/>
          <w:sz w:val="28"/>
          <w:szCs w:val="22"/>
        </w:rPr>
        <w:t>’</w:t>
      </w:r>
      <w:r w:rsidRPr="00CD4776">
        <w:rPr>
          <w:rFonts w:eastAsiaTheme="minorHAnsi"/>
          <w:sz w:val="28"/>
          <w:szCs w:val="22"/>
        </w:rPr>
        <w:t xml:space="preserve">ї залишається через провокації та односторонні дії проти держав-членів ЄС та порушення суверенних прав в рамках міжнародного права, а також інструменталізацію нелегальної міграції, і має потенціал для швидкої ескалації; забезпечення стабільного та безпечного середовища, а також співробітництва та взаємовигідних відносин, відповідно до принципу добросусідських відносин, </w:t>
      </w:r>
      <w:r w:rsidRPr="00CD4776">
        <w:rPr>
          <w:rFonts w:eastAsiaTheme="minorHAnsi"/>
          <w:sz w:val="28"/>
          <w:szCs w:val="22"/>
        </w:rPr>
        <w:lastRenderedPageBreak/>
        <w:t>є в інтересах як ЄС, так і Туреччини... З Туреччиною, учасником місій та операцій СПБО, ми продовжимо співпрацю у сферах спільного інтересу. Ми як і раніше прагнемо розвивати взаємовигідне партнерство, але це вимагає рівних зобов</w:t>
      </w:r>
      <w:r w:rsidR="00C631E2">
        <w:rPr>
          <w:rFonts w:eastAsiaTheme="minorHAnsi"/>
          <w:sz w:val="28"/>
          <w:szCs w:val="22"/>
        </w:rPr>
        <w:t>’</w:t>
      </w:r>
      <w:r w:rsidRPr="00CD4776">
        <w:rPr>
          <w:rFonts w:eastAsiaTheme="minorHAnsi"/>
          <w:sz w:val="28"/>
          <w:szCs w:val="22"/>
        </w:rPr>
        <w:t>язань з боку Туреччини, щоб рухатися по шляху співпраці, стійкої деескалації та вирішувати проблеми ЄС, відповідно до заяви членів Європейської Ради від 25 березня 2021 року...”</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Заява Європейської Ради від 25 березня 2021 року, на яку є посилання в документі, стосується східно-середземноморського розділу заяви членів Європейської ради, оприлюдненої після неформальної відеоконференції 25 березня 2021 року, під час якої вони прийняли заяву щодо COVID-19, єдиного ринку, промислової політики, цифрових технологій та економіки, Східного Середземномор</w:t>
      </w:r>
      <w:r w:rsidR="00C631E2">
        <w:rPr>
          <w:rFonts w:eastAsiaTheme="minorHAnsi"/>
          <w:sz w:val="28"/>
          <w:szCs w:val="22"/>
        </w:rPr>
        <w:t>’</w:t>
      </w:r>
      <w:r w:rsidRPr="00CD4776">
        <w:rPr>
          <w:rFonts w:eastAsiaTheme="minorHAnsi"/>
          <w:sz w:val="28"/>
          <w:szCs w:val="22"/>
        </w:rPr>
        <w:t>я та Росії</w:t>
      </w:r>
      <w:r w:rsidRPr="00DC61EB">
        <w:rPr>
          <w:rFonts w:eastAsiaTheme="minorHAnsi"/>
          <w:sz w:val="28"/>
          <w:szCs w:val="22"/>
        </w:rPr>
        <w:t xml:space="preserve"> (</w:t>
      </w:r>
      <w:r w:rsidRPr="00CD4776">
        <w:rPr>
          <w:rFonts w:eastAsiaTheme="minorHAnsi"/>
          <w:i/>
          <w:sz w:val="28"/>
          <w:szCs w:val="22"/>
          <w:lang w:val="en-US"/>
        </w:rPr>
        <w:t>Statement</w:t>
      </w:r>
      <w:r w:rsidRPr="00DC61EB">
        <w:rPr>
          <w:rFonts w:eastAsiaTheme="minorHAnsi"/>
          <w:i/>
          <w:sz w:val="28"/>
          <w:szCs w:val="22"/>
        </w:rPr>
        <w:t xml:space="preserve"> </w:t>
      </w:r>
      <w:r w:rsidRPr="00CD4776">
        <w:rPr>
          <w:rFonts w:eastAsiaTheme="minorHAnsi"/>
          <w:i/>
          <w:sz w:val="28"/>
          <w:szCs w:val="22"/>
          <w:lang w:val="en-US"/>
        </w:rPr>
        <w:t>of</w:t>
      </w:r>
      <w:r w:rsidRPr="00DC61EB">
        <w:rPr>
          <w:rFonts w:eastAsiaTheme="minorHAnsi"/>
          <w:i/>
          <w:sz w:val="28"/>
          <w:szCs w:val="22"/>
        </w:rPr>
        <w:t xml:space="preserve"> </w:t>
      </w:r>
      <w:r w:rsidRPr="00CD4776">
        <w:rPr>
          <w:rFonts w:eastAsiaTheme="minorHAnsi"/>
          <w:i/>
          <w:sz w:val="28"/>
          <w:szCs w:val="22"/>
          <w:lang w:val="en-US"/>
        </w:rPr>
        <w:t>the</w:t>
      </w:r>
      <w:r w:rsidRPr="00DC61EB">
        <w:rPr>
          <w:rFonts w:eastAsiaTheme="minorHAnsi"/>
          <w:i/>
          <w:sz w:val="28"/>
          <w:szCs w:val="22"/>
        </w:rPr>
        <w:t xml:space="preserve"> </w:t>
      </w:r>
      <w:r w:rsidRPr="00CD4776">
        <w:rPr>
          <w:rFonts w:eastAsiaTheme="minorHAnsi"/>
          <w:i/>
          <w:sz w:val="28"/>
          <w:szCs w:val="22"/>
          <w:lang w:val="en-US"/>
        </w:rPr>
        <w:t>Members</w:t>
      </w:r>
      <w:r w:rsidRPr="00DC61EB">
        <w:rPr>
          <w:rFonts w:eastAsiaTheme="minorHAnsi"/>
          <w:i/>
          <w:sz w:val="28"/>
          <w:szCs w:val="22"/>
        </w:rPr>
        <w:t xml:space="preserve"> </w:t>
      </w:r>
      <w:r w:rsidRPr="00CD4776">
        <w:rPr>
          <w:rFonts w:eastAsiaTheme="minorHAnsi"/>
          <w:i/>
          <w:sz w:val="28"/>
          <w:szCs w:val="22"/>
          <w:lang w:val="en-US"/>
        </w:rPr>
        <w:t>of</w:t>
      </w:r>
      <w:r w:rsidRPr="00DC61EB">
        <w:rPr>
          <w:rFonts w:eastAsiaTheme="minorHAnsi"/>
          <w:i/>
          <w:sz w:val="28"/>
          <w:szCs w:val="22"/>
        </w:rPr>
        <w:t xml:space="preserve"> </w:t>
      </w:r>
      <w:r w:rsidRPr="00CD4776">
        <w:rPr>
          <w:rFonts w:eastAsiaTheme="minorHAnsi"/>
          <w:i/>
          <w:sz w:val="28"/>
          <w:szCs w:val="22"/>
          <w:lang w:val="en-US"/>
        </w:rPr>
        <w:t>the</w:t>
      </w:r>
      <w:r w:rsidRPr="00DC61EB">
        <w:rPr>
          <w:rFonts w:eastAsiaTheme="minorHAnsi"/>
          <w:i/>
          <w:sz w:val="28"/>
          <w:szCs w:val="22"/>
        </w:rPr>
        <w:t xml:space="preserve"> </w:t>
      </w:r>
      <w:r w:rsidRPr="00CD4776">
        <w:rPr>
          <w:rFonts w:eastAsiaTheme="minorHAnsi"/>
          <w:i/>
          <w:sz w:val="28"/>
          <w:szCs w:val="22"/>
          <w:lang w:val="en-US"/>
        </w:rPr>
        <w:t>European</w:t>
      </w:r>
      <w:r w:rsidRPr="00DC61EB">
        <w:rPr>
          <w:rFonts w:eastAsiaTheme="minorHAnsi"/>
          <w:i/>
          <w:sz w:val="28"/>
          <w:szCs w:val="22"/>
        </w:rPr>
        <w:t xml:space="preserve"> </w:t>
      </w:r>
      <w:r w:rsidRPr="00CD4776">
        <w:rPr>
          <w:rFonts w:eastAsiaTheme="minorHAnsi"/>
          <w:i/>
          <w:sz w:val="28"/>
          <w:szCs w:val="22"/>
          <w:lang w:val="en-US"/>
        </w:rPr>
        <w:t>Council</w:t>
      </w:r>
      <w:r w:rsidRPr="00DC61EB">
        <w:rPr>
          <w:rFonts w:eastAsiaTheme="minorHAnsi"/>
          <w:sz w:val="28"/>
          <w:szCs w:val="22"/>
        </w:rPr>
        <w:t>, 2021)</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У відповідь на це посилання, Туреччина вважає, що «Стратегічний компас» відірваний від реальності та наголошує на тому, що для ЄС прикро та непрозоро, що документ пропускає правду та реальність і розглядає країну-кандидата та члена НАТО з такої поверхневої перспективи</w:t>
      </w:r>
      <w:r w:rsidRPr="00DC61EB">
        <w:rPr>
          <w:rFonts w:eastAsiaTheme="minorHAnsi"/>
          <w:sz w:val="28"/>
          <w:szCs w:val="22"/>
        </w:rPr>
        <w:t xml:space="preserve"> (</w:t>
      </w:r>
      <w:r w:rsidRPr="00CD4776">
        <w:rPr>
          <w:rFonts w:eastAsiaTheme="minorHAnsi"/>
          <w:bCs/>
          <w:i/>
          <w:sz w:val="28"/>
          <w:szCs w:val="22"/>
          <w:lang w:val="en-US"/>
        </w:rPr>
        <w:t>Press</w:t>
      </w:r>
      <w:r w:rsidRPr="00DC61EB">
        <w:rPr>
          <w:rFonts w:eastAsiaTheme="minorHAnsi"/>
          <w:bCs/>
          <w:i/>
          <w:sz w:val="28"/>
          <w:szCs w:val="22"/>
        </w:rPr>
        <w:t xml:space="preserve"> </w:t>
      </w:r>
      <w:r w:rsidRPr="00CD4776">
        <w:rPr>
          <w:rFonts w:eastAsiaTheme="minorHAnsi"/>
          <w:bCs/>
          <w:i/>
          <w:sz w:val="28"/>
          <w:szCs w:val="22"/>
          <w:lang w:val="en-US"/>
        </w:rPr>
        <w:t>Release</w:t>
      </w:r>
      <w:r w:rsidRPr="00DC61EB">
        <w:rPr>
          <w:rFonts w:eastAsiaTheme="minorHAnsi"/>
          <w:bCs/>
          <w:i/>
          <w:sz w:val="28"/>
          <w:szCs w:val="22"/>
        </w:rPr>
        <w:t xml:space="preserve"> </w:t>
      </w:r>
      <w:r w:rsidRPr="00CD4776">
        <w:rPr>
          <w:rFonts w:eastAsiaTheme="minorHAnsi"/>
          <w:bCs/>
          <w:i/>
          <w:sz w:val="28"/>
          <w:szCs w:val="22"/>
          <w:lang w:val="en-US"/>
        </w:rPr>
        <w:t>Regarding</w:t>
      </w:r>
      <w:r w:rsidRPr="00DC61EB">
        <w:rPr>
          <w:rFonts w:eastAsiaTheme="minorHAnsi"/>
          <w:bCs/>
          <w:i/>
          <w:sz w:val="28"/>
          <w:szCs w:val="22"/>
        </w:rPr>
        <w:t xml:space="preserve"> </w:t>
      </w:r>
      <w:r w:rsidRPr="00CD4776">
        <w:rPr>
          <w:rFonts w:eastAsiaTheme="minorHAnsi"/>
          <w:bCs/>
          <w:i/>
          <w:sz w:val="28"/>
          <w:szCs w:val="22"/>
          <w:lang w:val="en-US"/>
        </w:rPr>
        <w:t>the</w:t>
      </w:r>
      <w:r w:rsidRPr="00DC61EB">
        <w:rPr>
          <w:rFonts w:eastAsiaTheme="minorHAnsi"/>
          <w:bCs/>
          <w:i/>
          <w:sz w:val="28"/>
          <w:szCs w:val="22"/>
        </w:rPr>
        <w:t xml:space="preserve"> “</w:t>
      </w:r>
      <w:r w:rsidRPr="00CD4776">
        <w:rPr>
          <w:rFonts w:eastAsiaTheme="minorHAnsi"/>
          <w:bCs/>
          <w:i/>
          <w:sz w:val="28"/>
          <w:szCs w:val="22"/>
          <w:lang w:val="en-US"/>
        </w:rPr>
        <w:t>Strategic</w:t>
      </w:r>
      <w:r w:rsidRPr="00DC61EB">
        <w:rPr>
          <w:rFonts w:eastAsiaTheme="minorHAnsi"/>
          <w:bCs/>
          <w:i/>
          <w:sz w:val="28"/>
          <w:szCs w:val="22"/>
        </w:rPr>
        <w:t xml:space="preserve"> </w:t>
      </w:r>
      <w:r w:rsidRPr="00CD4776">
        <w:rPr>
          <w:rFonts w:eastAsiaTheme="minorHAnsi"/>
          <w:bCs/>
          <w:i/>
          <w:sz w:val="28"/>
          <w:szCs w:val="22"/>
          <w:lang w:val="en-US"/>
        </w:rPr>
        <w:t>Compass</w:t>
      </w:r>
      <w:r w:rsidRPr="00DC61EB">
        <w:rPr>
          <w:rFonts w:eastAsiaTheme="minorHAnsi"/>
          <w:bCs/>
          <w:i/>
          <w:sz w:val="28"/>
          <w:szCs w:val="22"/>
        </w:rPr>
        <w:t>”</w:t>
      </w:r>
      <w:r w:rsidRPr="00DC61EB">
        <w:rPr>
          <w:rFonts w:eastAsiaTheme="minorHAnsi"/>
          <w:bCs/>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Перед ухваленням «Стратегічного компасу» Радою ЄС, Інститут досліджень безпеки ЄС у грудні 2021 року опублікував свій звіт під назвою «Стратегічний компас: нові орієнтири для безпеки та оборони ЄС</w:t>
      </w:r>
      <w:r w:rsidRPr="00DC61EB">
        <w:rPr>
          <w:rFonts w:eastAsiaTheme="minorHAnsi"/>
          <w:sz w:val="28"/>
          <w:szCs w:val="22"/>
        </w:rPr>
        <w:t>?</w:t>
      </w:r>
      <w:r w:rsidRPr="00CD4776">
        <w:rPr>
          <w:rFonts w:eastAsiaTheme="minorHAnsi"/>
          <w:sz w:val="28"/>
          <w:szCs w:val="22"/>
        </w:rPr>
        <w:t>» Звіт об</w:t>
      </w:r>
      <w:r w:rsidR="00C631E2">
        <w:rPr>
          <w:rFonts w:eastAsiaTheme="minorHAnsi"/>
          <w:sz w:val="28"/>
          <w:szCs w:val="22"/>
        </w:rPr>
        <w:t>’</w:t>
      </w:r>
      <w:r w:rsidRPr="00CD4776">
        <w:rPr>
          <w:rFonts w:eastAsiaTheme="minorHAnsi"/>
          <w:sz w:val="28"/>
          <w:szCs w:val="22"/>
        </w:rPr>
        <w:t>єднує висновки одинадцяти експертів і результати анкет, надісланих Інститутом 120 особам, які представляють державні дослідницькі установи, установи, пов</w:t>
      </w:r>
      <w:r w:rsidR="00C631E2">
        <w:rPr>
          <w:rFonts w:eastAsiaTheme="minorHAnsi"/>
          <w:sz w:val="28"/>
          <w:szCs w:val="22"/>
        </w:rPr>
        <w:t>’</w:t>
      </w:r>
      <w:r w:rsidRPr="00CD4776">
        <w:rPr>
          <w:rFonts w:eastAsiaTheme="minorHAnsi"/>
          <w:sz w:val="28"/>
          <w:szCs w:val="22"/>
        </w:rPr>
        <w:t>язані з міжнародними організаціями, аналітичні центри та університети. У звіті Туреччина згадується п</w:t>
      </w:r>
      <w:r w:rsidR="00C631E2">
        <w:rPr>
          <w:rFonts w:eastAsiaTheme="minorHAnsi"/>
          <w:sz w:val="28"/>
          <w:szCs w:val="22"/>
        </w:rPr>
        <w:t>’</w:t>
      </w:r>
      <w:r w:rsidRPr="00CD4776">
        <w:rPr>
          <w:rFonts w:eastAsiaTheme="minorHAnsi"/>
          <w:sz w:val="28"/>
          <w:szCs w:val="22"/>
        </w:rPr>
        <w:t xml:space="preserve">ять разів. Перша з них міститься у вступній частині звіту. У цьому контексті, хоча згадуються загрози, з якими стикається ЄС, «напруженість у відносинах з Туреччиною» зараховується до загроз, з якими вона зіткнулася у 2021 році. Друге посилання під заголовком </w:t>
      </w:r>
      <w:r w:rsidRPr="00CD4776">
        <w:rPr>
          <w:rFonts w:eastAsiaTheme="minorHAnsi"/>
          <w:sz w:val="28"/>
          <w:szCs w:val="22"/>
        </w:rPr>
        <w:lastRenderedPageBreak/>
        <w:t>«Зіткнення з цивільними та військовими в ЄС» стосується загроз, з якими стикається ЄС у той частині Балкан, яку ЄС помилково називає «Західними Балканами». У цьому розділі згадуються «втручання Росії, Китаю та Туреччини» в регіон. У цьому контексті необхідно нагадати, що це посилання є нав</w:t>
      </w:r>
      <w:r w:rsidR="00C631E2">
        <w:rPr>
          <w:rFonts w:eastAsiaTheme="minorHAnsi"/>
          <w:sz w:val="28"/>
          <w:szCs w:val="22"/>
        </w:rPr>
        <w:t>’</w:t>
      </w:r>
      <w:r w:rsidRPr="00CD4776">
        <w:rPr>
          <w:rFonts w:eastAsiaTheme="minorHAnsi"/>
          <w:sz w:val="28"/>
          <w:szCs w:val="22"/>
        </w:rPr>
        <w:t>язливо повторюваним твердженням у звітах Інституту, який ще у вересні 2018 року опублікував документ Шайо №147 під назвою «Балканське майбутнє – три сценарії на 2025 рік», і подібна термінологія руйнівних зовнішніх акторів була використана у згаданому звіті</w:t>
      </w:r>
      <w:r w:rsidRPr="00DC61EB">
        <w:rPr>
          <w:rFonts w:eastAsiaTheme="minorHAnsi"/>
          <w:sz w:val="28"/>
          <w:szCs w:val="22"/>
        </w:rPr>
        <w:t xml:space="preserve"> (</w:t>
      </w:r>
      <w:r w:rsidRPr="00CD4776">
        <w:rPr>
          <w:rFonts w:eastAsiaTheme="minorHAnsi"/>
          <w:sz w:val="28"/>
          <w:szCs w:val="22"/>
          <w:lang w:val="en-US"/>
        </w:rPr>
        <w:t>Fiott</w:t>
      </w:r>
      <w:r w:rsidRPr="00DC61EB">
        <w:rPr>
          <w:rFonts w:eastAsiaTheme="minorHAnsi"/>
          <w:sz w:val="28"/>
          <w:szCs w:val="22"/>
        </w:rPr>
        <w:t>, 2021)</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Третє посилання міститься під заголовком «Підготовка СПБО до відповіді на стратегічну конкуренцію» та містить таке твердження: «Стратегічні конкуренти, такі як Росія, Китай і Туреччина, також присутні в південних і східних сусідах ЄС, і вони шукають </w:t>
      </w:r>
      <w:r w:rsidR="00C631E2" w:rsidRPr="00CD4776">
        <w:rPr>
          <w:rFonts w:eastAsiaTheme="minorHAnsi"/>
          <w:sz w:val="28"/>
          <w:szCs w:val="22"/>
        </w:rPr>
        <w:t>можливості</w:t>
      </w:r>
      <w:r w:rsidRPr="00CD4776">
        <w:rPr>
          <w:rFonts w:eastAsiaTheme="minorHAnsi"/>
          <w:sz w:val="28"/>
          <w:szCs w:val="22"/>
        </w:rPr>
        <w:t>, щоб заповнити стратегічні вакууми вздовж кордонів Союзу, навіть якщо тактика, яку вони використовують для цього, буде різною». У продовженні цього розділу наступне твердження відіграє роль четвертого посилання: «Туреччина також використовувала суміш прикордонної політики, маніпулювання інформацією та провокаційних морських дій для підриву безпеки у Східному Середземномор</w:t>
      </w:r>
      <w:r w:rsidR="00C631E2">
        <w:rPr>
          <w:rFonts w:eastAsiaTheme="minorHAnsi"/>
          <w:sz w:val="28"/>
          <w:szCs w:val="22"/>
        </w:rPr>
        <w:t>’</w:t>
      </w:r>
      <w:r w:rsidRPr="00CD4776">
        <w:rPr>
          <w:rFonts w:eastAsiaTheme="minorHAnsi"/>
          <w:sz w:val="28"/>
          <w:szCs w:val="22"/>
        </w:rPr>
        <w:t>ї». Нарешті, п</w:t>
      </w:r>
      <w:r w:rsidR="00C631E2">
        <w:rPr>
          <w:rFonts w:eastAsiaTheme="minorHAnsi"/>
          <w:sz w:val="28"/>
          <w:szCs w:val="22"/>
        </w:rPr>
        <w:t>’</w:t>
      </w:r>
      <w:r w:rsidRPr="00CD4776">
        <w:rPr>
          <w:rFonts w:eastAsiaTheme="minorHAnsi"/>
          <w:sz w:val="28"/>
          <w:szCs w:val="22"/>
        </w:rPr>
        <w:t>яте посилання згадує Туреччину серед країн, що не входять до ЄС, які беруть участь у місіях та операціях СПБО та надають персонал для цих місій</w:t>
      </w:r>
      <w:r w:rsidRPr="00DC61EB">
        <w:rPr>
          <w:rFonts w:eastAsiaTheme="minorHAnsi"/>
          <w:sz w:val="28"/>
          <w:szCs w:val="22"/>
        </w:rPr>
        <w:t xml:space="preserve"> (</w:t>
      </w:r>
      <w:r w:rsidRPr="00CD4776">
        <w:rPr>
          <w:rFonts w:eastAsiaTheme="minorHAnsi"/>
          <w:sz w:val="28"/>
          <w:szCs w:val="22"/>
          <w:lang w:val="en-US"/>
        </w:rPr>
        <w:t>Fiott</w:t>
      </w:r>
      <w:r w:rsidRPr="00DC61EB">
        <w:rPr>
          <w:rFonts w:eastAsiaTheme="minorHAnsi"/>
          <w:sz w:val="28"/>
          <w:szCs w:val="22"/>
        </w:rPr>
        <w:t>, 2021)</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Як показують ці посилання, Інститут досліджень безпеки Європейського Союзу вважає Туреччину, яка є асоційованою країною ЄС з 1963 року, кандидатом на членство з 2005 року та членом НАТО з 1952 року, як країну-супротивника. Тому Інститут має серйозно запитати себе, як можна підготувати первинний документ для ЄС з безпеки та оборони з таким поверхневим баченням.</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Поспішне прийняття ЄС «Стратегічного компасу», коли воєнна ситуація в Україні порушує європейську безпеку та стабільність, є чудовою </w:t>
      </w:r>
      <w:r w:rsidRPr="00CD4776">
        <w:rPr>
          <w:rFonts w:eastAsiaTheme="minorHAnsi"/>
          <w:sz w:val="28"/>
          <w:szCs w:val="22"/>
        </w:rPr>
        <w:lastRenderedPageBreak/>
        <w:t>подією. Що робить цей поспіх цікавим, так це те, що ЄС прийняв РК лише за три дні до позачергового саміту глав держав і урядів НАТО для обговорення воєнної ситуації в Україні. У заяві після позачергового саміту НАТО нинішню безпекову ситуацію після війни в Україні характеризують як найбільшу загрозу євроатлантичній безпеці за останні десятиліття. У «Стратегічному компасі», який був поспішно опублікований у такій обстановці, Туреччина, яка вже понад 70 років є одним із найважливіших членів НАТО зі своїми сильними та боєздатними збройними силами, зберігаючи турецькі протоки під своїм повним контролем, країна, що має велике значення для регіональної та глобальної безпеки, кваліфікується як країна, що становить загрозу для ЄС у регіоні Східного Середземномор</w:t>
      </w:r>
      <w:r w:rsidR="00C631E2">
        <w:rPr>
          <w:rFonts w:eastAsiaTheme="minorHAnsi"/>
          <w:sz w:val="28"/>
          <w:szCs w:val="22"/>
        </w:rPr>
        <w:t>’</w:t>
      </w:r>
      <w:r w:rsidRPr="00CD4776">
        <w:rPr>
          <w:rFonts w:eastAsiaTheme="minorHAnsi"/>
          <w:sz w:val="28"/>
          <w:szCs w:val="22"/>
        </w:rPr>
        <w:t>я. Здається, важко раціонально пояснити таку характеристику, поки Європа стикається з російською агресією</w:t>
      </w:r>
      <w:r w:rsidRPr="00DC61EB">
        <w:rPr>
          <w:rFonts w:eastAsiaTheme="minorHAnsi"/>
          <w:sz w:val="28"/>
          <w:szCs w:val="22"/>
        </w:rPr>
        <w:t xml:space="preserve"> </w:t>
      </w:r>
      <w:r w:rsidRPr="00DC61EB">
        <w:rPr>
          <w:rFonts w:eastAsiaTheme="minorHAnsi"/>
          <w:sz w:val="28"/>
          <w:szCs w:val="22"/>
          <w:lang w:val="ru-RU"/>
        </w:rPr>
        <w:t>(</w:t>
      </w:r>
      <w:r w:rsidRPr="00CD4776">
        <w:rPr>
          <w:rFonts w:eastAsiaTheme="minorHAnsi"/>
          <w:sz w:val="28"/>
          <w:szCs w:val="22"/>
          <w:lang w:val="en-US"/>
        </w:rPr>
        <w:t>Sus</w:t>
      </w:r>
      <w:r w:rsidRPr="00DC61EB">
        <w:rPr>
          <w:rFonts w:eastAsiaTheme="minorHAnsi"/>
          <w:sz w:val="28"/>
          <w:szCs w:val="22"/>
          <w:lang w:val="ru-RU"/>
        </w:rPr>
        <w:t>, 2023)</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Однак з моменту прийняття «Стратегічного компасу» в березні 2022 року було реалізовано багато цілей. Відповідь на російську військову агресію була об</w:t>
      </w:r>
      <w:r w:rsidR="00C631E2">
        <w:rPr>
          <w:rFonts w:eastAsiaTheme="minorHAnsi"/>
          <w:sz w:val="28"/>
          <w:szCs w:val="22"/>
        </w:rPr>
        <w:t>’</w:t>
      </w:r>
      <w:r w:rsidRPr="00CD4776">
        <w:rPr>
          <w:rFonts w:eastAsiaTheme="minorHAnsi"/>
          <w:sz w:val="28"/>
          <w:szCs w:val="22"/>
        </w:rPr>
        <w:t>єднаною та безпрецедентною з самого початку, «Компас» був швидко адаптований під нові умови, у зв</w:t>
      </w:r>
      <w:r w:rsidR="00C631E2">
        <w:rPr>
          <w:rFonts w:eastAsiaTheme="minorHAnsi"/>
          <w:sz w:val="28"/>
          <w:szCs w:val="22"/>
        </w:rPr>
        <w:t>’</w:t>
      </w:r>
      <w:r w:rsidRPr="00CD4776">
        <w:rPr>
          <w:rFonts w:eastAsiaTheme="minorHAnsi"/>
          <w:sz w:val="28"/>
          <w:szCs w:val="22"/>
        </w:rPr>
        <w:t xml:space="preserve">язку з цим, відповідь включала надання летального та нелетального обладнання, а також навчання понад 40 000 українських військових та нарощування потенціалу Збройних сил України. З новою цільовою підготовкою 60 000 військових до літа ЄС стане найбільшим постачальником військової підготовки для Збройних Сил України </w:t>
      </w:r>
      <w:r w:rsidRPr="00DC61EB">
        <w:rPr>
          <w:rFonts w:eastAsiaTheme="minorHAnsi"/>
          <w:sz w:val="28"/>
          <w:szCs w:val="22"/>
        </w:rPr>
        <w:t>(</w:t>
      </w:r>
      <w:r w:rsidRPr="00CD4776">
        <w:rPr>
          <w:rFonts w:eastAsiaTheme="minorHAnsi"/>
          <w:i/>
          <w:sz w:val="28"/>
          <w:szCs w:val="22"/>
          <w:lang w:val="en-US"/>
        </w:rPr>
        <w:t>Annual</w:t>
      </w:r>
      <w:r w:rsidRPr="00DC61EB">
        <w:rPr>
          <w:rFonts w:eastAsiaTheme="minorHAnsi"/>
          <w:i/>
          <w:sz w:val="28"/>
          <w:szCs w:val="22"/>
        </w:rPr>
        <w:t xml:space="preserve"> </w:t>
      </w:r>
      <w:r w:rsidRPr="00CD4776">
        <w:rPr>
          <w:rFonts w:eastAsiaTheme="minorHAnsi"/>
          <w:i/>
          <w:sz w:val="28"/>
          <w:szCs w:val="22"/>
          <w:lang w:val="en-US"/>
        </w:rPr>
        <w:t>Progress</w:t>
      </w:r>
      <w:r w:rsidRPr="00DC61EB">
        <w:rPr>
          <w:rFonts w:eastAsiaTheme="minorHAnsi"/>
          <w:i/>
          <w:sz w:val="28"/>
          <w:szCs w:val="22"/>
        </w:rPr>
        <w:t xml:space="preserve"> </w:t>
      </w:r>
      <w:r w:rsidRPr="00CD4776">
        <w:rPr>
          <w:rFonts w:eastAsiaTheme="minorHAnsi"/>
          <w:i/>
          <w:sz w:val="28"/>
          <w:szCs w:val="22"/>
          <w:lang w:val="en-US"/>
        </w:rPr>
        <w:t>Report</w:t>
      </w:r>
      <w:r w:rsidRPr="00DC61EB">
        <w:rPr>
          <w:rFonts w:eastAsiaTheme="minorHAnsi"/>
          <w:sz w:val="28"/>
          <w:szCs w:val="22"/>
        </w:rPr>
        <w:t>, 2024)</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Були розроблені потужніші та більш адаптивні інструменти управління кризою та реагування, як цивільні, так і військові. Нещодавно в рамках «Компасу» розпочато морську операцію ЄС ASPIDES, яка спрямована на конкретну та рішучу відповідь на зростаючу загрозу морській безпеці в Червоному морі та регіоні Перської затоки. Була реалізована Ініціатива безпеки та оборони в Гвінейській затоці, запущена наприкінці 2023 року, </w:t>
      </w:r>
      <w:r w:rsidRPr="00CD4776">
        <w:rPr>
          <w:rFonts w:eastAsiaTheme="minorHAnsi"/>
          <w:sz w:val="28"/>
          <w:szCs w:val="22"/>
        </w:rPr>
        <w:lastRenderedPageBreak/>
        <w:t>спрямована на вирішення проблем безпеки та поширення нестабільності з Сахеля. Раніше у 2023 році також були розпочаті місії у Вірменії в контексті погіршення ситуації з безпекою на кордоні з Азербайджаном та в Республіці Молдова, щоб посилити їхню стійкість до гібридних загроз. Окрім цього, успішно була досягнута стратегічна мета Тренувальної місії ЄС у Мозамбіку шляхом навчання одинадцяти компаній. Повне функціонування Спроможності швидкого розгортання сил до 2025 року залишається одним із головних пріоритетів ЄС. Перші живі навчання ЄС, проведені в жовтні 2023 року в Іспанії, сприяли покращенню військової співпраці на місцях між державами-членами</w:t>
      </w:r>
      <w:r w:rsidRPr="00DC61EB">
        <w:rPr>
          <w:rFonts w:eastAsiaTheme="minorHAnsi"/>
          <w:sz w:val="28"/>
          <w:szCs w:val="22"/>
        </w:rPr>
        <w:t xml:space="preserve"> (</w:t>
      </w:r>
      <w:r w:rsidRPr="00CD4776">
        <w:rPr>
          <w:rFonts w:eastAsiaTheme="minorHAnsi"/>
          <w:i/>
          <w:sz w:val="28"/>
          <w:szCs w:val="22"/>
          <w:lang w:val="en-US"/>
        </w:rPr>
        <w:t>Annual</w:t>
      </w:r>
      <w:r w:rsidRPr="00DC61EB">
        <w:rPr>
          <w:rFonts w:eastAsiaTheme="minorHAnsi"/>
          <w:i/>
          <w:sz w:val="28"/>
          <w:szCs w:val="22"/>
        </w:rPr>
        <w:t xml:space="preserve"> </w:t>
      </w:r>
      <w:r w:rsidRPr="00CD4776">
        <w:rPr>
          <w:rFonts w:eastAsiaTheme="minorHAnsi"/>
          <w:i/>
          <w:sz w:val="28"/>
          <w:szCs w:val="22"/>
          <w:lang w:val="en-US"/>
        </w:rPr>
        <w:t>Progress</w:t>
      </w:r>
      <w:r w:rsidRPr="00DC61EB">
        <w:rPr>
          <w:rFonts w:eastAsiaTheme="minorHAnsi"/>
          <w:i/>
          <w:sz w:val="28"/>
          <w:szCs w:val="22"/>
        </w:rPr>
        <w:t xml:space="preserve"> </w:t>
      </w:r>
      <w:r w:rsidRPr="00CD4776">
        <w:rPr>
          <w:rFonts w:eastAsiaTheme="minorHAnsi"/>
          <w:i/>
          <w:sz w:val="28"/>
          <w:szCs w:val="22"/>
          <w:lang w:val="en-US"/>
        </w:rPr>
        <w:t>Report</w:t>
      </w:r>
      <w:r w:rsidRPr="00DC61EB">
        <w:rPr>
          <w:rFonts w:eastAsiaTheme="minorHAnsi"/>
          <w:sz w:val="28"/>
          <w:szCs w:val="22"/>
        </w:rPr>
        <w:t>, 2024)</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Під керівництвом «Компасу» продовжує розвиватися здатність гарантувати доступ до стратегічних доменів. У 2023 році були оновлені існуючі та розроблені нові стратегії</w:t>
      </w:r>
      <w:r w:rsidR="00C56D23">
        <w:rPr>
          <w:rFonts w:eastAsiaTheme="minorHAnsi"/>
          <w:sz w:val="28"/>
          <w:szCs w:val="22"/>
        </w:rPr>
        <w:t xml:space="preserve"> і політики, такі як оновлена </w:t>
      </w:r>
      <w:r w:rsidRPr="00CD4776">
        <w:rPr>
          <w:rFonts w:eastAsiaTheme="minorHAnsi"/>
          <w:sz w:val="28"/>
          <w:szCs w:val="22"/>
        </w:rPr>
        <w:t>Стратегія морської безпеки ЄС, Політика ЄС щодо кіберзахисту, План дій щодо військової мобільності 2.0 або перша Космічна стратегія ЄС щодо безпеки та Захист, серед іншого. З березня 2023 року більше уваги було приділено конкретному впровадженню, включаючи виділення належного рівня ресурсів, сил і можливостей</w:t>
      </w:r>
      <w:r w:rsidRPr="00DC61EB">
        <w:rPr>
          <w:rFonts w:eastAsiaTheme="minorHAnsi"/>
          <w:sz w:val="28"/>
          <w:szCs w:val="22"/>
        </w:rPr>
        <w:t xml:space="preserve"> (</w:t>
      </w:r>
      <w:r w:rsidRPr="00CD4776">
        <w:rPr>
          <w:rFonts w:eastAsiaTheme="minorHAnsi"/>
          <w:i/>
          <w:sz w:val="28"/>
          <w:szCs w:val="22"/>
          <w:lang w:val="en-US"/>
        </w:rPr>
        <w:t>Annual</w:t>
      </w:r>
      <w:r w:rsidRPr="00DC61EB">
        <w:rPr>
          <w:rFonts w:eastAsiaTheme="minorHAnsi"/>
          <w:i/>
          <w:sz w:val="28"/>
          <w:szCs w:val="22"/>
        </w:rPr>
        <w:t xml:space="preserve"> </w:t>
      </w:r>
      <w:r w:rsidRPr="00CD4776">
        <w:rPr>
          <w:rFonts w:eastAsiaTheme="minorHAnsi"/>
          <w:i/>
          <w:sz w:val="28"/>
          <w:szCs w:val="22"/>
          <w:lang w:val="en-US"/>
        </w:rPr>
        <w:t>Progress</w:t>
      </w:r>
      <w:r w:rsidRPr="00DC61EB">
        <w:rPr>
          <w:rFonts w:eastAsiaTheme="minorHAnsi"/>
          <w:i/>
          <w:sz w:val="28"/>
          <w:szCs w:val="22"/>
        </w:rPr>
        <w:t xml:space="preserve"> </w:t>
      </w:r>
      <w:r w:rsidRPr="00CD4776">
        <w:rPr>
          <w:rFonts w:eastAsiaTheme="minorHAnsi"/>
          <w:i/>
          <w:sz w:val="28"/>
          <w:szCs w:val="22"/>
          <w:lang w:val="en-US"/>
        </w:rPr>
        <w:t>Report</w:t>
      </w:r>
      <w:r w:rsidRPr="00DC61EB">
        <w:rPr>
          <w:rFonts w:eastAsiaTheme="minorHAnsi"/>
          <w:sz w:val="28"/>
          <w:szCs w:val="22"/>
        </w:rPr>
        <w:t>, 2023)</w:t>
      </w:r>
      <w:r w:rsidRPr="00CD4776">
        <w:rPr>
          <w:rFonts w:eastAsiaTheme="minorHAnsi"/>
          <w:sz w:val="28"/>
          <w:szCs w:val="22"/>
        </w:rPr>
        <w:t>.</w:t>
      </w:r>
    </w:p>
    <w:p w:rsidR="00CD4776" w:rsidRPr="00171968" w:rsidRDefault="00CD4776" w:rsidP="00171968">
      <w:pPr>
        <w:spacing w:line="360" w:lineRule="auto"/>
        <w:ind w:firstLine="709"/>
        <w:rPr>
          <w:rFonts w:eastAsiaTheme="minorHAnsi"/>
          <w:sz w:val="28"/>
          <w:szCs w:val="22"/>
        </w:rPr>
      </w:pPr>
      <w:r w:rsidRPr="00CD4776">
        <w:rPr>
          <w:rFonts w:eastAsiaTheme="minorHAnsi"/>
          <w:sz w:val="28"/>
          <w:szCs w:val="22"/>
        </w:rPr>
        <w:t>Таким чином, «Стратегічний компас безпеки та оборони» став ключовою ініціативою для Європейського Союзу, особливо в світлі російської агресії в Україні. Його основним завданням стало зміцнення автономії безпеки та оборони ЄС, посилення реагування на кризи, стійкості та партнерства. Криза в Україні підкреслила необхідність єдиної позиції ЄС і швидких дій, наголошуючи на координації оборони та можливостях швидкого розгортання. Забезпечуючи чіткий стратегічний напрямок, «Компас» прагне зробити ЄС більш надійним у вирішенні майбутніх проблем безпеки. Зрештою, це сигналізує про зобов</w:t>
      </w:r>
      <w:r w:rsidR="00C631E2">
        <w:rPr>
          <w:rFonts w:eastAsiaTheme="minorHAnsi"/>
          <w:sz w:val="28"/>
          <w:szCs w:val="22"/>
        </w:rPr>
        <w:t>’</w:t>
      </w:r>
      <w:r w:rsidRPr="00CD4776">
        <w:rPr>
          <w:rFonts w:eastAsiaTheme="minorHAnsi"/>
          <w:sz w:val="28"/>
          <w:szCs w:val="22"/>
        </w:rPr>
        <w:t>язання ЄС захищати свої цінності та зміцнювати стабільність у межах своїх кордонів і в сусідніх регіонах.</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lastRenderedPageBreak/>
        <w:t>Відповідь ЄС на вторгнення Росії в Україну в лютому 2022 року підкреслює потенціал його системи зовнішньої політики для впровадження значущої колективної дипломатії. Він запровадив широкий спектр торгових, фінансових та індивідуальних санкцій, реалізував різноманітні заходи макрофінансової та іншої фінансової підтримки, включаючи допомогу біженцям у межах та за кордоном України, і, що особливо важливо, надав пакет фінансової підтримки в розмірі 2,5 мільярда євро для прямої військової допомоги Україні за допомогою нещодавно створ</w:t>
      </w:r>
      <w:r w:rsidR="00FE21D7">
        <w:rPr>
          <w:rFonts w:eastAsiaTheme="minorHAnsi"/>
          <w:sz w:val="28"/>
          <w:szCs w:val="22"/>
        </w:rPr>
        <w:t>еного Європейського фонду миру</w:t>
      </w:r>
      <w:r w:rsidRPr="00CD4776">
        <w:rPr>
          <w:rFonts w:eastAsiaTheme="minorHAnsi"/>
          <w:sz w:val="28"/>
          <w:szCs w:val="22"/>
        </w:rPr>
        <w:t>. Окрім цих заходів, на неформальній зустрічі у Версалі в березні 2022 року лідери ЄС погодилися з необхідністю зменшити залежність Європи від російського газу та посилити її обороноздатність. Примітно, що вторгнення також спричинило суттєвий перегляд майбутнього розширення ЄС, і Україна зараз розпочала процес, щоб стати кандидатом на членство (разом із Грузією та Молдовою)</w:t>
      </w:r>
      <w:r w:rsidRPr="00DC61EB">
        <w:rPr>
          <w:rFonts w:eastAsiaTheme="minorHAnsi"/>
          <w:sz w:val="28"/>
          <w:szCs w:val="22"/>
          <w:lang w:val="ru-RU"/>
        </w:rPr>
        <w:t xml:space="preserve"> (</w:t>
      </w:r>
      <w:r w:rsidRPr="00CD4776">
        <w:rPr>
          <w:rFonts w:eastAsiaTheme="minorHAnsi"/>
          <w:sz w:val="28"/>
          <w:szCs w:val="22"/>
        </w:rPr>
        <w:t>Коцур, 2023</w:t>
      </w:r>
      <w:r w:rsidRPr="00DC61EB">
        <w:rPr>
          <w:rFonts w:eastAsiaTheme="minorHAnsi"/>
          <w:sz w:val="28"/>
          <w:szCs w:val="22"/>
          <w:lang w:val="ru-RU"/>
        </w:rPr>
        <w:t>)</w:t>
      </w:r>
      <w:r w:rsidRPr="00CD4776">
        <w:rPr>
          <w:rFonts w:eastAsiaTheme="minorHAnsi"/>
          <w:sz w:val="28"/>
          <w:szCs w:val="22"/>
        </w:rPr>
        <w:t>.</w:t>
      </w:r>
    </w:p>
    <w:p w:rsidR="00CD4776" w:rsidRPr="00DC61EB" w:rsidRDefault="00CD4776" w:rsidP="00713BAF">
      <w:pPr>
        <w:spacing w:line="360" w:lineRule="auto"/>
        <w:ind w:firstLine="709"/>
        <w:rPr>
          <w:rFonts w:eastAsiaTheme="minorHAnsi"/>
          <w:sz w:val="28"/>
          <w:szCs w:val="22"/>
        </w:rPr>
      </w:pPr>
      <w:r w:rsidRPr="00CD4776">
        <w:rPr>
          <w:rFonts w:eastAsiaTheme="minorHAnsi"/>
          <w:sz w:val="28"/>
          <w:szCs w:val="22"/>
        </w:rPr>
        <w:t>Швидкість і масштаб відповіді держав-членів викликали чимало коментарів. Жозеп Боррель, Верховний представник ЄС із закордонних справ і політики безпеки, навіть охарактеризував відповідь ЄС як «геополітичне пробудження». Звичайно, здається, що це був момент оновлення як для ЄС колективно, так і для держав-членів окремо. Канцлер Німеччини Олаф Шольц оголосив, що це Zeitenwende («зміна парадигми») у своїй промові в Бундестазі 5 березня 2022 року, у якій оголосив про величезне збільшення витрат на оборону, включаючи спеціальний фонд на 100 мільярдів євро для швидкої модернізації Бундесверу та подальше зобов</w:t>
      </w:r>
      <w:r w:rsidR="00C631E2">
        <w:rPr>
          <w:rFonts w:eastAsiaTheme="minorHAnsi"/>
          <w:sz w:val="28"/>
          <w:szCs w:val="22"/>
        </w:rPr>
        <w:t>’</w:t>
      </w:r>
      <w:r w:rsidRPr="00CD4776">
        <w:rPr>
          <w:rFonts w:eastAsiaTheme="minorHAnsi"/>
          <w:sz w:val="28"/>
          <w:szCs w:val="22"/>
        </w:rPr>
        <w:t>язання досягти цільових 2-відсоткових витрат НАТО на оборону</w:t>
      </w:r>
      <w:r w:rsidRPr="00DC61EB">
        <w:rPr>
          <w:rFonts w:eastAsiaTheme="minorHAnsi"/>
          <w:sz w:val="28"/>
          <w:szCs w:val="22"/>
        </w:rPr>
        <w:t xml:space="preserve"> (</w:t>
      </w:r>
      <w:r w:rsidRPr="00CD4776">
        <w:rPr>
          <w:rFonts w:eastAsiaTheme="minorHAnsi"/>
          <w:i/>
          <w:sz w:val="28"/>
          <w:szCs w:val="22"/>
          <w:lang w:val="en-US"/>
        </w:rPr>
        <w:t>Policy</w:t>
      </w:r>
      <w:r w:rsidRPr="00DC61EB">
        <w:rPr>
          <w:rFonts w:eastAsiaTheme="minorHAnsi"/>
          <w:i/>
          <w:sz w:val="28"/>
          <w:szCs w:val="22"/>
        </w:rPr>
        <w:t xml:space="preserve"> </w:t>
      </w:r>
      <w:r w:rsidRPr="00CD4776">
        <w:rPr>
          <w:rFonts w:eastAsiaTheme="minorHAnsi"/>
          <w:i/>
          <w:sz w:val="28"/>
          <w:szCs w:val="22"/>
          <w:lang w:val="en-US"/>
        </w:rPr>
        <w:t>statement by</w:t>
      </w:r>
      <w:r w:rsidRPr="00DC61EB">
        <w:rPr>
          <w:rFonts w:eastAsiaTheme="minorHAnsi"/>
          <w:i/>
          <w:sz w:val="28"/>
          <w:szCs w:val="22"/>
        </w:rPr>
        <w:t xml:space="preserve"> </w:t>
      </w:r>
      <w:r w:rsidRPr="00CD4776">
        <w:rPr>
          <w:rFonts w:eastAsiaTheme="minorHAnsi"/>
          <w:i/>
          <w:sz w:val="28"/>
          <w:szCs w:val="22"/>
          <w:lang w:val="en-US"/>
        </w:rPr>
        <w:t>Olaf</w:t>
      </w:r>
      <w:r w:rsidRPr="00DC61EB">
        <w:rPr>
          <w:rFonts w:eastAsiaTheme="minorHAnsi"/>
          <w:i/>
          <w:sz w:val="28"/>
          <w:szCs w:val="22"/>
        </w:rPr>
        <w:t xml:space="preserve"> </w:t>
      </w:r>
      <w:r w:rsidRPr="00CD4776">
        <w:rPr>
          <w:rFonts w:eastAsiaTheme="minorHAnsi"/>
          <w:i/>
          <w:sz w:val="28"/>
          <w:szCs w:val="22"/>
          <w:lang w:val="en-US"/>
        </w:rPr>
        <w:t>Scholz</w:t>
      </w:r>
      <w:r w:rsidRPr="00DC61EB">
        <w:rPr>
          <w:rFonts w:eastAsiaTheme="minorHAnsi"/>
          <w:sz w:val="28"/>
          <w:szCs w:val="22"/>
        </w:rPr>
        <w:t>, 2022)</w:t>
      </w:r>
    </w:p>
    <w:p w:rsidR="00CD4776" w:rsidRPr="00DC61EB" w:rsidRDefault="00CD4776" w:rsidP="00713BAF">
      <w:pPr>
        <w:spacing w:line="360" w:lineRule="auto"/>
        <w:ind w:firstLine="709"/>
        <w:rPr>
          <w:rFonts w:eastAsiaTheme="minorHAnsi"/>
          <w:sz w:val="28"/>
          <w:szCs w:val="22"/>
        </w:rPr>
      </w:pPr>
      <w:r w:rsidRPr="00CD4776">
        <w:rPr>
          <w:rFonts w:eastAsiaTheme="minorHAnsi"/>
          <w:sz w:val="28"/>
          <w:szCs w:val="22"/>
        </w:rPr>
        <w:t>Тим часом Фінляндія та Швеція суттєво змінили свої оборонні позиції та подали заявку на вступ до НАТО в липні 2022 року. Вже в квітні 2023 року Фінляндія стала 31-м членом НАТО, а в березні 2024 року Швеція стала 32-м членом НАТО. Більше половини країн-членів ЄС також окремо зобов</w:t>
      </w:r>
      <w:r w:rsidR="00C631E2">
        <w:rPr>
          <w:rFonts w:eastAsiaTheme="minorHAnsi"/>
          <w:sz w:val="28"/>
          <w:szCs w:val="22"/>
        </w:rPr>
        <w:t>’</w:t>
      </w:r>
      <w:r w:rsidRPr="00CD4776">
        <w:rPr>
          <w:rFonts w:eastAsiaTheme="minorHAnsi"/>
          <w:sz w:val="28"/>
          <w:szCs w:val="22"/>
        </w:rPr>
        <w:t xml:space="preserve">язалися </w:t>
      </w:r>
      <w:r w:rsidRPr="00CD4776">
        <w:rPr>
          <w:rFonts w:eastAsiaTheme="minorHAnsi"/>
          <w:sz w:val="28"/>
          <w:szCs w:val="22"/>
        </w:rPr>
        <w:lastRenderedPageBreak/>
        <w:t>надати Україні військову техніку. Таким чином, вторгнення Росії різко змінило межі дій, які країни-члени були готові вжити у відповідь на зрив архітектури безпеки Європи.</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Протягом багатьох років країни-члени часто окреслювали значні прагнення щодо їхньої колективної безпеки та оборони, детально в Глобальній стратегії 2016 року та у «Стратегічному компасі» 2022 року, який було суттєво переглянуто перед публікацією у світлі вторгнення Росії в Україну. Розрив між амбіціями та реальністю призвів до частої критики, що зусилля ЄС у зовнішній політиці, політиці безпеки та оборони були неефективними та повільними, а також не мали достатньої військової ваги. Останніми роками в контексті прийняття рішень, що вимагає одностайності, посилення внутрішньої суперечки з боку окремих держав-членів, таких як Угорщина, стало додатковою перешкодою. Проте, незважаючи на всі ці виклики, непослідовності та невдачі, держави-члени продовжують вкладати значний час, зусилля, ресурси та амбіції у формування спільної зовнішньої політики ЄС</w:t>
      </w:r>
      <w:r w:rsidRPr="00DC61EB">
        <w:rPr>
          <w:rFonts w:eastAsiaTheme="minorHAnsi"/>
          <w:sz w:val="28"/>
          <w:szCs w:val="22"/>
        </w:rPr>
        <w:t xml:space="preserve"> (</w:t>
      </w:r>
      <w:r w:rsidRPr="00CD4776">
        <w:rPr>
          <w:rFonts w:eastAsiaTheme="minorHAnsi"/>
          <w:sz w:val="28"/>
          <w:szCs w:val="22"/>
        </w:rPr>
        <w:t>Мусієнко, 2024</w:t>
      </w:r>
      <w:r w:rsidRPr="00DC61EB">
        <w:rPr>
          <w:rFonts w:eastAsiaTheme="minorHAnsi"/>
          <w:sz w:val="28"/>
          <w:szCs w:val="22"/>
        </w:rPr>
        <w:t>)</w:t>
      </w:r>
      <w:r w:rsidRPr="00CD4776">
        <w:rPr>
          <w:rFonts w:eastAsiaTheme="minorHAnsi"/>
          <w:sz w:val="28"/>
          <w:szCs w:val="22"/>
        </w:rPr>
        <w:t>.</w:t>
      </w:r>
      <w:r w:rsidRPr="00CD4776">
        <w:rPr>
          <w:rFonts w:eastAsiaTheme="minorHAnsi"/>
          <w:sz w:val="28"/>
          <w:szCs w:val="22"/>
        </w:rPr>
        <w:tab/>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Система зовнішньої політики ЄС продовжує розвиватися, оскільки півстоліття зовнішньополітичної співпраці ЄС сприяло розвитку ключової спільної норми, яку можна охарактеризувати як колективну європейську відповідальність за дії. Це результат упорядкованої взаємодії держав-членів у системі формування колективної зовнішньої політики, що розвивається протягом останніх 50 років, зокрема в рамках СЗППБ та СПБО.</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Відповідь ЄС на вторгнення Росії в Україну є важливою подією, яка вимагає уважного вивчення характеру європейської зовнішньополітичної співпраці сьогодні. Така співпраця у 2022 році суттєво та процедурно відрізняється від того, що було під час Лісабонського договору, а також Ніццького, Амстердамського та Маастрихтського договорів. Завдяки інституціоналізації регулярних, інтенсивних і міжурядових відносин, що </w:t>
      </w:r>
      <w:r w:rsidRPr="00CD4776">
        <w:rPr>
          <w:rFonts w:eastAsiaTheme="minorHAnsi"/>
          <w:sz w:val="28"/>
          <w:szCs w:val="22"/>
        </w:rPr>
        <w:lastRenderedPageBreak/>
        <w:t>розвинулися між державами-членами, розвинулося почуття та норма колективної відповідальності. Дана колективна відповідальність завжди існувала і завжди однаково впливала на процеси формування політики (</w:t>
      </w:r>
      <w:r w:rsidRPr="00CD4776">
        <w:rPr>
          <w:rFonts w:eastAsiaTheme="minorHAnsi"/>
          <w:i/>
          <w:sz w:val="28"/>
          <w:szCs w:val="22"/>
        </w:rPr>
        <w:t>Підвищити потужність європейської оборони</w:t>
      </w:r>
      <w:r w:rsidRPr="00CD4776">
        <w:rPr>
          <w:rFonts w:eastAsiaTheme="minorHAnsi"/>
          <w:sz w:val="28"/>
          <w:szCs w:val="22"/>
        </w:rPr>
        <w:t xml:space="preserve">, 2023). </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Співпраця ЄС у зовнішній політиці базується не тільки на спільних інституційних структурах, але й на важливій колективній нормі, яка об</w:t>
      </w:r>
      <w:r w:rsidR="00C631E2">
        <w:rPr>
          <w:rFonts w:eastAsiaTheme="minorHAnsi"/>
          <w:sz w:val="28"/>
          <w:szCs w:val="22"/>
        </w:rPr>
        <w:t>’</w:t>
      </w:r>
      <w:r w:rsidRPr="00CD4776">
        <w:rPr>
          <w:rFonts w:eastAsiaTheme="minorHAnsi"/>
          <w:sz w:val="28"/>
          <w:szCs w:val="22"/>
        </w:rPr>
        <w:t>єднує держави-члени. Механізми прийняття рішень у зовнішній політиці та безпеці відрізняються від інших сфер політики ЄС, бо вони знаходяться поза правовими рамками Співтовариства. Ці механізми є міжурядовими, тобто мають більш інтенсивний та регулярний характер. Завдяки такому підходу, зовнішня політика і безпека залишаються окремими сферами, де країни-члени активно підтримують одне одного, хоча вони формально не інтегровані в правову систему ЄС. Попри те, що ці сфери не є частиною процесу європейської інтеграції, членство в ЄС все ж відіграє значну роль. Держави-члени діють по-іншому, ніж у звичайних міжнародних відносинах, через спільну структуру та часту взаємодію між собою. Ці інтенсивні зв</w:t>
      </w:r>
      <w:r w:rsidR="00C631E2">
        <w:rPr>
          <w:rFonts w:eastAsiaTheme="minorHAnsi"/>
          <w:sz w:val="28"/>
          <w:szCs w:val="22"/>
        </w:rPr>
        <w:t>’</w:t>
      </w:r>
      <w:r w:rsidRPr="00CD4776">
        <w:rPr>
          <w:rFonts w:eastAsiaTheme="minorHAnsi"/>
          <w:sz w:val="28"/>
          <w:szCs w:val="22"/>
        </w:rPr>
        <w:t xml:space="preserve">язки формують почуття колективної спільноти, навіть без чіткої ієрархії або примусового виконання рішень. Система зовнішньої політики ЄС продовжує розвиватися, незважаючи на суперечки між країнами-членами та труднощі у відповідях на міжнародні виклики. Її довговічність пояснюється колективною відповідальністю, яку відчувають держави-члени: вони прагнуть спільних дій, намагаючись зменшити розбіжності в поглядах і уникати розбіжностей у своїх зовнішньополітичних кроках </w:t>
      </w:r>
      <w:r w:rsidRPr="00DC61EB">
        <w:rPr>
          <w:rFonts w:eastAsiaTheme="minorHAnsi"/>
          <w:sz w:val="28"/>
          <w:szCs w:val="22"/>
        </w:rPr>
        <w:t>(</w:t>
      </w:r>
      <w:r w:rsidRPr="00CD4776">
        <w:rPr>
          <w:rFonts w:eastAsiaTheme="minorHAnsi"/>
          <w:sz w:val="28"/>
          <w:szCs w:val="22"/>
          <w:lang w:val="en-US"/>
        </w:rPr>
        <w:t>Maurer</w:t>
      </w:r>
      <w:r w:rsidRPr="00DC61EB">
        <w:rPr>
          <w:rFonts w:eastAsiaTheme="minorHAnsi"/>
          <w:sz w:val="28"/>
          <w:szCs w:val="22"/>
        </w:rPr>
        <w:t xml:space="preserve"> </w:t>
      </w:r>
      <w:r w:rsidRPr="00CD4776">
        <w:rPr>
          <w:rFonts w:eastAsiaTheme="minorHAnsi"/>
          <w:sz w:val="28"/>
          <w:szCs w:val="22"/>
          <w:lang w:val="en-US"/>
        </w:rPr>
        <w:t>et</w:t>
      </w:r>
      <w:r w:rsidRPr="00DC61EB">
        <w:rPr>
          <w:rFonts w:eastAsiaTheme="minorHAnsi"/>
          <w:sz w:val="28"/>
          <w:szCs w:val="22"/>
        </w:rPr>
        <w:t xml:space="preserve"> </w:t>
      </w:r>
      <w:r w:rsidRPr="00CD4776">
        <w:rPr>
          <w:rFonts w:eastAsiaTheme="minorHAnsi"/>
          <w:sz w:val="28"/>
          <w:szCs w:val="22"/>
          <w:lang w:val="en-US"/>
        </w:rPr>
        <w:t>al</w:t>
      </w:r>
      <w:r w:rsidRPr="00DC61EB">
        <w:rPr>
          <w:rFonts w:eastAsiaTheme="minorHAnsi"/>
          <w:sz w:val="28"/>
          <w:szCs w:val="22"/>
        </w:rPr>
        <w:t>., 2023)</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Те, що відрізняє колективну відповідальність від зобов</w:t>
      </w:r>
      <w:r w:rsidR="00C631E2">
        <w:rPr>
          <w:rFonts w:eastAsiaTheme="minorHAnsi"/>
          <w:sz w:val="28"/>
          <w:szCs w:val="22"/>
        </w:rPr>
        <w:t>’</w:t>
      </w:r>
      <w:r w:rsidRPr="00CD4776">
        <w:rPr>
          <w:rFonts w:eastAsiaTheme="minorHAnsi"/>
          <w:sz w:val="28"/>
          <w:szCs w:val="22"/>
        </w:rPr>
        <w:t xml:space="preserve">язань в рамках інших міжнародних організацій, таких як НАТО, полягає в тому, що ця відповідальність діяти колективно не є апріорі узгодженою або закріпленою в договорі (як, наприклад, стаття 5 Північноатлантичного договору). Скоріше це стало нормою серед держав-членів через їхню взаємодію з питань </w:t>
      </w:r>
      <w:r w:rsidRPr="00CD4776">
        <w:rPr>
          <w:rFonts w:eastAsiaTheme="minorHAnsi"/>
          <w:sz w:val="28"/>
          <w:szCs w:val="22"/>
        </w:rPr>
        <w:lastRenderedPageBreak/>
        <w:t xml:space="preserve">зовнішньої політики протягом кількох десятиліть. У преамбулі Договору про Європейський Союз проголошується, що держави-члени «сповнені рішучості здійснювати спільну зовнішню політику та політику безпеки», а статті 21(2) і 24(2) спрямовані на проведення спільної політики та співпраці. Незважаючи на те, що ці положення встановлюють рамки, які скеровують держави-члени в цьому напрямку, вони не містять конкретних вказівок щодо того, як це робити. Таким чином, лише завдяки постійній та інтенсивній взаємодії між державами-членами виникла колективна відповідальність, яка забезпечила відчутне формулювання цих положень договору. Колективна відповідальність діяти, крім того, не означає посилення зовнішньополітичної активності ЄС як колективу, скоріше це стосується посилення дій, які окремі держави-члени розглядають через їхню взаємодію одна з одною в системі зовнішньої політики </w:t>
      </w:r>
      <w:r w:rsidRPr="00DC61EB">
        <w:rPr>
          <w:rFonts w:eastAsiaTheme="minorHAnsi"/>
          <w:sz w:val="28"/>
          <w:szCs w:val="22"/>
        </w:rPr>
        <w:t>(</w:t>
      </w:r>
      <w:r w:rsidRPr="00CD4776">
        <w:rPr>
          <w:rFonts w:eastAsiaTheme="minorHAnsi"/>
          <w:sz w:val="28"/>
          <w:szCs w:val="22"/>
          <w:lang w:val="en-US"/>
        </w:rPr>
        <w:t>Maurer</w:t>
      </w:r>
      <w:r w:rsidRPr="00DC61EB">
        <w:rPr>
          <w:rFonts w:eastAsiaTheme="minorHAnsi"/>
          <w:sz w:val="28"/>
          <w:szCs w:val="22"/>
        </w:rPr>
        <w:t xml:space="preserve"> </w:t>
      </w:r>
      <w:r w:rsidRPr="00CD4776">
        <w:rPr>
          <w:rFonts w:eastAsiaTheme="minorHAnsi"/>
          <w:sz w:val="28"/>
          <w:szCs w:val="22"/>
          <w:lang w:val="en-US"/>
        </w:rPr>
        <w:t>et</w:t>
      </w:r>
      <w:r w:rsidRPr="00DC61EB">
        <w:rPr>
          <w:rFonts w:eastAsiaTheme="minorHAnsi"/>
          <w:sz w:val="28"/>
          <w:szCs w:val="22"/>
        </w:rPr>
        <w:t xml:space="preserve"> </w:t>
      </w:r>
      <w:r w:rsidRPr="00CD4776">
        <w:rPr>
          <w:rFonts w:eastAsiaTheme="minorHAnsi"/>
          <w:sz w:val="28"/>
          <w:szCs w:val="22"/>
          <w:lang w:val="en-US"/>
        </w:rPr>
        <w:t>al</w:t>
      </w:r>
      <w:r w:rsidRPr="00DC61EB">
        <w:rPr>
          <w:rFonts w:eastAsiaTheme="minorHAnsi"/>
          <w:sz w:val="28"/>
          <w:szCs w:val="22"/>
        </w:rPr>
        <w:t>., 2023)</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Ключовим моментом тут є те, що СЗППБ як система зовнішньої політики не просто агрегує елементи, але й уможливлює появу чогось поза межами будь-якого з цих елементів. Взаємозалежність і взаємодія між державами-членами дозволяють колективу досягати результатів, які виходять за межі суми індивідуальних внесків. Норма колективної відповідальності фіксує зміни в тому, як країни-члени думають про типи дій, необхідних у міжнародних справах через їхнє членство в СЗППБ та СПБО. Таким чином, зовнішньополітичний колектив ЄС відображає відповідальність, яку тепер несе кожна держава-член як частина цього колективу. Якби більшість продовжувала думати лише про те, що вони можуть зробити самостійно, малоймовірно, що як колектив вони могли б мислити «ширше». Тут важлива роль інституцій та акторів на рівні ЄС у заохоченні держав-членів прийняти та зануритися в колективну відповідальність. Вони не змушують і не можуть змушувати держави-члени рухатися в певному напрямку, але вони можуть сприяти появі колективного почуття, за якого держави-члени розвивають </w:t>
      </w:r>
      <w:r w:rsidRPr="00CD4776">
        <w:rPr>
          <w:rFonts w:eastAsiaTheme="minorHAnsi"/>
          <w:sz w:val="28"/>
          <w:szCs w:val="22"/>
        </w:rPr>
        <w:lastRenderedPageBreak/>
        <w:t xml:space="preserve">свою власну внутрішню мотивацію. Завдяки цьому країни-члени є важливим компонентом міжнародної ідентичності ЄС. Вони не ведуть переговори з ЄС як міжнародним актором – вони є центральними вузлами цієї колективної системи </w:t>
      </w:r>
      <w:r w:rsidRPr="00DC61EB">
        <w:rPr>
          <w:rFonts w:eastAsiaTheme="minorHAnsi"/>
          <w:sz w:val="28"/>
          <w:szCs w:val="22"/>
          <w:lang w:val="ru-RU"/>
        </w:rPr>
        <w:t>(</w:t>
      </w:r>
      <w:r w:rsidRPr="00CD4776">
        <w:rPr>
          <w:rFonts w:eastAsiaTheme="minorHAnsi"/>
          <w:sz w:val="28"/>
          <w:szCs w:val="22"/>
          <w:lang w:val="en-US"/>
        </w:rPr>
        <w:t>Maurer</w:t>
      </w:r>
      <w:r w:rsidRPr="00DC61EB">
        <w:rPr>
          <w:rFonts w:eastAsiaTheme="minorHAnsi"/>
          <w:sz w:val="28"/>
          <w:szCs w:val="22"/>
          <w:lang w:val="ru-RU"/>
        </w:rPr>
        <w:t xml:space="preserve"> </w:t>
      </w:r>
      <w:r w:rsidRPr="00CD4776">
        <w:rPr>
          <w:rFonts w:eastAsiaTheme="minorHAnsi"/>
          <w:sz w:val="28"/>
          <w:szCs w:val="22"/>
          <w:lang w:val="en-US"/>
        </w:rPr>
        <w:t>et</w:t>
      </w:r>
      <w:r w:rsidRPr="00DC61EB">
        <w:rPr>
          <w:rFonts w:eastAsiaTheme="minorHAnsi"/>
          <w:sz w:val="28"/>
          <w:szCs w:val="22"/>
          <w:lang w:val="ru-RU"/>
        </w:rPr>
        <w:t xml:space="preserve"> </w:t>
      </w:r>
      <w:r w:rsidRPr="00CD4776">
        <w:rPr>
          <w:rFonts w:eastAsiaTheme="minorHAnsi"/>
          <w:sz w:val="28"/>
          <w:szCs w:val="22"/>
          <w:lang w:val="en-US"/>
        </w:rPr>
        <w:t>al</w:t>
      </w:r>
      <w:r w:rsidRPr="00DC61EB">
        <w:rPr>
          <w:rFonts w:eastAsiaTheme="minorHAnsi"/>
          <w:sz w:val="28"/>
          <w:szCs w:val="22"/>
          <w:lang w:val="ru-RU"/>
        </w:rPr>
        <w:t>., 2023)</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У ЄС країни-члени погоджуються щодо колективних дій у рамках СЗППБ/СПБО, але потім ці країни-члени самі вирішують, як (і наскільки сильно) вони впроваджують і вводять у дію ці рішення за допомогою своїх національних інструментів.</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У 2022 році з</w:t>
      </w:r>
      <w:r w:rsidR="00C631E2">
        <w:rPr>
          <w:rFonts w:eastAsiaTheme="minorHAnsi"/>
          <w:sz w:val="28"/>
          <w:szCs w:val="22"/>
        </w:rPr>
        <w:t>’</w:t>
      </w:r>
      <w:r w:rsidRPr="00CD4776">
        <w:rPr>
          <w:rFonts w:eastAsiaTheme="minorHAnsi"/>
          <w:sz w:val="28"/>
          <w:szCs w:val="22"/>
        </w:rPr>
        <w:t>явилася чітка спільність колективної мети, коли всі країни-члени зробили внесок у допомогу Україні у захисті, навіть якщо результати здавалися різними для кожної країни-члена. Ця спільність цілей була також вражаючою через різні наслідки, з якими кожен зіткнувся в результаті, що особливо очевидно з точки зору узгоджених пакетів санкцій. Спільність цілей держав-членів була ще більш помітною у використанні ними ЄФМ. Мало використовуваний до російського вторгнення в лютому 2022 року, ЄФМ наразі використовувався п</w:t>
      </w:r>
      <w:r w:rsidR="00C631E2">
        <w:rPr>
          <w:rFonts w:eastAsiaTheme="minorHAnsi"/>
          <w:sz w:val="28"/>
          <w:szCs w:val="22"/>
        </w:rPr>
        <w:t>’</w:t>
      </w:r>
      <w:r w:rsidRPr="00CD4776">
        <w:rPr>
          <w:rFonts w:eastAsiaTheme="minorHAnsi"/>
          <w:sz w:val="28"/>
          <w:szCs w:val="22"/>
        </w:rPr>
        <w:t>ять разів, щоб надати кошти та обладнання на суму 2,5 мільярда євро для підтримки оборонних потреб України. Щоб пояснити цю цифру в контексті, вона перевищує індивідуальні оборонні бюджети 15 держав-членів, включаючи Угорщину, Португалію та країни Балтії (Курносенко, 2022).</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Відповідь ЄС на кризу в Україні 2022 року є прикладом спільності цілей. Не було жодних розбіжностей щодо необхідності швидкої та надійної відповіді, навіть якщо деколи напружено обговорювалися особливості та ефективність цієї реакції. Також немає жодних припущень про те, що ЄС візьме військову участь, оскільки НАТО було визнано належним форумом для обговорення будь-якої конкретної військової відповіді. Натомість платформа, надана ЄС для співпраці держав-членів, функціонує майже так, як </w:t>
      </w:r>
      <w:r w:rsidRPr="00CD4776">
        <w:rPr>
          <w:rFonts w:eastAsiaTheme="minorHAnsi"/>
          <w:sz w:val="28"/>
          <w:szCs w:val="22"/>
        </w:rPr>
        <w:lastRenderedPageBreak/>
        <w:t>це було задумано – як простір для обговорення та координації колективних відповідей, а також як засіб розробки інноваційних політичних підходів.</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Таким чином, поряд із великими та широкими пакетами санкцій, можна побачити, наприклад, використання ЄФМ, який залучив багато мільйонів євро для надання підтримки збройним силам України. Особливо варто відзначити те, що країни-члени ЄС погодилися розглядати колективне постачання оборонного обладнання та військову підтримку Україні як зовнішньополітичне рішення, яке здійснюється за допомогою інструментів зовнішньої політики, а не як питання оборонної політики. Крім того, враховувалися обмеження цивільних інструментів влади та обмеження прямого військового втручання, країни-члени та інституції ЄС змогли намітити третій шлях реагування на кризу (Курносенко, 2022).</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Дійсно, зараз виникає додаткове питання щодо того, чи спричинила війна Росії проти України зміну парадигми європейської військової безпеки, враховуючи поточні обмеження амбіцій ЄС щодо оборонної політики. Координація колективної європейської військової відповіді на Росію через НАТО, швидкі кроки Фінляндії та Швеції щодо забезпечення гарантій колективної оборони, які надає членство в НАТО, а також обсяг політичної та військової матеріальної підтримки США державам НАТО, які межують з Росією та Україною, стали драматичним повторенням першості трансатлантичного альянсу в європейській обороні та безпеці. Слід зазначити, що, незважаючи на те, що Комісія на чолі з Урсулою фон дер Ляйєн при вступі на посаду в 2019 році приділила увагу розробці оборонної політики ЄС, ця тема не була включена в звернення фон дер Ляйєн про стан Союзу в 2022 році </w:t>
      </w:r>
      <w:r w:rsidRPr="00DC61EB">
        <w:rPr>
          <w:rFonts w:eastAsiaTheme="minorHAnsi"/>
          <w:sz w:val="28"/>
          <w:szCs w:val="22"/>
        </w:rPr>
        <w:t>(</w:t>
      </w:r>
      <w:r w:rsidRPr="00CD4776">
        <w:rPr>
          <w:rFonts w:eastAsiaTheme="minorHAnsi"/>
          <w:i/>
          <w:sz w:val="28"/>
          <w:szCs w:val="22"/>
          <w:lang w:val="en-US"/>
        </w:rPr>
        <w:t>State</w:t>
      </w:r>
      <w:r w:rsidRPr="00DC61EB">
        <w:rPr>
          <w:rFonts w:eastAsiaTheme="minorHAnsi"/>
          <w:i/>
          <w:sz w:val="28"/>
          <w:szCs w:val="22"/>
        </w:rPr>
        <w:t xml:space="preserve"> </w:t>
      </w:r>
      <w:r w:rsidRPr="00CD4776">
        <w:rPr>
          <w:rFonts w:eastAsiaTheme="minorHAnsi"/>
          <w:i/>
          <w:sz w:val="28"/>
          <w:szCs w:val="22"/>
          <w:lang w:val="en-US"/>
        </w:rPr>
        <w:t>of</w:t>
      </w:r>
      <w:r w:rsidRPr="00DC61EB">
        <w:rPr>
          <w:rFonts w:eastAsiaTheme="minorHAnsi"/>
          <w:i/>
          <w:sz w:val="28"/>
          <w:szCs w:val="22"/>
        </w:rPr>
        <w:t xml:space="preserve"> </w:t>
      </w:r>
      <w:r w:rsidRPr="00CD4776">
        <w:rPr>
          <w:rFonts w:eastAsiaTheme="minorHAnsi"/>
          <w:i/>
          <w:sz w:val="28"/>
          <w:szCs w:val="22"/>
          <w:lang w:val="en-US"/>
        </w:rPr>
        <w:t>the</w:t>
      </w:r>
      <w:r w:rsidRPr="00DC61EB">
        <w:rPr>
          <w:rFonts w:eastAsiaTheme="minorHAnsi"/>
          <w:i/>
          <w:sz w:val="28"/>
          <w:szCs w:val="22"/>
        </w:rPr>
        <w:t xml:space="preserve"> </w:t>
      </w:r>
      <w:r w:rsidRPr="00CD4776">
        <w:rPr>
          <w:rFonts w:eastAsiaTheme="minorHAnsi"/>
          <w:i/>
          <w:sz w:val="28"/>
          <w:szCs w:val="22"/>
          <w:lang w:val="en-US"/>
        </w:rPr>
        <w:t>Union</w:t>
      </w:r>
      <w:r w:rsidRPr="00DC61EB">
        <w:rPr>
          <w:rFonts w:eastAsiaTheme="minorHAnsi"/>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Призми колективної відповідальності спонукають дивитися за рамки «розміру» як ключового показника лідерської спроможності та впливу, а натомість зосередитися на «бажанні» держав-членів розвивати та просувати </w:t>
      </w:r>
      <w:r w:rsidRPr="00CD4776">
        <w:rPr>
          <w:rFonts w:eastAsiaTheme="minorHAnsi"/>
          <w:sz w:val="28"/>
          <w:szCs w:val="22"/>
        </w:rPr>
        <w:lastRenderedPageBreak/>
        <w:t>значущі європейські зовнішньополітичні дії. Замість того, щоб розглядати систему зовнішньої політики ЄС як дію, спрямовану на «вирівнювання» великих і малих держав, її можна оцінити за ти, наскільки вона забезпечує «рівність можливостей» у плані впливу та лідерства. Різні держави-члени займаються та просувають певні політичні позиції з різних питань у різний час, залежно від важливості та негайності проблеми для них, тим часом рівні їм держави беруть до уваги їхні аргументи та, якщо це доречно, їх лідерство, розуміючи, що вони сприяють ширшій ефективності та цілеспрямованості колективної системи. Звичайно, такі держави, як Франція та Німеччина, які мають більшу пропускну здатність, зможуть втручатися у значно ширше коло питань. Однак ті, хто має певний тематичний чи географічний досвід, знання та інтереси, очікують, що їх почують і врахують у будь-якому остаточному рішенні (Віднянський, 2022).</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Це можна спостерігати у багатьох контекстах, наприклад, у польсько-шведському лідерстві у розвитку компоненту «східного партнерства» Європейської політики сусідства. Однак останнім часом це було продемонстровано в тому, як ЄС відповів на російське вторгнення в Україна. Ті країни-члени, які межують з Росією, зробили найбільш значну реакцію на місцях з точки зору частки біженців, яким було запропоновано притулок, або ступеня наданої військової підтримки, чи то в натуральній формі, чи як пропорцію національного оборонного бюджету. Ці держави, більшість із яких можна вважати меншими, також відіграли провідну роль у формуванні колективної відповіді ЄС. Особливо помітними були країни Балтії та Польща. Історично прагнучи більш жорсткої політики щодо Росії, особливо після 2014 року, з лютого 2022 року вони взяли на себе лідерство в постачанні військового обладнання в Україну та в наполяганні на тому, щоб ЄС припинив свою залежність від російських енергоносіїв. Вони також були в авангарді дипломатії «на місцях»</w:t>
      </w:r>
      <w:r w:rsidRPr="00DC61EB">
        <w:rPr>
          <w:rFonts w:eastAsiaTheme="minorHAnsi"/>
          <w:sz w:val="28"/>
          <w:szCs w:val="22"/>
        </w:rPr>
        <w:t xml:space="preserve"> (</w:t>
      </w:r>
      <w:r w:rsidRPr="00CD4776">
        <w:rPr>
          <w:rFonts w:eastAsiaTheme="minorHAnsi"/>
          <w:sz w:val="28"/>
          <w:szCs w:val="22"/>
          <w:lang w:val="en-US"/>
        </w:rPr>
        <w:t>Steiner</w:t>
      </w:r>
      <w:r w:rsidRPr="00DC61EB">
        <w:rPr>
          <w:rFonts w:eastAsiaTheme="minorHAnsi"/>
          <w:sz w:val="28"/>
          <w:szCs w:val="22"/>
        </w:rPr>
        <w:t xml:space="preserve"> </w:t>
      </w:r>
      <w:r w:rsidRPr="00CD4776">
        <w:rPr>
          <w:rFonts w:eastAsiaTheme="minorHAnsi"/>
          <w:sz w:val="28"/>
          <w:szCs w:val="22"/>
          <w:lang w:val="en-US"/>
        </w:rPr>
        <w:t>et</w:t>
      </w:r>
      <w:r w:rsidRPr="00DC61EB">
        <w:rPr>
          <w:rFonts w:eastAsiaTheme="minorHAnsi"/>
          <w:sz w:val="28"/>
          <w:szCs w:val="22"/>
        </w:rPr>
        <w:t xml:space="preserve"> </w:t>
      </w:r>
      <w:r w:rsidRPr="00CD4776">
        <w:rPr>
          <w:rFonts w:eastAsiaTheme="minorHAnsi"/>
          <w:sz w:val="28"/>
          <w:szCs w:val="22"/>
          <w:lang w:val="en-US"/>
        </w:rPr>
        <w:t>al</w:t>
      </w:r>
      <w:r w:rsidRPr="00DC61EB">
        <w:rPr>
          <w:rFonts w:eastAsiaTheme="minorHAnsi"/>
          <w:sz w:val="28"/>
          <w:szCs w:val="22"/>
        </w:rPr>
        <w:t>., 2023)</w:t>
      </w:r>
      <w:r w:rsidRPr="00CD4776">
        <w:rPr>
          <w:rFonts w:eastAsiaTheme="minorHAnsi"/>
          <w:sz w:val="28"/>
          <w:szCs w:val="22"/>
        </w:rPr>
        <w:t>.</w:t>
      </w:r>
    </w:p>
    <w:p w:rsidR="00CD4776" w:rsidRPr="00DC61EB" w:rsidRDefault="00CD4776" w:rsidP="00713BAF">
      <w:pPr>
        <w:spacing w:line="360" w:lineRule="auto"/>
        <w:ind w:firstLine="709"/>
        <w:rPr>
          <w:rFonts w:eastAsiaTheme="minorHAnsi"/>
          <w:b/>
          <w:bCs/>
          <w:sz w:val="28"/>
          <w:szCs w:val="22"/>
        </w:rPr>
      </w:pPr>
      <w:r w:rsidRPr="00CD4776">
        <w:rPr>
          <w:rFonts w:eastAsiaTheme="minorHAnsi"/>
          <w:sz w:val="28"/>
          <w:szCs w:val="22"/>
        </w:rPr>
        <w:lastRenderedPageBreak/>
        <w:t>Примітно, що Польща – протягом кількох років піддана зростаючому політичному тиску, а також судовим діям з боку інституцій ЄС за порушення верховенства права – була політичним лідером у розробці ряду відповідей ЄС, у тому числі щодо біженців, поряд із його Балтійськими ближніми сусідами. Дійсно, стійкість зусиль цих держав відрізнялася від уявної слабкості та малодушності Франції та Німеччини, і вони не соромилися критикувати Париж і Берлін за їхні відповідні зусилля зберегти дипломатичні зв</w:t>
      </w:r>
      <w:r w:rsidR="00C631E2">
        <w:rPr>
          <w:rFonts w:eastAsiaTheme="minorHAnsi"/>
          <w:sz w:val="28"/>
          <w:szCs w:val="22"/>
        </w:rPr>
        <w:t>’</w:t>
      </w:r>
      <w:r w:rsidRPr="00CD4776">
        <w:rPr>
          <w:rFonts w:eastAsiaTheme="minorHAnsi"/>
          <w:sz w:val="28"/>
          <w:szCs w:val="22"/>
        </w:rPr>
        <w:t>язки через діалог між лідерами з президента Путіна, а також їх повільність у наданні військової підтримки Києву. Агентство менших держав-членів також було висвітлено у спільному листі від 28 лютого 2022 року президентів країн Балтії, Словенії, Чехії, Словаччини, Болгарії та Польщі, у якому закликали негайно надати Україні статус кандидата в ЄС та відкриття переговорів про вступ. Така драматична і публічна пропаганда великої зовнішньополітичної ініціативи з боку ЄС призвела до значних змін у політиці, яким не змогли протистояти навіть країни ЄС, які традиційно найбільш фобічно ставилися до розширення, зокрема Франція, оскільки вони визнавали важливість представлення сильного, єдиного фронту на підтримку України</w:t>
      </w:r>
      <w:r w:rsidRPr="00DC61EB">
        <w:rPr>
          <w:rFonts w:eastAsiaTheme="minorHAnsi"/>
          <w:sz w:val="28"/>
          <w:szCs w:val="22"/>
        </w:rPr>
        <w:t xml:space="preserve"> (</w:t>
      </w:r>
      <w:r w:rsidRPr="00CD4776">
        <w:rPr>
          <w:rFonts w:eastAsiaTheme="minorHAnsi"/>
          <w:bCs/>
          <w:i/>
          <w:sz w:val="28"/>
          <w:szCs w:val="22"/>
          <w:lang w:val="en-US"/>
        </w:rPr>
        <w:t>Support</w:t>
      </w:r>
      <w:r w:rsidRPr="00DC61EB">
        <w:rPr>
          <w:rFonts w:eastAsiaTheme="minorHAnsi"/>
          <w:bCs/>
          <w:i/>
          <w:sz w:val="28"/>
          <w:szCs w:val="22"/>
        </w:rPr>
        <w:t xml:space="preserve"> </w:t>
      </w:r>
      <w:r w:rsidRPr="00CD4776">
        <w:rPr>
          <w:rFonts w:eastAsiaTheme="minorHAnsi"/>
          <w:bCs/>
          <w:i/>
          <w:sz w:val="28"/>
          <w:szCs w:val="22"/>
          <w:lang w:val="en-US"/>
        </w:rPr>
        <w:t>of</w:t>
      </w:r>
      <w:r w:rsidRPr="00DC61EB">
        <w:rPr>
          <w:rFonts w:eastAsiaTheme="minorHAnsi"/>
          <w:bCs/>
          <w:i/>
          <w:sz w:val="28"/>
          <w:szCs w:val="22"/>
        </w:rPr>
        <w:t xml:space="preserve"> </w:t>
      </w:r>
      <w:r w:rsidRPr="00CD4776">
        <w:rPr>
          <w:rFonts w:eastAsiaTheme="minorHAnsi"/>
          <w:bCs/>
          <w:i/>
          <w:sz w:val="28"/>
          <w:szCs w:val="22"/>
          <w:lang w:val="en-US"/>
        </w:rPr>
        <w:t>Ukraine</w:t>
      </w:r>
      <w:r w:rsidR="00C631E2" w:rsidRPr="00DC61EB">
        <w:rPr>
          <w:rFonts w:eastAsiaTheme="minorHAnsi"/>
          <w:bCs/>
          <w:i/>
          <w:sz w:val="28"/>
          <w:szCs w:val="22"/>
        </w:rPr>
        <w:t>’</w:t>
      </w:r>
      <w:r w:rsidRPr="00CD4776">
        <w:rPr>
          <w:rFonts w:eastAsiaTheme="minorHAnsi"/>
          <w:bCs/>
          <w:i/>
          <w:sz w:val="28"/>
          <w:szCs w:val="22"/>
          <w:lang w:val="en-US"/>
        </w:rPr>
        <w:t>s</w:t>
      </w:r>
      <w:r w:rsidRPr="00DC61EB">
        <w:rPr>
          <w:rFonts w:eastAsiaTheme="minorHAnsi"/>
          <w:bCs/>
          <w:i/>
          <w:sz w:val="28"/>
          <w:szCs w:val="22"/>
        </w:rPr>
        <w:t xml:space="preserve"> </w:t>
      </w:r>
      <w:r w:rsidRPr="00CD4776">
        <w:rPr>
          <w:rFonts w:eastAsiaTheme="minorHAnsi"/>
          <w:bCs/>
          <w:i/>
          <w:sz w:val="28"/>
          <w:szCs w:val="22"/>
          <w:lang w:val="en-US"/>
        </w:rPr>
        <w:t>swift</w:t>
      </w:r>
      <w:r w:rsidRPr="00DC61EB">
        <w:rPr>
          <w:rFonts w:eastAsiaTheme="minorHAnsi"/>
          <w:bCs/>
          <w:i/>
          <w:sz w:val="28"/>
          <w:szCs w:val="22"/>
        </w:rPr>
        <w:t xml:space="preserve"> </w:t>
      </w:r>
      <w:r w:rsidRPr="00CD4776">
        <w:rPr>
          <w:rFonts w:eastAsiaTheme="minorHAnsi"/>
          <w:bCs/>
          <w:i/>
          <w:sz w:val="28"/>
          <w:szCs w:val="22"/>
          <w:lang w:val="en-US"/>
        </w:rPr>
        <w:t>candidacy</w:t>
      </w:r>
      <w:r w:rsidRPr="00DC61EB">
        <w:rPr>
          <w:rFonts w:eastAsiaTheme="minorHAnsi"/>
          <w:bCs/>
          <w:i/>
          <w:sz w:val="28"/>
          <w:szCs w:val="22"/>
        </w:rPr>
        <w:t xml:space="preserve"> </w:t>
      </w:r>
      <w:r w:rsidRPr="00CD4776">
        <w:rPr>
          <w:rFonts w:eastAsiaTheme="minorHAnsi"/>
          <w:bCs/>
          <w:i/>
          <w:sz w:val="28"/>
          <w:szCs w:val="22"/>
          <w:lang w:val="en-US"/>
        </w:rPr>
        <w:t>to</w:t>
      </w:r>
      <w:r w:rsidRPr="00DC61EB">
        <w:rPr>
          <w:rFonts w:eastAsiaTheme="minorHAnsi"/>
          <w:bCs/>
          <w:i/>
          <w:sz w:val="28"/>
          <w:szCs w:val="22"/>
        </w:rPr>
        <w:t xml:space="preserve"> </w:t>
      </w:r>
      <w:r w:rsidRPr="00CD4776">
        <w:rPr>
          <w:rFonts w:eastAsiaTheme="minorHAnsi"/>
          <w:bCs/>
          <w:i/>
          <w:sz w:val="28"/>
          <w:szCs w:val="22"/>
          <w:lang w:val="en-US"/>
        </w:rPr>
        <w:t>the</w:t>
      </w:r>
      <w:r w:rsidRPr="00DC61EB">
        <w:rPr>
          <w:rFonts w:eastAsiaTheme="minorHAnsi"/>
          <w:bCs/>
          <w:i/>
          <w:sz w:val="28"/>
          <w:szCs w:val="22"/>
        </w:rPr>
        <w:t xml:space="preserve"> </w:t>
      </w:r>
      <w:r w:rsidRPr="00CD4776">
        <w:rPr>
          <w:rFonts w:eastAsiaTheme="minorHAnsi"/>
          <w:bCs/>
          <w:i/>
          <w:sz w:val="28"/>
          <w:szCs w:val="22"/>
          <w:lang w:val="en-US"/>
        </w:rPr>
        <w:t>EU</w:t>
      </w:r>
      <w:r w:rsidRPr="00DC61EB">
        <w:rPr>
          <w:rFonts w:eastAsiaTheme="minorHAnsi"/>
          <w:bCs/>
          <w:sz w:val="28"/>
          <w:szCs w:val="22"/>
        </w:rPr>
        <w:t>, 2022)</w:t>
      </w:r>
      <w:r w:rsidRPr="00CD4776">
        <w:rPr>
          <w:rFonts w:eastAsiaTheme="minorHAnsi"/>
          <w:sz w:val="28"/>
          <w:szCs w:val="22"/>
        </w:rPr>
        <w:t>.</w:t>
      </w:r>
    </w:p>
    <w:p w:rsidR="00CD4776" w:rsidRPr="00CD4776" w:rsidRDefault="00CD4776" w:rsidP="00713BAF">
      <w:pPr>
        <w:spacing w:line="360" w:lineRule="auto"/>
        <w:ind w:firstLine="709"/>
        <w:rPr>
          <w:rFonts w:eastAsiaTheme="minorHAnsi"/>
          <w:sz w:val="28"/>
          <w:szCs w:val="22"/>
        </w:rPr>
      </w:pPr>
      <w:r w:rsidRPr="00CD4776">
        <w:rPr>
          <w:rFonts w:eastAsiaTheme="minorHAnsi"/>
          <w:sz w:val="28"/>
          <w:szCs w:val="22"/>
        </w:rPr>
        <w:t>Відповідь ЄС на вторгнення Росії в Україну є своєчасною концентраційною подією, яка вимагає переосмислення передумов, які протягом десятиліть лежали в основі розуміння колективної європейської зовнішньої політики. За більш, ніж 50 років зовнішньополітичної співпраці виникла важлива норма, яка лежить в основі всіх дій держав-членів: колективна європейська відповідальність.</w:t>
      </w:r>
    </w:p>
    <w:p w:rsidR="00CD4776" w:rsidRDefault="00CD4776" w:rsidP="00713BAF">
      <w:pPr>
        <w:spacing w:line="360" w:lineRule="auto"/>
        <w:ind w:firstLine="709"/>
        <w:rPr>
          <w:rFonts w:eastAsiaTheme="minorHAnsi"/>
          <w:sz w:val="28"/>
          <w:szCs w:val="22"/>
        </w:rPr>
      </w:pPr>
      <w:r w:rsidRPr="00CD4776">
        <w:rPr>
          <w:rFonts w:eastAsiaTheme="minorHAnsi"/>
          <w:sz w:val="28"/>
          <w:szCs w:val="22"/>
        </w:rPr>
        <w:t xml:space="preserve">Контраст між реакцією ЄС на агресію Росії проти України в лютому 2022 року та її відповіддю на попередні вторгнення та анексію Криму є різким. У період після вторгнення Росії в лютому спостерігався вищий рівень колективної відповіді ЄС. Масштаб і розмах дій Росії, не в останню чергу як </w:t>
      </w:r>
      <w:r w:rsidRPr="00CD4776">
        <w:rPr>
          <w:rFonts w:eastAsiaTheme="minorHAnsi"/>
          <w:sz w:val="28"/>
          <w:szCs w:val="22"/>
        </w:rPr>
        <w:lastRenderedPageBreak/>
        <w:t>кульмінація розширеної схеми ворожих дій проти інших європейських держав після вторгнення в Грузію в 2008 році, безсумнівно, сприяли зміні точки зору країн-членів ЄС на свого найбільшого сусіда. Було ще раз продемонстровано додаткову цінність колективної здатності діяти та бути разом у випадках Brexit та пандемії COVID-19. Цей досвід ще більше посилив спільність цілей, втілених у зовнішньополітичному співробітництві ЄС, навіть якщо це не обов</w:t>
      </w:r>
      <w:r w:rsidR="00C631E2">
        <w:rPr>
          <w:rFonts w:eastAsiaTheme="minorHAnsi"/>
          <w:sz w:val="28"/>
          <w:szCs w:val="22"/>
        </w:rPr>
        <w:t>’</w:t>
      </w:r>
      <w:r w:rsidRPr="00CD4776">
        <w:rPr>
          <w:rFonts w:eastAsiaTheme="minorHAnsi"/>
          <w:sz w:val="28"/>
          <w:szCs w:val="22"/>
        </w:rPr>
        <w:t>язково спільність (або ефективність) результатів</w:t>
      </w:r>
      <w:r w:rsidRPr="00DC61EB">
        <w:rPr>
          <w:rFonts w:eastAsiaTheme="minorHAnsi"/>
          <w:sz w:val="28"/>
          <w:szCs w:val="22"/>
        </w:rPr>
        <w:t xml:space="preserve"> </w:t>
      </w:r>
      <w:r w:rsidRPr="00CD4776">
        <w:rPr>
          <w:rFonts w:eastAsiaTheme="minorHAnsi"/>
          <w:sz w:val="28"/>
          <w:szCs w:val="22"/>
        </w:rPr>
        <w:t>(Віднянський, 2022).</w:t>
      </w:r>
    </w:p>
    <w:p w:rsidR="00521003" w:rsidRPr="00CD4776" w:rsidRDefault="00CD4776" w:rsidP="00713BAF">
      <w:pPr>
        <w:spacing w:line="360" w:lineRule="auto"/>
        <w:ind w:firstLine="709"/>
        <w:rPr>
          <w:rFonts w:eastAsiaTheme="minorHAnsi"/>
          <w:sz w:val="28"/>
          <w:szCs w:val="22"/>
        </w:rPr>
      </w:pPr>
      <w:r w:rsidRPr="00CD4776">
        <w:rPr>
          <w:rFonts w:eastAsiaTheme="minorHAnsi"/>
          <w:sz w:val="28"/>
          <w:szCs w:val="22"/>
        </w:rPr>
        <w:t>На відміну від попередніх великих викликів колективній зовнішній політиці ЄС, таких як війни в колишній Югославії, Іраку чи Сирії, прагнення до колективної відповідальності за дії щодо України з лютого 2022 року було неминучим. Війна Росії проти України стала прозрінням зовнішньої політики ЄС у двох важливих сенсах. По-перше, характер порушення Росією європейського порядку безпеки зробив немислимою відсутність колективної політичної відповіді. ЄС, за необхідності, мав створити своєчасну зовнішньополітичну відповідь, і відсутність колективної позиції не було варіантом. По-друге, оскільки Росія глибоко переплетена з економікою, суспільством і системою безпеки держав-членів ЄС, її дії вимагали, у безпрецедентному ступені, відповіді ЄС у широкому діапазоні політичних сфер, включаючи торгівлю, енергетику, надання притулку та імміграцію, розширення і політики сусідства. Крім того, вплив російської агресії на українську державу та суспільство безпосередньо вплинув на функціонування ЄС як політичної спільноти, спровокувавши високий рівень реакції з боку держав-членів і між ними, щоб протистояти діям режиму російського уряду. Це ще більше загострило відчуття необхідності колективної відповіді – нормі, яка формувалася понад 50 років.</w:t>
      </w:r>
      <w:r w:rsidR="00521003">
        <w:rPr>
          <w:sz w:val="28"/>
          <w:szCs w:val="28"/>
        </w:rPr>
        <w:br w:type="page"/>
      </w:r>
    </w:p>
    <w:p w:rsidR="000F1E85" w:rsidRDefault="00521003" w:rsidP="000F1E85">
      <w:pPr>
        <w:spacing w:after="240" w:line="360" w:lineRule="auto"/>
        <w:jc w:val="center"/>
        <w:rPr>
          <w:sz w:val="28"/>
          <w:szCs w:val="28"/>
        </w:rPr>
      </w:pPr>
      <w:r>
        <w:rPr>
          <w:sz w:val="28"/>
          <w:szCs w:val="28"/>
        </w:rPr>
        <w:lastRenderedPageBreak/>
        <w:t>ВИСНОВКИ</w:t>
      </w:r>
    </w:p>
    <w:p w:rsidR="000F1E85" w:rsidRDefault="000F1E85" w:rsidP="000F1E85">
      <w:pPr>
        <w:spacing w:after="240" w:line="360" w:lineRule="auto"/>
        <w:jc w:val="center"/>
        <w:rPr>
          <w:sz w:val="28"/>
          <w:szCs w:val="28"/>
        </w:rPr>
      </w:pPr>
    </w:p>
    <w:p w:rsidR="000F1E85" w:rsidRDefault="000F1E85" w:rsidP="00C56D23">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Формування та еволюція Європейського Союзу та його безпекової системи всебічно досліджувалась </w:t>
      </w:r>
      <w:r w:rsidR="00C56D23">
        <w:rPr>
          <w:rFonts w:eastAsiaTheme="minorEastAsia"/>
          <w:sz w:val="28"/>
          <w:szCs w:val="22"/>
          <w:lang w:eastAsia="ja-JP"/>
        </w:rPr>
        <w:t xml:space="preserve">крізь призму різних теоретичних шкіл. </w:t>
      </w:r>
      <w:r w:rsidRPr="000F1E85">
        <w:rPr>
          <w:rFonts w:eastAsiaTheme="minorEastAsia"/>
          <w:sz w:val="28"/>
          <w:szCs w:val="22"/>
          <w:lang w:eastAsia="ja-JP"/>
        </w:rPr>
        <w:t>Але саме Ендрю Моравчик в межах ліберального міжурядового підходу підкреслив, що інтеграційні процеси визначаються збігом національних інтересів держав-членів, підкреслюючи, що внутрішня політика та пріоритети урядів, які спрямовані на збереження політичної влади, є основою для формування зовнішньополітичних рішень і подальшого міждержавного торгу. Цей підхід пояснює парадокс добровільного обмеження національної автономії задля переваг, які держави отримують через структуровану співпрацю в рамках інтеграційних інститутів. Держави-члени ЄС поступаються частиною суверенітету, аби закріпити свої зобов</w:t>
      </w:r>
      <w:r w:rsidR="00C631E2">
        <w:rPr>
          <w:rFonts w:eastAsiaTheme="minorEastAsia"/>
          <w:sz w:val="28"/>
          <w:szCs w:val="22"/>
          <w:lang w:eastAsia="ja-JP"/>
        </w:rPr>
        <w:t>’</w:t>
      </w:r>
      <w:r w:rsidRPr="000F1E85">
        <w:rPr>
          <w:rFonts w:eastAsiaTheme="minorEastAsia"/>
          <w:sz w:val="28"/>
          <w:szCs w:val="22"/>
          <w:lang w:eastAsia="ja-JP"/>
        </w:rPr>
        <w:t>язання щодо співпраці, зменшити трансакційні витрати та підвищити ефективність взаємодії. Однак європейські інституції виконують здебільшого адміністративну функцію, тоді як головна роль у досягненні інтеграції залишається за національними урядами, які керуються раціональними економічними та політичними інтересами.</w:t>
      </w:r>
    </w:p>
    <w:p w:rsidR="00D04DC1" w:rsidRDefault="004611C1" w:rsidP="00C56D23">
      <w:pPr>
        <w:spacing w:line="360" w:lineRule="auto"/>
        <w:ind w:firstLine="709"/>
        <w:rPr>
          <w:rFonts w:eastAsiaTheme="minorEastAsia"/>
          <w:sz w:val="28"/>
          <w:szCs w:val="22"/>
          <w:lang w:eastAsia="ja-JP"/>
        </w:rPr>
      </w:pPr>
      <w:r>
        <w:rPr>
          <w:rFonts w:eastAsiaTheme="minorEastAsia"/>
          <w:sz w:val="28"/>
          <w:szCs w:val="22"/>
          <w:lang w:eastAsia="ja-JP"/>
        </w:rPr>
        <w:t xml:space="preserve">Ступіть наукової розробки даного питання має досить високий рівень та досліджене всебічно як українськими, так й іноземними науковцями. Особливість досліджень українських авторів полягала у вивченні ролі ЄС у стабілізації безпеки в регіоні Східної Європи та реакції ЄС на російську агресію в України, через що загальний підхід до вивчення СЗППБ відносився на другий план. У свою чергу, зарубіжні дослідники приділяють більшу увагу системним проблемам СЗППБ, новим загрозам (міграція, кібербезпека) та впливу зовнішніх факторів (Росія та Китай), обмежуючи дослідження регіонального виміру європейської політики безпеки у східних регіонах. </w:t>
      </w:r>
      <w:r>
        <w:rPr>
          <w:rFonts w:eastAsiaTheme="minorEastAsia"/>
          <w:sz w:val="28"/>
          <w:szCs w:val="22"/>
          <w:lang w:eastAsia="ja-JP"/>
        </w:rPr>
        <w:lastRenderedPageBreak/>
        <w:t>Новизна даної наукової роботи полягає в комплексному дослідженні усіх існуючих загроз європейській безпеці із залученням інтеграції українського досвіду, що став визначальним у виявленні ступені інтегрованості та єдності країн-членів ЄС перед обличчям реальних загроз.</w:t>
      </w:r>
    </w:p>
    <w:p w:rsidR="000F1E85" w:rsidRPr="000F1E85" w:rsidRDefault="000F1E85" w:rsidP="00C56D23">
      <w:pPr>
        <w:spacing w:line="360" w:lineRule="auto"/>
        <w:ind w:firstLine="709"/>
        <w:rPr>
          <w:rFonts w:eastAsiaTheme="minorEastAsia"/>
          <w:sz w:val="28"/>
          <w:szCs w:val="22"/>
          <w:lang w:eastAsia="ja-JP"/>
        </w:rPr>
      </w:pPr>
      <w:r w:rsidRPr="000F1E85">
        <w:rPr>
          <w:rFonts w:eastAsiaTheme="minorEastAsia"/>
          <w:sz w:val="28"/>
          <w:szCs w:val="22"/>
          <w:lang w:eastAsia="ja-JP"/>
        </w:rPr>
        <w:t>Спільна зовнішня політика та політика безпеки Європейського Союзу є одним із найамбітніших міжнародних проектів координації зусиль у сфері зовнішньої політики та безпеки в багатонаціональному контексті. Сформована через історичну необхідність та інституційну еволюцію, СЗППБ має на меті об</w:t>
      </w:r>
      <w:r w:rsidR="00C631E2">
        <w:rPr>
          <w:rFonts w:eastAsiaTheme="minorEastAsia"/>
          <w:sz w:val="28"/>
          <w:szCs w:val="22"/>
          <w:lang w:eastAsia="ja-JP"/>
        </w:rPr>
        <w:t>’</w:t>
      </w:r>
      <w:r w:rsidRPr="000F1E85">
        <w:rPr>
          <w:rFonts w:eastAsiaTheme="minorEastAsia"/>
          <w:sz w:val="28"/>
          <w:szCs w:val="22"/>
          <w:lang w:eastAsia="ja-JP"/>
        </w:rPr>
        <w:t>єднати держави-члени в рамках єдиної політики для ефективного реагування на глобальні загрози, що виникають. Витоки СЗППБ сягають європейських співтовариств в епоху після Другої світової війни, відображаючи потребу в колективній обороні та запобіганні виникненню нової безпекової загрози на європейському просторі. Ранні ініціативи, такі як Європейське оборонне співтовариство в 1950-х роках, прагнули інтегрувати оборону, але ці зусилля провалилися через відсутність спільного та єдиного консенсусу. Остаточне встановлення СЗППБ у Маастрихтському договорі (1993) було відповіддю на геополітичні зрушення, включно із закінченням холодної війни та розпадом Радянського Союзу, що створило вакуум безпеки та викликало занепокоєння щодо стабільності у Східній Європі.</w:t>
      </w:r>
    </w:p>
    <w:p w:rsidR="000F1E85" w:rsidRPr="000F1E85" w:rsidRDefault="000F1E85" w:rsidP="00C56D23">
      <w:pPr>
        <w:spacing w:line="360" w:lineRule="auto"/>
        <w:ind w:firstLine="709"/>
        <w:rPr>
          <w:rFonts w:eastAsiaTheme="minorEastAsia"/>
          <w:sz w:val="28"/>
          <w:szCs w:val="22"/>
          <w:lang w:eastAsia="ja-JP"/>
        </w:rPr>
      </w:pPr>
      <w:r w:rsidRPr="000F1E85">
        <w:rPr>
          <w:rFonts w:eastAsiaTheme="minorEastAsia"/>
          <w:sz w:val="28"/>
          <w:szCs w:val="22"/>
          <w:lang w:eastAsia="ja-JP"/>
        </w:rPr>
        <w:t>З самого початку СЗППБ була одним із трьох стовпів Європейського Союзу, поряд із юстицією та внутрішніми справами та Європейськими Співтовариствами. Ця структура дозволяла державам-членам переслідувати спільні зовнішньополітичні цілі, зберігаючи певний ступінь національного суверенітету. Відповідно до базової структури рішення СЗППБ вимагали одностайної згоди, однак базова система створила проблеми в досягненні швидкого та єдиного реагування через різне спрямування національних інтересів та різне сприйняття загроз серед членів.</w:t>
      </w:r>
    </w:p>
    <w:p w:rsidR="000F1E85" w:rsidRPr="000F1E85" w:rsidRDefault="000F1E85" w:rsidP="002F2633">
      <w:pPr>
        <w:spacing w:line="360" w:lineRule="auto"/>
        <w:ind w:firstLine="709"/>
        <w:rPr>
          <w:rFonts w:eastAsiaTheme="minorEastAsia"/>
          <w:sz w:val="28"/>
          <w:szCs w:val="22"/>
          <w:lang w:eastAsia="ja-JP"/>
        </w:rPr>
      </w:pPr>
      <w:r w:rsidRPr="000F1E85">
        <w:rPr>
          <w:rFonts w:eastAsiaTheme="minorEastAsia"/>
          <w:sz w:val="28"/>
          <w:szCs w:val="22"/>
          <w:lang w:eastAsia="ja-JP"/>
        </w:rPr>
        <w:lastRenderedPageBreak/>
        <w:t>СЗППБ охоплює кілька ключових елементів, які дозволяють ЄС ефективно досягати своїх зовнішньополітичних цілей. Серед них – Спільна політика безпеки та оборони, яка забезпечує основу для оборонного співробітництва та військових місій. СПБО займає центральне місце в оборонному мандаті СЗППБ, надаючи оперативні інструменти для врегулювання криз, підтримки миру та ініціатив колективної оборони. СПБО дозволяє виконувати місії під керівництвом ЄС у всьому світі, від стабілізації конфлікту на Західних Балканах до операцій з боротьби з піратством біля узбережжя Сомалі. Політика також сприяє співпраці з НАТО, забезпечуючи додаткові можливості та підтримку західного фронту.</w:t>
      </w:r>
    </w:p>
    <w:p w:rsidR="000F1E85" w:rsidRPr="000F1E85" w:rsidRDefault="000F1E85" w:rsidP="002F2633">
      <w:pPr>
        <w:spacing w:line="360" w:lineRule="auto"/>
        <w:ind w:firstLine="709"/>
        <w:rPr>
          <w:rFonts w:eastAsiaTheme="minorEastAsia"/>
          <w:sz w:val="28"/>
          <w:szCs w:val="22"/>
          <w:lang w:eastAsia="ja-JP"/>
        </w:rPr>
      </w:pPr>
      <w:r w:rsidRPr="000F1E85">
        <w:rPr>
          <w:rFonts w:eastAsiaTheme="minorEastAsia"/>
          <w:sz w:val="28"/>
          <w:szCs w:val="22"/>
          <w:lang w:eastAsia="ja-JP"/>
        </w:rPr>
        <w:t>Іншим важливим елементом є Європейська стратегія безпеки, яка вперше була прийнята в 2003 році та переглянута в 2016 році як Глобальна стратегія зовнішньої політики та політики безпеки Європейського Союзу. Ці стратегії визначають такі загрози, як тероризм, розповсюдження зброї масового знищення, регіональні конфлікти та кіберзагрози, спрямовуючи дії та адаптацію політики ЄС у відповідь на зміну глобальної динаміки. У 2022 році у відповідь на геополітичне полотно, що змінюється, був переглянутий та прийнятий «Стратегічний компас» з урахуванням усвідомлення необхідності єдиного безпекового та оборонного фронту ЄС. Європейські стратегії безпеки керували еволюцією СЗППБ, визначаючи пріоритети загроз у європейському контексті. Європейська стратегія безпеки 2003 року ознаменувала значну зміну підходу ЄС, наголошуючи на необхідності превентивного залучення та стратегічного партнерства. Наступна Глобальна стратегія 2016 року визнала виклики, пов</w:t>
      </w:r>
      <w:r w:rsidR="00C631E2">
        <w:rPr>
          <w:rFonts w:eastAsiaTheme="minorEastAsia"/>
          <w:sz w:val="28"/>
          <w:szCs w:val="22"/>
          <w:lang w:eastAsia="ja-JP"/>
        </w:rPr>
        <w:t>’</w:t>
      </w:r>
      <w:r w:rsidRPr="000F1E85">
        <w:rPr>
          <w:rFonts w:eastAsiaTheme="minorEastAsia"/>
          <w:sz w:val="28"/>
          <w:szCs w:val="22"/>
          <w:lang w:eastAsia="ja-JP"/>
        </w:rPr>
        <w:t>язані з більш взаємопов</w:t>
      </w:r>
      <w:r w:rsidR="00C631E2">
        <w:rPr>
          <w:rFonts w:eastAsiaTheme="minorEastAsia"/>
          <w:sz w:val="28"/>
          <w:szCs w:val="22"/>
          <w:lang w:eastAsia="ja-JP"/>
        </w:rPr>
        <w:t>’</w:t>
      </w:r>
      <w:r w:rsidRPr="000F1E85">
        <w:rPr>
          <w:rFonts w:eastAsiaTheme="minorEastAsia"/>
          <w:sz w:val="28"/>
          <w:szCs w:val="22"/>
          <w:lang w:eastAsia="ja-JP"/>
        </w:rPr>
        <w:t>язаним світом, виділяючи тероризм, міграційний тиск і гібридну війну як головні виклики.</w:t>
      </w:r>
    </w:p>
    <w:p w:rsidR="000F1E85" w:rsidRPr="000F1E85" w:rsidRDefault="000F1E85" w:rsidP="002F2633">
      <w:pPr>
        <w:spacing w:line="360" w:lineRule="auto"/>
        <w:ind w:firstLine="709"/>
        <w:rPr>
          <w:rFonts w:eastAsiaTheme="minorEastAsia"/>
          <w:sz w:val="28"/>
          <w:szCs w:val="22"/>
          <w:lang w:eastAsia="ja-JP"/>
        </w:rPr>
      </w:pPr>
      <w:r w:rsidRPr="000F1E85">
        <w:rPr>
          <w:rFonts w:eastAsiaTheme="minorEastAsia"/>
          <w:sz w:val="28"/>
          <w:szCs w:val="22"/>
          <w:lang w:eastAsia="ja-JP"/>
        </w:rPr>
        <w:t xml:space="preserve">Протягом десятиліть СЗППБ розвивалася як шляхом реформування політики, так і через стратегічне переналагодження у відповідь на нові </w:t>
      </w:r>
      <w:r w:rsidRPr="000F1E85">
        <w:rPr>
          <w:rFonts w:eastAsiaTheme="minorEastAsia"/>
          <w:sz w:val="28"/>
          <w:szCs w:val="22"/>
          <w:lang w:eastAsia="ja-JP"/>
        </w:rPr>
        <w:lastRenderedPageBreak/>
        <w:t>виклики. Лісабонський договір 2009 року ознаменував вирішальний поворотний момент, посиливши інституційну спроможність СЗППБ шляхом створення посади Верховного представника з питань закордонних справ і політики безпеки та створення Європейської служби зовнішніх дій. Ці події оптимізували процес прийняття рішень, сприяючи єдиній зовнішньополітичній позиції ЄС. Оскільки геополітичне середовище стає все більш нестабільним, СЗППБ адаптувалася, щоб залишатися актуальною та ефективною, демонструючи свою здатність до стійкості перед обличчям мінливої динаміки безпеки.</w:t>
      </w:r>
    </w:p>
    <w:p w:rsidR="000F1E85" w:rsidRPr="000F1E85" w:rsidRDefault="000F1E85" w:rsidP="002F2633">
      <w:pPr>
        <w:spacing w:line="360" w:lineRule="auto"/>
        <w:ind w:firstLine="709"/>
        <w:rPr>
          <w:rFonts w:eastAsiaTheme="minorEastAsia"/>
          <w:sz w:val="28"/>
          <w:szCs w:val="22"/>
          <w:lang w:eastAsia="ja-JP"/>
        </w:rPr>
      </w:pPr>
      <w:r w:rsidRPr="000F1E85">
        <w:rPr>
          <w:rFonts w:eastAsiaTheme="minorEastAsia"/>
          <w:sz w:val="28"/>
          <w:szCs w:val="22"/>
          <w:lang w:eastAsia="ja-JP"/>
        </w:rPr>
        <w:t>Наразі російсько-українська війна є одним із найважливіших викликів ЄС та випробувань здатності СЗППБ об</w:t>
      </w:r>
      <w:r w:rsidR="00C631E2">
        <w:rPr>
          <w:rFonts w:eastAsiaTheme="minorEastAsia"/>
          <w:sz w:val="28"/>
          <w:szCs w:val="22"/>
          <w:lang w:eastAsia="ja-JP"/>
        </w:rPr>
        <w:t>’</w:t>
      </w:r>
      <w:r w:rsidRPr="000F1E85">
        <w:rPr>
          <w:rFonts w:eastAsiaTheme="minorEastAsia"/>
          <w:sz w:val="28"/>
          <w:szCs w:val="22"/>
          <w:lang w:eastAsia="ja-JP"/>
        </w:rPr>
        <w:t xml:space="preserve">єднати країни-члени проти екзистенційної загрози європейській стабільності. Вторгнення Росії в Україну в 2022 році викликало в ЄС безпрецедентну згуртованість, оскільки країни-члени запровадили санкції, надали військову допомогу та розпочали гуманітарну підтримку для України. </w:t>
      </w:r>
      <w:r w:rsidR="00342190" w:rsidRPr="00342190">
        <w:rPr>
          <w:rFonts w:eastAsiaTheme="minorEastAsia"/>
          <w:sz w:val="28"/>
          <w:szCs w:val="22"/>
          <w:lang w:eastAsia="ja-JP"/>
        </w:rPr>
        <w:t>Хоча загалом ЄС діє як єдиний блок і приймає санкції колективно, не всі країни Союзу завжди демонструють повну єдність у питаннях санкцій проти Росії чи політики щодо неї.</w:t>
      </w:r>
      <w:r w:rsidR="00342190">
        <w:rPr>
          <w:rFonts w:eastAsiaTheme="minorEastAsia"/>
          <w:sz w:val="28"/>
          <w:szCs w:val="22"/>
          <w:lang w:eastAsia="ja-JP"/>
        </w:rPr>
        <w:t xml:space="preserve"> Наприклад, </w:t>
      </w:r>
      <w:r w:rsidR="00342190" w:rsidRPr="00342190">
        <w:rPr>
          <w:rFonts w:eastAsiaTheme="minorEastAsia"/>
          <w:sz w:val="28"/>
          <w:szCs w:val="22"/>
          <w:lang w:eastAsia="ja-JP"/>
        </w:rPr>
        <w:t>Угорщина під керівництвом прем’єр-міністра Віктора Орбана демонструє найбільш помітне відхилення. Будапешт часто виступає з критикою санкційної політики, аргументуючи це економічними збитками для своєї країни.</w:t>
      </w:r>
      <w:r w:rsidR="00342190">
        <w:rPr>
          <w:rFonts w:eastAsiaTheme="minorEastAsia"/>
          <w:sz w:val="28"/>
          <w:szCs w:val="22"/>
          <w:lang w:eastAsia="ja-JP"/>
        </w:rPr>
        <w:t xml:space="preserve"> Однак </w:t>
      </w:r>
      <w:r w:rsidR="00342190" w:rsidRPr="00342190">
        <w:rPr>
          <w:rFonts w:eastAsiaTheme="minorEastAsia"/>
          <w:sz w:val="28"/>
          <w:szCs w:val="22"/>
          <w:lang w:eastAsia="ja-JP"/>
        </w:rPr>
        <w:t>Польща, Литва, Латвія, та Естонія займають жорсткі позиції щодо Росії, активно закликаючи до посилення санкцій та підтримки України.</w:t>
      </w:r>
      <w:r w:rsidR="00342190">
        <w:rPr>
          <w:rFonts w:eastAsiaTheme="minorEastAsia"/>
          <w:sz w:val="28"/>
          <w:szCs w:val="22"/>
          <w:lang w:eastAsia="ja-JP"/>
        </w:rPr>
        <w:t xml:space="preserve"> Таким чином, р</w:t>
      </w:r>
      <w:r w:rsidRPr="000F1E85">
        <w:rPr>
          <w:rFonts w:eastAsiaTheme="minorEastAsia"/>
          <w:sz w:val="28"/>
          <w:szCs w:val="22"/>
          <w:lang w:eastAsia="ja-JP"/>
        </w:rPr>
        <w:t>осійська агресія сприяла витратам ЄС на оборону, спонукала до зусиль щодо переозброєння та розпалила дискусії щодо колективної оборони в рамках СПБО.</w:t>
      </w:r>
    </w:p>
    <w:p w:rsidR="00521003" w:rsidRPr="000F1E85" w:rsidRDefault="000F1E85" w:rsidP="000F1E85">
      <w:pPr>
        <w:spacing w:after="160" w:line="360" w:lineRule="auto"/>
        <w:ind w:firstLine="709"/>
        <w:rPr>
          <w:rFonts w:eastAsiaTheme="minorEastAsia"/>
          <w:sz w:val="28"/>
          <w:szCs w:val="22"/>
          <w:lang w:eastAsia="ja-JP"/>
        </w:rPr>
      </w:pPr>
      <w:r w:rsidRPr="000F1E85">
        <w:rPr>
          <w:rFonts w:eastAsiaTheme="minorEastAsia"/>
          <w:sz w:val="28"/>
          <w:szCs w:val="22"/>
          <w:lang w:eastAsia="ja-JP"/>
        </w:rPr>
        <w:t xml:space="preserve">Таким чином, СЗППБ лишається стійким свідченням відданості ЄС колективній безпеці та координації зовнішньої політики в епоху, позначену складними загрозами. У той час як історичні події стали каталізатором її </w:t>
      </w:r>
      <w:r w:rsidRPr="000F1E85">
        <w:rPr>
          <w:rFonts w:eastAsiaTheme="minorEastAsia"/>
          <w:sz w:val="28"/>
          <w:szCs w:val="22"/>
          <w:lang w:eastAsia="ja-JP"/>
        </w:rPr>
        <w:lastRenderedPageBreak/>
        <w:t>створення, СЗППБ адаптувалася до сучасних викликів, розширюючи сферу дії за допомогою стратегічних ініціатив та оперативних можливостей. Російсько-українська війна підкреслює критичну роль СЗППБ у підтримці європейської стабільності, демонструючи її здатність реагувати на миттєві кризи, одночасно адаптуючись до довгострокових потреб безпеки. Однак відсутність одностайності у прийнятті рішень, різна обороноспроможність та фінансові можливості створюють всередині Союзу відсутність спільного консенсусу та нерівність серед держав у баче</w:t>
      </w:r>
      <w:r>
        <w:rPr>
          <w:rFonts w:eastAsiaTheme="minorEastAsia"/>
          <w:sz w:val="28"/>
          <w:szCs w:val="22"/>
          <w:lang w:eastAsia="ja-JP"/>
        </w:rPr>
        <w:t>нні єдиної безпекової політики.</w:t>
      </w:r>
      <w:r w:rsidR="00521003">
        <w:rPr>
          <w:sz w:val="28"/>
          <w:szCs w:val="28"/>
        </w:rPr>
        <w:br w:type="page"/>
      </w:r>
    </w:p>
    <w:p w:rsidR="003D1A6F" w:rsidRDefault="00521003" w:rsidP="000F1E85">
      <w:pPr>
        <w:spacing w:after="240" w:line="360" w:lineRule="auto"/>
        <w:jc w:val="center"/>
        <w:rPr>
          <w:sz w:val="28"/>
          <w:szCs w:val="28"/>
        </w:rPr>
      </w:pPr>
      <w:r>
        <w:rPr>
          <w:sz w:val="28"/>
          <w:szCs w:val="28"/>
        </w:rPr>
        <w:lastRenderedPageBreak/>
        <w:t>СПИСОК ПОСИЛАНЬ</w:t>
      </w:r>
    </w:p>
    <w:p w:rsidR="003D1A6F" w:rsidRDefault="003D1A6F" w:rsidP="000F1E85">
      <w:pPr>
        <w:spacing w:after="240" w:line="360" w:lineRule="auto"/>
        <w:jc w:val="center"/>
        <w:rPr>
          <w:sz w:val="28"/>
          <w:szCs w:val="28"/>
        </w:rPr>
      </w:pPr>
    </w:p>
    <w:p w:rsidR="000A00B9" w:rsidRDefault="000A00B9" w:rsidP="002F2633">
      <w:pPr>
        <w:spacing w:line="360" w:lineRule="auto"/>
        <w:ind w:left="709" w:hanging="709"/>
        <w:rPr>
          <w:rStyle w:val="a7"/>
          <w:sz w:val="28"/>
          <w:szCs w:val="28"/>
        </w:rPr>
      </w:pPr>
      <w:r w:rsidRPr="003832B3">
        <w:rPr>
          <w:sz w:val="28"/>
          <w:szCs w:val="28"/>
        </w:rPr>
        <w:t xml:space="preserve">Александров, О. (2011). Щодо перспективи розробки нової редакції Європейської стратегії безпеки. Аналітична записка. </w:t>
      </w:r>
      <w:r w:rsidRPr="005121BE">
        <w:rPr>
          <w:i/>
          <w:sz w:val="28"/>
          <w:szCs w:val="28"/>
        </w:rPr>
        <w:t>National Institute for Strategic Studies</w:t>
      </w:r>
      <w:r w:rsidRPr="003832B3">
        <w:rPr>
          <w:sz w:val="28"/>
          <w:szCs w:val="28"/>
        </w:rPr>
        <w:t xml:space="preserve">. </w:t>
      </w:r>
      <w:r>
        <w:rPr>
          <w:sz w:val="28"/>
          <w:szCs w:val="28"/>
        </w:rPr>
        <w:t xml:space="preserve">Взято з </w:t>
      </w:r>
      <w:hyperlink r:id="rId8" w:history="1">
        <w:r w:rsidRPr="00843576">
          <w:rPr>
            <w:rStyle w:val="a7"/>
            <w:sz w:val="28"/>
            <w:szCs w:val="28"/>
          </w:rPr>
          <w:t>https://niss.gov.ua/doslidzhennya/nacionalna-bezpeka/schodo-perspektivi-rozrobki-novoi-redakcii-evropeyskoi-strategii</w:t>
        </w:r>
      </w:hyperlink>
    </w:p>
    <w:p w:rsidR="000A00B9" w:rsidRDefault="000A00B9" w:rsidP="002F2633">
      <w:pPr>
        <w:spacing w:line="360" w:lineRule="auto"/>
        <w:ind w:left="709" w:hanging="709"/>
        <w:rPr>
          <w:sz w:val="28"/>
          <w:szCs w:val="28"/>
        </w:rPr>
      </w:pPr>
      <w:r w:rsidRPr="005121BE">
        <w:rPr>
          <w:sz w:val="28"/>
          <w:szCs w:val="28"/>
        </w:rPr>
        <w:t>Біскоп, С. (2009). Основи оновленої Європейської стратегії безпеки.</w:t>
      </w:r>
      <w:r>
        <w:rPr>
          <w:sz w:val="28"/>
          <w:szCs w:val="28"/>
        </w:rPr>
        <w:t xml:space="preserve"> А</w:t>
      </w:r>
      <w:r w:rsidRPr="005121BE">
        <w:rPr>
          <w:sz w:val="28"/>
          <w:szCs w:val="28"/>
        </w:rPr>
        <w:t xml:space="preserve">налітичні матеріали. </w:t>
      </w:r>
      <w:r w:rsidRPr="005121BE">
        <w:rPr>
          <w:i/>
          <w:sz w:val="28"/>
          <w:szCs w:val="28"/>
        </w:rPr>
        <w:t>Вісник міжнародних організацій</w:t>
      </w:r>
      <w:r>
        <w:rPr>
          <w:sz w:val="28"/>
          <w:szCs w:val="28"/>
        </w:rPr>
        <w:t>,</w:t>
      </w:r>
      <w:r w:rsidRPr="005121BE">
        <w:rPr>
          <w:sz w:val="28"/>
          <w:szCs w:val="28"/>
        </w:rPr>
        <w:t xml:space="preserve"> (2), 105-120.</w:t>
      </w:r>
    </w:p>
    <w:p w:rsidR="000A00B9" w:rsidRDefault="000A00B9" w:rsidP="002F2633">
      <w:pPr>
        <w:spacing w:line="360" w:lineRule="auto"/>
        <w:ind w:left="709" w:hanging="709"/>
        <w:rPr>
          <w:sz w:val="28"/>
          <w:szCs w:val="28"/>
        </w:rPr>
      </w:pPr>
      <w:r>
        <w:rPr>
          <w:bCs/>
          <w:sz w:val="28"/>
        </w:rPr>
        <w:t xml:space="preserve">Відняньский, С. (2022). Україна – Європейський Союз: Новий етап взаємовідносин в умовах російсько-української війни 2014-2022 рр. </w:t>
      </w:r>
      <w:r w:rsidRPr="009B4C6F">
        <w:rPr>
          <w:bCs/>
          <w:i/>
          <w:sz w:val="28"/>
        </w:rPr>
        <w:t>Міжнародні зв</w:t>
      </w:r>
      <w:r w:rsidR="00C631E2">
        <w:rPr>
          <w:bCs/>
          <w:i/>
          <w:sz w:val="28"/>
        </w:rPr>
        <w:t>’</w:t>
      </w:r>
      <w:r w:rsidRPr="009B4C6F">
        <w:rPr>
          <w:bCs/>
          <w:i/>
          <w:sz w:val="28"/>
        </w:rPr>
        <w:t>язки України: наукові пошуки і знахідки</w:t>
      </w:r>
      <w:r w:rsidRPr="009B4C6F">
        <w:rPr>
          <w:bCs/>
          <w:sz w:val="28"/>
        </w:rPr>
        <w:t>,</w:t>
      </w:r>
      <w:r>
        <w:rPr>
          <w:bCs/>
          <w:sz w:val="28"/>
        </w:rPr>
        <w:t xml:space="preserve"> 31, 10-37.</w:t>
      </w:r>
    </w:p>
    <w:p w:rsidR="000A00B9" w:rsidRDefault="000A00B9" w:rsidP="002F2633">
      <w:pPr>
        <w:spacing w:line="360" w:lineRule="auto"/>
        <w:ind w:left="709" w:hanging="709"/>
        <w:rPr>
          <w:sz w:val="28"/>
          <w:szCs w:val="28"/>
        </w:rPr>
      </w:pPr>
      <w:r w:rsidRPr="003832B3">
        <w:rPr>
          <w:sz w:val="28"/>
          <w:szCs w:val="28"/>
        </w:rPr>
        <w:t xml:space="preserve">Горбач, Б., Сигідус, К. (2017). Порівняльний аналіз Європейської стратегії безпеки (2003) та Глобальної стратегії Європейського Союзу. </w:t>
      </w:r>
      <w:r w:rsidRPr="005121BE">
        <w:rPr>
          <w:i/>
          <w:sz w:val="28"/>
          <w:szCs w:val="28"/>
        </w:rPr>
        <w:t>Політичні науки</w:t>
      </w:r>
      <w:r w:rsidRPr="003832B3">
        <w:rPr>
          <w:sz w:val="28"/>
          <w:szCs w:val="28"/>
        </w:rPr>
        <w:t>, (3), 57-62.</w:t>
      </w:r>
    </w:p>
    <w:p w:rsidR="004906F3" w:rsidRPr="004906F3" w:rsidRDefault="004906F3" w:rsidP="004906F3">
      <w:pPr>
        <w:spacing w:line="360" w:lineRule="auto"/>
        <w:ind w:left="709" w:hanging="709"/>
        <w:rPr>
          <w:iCs/>
          <w:sz w:val="28"/>
          <w:szCs w:val="28"/>
        </w:rPr>
      </w:pPr>
      <w:r w:rsidRPr="004906F3">
        <w:rPr>
          <w:i/>
          <w:sz w:val="28"/>
          <w:szCs w:val="28"/>
        </w:rPr>
        <w:t>Європейська стратегія безпеки – Безпечна Європа у найкращому світі</w:t>
      </w:r>
      <w:r w:rsidRPr="004906F3">
        <w:rPr>
          <w:sz w:val="28"/>
          <w:szCs w:val="28"/>
        </w:rPr>
        <w:t>. (2009). Рада Європейського Союзу.</w:t>
      </w:r>
      <w:r>
        <w:rPr>
          <w:sz w:val="28"/>
          <w:szCs w:val="28"/>
        </w:rPr>
        <w:t xml:space="preserve"> Взято з </w:t>
      </w:r>
      <w:hyperlink r:id="rId9" w:history="1">
        <w:r w:rsidRPr="009F3910">
          <w:rPr>
            <w:rStyle w:val="a7"/>
            <w:sz w:val="28"/>
            <w:szCs w:val="28"/>
          </w:rPr>
          <w:t>https://www.consilium.europa.eu/en/documents-publications/publications/european-security-strategy-secure-europe-better-world/</w:t>
        </w:r>
      </w:hyperlink>
      <w:r>
        <w:rPr>
          <w:sz w:val="28"/>
          <w:szCs w:val="28"/>
        </w:rPr>
        <w:t xml:space="preserve"> </w:t>
      </w:r>
    </w:p>
    <w:p w:rsidR="002F4E03" w:rsidRDefault="002F4E03" w:rsidP="002F2633">
      <w:pPr>
        <w:spacing w:line="360" w:lineRule="auto"/>
        <w:ind w:left="709" w:hanging="709"/>
        <w:rPr>
          <w:bCs/>
          <w:sz w:val="28"/>
        </w:rPr>
      </w:pPr>
      <w:r>
        <w:rPr>
          <w:bCs/>
          <w:sz w:val="28"/>
        </w:rPr>
        <w:t xml:space="preserve">Коцур, Л. (2023). Стратегії підтримки України від ЄС та НАТО у відповідь на повномасштабну агресію Російської Федерації. </w:t>
      </w:r>
      <w:r w:rsidRPr="009B4C6F">
        <w:rPr>
          <w:bCs/>
          <w:i/>
          <w:sz w:val="28"/>
        </w:rPr>
        <w:t>Проблеми гуманітарних наук. Серія Історія</w:t>
      </w:r>
      <w:r>
        <w:rPr>
          <w:bCs/>
          <w:sz w:val="28"/>
        </w:rPr>
        <w:t>, 13(55), 177-193.</w:t>
      </w:r>
    </w:p>
    <w:p w:rsidR="002F4E03" w:rsidRDefault="002F4E03" w:rsidP="002F2633">
      <w:pPr>
        <w:spacing w:line="360" w:lineRule="auto"/>
        <w:ind w:left="709" w:hanging="709"/>
        <w:rPr>
          <w:bCs/>
          <w:sz w:val="28"/>
        </w:rPr>
      </w:pPr>
      <w:r>
        <w:rPr>
          <w:bCs/>
          <w:sz w:val="28"/>
        </w:rPr>
        <w:t xml:space="preserve">Курносенко, Л. (2022). Проблеми та особливості міжнародної фінансової підтримки України в умовах війни. </w:t>
      </w:r>
      <w:r w:rsidRPr="009B4C6F">
        <w:rPr>
          <w:bCs/>
          <w:i/>
          <w:sz w:val="28"/>
        </w:rPr>
        <w:t>Публічне управління та регіональний розвиток</w:t>
      </w:r>
      <w:r>
        <w:rPr>
          <w:bCs/>
          <w:sz w:val="28"/>
        </w:rPr>
        <w:t>, 1, 255-274.</w:t>
      </w:r>
    </w:p>
    <w:p w:rsidR="002F4E03" w:rsidRDefault="002F4E03" w:rsidP="002F2633">
      <w:pPr>
        <w:spacing w:line="360" w:lineRule="auto"/>
        <w:ind w:left="709" w:hanging="709"/>
        <w:rPr>
          <w:sz w:val="28"/>
          <w:szCs w:val="28"/>
        </w:rPr>
      </w:pPr>
      <w:r>
        <w:rPr>
          <w:bCs/>
          <w:sz w:val="28"/>
        </w:rPr>
        <w:t xml:space="preserve">Мусієнко, А. (2024). Колективна оборона Європейського Союзу: Міф чи реальність? </w:t>
      </w:r>
      <w:r w:rsidRPr="009B4C6F">
        <w:rPr>
          <w:bCs/>
          <w:i/>
          <w:iCs/>
          <w:sz w:val="28"/>
        </w:rPr>
        <w:t>Матеріали конференцій МЦНД</w:t>
      </w:r>
      <w:r>
        <w:rPr>
          <w:bCs/>
          <w:sz w:val="28"/>
        </w:rPr>
        <w:t>, 99-101.</w:t>
      </w:r>
    </w:p>
    <w:p w:rsidR="000A00B9" w:rsidRDefault="000A00B9" w:rsidP="002F2633">
      <w:pPr>
        <w:spacing w:line="360" w:lineRule="auto"/>
        <w:ind w:left="709" w:hanging="709"/>
        <w:rPr>
          <w:sz w:val="28"/>
          <w:szCs w:val="28"/>
        </w:rPr>
      </w:pPr>
      <w:r w:rsidRPr="001C61BA">
        <w:rPr>
          <w:bCs/>
          <w:i/>
          <w:sz w:val="28"/>
        </w:rPr>
        <w:lastRenderedPageBreak/>
        <w:t>Підвищити потужність європейської оборони</w:t>
      </w:r>
      <w:r>
        <w:rPr>
          <w:bCs/>
          <w:sz w:val="28"/>
        </w:rPr>
        <w:t xml:space="preserve">. (2023). Представництво Європейського Союзу в Україні. Взято з </w:t>
      </w:r>
      <w:hyperlink r:id="rId10" w:history="1">
        <w:r w:rsidRPr="00ED07E7">
          <w:rPr>
            <w:rStyle w:val="a7"/>
            <w:bCs/>
            <w:sz w:val="28"/>
          </w:rPr>
          <w:t>https://www.eeas.europa.eu/delegations/ukraine/%D0%BF%D1%96%D0%B4%D0%B2%D0%B8%D1%89%D0%B8%D1%82%D0%B8-%D0%BF%D0%BE%D1%82%D1%83%D0%B6%D0%BD%D1%96%D1%81%D1%82%D1%8C-%D1%94%D0%B2%D1%80%D0%BE%D0%BF%D0%B5%D0%B9%D1%81%D1%8C%D0%BA%D0%BE%D1%97-%D0%BE%D0%B1%D0%BE%D1%80%D0%BE%D0%BD%D0%B8_uk?s=232</w:t>
        </w:r>
      </w:hyperlink>
    </w:p>
    <w:p w:rsidR="000A00B9" w:rsidRPr="000A00B9" w:rsidRDefault="000A00B9" w:rsidP="002F2633">
      <w:pPr>
        <w:spacing w:line="360" w:lineRule="auto"/>
        <w:ind w:left="709" w:hanging="709"/>
        <w:rPr>
          <w:rFonts w:eastAsiaTheme="minorEastAsia"/>
          <w:sz w:val="28"/>
          <w:szCs w:val="28"/>
          <w:lang w:eastAsia="ja-JP"/>
        </w:rPr>
      </w:pPr>
      <w:r w:rsidRPr="000A00B9">
        <w:rPr>
          <w:rFonts w:eastAsiaTheme="minorEastAsia"/>
          <w:sz w:val="28"/>
          <w:szCs w:val="28"/>
          <w:lang w:eastAsia="ja-JP"/>
        </w:rPr>
        <w:t xml:space="preserve">Романова О.В. (2003). ЄС: зовнішній аспект внутрішньої безпеки в контексті сучасних загроз. </w:t>
      </w:r>
      <w:r w:rsidRPr="000A00B9">
        <w:rPr>
          <w:rFonts w:eastAsiaTheme="minorEastAsia"/>
          <w:i/>
          <w:sz w:val="28"/>
          <w:szCs w:val="28"/>
          <w:lang w:eastAsia="ja-JP"/>
        </w:rPr>
        <w:t>Дослідження світової політики</w:t>
      </w:r>
      <w:r w:rsidRPr="000A00B9">
        <w:rPr>
          <w:rFonts w:eastAsiaTheme="minorEastAsia"/>
          <w:sz w:val="28"/>
          <w:szCs w:val="28"/>
          <w:lang w:eastAsia="ja-JP"/>
        </w:rPr>
        <w:t>, (22), 62-68.</w:t>
      </w:r>
    </w:p>
    <w:p w:rsidR="00220C24" w:rsidRDefault="00220C24" w:rsidP="002F2633">
      <w:pPr>
        <w:spacing w:line="360" w:lineRule="auto"/>
        <w:ind w:left="709" w:hanging="709"/>
        <w:rPr>
          <w:iCs/>
          <w:sz w:val="28"/>
        </w:rPr>
      </w:pPr>
      <w:r>
        <w:rPr>
          <w:iCs/>
          <w:sz w:val="28"/>
        </w:rPr>
        <w:t xml:space="preserve">Середюк, Н.(2019). Роль ЄС у реформуванні системи цивільної безпеки в Україні. </w:t>
      </w:r>
      <w:r>
        <w:rPr>
          <w:i/>
          <w:iCs/>
          <w:sz w:val="28"/>
        </w:rPr>
        <w:t>Вісник НТУУ «КПІ»</w:t>
      </w:r>
      <w:r w:rsidRPr="00DE1199">
        <w:rPr>
          <w:i/>
          <w:iCs/>
          <w:sz w:val="28"/>
        </w:rPr>
        <w:t xml:space="preserve"> Політологія. Соціологія. Право</w:t>
      </w:r>
      <w:r>
        <w:rPr>
          <w:iCs/>
          <w:sz w:val="28"/>
        </w:rPr>
        <w:t>, 3(43), 197-202.</w:t>
      </w:r>
    </w:p>
    <w:p w:rsidR="00B71408" w:rsidRPr="00DC61EB" w:rsidRDefault="000A00B9" w:rsidP="002F2633">
      <w:pPr>
        <w:spacing w:line="360" w:lineRule="auto"/>
        <w:ind w:left="709" w:hanging="709"/>
        <w:rPr>
          <w:rFonts w:eastAsiaTheme="minorEastAsia"/>
          <w:sz w:val="28"/>
          <w:szCs w:val="22"/>
          <w:lang w:val="ru-RU" w:eastAsia="ja-JP"/>
        </w:rPr>
      </w:pPr>
      <w:r w:rsidRPr="005121BE">
        <w:rPr>
          <w:sz w:val="28"/>
          <w:szCs w:val="28"/>
        </w:rPr>
        <w:t xml:space="preserve">Талайко, Т. А. (2005). Війна в Іраку та трансатлантичні відносини. </w:t>
      </w:r>
      <w:r w:rsidRPr="005121BE">
        <w:rPr>
          <w:i/>
          <w:sz w:val="28"/>
          <w:szCs w:val="28"/>
        </w:rPr>
        <w:t>Журнал міжнародного права та міжнародних відносин</w:t>
      </w:r>
      <w:r w:rsidRPr="005121BE">
        <w:rPr>
          <w:sz w:val="28"/>
          <w:szCs w:val="28"/>
        </w:rPr>
        <w:t xml:space="preserve">, (2). Взято з </w:t>
      </w:r>
      <w:hyperlink r:id="rId11" w:history="1">
        <w:r w:rsidRPr="00843576">
          <w:rPr>
            <w:rStyle w:val="a7"/>
            <w:sz w:val="28"/>
            <w:szCs w:val="28"/>
          </w:rPr>
          <w:t>http://evolutio.info/ru/journal-menu/2005-2/2005-2-talayko</w:t>
        </w:r>
      </w:hyperlink>
    </w:p>
    <w:p w:rsidR="00B71408" w:rsidRPr="00B71408" w:rsidRDefault="00B71408" w:rsidP="002F2633">
      <w:pPr>
        <w:spacing w:line="360" w:lineRule="auto"/>
        <w:ind w:left="709" w:hanging="709"/>
        <w:rPr>
          <w:rFonts w:eastAsiaTheme="minorEastAsia"/>
          <w:sz w:val="28"/>
          <w:szCs w:val="28"/>
          <w:lang w:val="en-US" w:eastAsia="ja-JP"/>
        </w:rPr>
      </w:pPr>
      <w:r w:rsidRPr="00B71408">
        <w:rPr>
          <w:bCs/>
          <w:i/>
          <w:sz w:val="28"/>
          <w:szCs w:val="28"/>
          <w:lang w:val="en-US"/>
        </w:rPr>
        <w:t>A new strategic agenda 2019-2024</w:t>
      </w:r>
      <w:r w:rsidRPr="00B71408">
        <w:rPr>
          <w:b/>
          <w:bCs/>
          <w:sz w:val="28"/>
          <w:szCs w:val="28"/>
          <w:lang w:val="en-US"/>
        </w:rPr>
        <w:t>.</w:t>
      </w:r>
      <w:r w:rsidRPr="00B71408">
        <w:rPr>
          <w:sz w:val="28"/>
          <w:szCs w:val="28"/>
          <w:lang w:val="en-US"/>
        </w:rPr>
        <w:t xml:space="preserve"> (2019). European Council. Retrieved from </w:t>
      </w:r>
      <w:hyperlink r:id="rId12" w:tgtFrame="_new" w:history="1">
        <w:r w:rsidRPr="00B71408">
          <w:rPr>
            <w:color w:val="0000FF"/>
            <w:sz w:val="28"/>
            <w:szCs w:val="28"/>
            <w:u w:val="single"/>
            <w:lang w:val="en-US"/>
          </w:rPr>
          <w:t>https://www.consilium.europa.eu/en/press/press-releases/2019/06/20/a-new-strategic-agenda-2019-2024/</w:t>
        </w:r>
      </w:hyperlink>
    </w:p>
    <w:p w:rsidR="00B71408" w:rsidRPr="00B71408" w:rsidRDefault="00B71408" w:rsidP="002F2633">
      <w:pPr>
        <w:spacing w:line="360" w:lineRule="auto"/>
        <w:ind w:left="709" w:hanging="709"/>
        <w:rPr>
          <w:rFonts w:eastAsiaTheme="minorEastAsia"/>
          <w:sz w:val="28"/>
          <w:szCs w:val="28"/>
          <w:lang w:val="en-US" w:eastAsia="ja-JP"/>
        </w:rPr>
      </w:pPr>
      <w:r w:rsidRPr="00B71408">
        <w:rPr>
          <w:bCs/>
          <w:i/>
          <w:sz w:val="28"/>
          <w:szCs w:val="28"/>
          <w:lang w:val="en-US"/>
        </w:rPr>
        <w:t>A Strategic Compass for Security and Defence</w:t>
      </w:r>
      <w:r w:rsidRPr="00B71408">
        <w:rPr>
          <w:b/>
          <w:bCs/>
          <w:sz w:val="28"/>
          <w:szCs w:val="28"/>
          <w:lang w:val="en-US"/>
        </w:rPr>
        <w:t>.</w:t>
      </w:r>
      <w:r w:rsidRPr="00B71408">
        <w:rPr>
          <w:sz w:val="28"/>
          <w:szCs w:val="28"/>
          <w:lang w:val="en-US"/>
        </w:rPr>
        <w:t xml:space="preserve"> (2022). European Union External Action.</w:t>
      </w:r>
    </w:p>
    <w:p w:rsidR="00B71408" w:rsidRPr="004906F3" w:rsidRDefault="00B71408" w:rsidP="002F2633">
      <w:pPr>
        <w:spacing w:line="360" w:lineRule="auto"/>
        <w:ind w:left="709" w:hanging="709"/>
        <w:rPr>
          <w:rFonts w:eastAsiaTheme="minorEastAsia"/>
          <w:sz w:val="28"/>
          <w:szCs w:val="28"/>
          <w:lang w:eastAsia="ja-JP"/>
        </w:rPr>
      </w:pPr>
      <w:r w:rsidRPr="004906F3">
        <w:rPr>
          <w:sz w:val="28"/>
          <w:szCs w:val="28"/>
          <w:lang w:val="en-US"/>
        </w:rPr>
        <w:t>Akilatan, T. B. F. (2020). Liberal Intergovernmentalism: An Overview of Andrew Moravcsik</w:t>
      </w:r>
      <w:r w:rsidR="00C631E2" w:rsidRPr="004906F3">
        <w:rPr>
          <w:sz w:val="28"/>
          <w:szCs w:val="28"/>
          <w:lang w:val="en-US"/>
        </w:rPr>
        <w:t>’</w:t>
      </w:r>
      <w:r w:rsidRPr="004906F3">
        <w:rPr>
          <w:sz w:val="28"/>
          <w:szCs w:val="28"/>
          <w:lang w:val="en-US"/>
        </w:rPr>
        <w:t xml:space="preserve">s Contribution to International Relations. </w:t>
      </w:r>
      <w:r w:rsidR="004906F3">
        <w:rPr>
          <w:i/>
          <w:iCs/>
          <w:sz w:val="28"/>
          <w:szCs w:val="28"/>
          <w:lang w:val="en-US"/>
        </w:rPr>
        <w:t xml:space="preserve">SSRN Electronic Journal. </w:t>
      </w:r>
      <w:r w:rsidR="004906F3">
        <w:rPr>
          <w:iCs/>
          <w:sz w:val="28"/>
          <w:szCs w:val="28"/>
          <w:lang w:val="en-US"/>
        </w:rPr>
        <w:t xml:space="preserve">Retrieved from </w:t>
      </w:r>
      <w:hyperlink r:id="rId13" w:history="1">
        <w:r w:rsidR="004906F3" w:rsidRPr="009F3910">
          <w:rPr>
            <w:rStyle w:val="a7"/>
            <w:iCs/>
            <w:sz w:val="28"/>
            <w:szCs w:val="28"/>
            <w:lang w:val="en-US"/>
          </w:rPr>
          <w:t>https://papers.ssrn.com/sol3/papers.cfm?abstract_id=3772589</w:t>
        </w:r>
      </w:hyperlink>
      <w:r w:rsidR="004906F3">
        <w:rPr>
          <w:iCs/>
          <w:sz w:val="28"/>
          <w:szCs w:val="28"/>
          <w:lang w:val="en-US"/>
        </w:rPr>
        <w:t xml:space="preserve"> </w:t>
      </w:r>
    </w:p>
    <w:p w:rsidR="00B71408" w:rsidRP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lastRenderedPageBreak/>
        <w:t xml:space="preserve">Andersson, J., Brattberg, E., Haggqvish, M., Ojanen, H., Rhinard, M. (2011). The European Security Strategy: Reinvigorate, Revise or Reinvent? </w:t>
      </w:r>
      <w:r w:rsidRPr="00B71408">
        <w:rPr>
          <w:i/>
          <w:iCs/>
          <w:sz w:val="28"/>
          <w:szCs w:val="28"/>
          <w:lang w:val="en-US"/>
        </w:rPr>
        <w:t>Occasional Papers</w:t>
      </w:r>
      <w:r w:rsidRPr="00B71408">
        <w:rPr>
          <w:sz w:val="28"/>
          <w:szCs w:val="28"/>
          <w:lang w:val="en-US"/>
        </w:rPr>
        <w:t>, (7).</w:t>
      </w:r>
    </w:p>
    <w:p w:rsidR="00B71408" w:rsidRPr="00730ACE" w:rsidRDefault="00B71408" w:rsidP="002F2633">
      <w:pPr>
        <w:spacing w:line="360" w:lineRule="auto"/>
        <w:ind w:left="709" w:hanging="709"/>
        <w:rPr>
          <w:rFonts w:eastAsiaTheme="minorEastAsia"/>
          <w:sz w:val="28"/>
          <w:szCs w:val="28"/>
          <w:lang w:eastAsia="ja-JP"/>
        </w:rPr>
      </w:pPr>
      <w:r w:rsidRPr="00B71408">
        <w:rPr>
          <w:sz w:val="28"/>
          <w:szCs w:val="28"/>
          <w:lang w:val="en-US"/>
        </w:rPr>
        <w:t xml:space="preserve">Annual Progress Report on the Implementation of the Strategic Compass for Security and Defence. (2023). </w:t>
      </w:r>
      <w:r w:rsidRPr="002F2633">
        <w:rPr>
          <w:i/>
          <w:sz w:val="28"/>
          <w:szCs w:val="28"/>
          <w:lang w:val="en-US"/>
        </w:rPr>
        <w:t>Report of the High Representative of the Union for Foreign Affairs and</w:t>
      </w:r>
      <w:r w:rsidR="00730ACE">
        <w:rPr>
          <w:i/>
          <w:sz w:val="28"/>
          <w:szCs w:val="28"/>
          <w:lang w:val="en-US"/>
        </w:rPr>
        <w:t xml:space="preserve"> Security Policy to the Council. </w:t>
      </w:r>
      <w:r w:rsidR="00730ACE">
        <w:rPr>
          <w:sz w:val="28"/>
          <w:szCs w:val="28"/>
          <w:lang w:val="en-US"/>
        </w:rPr>
        <w:t xml:space="preserve">Retrieved from </w:t>
      </w:r>
      <w:hyperlink r:id="rId14" w:history="1">
        <w:r w:rsidR="00730ACE" w:rsidRPr="009F3910">
          <w:rPr>
            <w:rStyle w:val="a7"/>
            <w:sz w:val="28"/>
            <w:szCs w:val="28"/>
            <w:lang w:val="en-US"/>
          </w:rPr>
          <w:t>https://www.eeas.europa.eu/eeas/2023-annual-progress-report-implementation-strategic-compass-security-and-defence_en</w:t>
        </w:r>
      </w:hyperlink>
      <w:r w:rsidR="00730ACE">
        <w:rPr>
          <w:sz w:val="28"/>
          <w:szCs w:val="28"/>
          <w:lang w:val="en-US"/>
        </w:rPr>
        <w:t xml:space="preserve"> </w:t>
      </w:r>
    </w:p>
    <w:p w:rsidR="00B71408" w:rsidRPr="00730ACE"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Annual Progress Report on the Implementation of the Strategic Compass for Security and Defence. (2024). </w:t>
      </w:r>
      <w:r w:rsidRPr="002F2633">
        <w:rPr>
          <w:i/>
          <w:sz w:val="28"/>
          <w:szCs w:val="28"/>
          <w:lang w:val="en-US"/>
        </w:rPr>
        <w:t>Report of the High Representative of the Union for Foreign Affairs and Security Policy to the Council</w:t>
      </w:r>
      <w:r w:rsidRPr="00730ACE">
        <w:rPr>
          <w:i/>
          <w:sz w:val="28"/>
          <w:szCs w:val="28"/>
          <w:lang w:val="en-US"/>
        </w:rPr>
        <w:t>.</w:t>
      </w:r>
      <w:r w:rsidR="002F2633" w:rsidRPr="00730ACE">
        <w:rPr>
          <w:i/>
          <w:sz w:val="28"/>
          <w:szCs w:val="28"/>
        </w:rPr>
        <w:t xml:space="preserve"> </w:t>
      </w:r>
      <w:r w:rsidR="00730ACE" w:rsidRPr="00730ACE">
        <w:rPr>
          <w:sz w:val="28"/>
          <w:szCs w:val="28"/>
          <w:lang w:val="en-US"/>
        </w:rPr>
        <w:t>Retrieved from</w:t>
      </w:r>
      <w:r w:rsidR="00730ACE">
        <w:rPr>
          <w:sz w:val="28"/>
          <w:szCs w:val="28"/>
          <w:lang w:val="en-US"/>
        </w:rPr>
        <w:t xml:space="preserve"> </w:t>
      </w:r>
      <w:hyperlink r:id="rId15" w:history="1">
        <w:r w:rsidR="00730ACE" w:rsidRPr="009F3910">
          <w:rPr>
            <w:rStyle w:val="a7"/>
            <w:sz w:val="28"/>
            <w:szCs w:val="28"/>
            <w:lang w:val="en-US"/>
          </w:rPr>
          <w:t>https://www.eeas.europa.eu/eeas/2024-progress-report-implementation-strategic-compass-security-and-defence_en</w:t>
        </w:r>
      </w:hyperlink>
      <w:r w:rsidR="00730ACE">
        <w:rPr>
          <w:sz w:val="28"/>
          <w:szCs w:val="28"/>
          <w:lang w:val="en-US"/>
        </w:rPr>
        <w:t xml:space="preserve"> </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Bandeoglu, Z. (2014). The European Security Strategy: a </w:t>
      </w:r>
      <w:r w:rsidR="00C631E2">
        <w:rPr>
          <w:sz w:val="28"/>
          <w:szCs w:val="28"/>
          <w:lang w:val="en-US"/>
        </w:rPr>
        <w:t>‘</w:t>
      </w:r>
      <w:r w:rsidRPr="00B71408">
        <w:rPr>
          <w:sz w:val="28"/>
          <w:szCs w:val="28"/>
          <w:lang w:val="en-US"/>
        </w:rPr>
        <w:t>Conflict Prevention</w:t>
      </w:r>
      <w:r w:rsidR="00C631E2">
        <w:rPr>
          <w:sz w:val="28"/>
          <w:szCs w:val="28"/>
          <w:lang w:val="en-US"/>
        </w:rPr>
        <w:t>’</w:t>
      </w:r>
      <w:r w:rsidRPr="00B71408">
        <w:rPr>
          <w:sz w:val="28"/>
          <w:szCs w:val="28"/>
          <w:lang w:val="en-US"/>
        </w:rPr>
        <w:t xml:space="preserve"> Perspective in the Fight against </w:t>
      </w:r>
      <w:r w:rsidR="00C631E2">
        <w:rPr>
          <w:sz w:val="28"/>
          <w:szCs w:val="28"/>
          <w:lang w:val="en-US"/>
        </w:rPr>
        <w:t>‘</w:t>
      </w:r>
      <w:r w:rsidRPr="00B71408">
        <w:rPr>
          <w:sz w:val="28"/>
          <w:szCs w:val="28"/>
          <w:lang w:val="en-US"/>
        </w:rPr>
        <w:t>Asymmetric Threats</w:t>
      </w:r>
      <w:r w:rsidR="00C631E2">
        <w:rPr>
          <w:sz w:val="28"/>
          <w:szCs w:val="28"/>
          <w:lang w:val="en-US"/>
        </w:rPr>
        <w:t>’</w:t>
      </w:r>
      <w:r w:rsidRPr="00B71408">
        <w:rPr>
          <w:sz w:val="28"/>
          <w:szCs w:val="28"/>
          <w:lang w:val="en-US"/>
        </w:rPr>
        <w:t xml:space="preserve">. </w:t>
      </w:r>
      <w:r w:rsidRPr="00B71408">
        <w:rPr>
          <w:i/>
          <w:iCs/>
          <w:sz w:val="28"/>
          <w:szCs w:val="28"/>
          <w:lang w:val="en-US"/>
        </w:rPr>
        <w:t>Melikşah Üniversitesi Hukuk Fakültesi Dergisi</w:t>
      </w:r>
      <w:r w:rsidRPr="00B71408">
        <w:rPr>
          <w:sz w:val="28"/>
          <w:szCs w:val="28"/>
          <w:lang w:val="en-US"/>
        </w:rPr>
        <w:t>, (3), p. 83-110.</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Barron, K. (2022). The Annexation of Crimea and EU Sanctions: An Ineffective Response. </w:t>
      </w:r>
      <w:r w:rsidRPr="00B71408">
        <w:rPr>
          <w:i/>
          <w:iCs/>
          <w:sz w:val="28"/>
          <w:szCs w:val="28"/>
          <w:lang w:val="en-US"/>
        </w:rPr>
        <w:t>The Arbutus Review</w:t>
      </w:r>
      <w:r w:rsidRPr="00B71408">
        <w:rPr>
          <w:sz w:val="28"/>
          <w:szCs w:val="28"/>
          <w:lang w:val="en-US"/>
        </w:rPr>
        <w:t>, 13(1), 120-131.</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BBC. (2001). Gothenburg </w:t>
      </w:r>
      <w:r w:rsidR="00C631E2">
        <w:rPr>
          <w:sz w:val="28"/>
          <w:szCs w:val="28"/>
          <w:lang w:val="en-US"/>
        </w:rPr>
        <w:t>‘</w:t>
      </w:r>
      <w:r w:rsidRPr="00B71408">
        <w:rPr>
          <w:sz w:val="28"/>
          <w:szCs w:val="28"/>
          <w:lang w:val="en-US"/>
        </w:rPr>
        <w:t>under police siege</w:t>
      </w:r>
      <w:r w:rsidR="00C631E2">
        <w:rPr>
          <w:sz w:val="28"/>
          <w:szCs w:val="28"/>
          <w:lang w:val="en-US"/>
        </w:rPr>
        <w:t>’</w:t>
      </w:r>
      <w:r w:rsidRPr="00B71408">
        <w:rPr>
          <w:sz w:val="28"/>
          <w:szCs w:val="28"/>
          <w:lang w:val="en-US"/>
        </w:rPr>
        <w:t xml:space="preserve">. Home - BBC News. Retrieved from </w:t>
      </w:r>
      <w:hyperlink r:id="rId16" w:tgtFrame="_new" w:history="1">
        <w:r w:rsidRPr="00B71408">
          <w:rPr>
            <w:color w:val="0000FF"/>
            <w:sz w:val="28"/>
            <w:szCs w:val="28"/>
            <w:u w:val="single"/>
            <w:lang w:val="en-US"/>
          </w:rPr>
          <w:t>http://news.bbc.co.uk/2/hi/europe/1387960.stm</w:t>
        </w:r>
      </w:hyperlink>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Becker, J. (2017). In the Yugoslav Mirror: The EU Disintegration Crisis. </w:t>
      </w:r>
      <w:r w:rsidRPr="00B71408">
        <w:rPr>
          <w:i/>
          <w:iCs/>
          <w:sz w:val="28"/>
          <w:szCs w:val="28"/>
          <w:lang w:val="en-US"/>
        </w:rPr>
        <w:t>Globalizations</w:t>
      </w:r>
      <w:r w:rsidRPr="00B71408">
        <w:rPr>
          <w:sz w:val="28"/>
          <w:szCs w:val="28"/>
          <w:lang w:val="en-US"/>
        </w:rPr>
        <w:t>, 14(6), 840-850.</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Bendiek, A., Kaim, M. (2015). New European Security Strategy – The Transatlantic Factor. </w:t>
      </w:r>
      <w:r w:rsidRPr="00B71408">
        <w:rPr>
          <w:i/>
          <w:iCs/>
          <w:sz w:val="28"/>
          <w:szCs w:val="28"/>
          <w:lang w:val="en-US"/>
        </w:rPr>
        <w:t>SWP Comments</w:t>
      </w:r>
      <w:r w:rsidRPr="00B71408">
        <w:rPr>
          <w:sz w:val="28"/>
          <w:szCs w:val="28"/>
          <w:lang w:val="en-US"/>
        </w:rPr>
        <w:t>, (34).</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Bickerton, C. J., &amp; Hodson, D. (2015). The New Intergovernmentalism and the Study of European Integration. In </w:t>
      </w:r>
      <w:r w:rsidRPr="00B71408">
        <w:rPr>
          <w:i/>
          <w:iCs/>
          <w:sz w:val="28"/>
          <w:szCs w:val="28"/>
          <w:lang w:val="en-US"/>
        </w:rPr>
        <w:t>The New Intergovernmentalism</w:t>
      </w:r>
      <w:r w:rsidRPr="00B71408">
        <w:rPr>
          <w:sz w:val="28"/>
          <w:szCs w:val="28"/>
          <w:lang w:val="en-US"/>
        </w:rPr>
        <w:t xml:space="preserve"> (pp. 1-48). Oxford Academic.</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lastRenderedPageBreak/>
        <w:t xml:space="preserve">Biscop, S. (2004). The European Security Strategy Implementing a Distinctive Approach to Security. </w:t>
      </w:r>
      <w:r w:rsidRPr="00B71408">
        <w:rPr>
          <w:i/>
          <w:iCs/>
          <w:sz w:val="28"/>
          <w:szCs w:val="28"/>
          <w:lang w:val="en-US"/>
        </w:rPr>
        <w:t>Sécurité et Stratégie.</w:t>
      </w:r>
      <w:r w:rsidRPr="00B71408">
        <w:rPr>
          <w:sz w:val="28"/>
          <w:szCs w:val="28"/>
          <w:lang w:val="en-US"/>
        </w:rPr>
        <w:t xml:space="preserve"> Retrieved from </w:t>
      </w:r>
      <w:hyperlink r:id="rId17" w:tgtFrame="_new" w:history="1">
        <w:r w:rsidRPr="00B71408">
          <w:rPr>
            <w:color w:val="0000FF"/>
            <w:sz w:val="28"/>
            <w:szCs w:val="28"/>
            <w:u w:val="single"/>
            <w:lang w:val="en-US"/>
          </w:rPr>
          <w:t>https://www.egmontinstitute.be/content/uploads/2004/03/Artikel.ESS_.pdf?type=pdf</w:t>
        </w:r>
      </w:hyperlink>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Biscop, S. (2016). The EU Global Strategy: Realpolitik with European Characteristics. </w:t>
      </w:r>
      <w:r w:rsidRPr="00B71408">
        <w:rPr>
          <w:i/>
          <w:iCs/>
          <w:sz w:val="28"/>
          <w:szCs w:val="28"/>
          <w:lang w:val="en-US"/>
        </w:rPr>
        <w:t>Security Policy Brief</w:t>
      </w:r>
      <w:r w:rsidRPr="00B71408">
        <w:rPr>
          <w:sz w:val="28"/>
          <w:szCs w:val="28"/>
          <w:lang w:val="en-US"/>
        </w:rPr>
        <w:t>, (75).</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Bremberg, N., &amp; Hedling, E. (2022). EU missions and operations: practices of learning lessons in the CSDP. </w:t>
      </w:r>
      <w:r w:rsidRPr="00B71408">
        <w:rPr>
          <w:i/>
          <w:iCs/>
          <w:sz w:val="28"/>
          <w:szCs w:val="28"/>
          <w:lang w:val="en-US"/>
        </w:rPr>
        <w:t>The everyday making of EU foreign and security policy: Practices, Socialization and the Management of Dissent</w:t>
      </w:r>
      <w:r w:rsidRPr="00B71408">
        <w:rPr>
          <w:sz w:val="28"/>
          <w:szCs w:val="28"/>
          <w:lang w:val="en-US"/>
        </w:rPr>
        <w:t>, 131-148.</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Christiansen, T., Duke, S., &amp; Kirchner, E. (2012). Understanding and Assessing the Maastricht Treaty. </w:t>
      </w:r>
      <w:r w:rsidRPr="00B71408">
        <w:rPr>
          <w:i/>
          <w:iCs/>
          <w:sz w:val="28"/>
          <w:szCs w:val="28"/>
          <w:lang w:val="en-US"/>
        </w:rPr>
        <w:t>Journal of European Integration</w:t>
      </w:r>
      <w:r w:rsidRPr="00B71408">
        <w:rPr>
          <w:sz w:val="28"/>
          <w:szCs w:val="28"/>
          <w:lang w:val="en-US"/>
        </w:rPr>
        <w:t>, 34(7), 685-698.</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Cornish, P., Heller, R., Kahl, M., Knight, J., Tarhuni, A. (2008). Homeland Security and the European Security Strategy. Linking the Internal and External Dimensions of EU Counter-Terrorism Policy.</w:t>
      </w:r>
    </w:p>
    <w:p w:rsidR="00B71408" w:rsidRDefault="00B71408" w:rsidP="002F2633">
      <w:pPr>
        <w:spacing w:line="360" w:lineRule="auto"/>
        <w:ind w:left="709" w:hanging="709"/>
        <w:rPr>
          <w:rFonts w:eastAsiaTheme="minorEastAsia"/>
          <w:sz w:val="28"/>
          <w:szCs w:val="28"/>
          <w:lang w:val="en-US" w:eastAsia="ja-JP"/>
        </w:rPr>
      </w:pPr>
      <w:r w:rsidRPr="00B71408">
        <w:rPr>
          <w:i/>
          <w:sz w:val="28"/>
          <w:szCs w:val="28"/>
          <w:lang w:val="en-US"/>
        </w:rPr>
        <w:t>Denmark: Statement by the High Representative</w:t>
      </w:r>
      <w:r w:rsidRPr="00B71408">
        <w:rPr>
          <w:sz w:val="28"/>
          <w:szCs w:val="28"/>
          <w:lang w:val="en-US"/>
        </w:rPr>
        <w:t xml:space="preserve">. (2022). EEAS. Retrieved from </w:t>
      </w:r>
      <w:hyperlink r:id="rId18" w:tgtFrame="_new" w:history="1">
        <w:r w:rsidRPr="00B71408">
          <w:rPr>
            <w:color w:val="0000FF"/>
            <w:sz w:val="28"/>
            <w:szCs w:val="28"/>
            <w:u w:val="single"/>
            <w:lang w:val="en-US"/>
          </w:rPr>
          <w:t>https://www.eeas.europa.eu/eeas/denmark-statement-high-representative-outcome-referendum-opt-out-defence-matters_en</w:t>
        </w:r>
      </w:hyperlink>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Duke, S. (2008). The Future of EU-NATO Relations: A Case of Mutual Irrelevance Through Competition? </w:t>
      </w:r>
      <w:r w:rsidRPr="00B71408">
        <w:rPr>
          <w:i/>
          <w:iCs/>
          <w:sz w:val="28"/>
          <w:szCs w:val="28"/>
          <w:lang w:val="en-US"/>
        </w:rPr>
        <w:t>European Integration</w:t>
      </w:r>
      <w:r w:rsidRPr="00B71408">
        <w:rPr>
          <w:sz w:val="28"/>
          <w:szCs w:val="28"/>
          <w:lang w:val="en-US"/>
        </w:rPr>
        <w:t>, 30(1), 27-43.</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Estes, R. (1997). Social Development Trends in Europe, 1970-1994: Development Prospects for the New Europe. </w:t>
      </w:r>
      <w:r w:rsidRPr="00B71408">
        <w:rPr>
          <w:i/>
          <w:iCs/>
          <w:sz w:val="28"/>
          <w:szCs w:val="28"/>
          <w:lang w:val="en-US"/>
        </w:rPr>
        <w:t>Social Indicators Research</w:t>
      </w:r>
      <w:r w:rsidRPr="00B71408">
        <w:rPr>
          <w:sz w:val="28"/>
          <w:szCs w:val="28"/>
          <w:lang w:val="en-US"/>
        </w:rPr>
        <w:t>, 42(1), 1-19.</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Fiott, D. (2021). Strategic Compass: New bearings for EU security and defence? </w:t>
      </w:r>
      <w:r w:rsidRPr="00B71408">
        <w:rPr>
          <w:i/>
          <w:iCs/>
          <w:sz w:val="28"/>
          <w:szCs w:val="28"/>
          <w:lang w:val="en-US"/>
        </w:rPr>
        <w:t>European Union Institute for Security Studies</w:t>
      </w:r>
      <w:r w:rsidRPr="00B71408">
        <w:rPr>
          <w:sz w:val="28"/>
          <w:szCs w:val="28"/>
          <w:lang w:val="en-US"/>
        </w:rPr>
        <w:t>, Chaillot Paper 171.</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Gjoreski, I. (2022). Analysis of the Strategic Provisions of the EU Strategic Compass for Security and Defence. </w:t>
      </w:r>
      <w:r w:rsidRPr="00B71408">
        <w:rPr>
          <w:i/>
          <w:iCs/>
          <w:sz w:val="28"/>
          <w:szCs w:val="28"/>
          <w:lang w:val="en-US"/>
        </w:rPr>
        <w:t>International Scientific Journal</w:t>
      </w:r>
      <w:r w:rsidRPr="00B71408">
        <w:rPr>
          <w:sz w:val="28"/>
          <w:szCs w:val="28"/>
          <w:lang w:val="en-US"/>
        </w:rPr>
        <w:t>, 22(43), 69-88.</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lastRenderedPageBreak/>
        <w:t xml:space="preserve">Grager, N. (2016). European Security as Practice: EU-NATO communities of practice in the making? </w:t>
      </w:r>
      <w:r w:rsidRPr="00B71408">
        <w:rPr>
          <w:i/>
          <w:iCs/>
          <w:sz w:val="28"/>
          <w:szCs w:val="28"/>
          <w:lang w:val="en-US"/>
        </w:rPr>
        <w:t>European Security</w:t>
      </w:r>
      <w:r w:rsidRPr="00B71408">
        <w:rPr>
          <w:sz w:val="28"/>
          <w:szCs w:val="28"/>
          <w:lang w:val="en-US"/>
        </w:rPr>
        <w:t>, p. 478-501.</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Haugsdal, R. (2005). What explains the change of European Security Strategy? An analysis of European Security and Defense Policy (ESDP) after September 11th 2001.</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Hoek, P. (2003). Europe: the 1990s and beyond. </w:t>
      </w:r>
      <w:r w:rsidRPr="00B71408">
        <w:rPr>
          <w:i/>
          <w:iCs/>
          <w:sz w:val="28"/>
          <w:szCs w:val="28"/>
          <w:lang w:val="en-US"/>
        </w:rPr>
        <w:t>Journal of European Economy</w:t>
      </w:r>
      <w:r w:rsidRPr="00B71408">
        <w:rPr>
          <w:sz w:val="28"/>
          <w:szCs w:val="28"/>
          <w:lang w:val="en-US"/>
        </w:rPr>
        <w:t>, 2(1), 43-56.</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Howorth, J. (2000). Britain, France and the European Defence Initiative. </w:t>
      </w:r>
      <w:r w:rsidRPr="00B71408">
        <w:rPr>
          <w:i/>
          <w:iCs/>
          <w:sz w:val="28"/>
          <w:szCs w:val="28"/>
          <w:lang w:val="en-US"/>
        </w:rPr>
        <w:t>Survival</w:t>
      </w:r>
      <w:r w:rsidRPr="00B71408">
        <w:rPr>
          <w:sz w:val="28"/>
          <w:szCs w:val="28"/>
          <w:lang w:val="en-US"/>
        </w:rPr>
        <w:t>, 42(2), 33-55.</w:t>
      </w:r>
    </w:p>
    <w:p w:rsidR="00B71408" w:rsidRPr="002F2633" w:rsidRDefault="00B71408" w:rsidP="002F2633">
      <w:pPr>
        <w:spacing w:line="360" w:lineRule="auto"/>
        <w:ind w:left="709" w:hanging="709"/>
        <w:rPr>
          <w:rFonts w:eastAsiaTheme="minorEastAsia"/>
          <w:sz w:val="28"/>
          <w:szCs w:val="28"/>
          <w:lang w:eastAsia="ja-JP"/>
        </w:rPr>
      </w:pPr>
      <w:r w:rsidRPr="00B71408">
        <w:rPr>
          <w:sz w:val="28"/>
          <w:szCs w:val="28"/>
          <w:lang w:val="en-US"/>
        </w:rPr>
        <w:t xml:space="preserve">Jungmann, J. (2016). </w:t>
      </w:r>
      <w:r w:rsidRPr="009A5BBF">
        <w:rPr>
          <w:i/>
          <w:sz w:val="28"/>
          <w:szCs w:val="28"/>
          <w:lang w:val="en-US"/>
        </w:rPr>
        <w:t>The European Union</w:t>
      </w:r>
      <w:r w:rsidR="00C631E2" w:rsidRPr="009A5BBF">
        <w:rPr>
          <w:i/>
          <w:sz w:val="28"/>
          <w:szCs w:val="28"/>
          <w:lang w:val="en-US"/>
        </w:rPr>
        <w:t>’</w:t>
      </w:r>
      <w:r w:rsidRPr="009A5BBF">
        <w:rPr>
          <w:i/>
          <w:sz w:val="28"/>
          <w:szCs w:val="28"/>
          <w:lang w:val="en-US"/>
        </w:rPr>
        <w:t>s Relations with Ukraine. An Analysis of the EU</w:t>
      </w:r>
      <w:r w:rsidR="00C631E2" w:rsidRPr="009A5BBF">
        <w:rPr>
          <w:i/>
          <w:sz w:val="28"/>
          <w:szCs w:val="28"/>
          <w:lang w:val="en-US"/>
        </w:rPr>
        <w:t>’</w:t>
      </w:r>
      <w:r w:rsidRPr="009A5BBF">
        <w:rPr>
          <w:i/>
          <w:sz w:val="28"/>
          <w:szCs w:val="28"/>
          <w:lang w:val="en-US"/>
        </w:rPr>
        <w:t>s Foreign Policy towards Ukraine and the Outgoing Conflict</w:t>
      </w:r>
      <w:r w:rsidRPr="009A5BBF">
        <w:rPr>
          <w:sz w:val="28"/>
          <w:szCs w:val="28"/>
          <w:lang w:val="en-US"/>
        </w:rPr>
        <w:t>.</w:t>
      </w:r>
      <w:r w:rsidR="009A5BBF">
        <w:rPr>
          <w:sz w:val="28"/>
          <w:szCs w:val="28"/>
          <w:lang w:val="en-US"/>
        </w:rPr>
        <w:t xml:space="preserve"> </w:t>
      </w:r>
      <w:r w:rsidR="009A5BBF" w:rsidRPr="009A5BBF">
        <w:rPr>
          <w:sz w:val="28"/>
          <w:szCs w:val="28"/>
          <w:lang w:val="en-US"/>
        </w:rPr>
        <w:t>Aalborg Universitet.</w:t>
      </w:r>
    </w:p>
    <w:p w:rsidR="00B71408" w:rsidRPr="009A5BBF" w:rsidRDefault="00B71408" w:rsidP="002F2633">
      <w:pPr>
        <w:spacing w:line="360" w:lineRule="auto"/>
        <w:ind w:left="709" w:hanging="709"/>
        <w:rPr>
          <w:rFonts w:eastAsiaTheme="minorEastAsia"/>
          <w:sz w:val="28"/>
          <w:szCs w:val="28"/>
          <w:lang w:eastAsia="ja-JP"/>
        </w:rPr>
      </w:pPr>
      <w:r w:rsidRPr="009A5BBF">
        <w:rPr>
          <w:sz w:val="28"/>
          <w:szCs w:val="28"/>
          <w:lang w:val="en-US"/>
        </w:rPr>
        <w:t xml:space="preserve">Larive, M. (2012). </w:t>
      </w:r>
      <w:r w:rsidRPr="009A5BBF">
        <w:rPr>
          <w:i/>
          <w:sz w:val="28"/>
          <w:szCs w:val="28"/>
          <w:lang w:val="en-US"/>
        </w:rPr>
        <w:t>From Promoting Security to Enforcing It: The Integration of the European Secu</w:t>
      </w:r>
      <w:r w:rsidR="009A5BBF" w:rsidRPr="009A5BBF">
        <w:rPr>
          <w:i/>
          <w:sz w:val="28"/>
          <w:szCs w:val="28"/>
          <w:lang w:val="en-US"/>
        </w:rPr>
        <w:t>rity Strategy during Solana Era</w:t>
      </w:r>
      <w:r w:rsidR="009A5BBF">
        <w:rPr>
          <w:sz w:val="28"/>
          <w:szCs w:val="28"/>
          <w:lang w:val="en-US"/>
        </w:rPr>
        <w:t xml:space="preserve"> </w:t>
      </w:r>
      <w:r w:rsidR="009A5BBF" w:rsidRPr="009A5BBF">
        <w:rPr>
          <w:sz w:val="28"/>
          <w:szCs w:val="28"/>
          <w:lang w:val="en-GB"/>
        </w:rPr>
        <w:t>(Doctoral dissertation, University of Miami).</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Leonard, M., Gowan, R. (2004). Global Europe. Implementing the European Security Strategy. Retrieved from </w:t>
      </w:r>
      <w:hyperlink r:id="rId19" w:tgtFrame="_new" w:history="1">
        <w:r w:rsidRPr="00B71408">
          <w:rPr>
            <w:color w:val="0000FF"/>
            <w:sz w:val="28"/>
            <w:szCs w:val="28"/>
            <w:u w:val="single"/>
            <w:lang w:val="en-US"/>
          </w:rPr>
          <w:t>https://fpc.org.uk/wp-content/uploads/2006/09/187.pdf</w:t>
        </w:r>
      </w:hyperlink>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Lundin, L. E. (2012). From European Security Strategy to a European Global Strategy: Take II: Policy options. </w:t>
      </w:r>
      <w:r w:rsidRPr="00B71408">
        <w:rPr>
          <w:i/>
          <w:iCs/>
          <w:sz w:val="28"/>
          <w:szCs w:val="28"/>
          <w:lang w:val="en-US"/>
        </w:rPr>
        <w:t>Occasional papers</w:t>
      </w:r>
      <w:r w:rsidRPr="00B71408">
        <w:rPr>
          <w:sz w:val="28"/>
          <w:szCs w:val="28"/>
          <w:lang w:val="en-US"/>
        </w:rPr>
        <w:t>, (13).</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Maastricht Treaty. (1993). About Parliament. European Parliament. Retrieved from </w:t>
      </w:r>
      <w:hyperlink r:id="rId20" w:tgtFrame="_new" w:history="1">
        <w:r w:rsidRPr="00B71408">
          <w:rPr>
            <w:color w:val="0000FF"/>
            <w:sz w:val="28"/>
            <w:szCs w:val="28"/>
            <w:u w:val="single"/>
            <w:lang w:val="en-US"/>
          </w:rPr>
          <w:t>https://www.europarl.europa.eu/about-parliament/en/in-the-past/the-parliament-and-the-treaties/maastricht-treaty</w:t>
        </w:r>
      </w:hyperlink>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Maurer, H., Whitman, R., Wright, N. (2023). The EU and the invasion of Ukraine: a collective responsibility to act? </w:t>
      </w:r>
      <w:r w:rsidRPr="00B71408">
        <w:rPr>
          <w:i/>
          <w:iCs/>
          <w:sz w:val="28"/>
          <w:szCs w:val="28"/>
          <w:lang w:val="en-US"/>
        </w:rPr>
        <w:t>International Affairs</w:t>
      </w:r>
      <w:r w:rsidRPr="00B71408">
        <w:rPr>
          <w:sz w:val="28"/>
          <w:szCs w:val="28"/>
          <w:lang w:val="en-US"/>
        </w:rPr>
        <w:t>, 99(1), 219-238.</w:t>
      </w:r>
    </w:p>
    <w:p w:rsidR="00B7140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Merket, H. (2012). The European External Action Service and the Nexus between CFSP/CSDP and Development Cooperation. </w:t>
      </w:r>
      <w:r w:rsidRPr="00B71408">
        <w:rPr>
          <w:i/>
          <w:iCs/>
          <w:sz w:val="28"/>
          <w:szCs w:val="28"/>
          <w:lang w:val="en-US"/>
        </w:rPr>
        <w:t>European Foreign Affairs Review</w:t>
      </w:r>
      <w:r w:rsidRPr="00B71408">
        <w:rPr>
          <w:sz w:val="28"/>
          <w:szCs w:val="28"/>
          <w:lang w:val="en-US"/>
        </w:rPr>
        <w:t>, 17(4), 625-652.</w:t>
      </w:r>
    </w:p>
    <w:p w:rsidR="005018B8" w:rsidRPr="0069627F" w:rsidRDefault="00B71408" w:rsidP="0069627F">
      <w:pPr>
        <w:spacing w:line="360" w:lineRule="auto"/>
        <w:ind w:left="709" w:hanging="709"/>
        <w:rPr>
          <w:rFonts w:eastAsiaTheme="minorEastAsia"/>
          <w:sz w:val="28"/>
          <w:szCs w:val="28"/>
          <w:lang w:eastAsia="ja-JP"/>
        </w:rPr>
      </w:pPr>
      <w:r w:rsidRPr="00B71408">
        <w:rPr>
          <w:sz w:val="28"/>
          <w:szCs w:val="28"/>
          <w:lang w:val="en-US"/>
        </w:rPr>
        <w:lastRenderedPageBreak/>
        <w:t xml:space="preserve">Mogherini, F. (2016). </w:t>
      </w:r>
      <w:r w:rsidRPr="009730E6">
        <w:rPr>
          <w:i/>
          <w:sz w:val="28"/>
          <w:szCs w:val="28"/>
          <w:lang w:val="en-US"/>
        </w:rPr>
        <w:t>Shared Vision, Common Action: A Stronger Europe. A Global Strategy for the European Union</w:t>
      </w:r>
      <w:r w:rsidR="00C631E2" w:rsidRPr="009730E6">
        <w:rPr>
          <w:i/>
          <w:sz w:val="28"/>
          <w:szCs w:val="28"/>
          <w:lang w:val="en-US"/>
        </w:rPr>
        <w:t>’</w:t>
      </w:r>
      <w:r w:rsidRPr="009730E6">
        <w:rPr>
          <w:i/>
          <w:sz w:val="28"/>
          <w:szCs w:val="28"/>
          <w:lang w:val="en-US"/>
        </w:rPr>
        <w:t>s Foreign and Security Policy</w:t>
      </w:r>
      <w:r w:rsidRPr="009730E6">
        <w:rPr>
          <w:sz w:val="28"/>
          <w:szCs w:val="28"/>
          <w:lang w:val="en-US"/>
        </w:rPr>
        <w:t>.</w:t>
      </w:r>
      <w:r w:rsidR="009730E6">
        <w:rPr>
          <w:sz w:val="28"/>
          <w:szCs w:val="28"/>
          <w:lang w:val="en-US"/>
        </w:rPr>
        <w:t xml:space="preserve"> European Union Global Strategy.</w:t>
      </w:r>
      <w:r w:rsidR="0081723A">
        <w:rPr>
          <w:sz w:val="28"/>
          <w:szCs w:val="28"/>
          <w:lang w:val="en-US"/>
        </w:rPr>
        <w:t xml:space="preserve"> Retrieved from </w:t>
      </w:r>
      <w:hyperlink r:id="rId21" w:history="1">
        <w:r w:rsidR="0081723A" w:rsidRPr="009F3910">
          <w:rPr>
            <w:rStyle w:val="a7"/>
            <w:sz w:val="28"/>
            <w:szCs w:val="28"/>
            <w:lang w:val="en-US"/>
          </w:rPr>
          <w:t>https://www.eeas.europa.eu/sites/default/files/eugs_review_web_0.pdf</w:t>
        </w:r>
      </w:hyperlink>
      <w:r w:rsidR="0081723A">
        <w:rPr>
          <w:sz w:val="28"/>
          <w:szCs w:val="28"/>
          <w:lang w:val="en-US"/>
        </w:rPr>
        <w:t xml:space="preserve"> </w:t>
      </w:r>
    </w:p>
    <w:p w:rsidR="005018B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Moise, O. (2017). NATO-EU Partnership: Fostering Resilience for a Cooperative Security Space. </w:t>
      </w:r>
      <w:r w:rsidRPr="00B71408">
        <w:rPr>
          <w:i/>
          <w:iCs/>
          <w:sz w:val="28"/>
          <w:szCs w:val="28"/>
          <w:lang w:val="en-US"/>
        </w:rPr>
        <w:t>European Union at Crossroads: Building Resilience in Times of Change</w:t>
      </w:r>
      <w:r w:rsidRPr="00B71408">
        <w:rPr>
          <w:sz w:val="28"/>
          <w:szCs w:val="28"/>
          <w:lang w:val="en-US"/>
        </w:rPr>
        <w:t>, p. 131-148.</w:t>
      </w:r>
    </w:p>
    <w:p w:rsidR="005018B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Moravcsik, A. (1993). Preferences and power in the European Community: A liberal intergovernmentalist approach. </w:t>
      </w:r>
      <w:r w:rsidRPr="00B71408">
        <w:rPr>
          <w:i/>
          <w:iCs/>
          <w:sz w:val="28"/>
          <w:szCs w:val="28"/>
          <w:lang w:val="en-US"/>
        </w:rPr>
        <w:t>JCMS: Journal of Common Market Studies</w:t>
      </w:r>
      <w:r w:rsidRPr="00B71408">
        <w:rPr>
          <w:sz w:val="28"/>
          <w:szCs w:val="28"/>
          <w:lang w:val="en-US"/>
        </w:rPr>
        <w:t>, 31(4), 473-524.</w:t>
      </w:r>
    </w:p>
    <w:p w:rsidR="005018B8" w:rsidRDefault="00B71408" w:rsidP="002F2633">
      <w:pPr>
        <w:spacing w:line="360" w:lineRule="auto"/>
        <w:ind w:left="709" w:hanging="709"/>
        <w:rPr>
          <w:rFonts w:eastAsiaTheme="minorEastAsia"/>
          <w:sz w:val="28"/>
          <w:szCs w:val="28"/>
          <w:lang w:val="en-US" w:eastAsia="ja-JP"/>
        </w:rPr>
      </w:pPr>
      <w:r w:rsidRPr="00B71408">
        <w:rPr>
          <w:sz w:val="28"/>
          <w:szCs w:val="28"/>
          <w:lang w:val="en-US"/>
        </w:rPr>
        <w:t xml:space="preserve">Moravcsik, A. (1994). Why the European Union strengthens the state: domestic politics and international cooperation. </w:t>
      </w:r>
      <w:r w:rsidRPr="00B71408">
        <w:rPr>
          <w:i/>
          <w:iCs/>
          <w:sz w:val="28"/>
          <w:szCs w:val="28"/>
          <w:lang w:val="en-US"/>
        </w:rPr>
        <w:t>New York.</w:t>
      </w:r>
    </w:p>
    <w:p w:rsidR="005018B8" w:rsidRPr="009730E6" w:rsidRDefault="00B71408" w:rsidP="0069627F">
      <w:pPr>
        <w:spacing w:line="360" w:lineRule="auto"/>
        <w:ind w:left="709" w:hanging="709"/>
        <w:rPr>
          <w:rFonts w:eastAsiaTheme="minorEastAsia"/>
          <w:sz w:val="28"/>
          <w:szCs w:val="28"/>
          <w:lang w:val="en-US" w:eastAsia="ja-JP"/>
        </w:rPr>
      </w:pPr>
      <w:r w:rsidRPr="00B71408">
        <w:rPr>
          <w:sz w:val="28"/>
          <w:szCs w:val="28"/>
          <w:lang w:val="en-US"/>
        </w:rPr>
        <w:t xml:space="preserve">Moravcsik, A. (1995). </w:t>
      </w:r>
      <w:r w:rsidRPr="009730E6">
        <w:rPr>
          <w:i/>
          <w:sz w:val="28"/>
          <w:szCs w:val="28"/>
          <w:lang w:val="en-US"/>
        </w:rPr>
        <w:t>Why international cooperation strengthens national executives: The case of the European Community</w:t>
      </w:r>
      <w:r w:rsidRPr="009730E6">
        <w:rPr>
          <w:sz w:val="28"/>
          <w:szCs w:val="28"/>
          <w:lang w:val="en-US"/>
        </w:rPr>
        <w:t>.</w:t>
      </w:r>
      <w:r w:rsidR="009730E6">
        <w:rPr>
          <w:sz w:val="28"/>
          <w:szCs w:val="28"/>
          <w:lang w:val="en-US"/>
        </w:rPr>
        <w:t xml:space="preserve"> </w:t>
      </w:r>
      <w:r w:rsidR="009730E6">
        <w:rPr>
          <w:sz w:val="28"/>
          <w:szCs w:val="28"/>
        </w:rPr>
        <w:t>UNSPECIFIED:</w:t>
      </w:r>
      <w:r w:rsidR="009730E6" w:rsidRPr="009730E6">
        <w:rPr>
          <w:sz w:val="28"/>
          <w:szCs w:val="28"/>
        </w:rPr>
        <w:t xml:space="preserve"> </w:t>
      </w:r>
      <w:r w:rsidR="009730E6" w:rsidRPr="009730E6">
        <w:rPr>
          <w:sz w:val="28"/>
          <w:szCs w:val="28"/>
          <w:lang w:val="en-GB"/>
        </w:rPr>
        <w:t>Charleston, South Carolina.</w:t>
      </w:r>
    </w:p>
    <w:p w:rsidR="005018B8" w:rsidRPr="0069627F" w:rsidRDefault="00B71408" w:rsidP="0069627F">
      <w:pPr>
        <w:spacing w:line="360" w:lineRule="auto"/>
        <w:ind w:left="709" w:hanging="709"/>
        <w:rPr>
          <w:rFonts w:eastAsiaTheme="minorEastAsia"/>
          <w:sz w:val="28"/>
          <w:szCs w:val="28"/>
          <w:lang w:eastAsia="ja-JP"/>
        </w:rPr>
      </w:pPr>
      <w:r w:rsidRPr="00B71408">
        <w:rPr>
          <w:sz w:val="28"/>
          <w:szCs w:val="28"/>
          <w:lang w:val="en-US"/>
        </w:rPr>
        <w:t xml:space="preserve">Morillas, P. (2019). Strategy-Making in the EU. </w:t>
      </w:r>
      <w:r w:rsidRPr="009730E6">
        <w:rPr>
          <w:sz w:val="28"/>
          <w:szCs w:val="28"/>
          <w:lang w:val="en-US"/>
        </w:rPr>
        <w:t>From Foreign and Security Policy to External Actions.</w:t>
      </w:r>
      <w:r w:rsidR="009730E6">
        <w:rPr>
          <w:sz w:val="28"/>
          <w:szCs w:val="28"/>
          <w:lang w:val="en-US"/>
        </w:rPr>
        <w:t xml:space="preserve"> </w:t>
      </w:r>
      <w:r w:rsidR="009730E6" w:rsidRPr="009730E6">
        <w:rPr>
          <w:i/>
          <w:sz w:val="28"/>
          <w:szCs w:val="28"/>
          <w:lang w:val="en-US"/>
        </w:rPr>
        <w:t>The European Union in International Affairs</w:t>
      </w:r>
      <w:r w:rsidR="009730E6">
        <w:rPr>
          <w:sz w:val="28"/>
          <w:szCs w:val="28"/>
          <w:lang w:val="en-US"/>
        </w:rPr>
        <w:t xml:space="preserve">. Retrieved from </w:t>
      </w:r>
      <w:hyperlink r:id="rId22" w:history="1">
        <w:r w:rsidR="009730E6" w:rsidRPr="009F3910">
          <w:rPr>
            <w:rStyle w:val="a7"/>
            <w:sz w:val="28"/>
            <w:szCs w:val="28"/>
            <w:lang w:val="en-US"/>
          </w:rPr>
          <w:t>https://www.researchgate.net/publication/330046723_Strategy-Making_in_the_EU_From_Foreign_and_Security_Policy_to_External_Action</w:t>
        </w:r>
      </w:hyperlink>
      <w:r w:rsidR="009730E6">
        <w:rPr>
          <w:sz w:val="28"/>
          <w:szCs w:val="28"/>
          <w:lang w:val="en-US"/>
        </w:rPr>
        <w:t xml:space="preserve"> </w:t>
      </w:r>
    </w:p>
    <w:p w:rsidR="005018B8" w:rsidRDefault="00B71408" w:rsidP="002F2633">
      <w:pPr>
        <w:spacing w:line="360" w:lineRule="auto"/>
        <w:ind w:left="709" w:hanging="709"/>
        <w:rPr>
          <w:sz w:val="28"/>
          <w:szCs w:val="28"/>
          <w:lang w:val="en-US"/>
        </w:rPr>
      </w:pPr>
      <w:r w:rsidRPr="00B71408">
        <w:rPr>
          <w:sz w:val="28"/>
          <w:szCs w:val="28"/>
          <w:lang w:val="en-US"/>
        </w:rPr>
        <w:t xml:space="preserve">Noviato, B. (2022). European Union Sanctions Against Russia as Impact of Russia-Ukraine Conflict. </w:t>
      </w:r>
      <w:r w:rsidRPr="00B71408">
        <w:rPr>
          <w:i/>
          <w:iCs/>
          <w:sz w:val="28"/>
          <w:szCs w:val="28"/>
          <w:lang w:val="en-US"/>
        </w:rPr>
        <w:t>International Journal of Multicultural Understanding</w:t>
      </w:r>
      <w:r w:rsidRPr="00B71408">
        <w:rPr>
          <w:sz w:val="28"/>
          <w:szCs w:val="28"/>
          <w:lang w:val="en-US"/>
        </w:rPr>
        <w:t>, (</w:t>
      </w:r>
      <w:r w:rsidR="005018B8">
        <w:rPr>
          <w:sz w:val="28"/>
          <w:szCs w:val="28"/>
          <w:lang w:val="en-US"/>
        </w:rPr>
        <w:t>6), p. 501-510.</w:t>
      </w:r>
    </w:p>
    <w:p w:rsidR="005018B8" w:rsidRDefault="00B71408" w:rsidP="002F2633">
      <w:pPr>
        <w:spacing w:line="360" w:lineRule="auto"/>
        <w:ind w:left="709" w:hanging="709"/>
        <w:rPr>
          <w:sz w:val="28"/>
          <w:szCs w:val="28"/>
          <w:lang w:val="en-US"/>
        </w:rPr>
      </w:pPr>
      <w:r w:rsidRPr="00B71408">
        <w:rPr>
          <w:sz w:val="28"/>
          <w:szCs w:val="28"/>
          <w:lang w:val="en-US"/>
        </w:rPr>
        <w:t xml:space="preserve">Ojanen, H. (2000). Participation and influence: Finland, Sweden and the post-Amsterdam development of the CFSP. </w:t>
      </w:r>
      <w:r w:rsidRPr="00B71408">
        <w:rPr>
          <w:i/>
          <w:iCs/>
          <w:sz w:val="28"/>
          <w:szCs w:val="28"/>
          <w:lang w:val="en-US"/>
        </w:rPr>
        <w:t>Finland: The Institute for Security Studies Western European Union.</w:t>
      </w:r>
    </w:p>
    <w:p w:rsidR="005018B8" w:rsidRDefault="00B71408" w:rsidP="002F2633">
      <w:pPr>
        <w:spacing w:line="360" w:lineRule="auto"/>
        <w:ind w:left="709" w:hanging="709"/>
        <w:rPr>
          <w:sz w:val="28"/>
          <w:szCs w:val="28"/>
          <w:lang w:val="en-US"/>
        </w:rPr>
      </w:pPr>
      <w:r w:rsidRPr="00B71408">
        <w:rPr>
          <w:i/>
          <w:sz w:val="28"/>
          <w:szCs w:val="28"/>
          <w:lang w:val="en-US"/>
        </w:rPr>
        <w:t>Policy statement by Olaf Scholz, Chancellor of the Federal Republic of Germany and Member of the German Bundestag</w:t>
      </w:r>
      <w:r w:rsidRPr="00B71408">
        <w:rPr>
          <w:sz w:val="28"/>
          <w:szCs w:val="28"/>
          <w:lang w:val="en-US"/>
        </w:rPr>
        <w:t xml:space="preserve">. (2022). </w:t>
      </w:r>
      <w:r w:rsidRPr="00B71408">
        <w:rPr>
          <w:i/>
          <w:iCs/>
          <w:sz w:val="28"/>
          <w:szCs w:val="28"/>
          <w:lang w:val="en-US"/>
        </w:rPr>
        <w:t>The Federal Government.</w:t>
      </w:r>
      <w:r w:rsidRPr="00B71408">
        <w:rPr>
          <w:sz w:val="28"/>
          <w:szCs w:val="28"/>
          <w:lang w:val="en-US"/>
        </w:rPr>
        <w:t xml:space="preserve"> </w:t>
      </w:r>
      <w:r w:rsidRPr="00B71408">
        <w:rPr>
          <w:sz w:val="28"/>
          <w:szCs w:val="28"/>
          <w:lang w:val="en-US"/>
        </w:rPr>
        <w:lastRenderedPageBreak/>
        <w:t xml:space="preserve">Retrieved from </w:t>
      </w:r>
      <w:hyperlink r:id="rId23" w:tgtFrame="_new" w:history="1">
        <w:r w:rsidRPr="00B71408">
          <w:rPr>
            <w:color w:val="0000FF"/>
            <w:sz w:val="28"/>
            <w:szCs w:val="28"/>
            <w:u w:val="single"/>
            <w:lang w:val="en-US"/>
          </w:rPr>
          <w:t>https://www.bundesregierung.de/breg-en/news/policy-statement-by-olaf-scholz-chancellor-of-the-federal-republic-of-germany-and-member-of-the-german-bundestag-27-february-2022-in-berlin-2008378</w:t>
        </w:r>
      </w:hyperlink>
    </w:p>
    <w:p w:rsidR="005018B8" w:rsidRDefault="00B71408" w:rsidP="002F2633">
      <w:pPr>
        <w:spacing w:line="360" w:lineRule="auto"/>
        <w:ind w:left="709" w:hanging="709"/>
        <w:rPr>
          <w:sz w:val="28"/>
          <w:szCs w:val="28"/>
          <w:lang w:val="en-US"/>
        </w:rPr>
      </w:pPr>
      <w:r w:rsidRPr="00B71408">
        <w:rPr>
          <w:i/>
          <w:sz w:val="28"/>
          <w:szCs w:val="28"/>
          <w:lang w:val="en-US"/>
        </w:rPr>
        <w:t>Press Release Regarding the “Strategic Compass” Document Approved by the EU</w:t>
      </w:r>
      <w:r w:rsidRPr="00B71408">
        <w:rPr>
          <w:sz w:val="28"/>
          <w:szCs w:val="28"/>
          <w:lang w:val="en-US"/>
        </w:rPr>
        <w:t xml:space="preserve">. (2021). </w:t>
      </w:r>
      <w:r w:rsidRPr="00B71408">
        <w:rPr>
          <w:i/>
          <w:iCs/>
          <w:sz w:val="28"/>
          <w:szCs w:val="28"/>
          <w:lang w:val="en-US"/>
        </w:rPr>
        <w:t>Ministry of Foreign Affairs of the Republic of Turkiye.</w:t>
      </w:r>
      <w:r w:rsidRPr="00B71408">
        <w:rPr>
          <w:sz w:val="28"/>
          <w:szCs w:val="28"/>
          <w:lang w:val="en-US"/>
        </w:rPr>
        <w:t xml:space="preserve"> Retrieved from </w:t>
      </w:r>
      <w:hyperlink r:id="rId24" w:tgtFrame="_new" w:history="1">
        <w:r w:rsidRPr="00B71408">
          <w:rPr>
            <w:color w:val="0000FF"/>
            <w:sz w:val="28"/>
            <w:szCs w:val="28"/>
            <w:u w:val="single"/>
            <w:lang w:val="en-US"/>
          </w:rPr>
          <w:t>https://www.mfa.gov.tr/no_-98_-ab-tarafindan-onaylanan-stratejik-pusula-baslikli-belge-hk.en.mfa</w:t>
        </w:r>
      </w:hyperlink>
    </w:p>
    <w:p w:rsidR="005018B8" w:rsidRDefault="00B71408" w:rsidP="002F2633">
      <w:pPr>
        <w:spacing w:line="360" w:lineRule="auto"/>
        <w:ind w:left="709" w:hanging="709"/>
        <w:rPr>
          <w:sz w:val="28"/>
          <w:szCs w:val="28"/>
          <w:lang w:val="en-US"/>
        </w:rPr>
      </w:pPr>
      <w:r w:rsidRPr="00B71408">
        <w:rPr>
          <w:sz w:val="28"/>
          <w:szCs w:val="28"/>
          <w:lang w:val="en-US"/>
        </w:rPr>
        <w:t xml:space="preserve">Quille, G. (2004). The European Security Strategy: A Framework for EU Security Interests? </w:t>
      </w:r>
      <w:r w:rsidRPr="00B71408">
        <w:rPr>
          <w:i/>
          <w:iCs/>
          <w:sz w:val="28"/>
          <w:szCs w:val="28"/>
          <w:lang w:val="en-US"/>
        </w:rPr>
        <w:t>International Peacekeeping</w:t>
      </w:r>
      <w:r w:rsidRPr="00B71408">
        <w:rPr>
          <w:sz w:val="28"/>
          <w:szCs w:val="28"/>
          <w:lang w:val="en-US"/>
        </w:rPr>
        <w:t>, (3), p. 1-16.</w:t>
      </w:r>
    </w:p>
    <w:p w:rsidR="005018B8" w:rsidRDefault="00B71408" w:rsidP="002F2633">
      <w:pPr>
        <w:spacing w:line="360" w:lineRule="auto"/>
        <w:ind w:left="709" w:hanging="709"/>
        <w:rPr>
          <w:sz w:val="28"/>
          <w:szCs w:val="28"/>
          <w:lang w:val="en-US"/>
        </w:rPr>
      </w:pPr>
      <w:r w:rsidRPr="00B71408">
        <w:rPr>
          <w:sz w:val="28"/>
          <w:szCs w:val="28"/>
          <w:lang w:val="en-US"/>
        </w:rPr>
        <w:t xml:space="preserve">Rumford, C. (2000). From Luxembourg to Helsinki: Turkey, the politics of EU enlargement and prospects for accession. </w:t>
      </w:r>
      <w:r w:rsidRPr="00B71408">
        <w:rPr>
          <w:i/>
          <w:iCs/>
          <w:sz w:val="28"/>
          <w:szCs w:val="28"/>
          <w:lang w:val="en-US"/>
        </w:rPr>
        <w:t>Contemporary Politics</w:t>
      </w:r>
      <w:r w:rsidRPr="00B71408">
        <w:rPr>
          <w:sz w:val="28"/>
          <w:szCs w:val="28"/>
          <w:lang w:val="en-US"/>
        </w:rPr>
        <w:t>, 6(4), 331-343.</w:t>
      </w:r>
    </w:p>
    <w:p w:rsidR="005018B8" w:rsidRPr="009730E6" w:rsidRDefault="00B71408" w:rsidP="0069627F">
      <w:pPr>
        <w:spacing w:line="360" w:lineRule="auto"/>
        <w:ind w:left="709" w:hanging="709"/>
        <w:rPr>
          <w:rFonts w:eastAsiaTheme="minorEastAsia"/>
          <w:sz w:val="28"/>
          <w:szCs w:val="28"/>
          <w:lang w:val="en-US" w:eastAsia="ja-JP"/>
        </w:rPr>
      </w:pPr>
      <w:r w:rsidRPr="00B71408">
        <w:rPr>
          <w:sz w:val="28"/>
          <w:szCs w:val="28"/>
          <w:lang w:val="en-US"/>
        </w:rPr>
        <w:t xml:space="preserve">Sede, A. (2015). Towards a new European security strategy? </w:t>
      </w:r>
      <w:r w:rsidRPr="009730E6">
        <w:rPr>
          <w:sz w:val="28"/>
          <w:szCs w:val="28"/>
          <w:lang w:val="en-US"/>
        </w:rPr>
        <w:t>Assessing the impact of changes in the global security environment.</w:t>
      </w:r>
      <w:r w:rsidR="009730E6">
        <w:rPr>
          <w:sz w:val="28"/>
          <w:szCs w:val="28"/>
        </w:rPr>
        <w:t xml:space="preserve"> </w:t>
      </w:r>
      <w:r w:rsidR="009730E6" w:rsidRPr="009730E6">
        <w:rPr>
          <w:i/>
          <w:sz w:val="28"/>
          <w:szCs w:val="28"/>
          <w:lang w:val="en-US"/>
        </w:rPr>
        <w:t>Directorate-General for External Policies</w:t>
      </w:r>
      <w:r w:rsidR="009730E6">
        <w:rPr>
          <w:sz w:val="28"/>
          <w:szCs w:val="28"/>
          <w:lang w:val="en-US"/>
        </w:rPr>
        <w:t xml:space="preserve">. Retrieved from </w:t>
      </w:r>
      <w:hyperlink r:id="rId25" w:history="1">
        <w:r w:rsidR="009730E6" w:rsidRPr="009F3910">
          <w:rPr>
            <w:rStyle w:val="a7"/>
            <w:sz w:val="28"/>
            <w:szCs w:val="28"/>
            <w:lang w:val="en-US"/>
          </w:rPr>
          <w:t>https://www.europarl.europa.eu/thinktank/en/document/EXPO_STU(2015)534989</w:t>
        </w:r>
      </w:hyperlink>
      <w:r w:rsidR="009730E6">
        <w:rPr>
          <w:sz w:val="28"/>
          <w:szCs w:val="28"/>
          <w:lang w:val="en-US"/>
        </w:rPr>
        <w:t xml:space="preserve"> </w:t>
      </w:r>
    </w:p>
    <w:p w:rsidR="005018B8" w:rsidRDefault="00B71408" w:rsidP="002F2633">
      <w:pPr>
        <w:spacing w:line="360" w:lineRule="auto"/>
        <w:ind w:left="709" w:hanging="709"/>
        <w:rPr>
          <w:sz w:val="28"/>
          <w:szCs w:val="28"/>
          <w:lang w:val="en-US"/>
        </w:rPr>
      </w:pPr>
      <w:r w:rsidRPr="00B71408">
        <w:rPr>
          <w:sz w:val="28"/>
          <w:szCs w:val="28"/>
          <w:lang w:val="en-US"/>
        </w:rPr>
        <w:t xml:space="preserve">Schmid, H. (2009). The European Security Strategy. The European Security Strategy 2003-2008. </w:t>
      </w:r>
      <w:r w:rsidRPr="00B71408">
        <w:rPr>
          <w:i/>
          <w:iCs/>
          <w:sz w:val="28"/>
          <w:szCs w:val="28"/>
          <w:lang w:val="en-US"/>
        </w:rPr>
        <w:t>Building on Common Interests</w:t>
      </w:r>
      <w:r w:rsidRPr="00B71408">
        <w:rPr>
          <w:sz w:val="28"/>
          <w:szCs w:val="28"/>
          <w:lang w:val="en-US"/>
        </w:rPr>
        <w:t>, (5), p. 5-13.</w:t>
      </w:r>
    </w:p>
    <w:p w:rsidR="005018B8" w:rsidRDefault="00B71408" w:rsidP="002F2633">
      <w:pPr>
        <w:spacing w:line="360" w:lineRule="auto"/>
        <w:ind w:left="709" w:hanging="709"/>
        <w:rPr>
          <w:sz w:val="28"/>
          <w:szCs w:val="28"/>
          <w:lang w:val="en-US"/>
        </w:rPr>
      </w:pPr>
      <w:r w:rsidRPr="00B71408">
        <w:rPr>
          <w:sz w:val="28"/>
          <w:szCs w:val="28"/>
          <w:lang w:val="en-US"/>
        </w:rPr>
        <w:t>Slapin, J. (2008). Bargaining Power at Europe</w:t>
      </w:r>
      <w:r w:rsidR="00C631E2">
        <w:rPr>
          <w:sz w:val="28"/>
          <w:szCs w:val="28"/>
          <w:lang w:val="en-US"/>
        </w:rPr>
        <w:t>’</w:t>
      </w:r>
      <w:r w:rsidRPr="00B71408">
        <w:rPr>
          <w:sz w:val="28"/>
          <w:szCs w:val="28"/>
          <w:lang w:val="en-US"/>
        </w:rPr>
        <w:t xml:space="preserve">s Intergovernmental Conferences: Testing Institutional and Intergovernmental Theories. </w:t>
      </w:r>
      <w:r w:rsidRPr="00B71408">
        <w:rPr>
          <w:i/>
          <w:iCs/>
          <w:sz w:val="28"/>
          <w:szCs w:val="28"/>
          <w:lang w:val="en-US"/>
        </w:rPr>
        <w:t>UCLA Political Science</w:t>
      </w:r>
      <w:r w:rsidRPr="00B71408">
        <w:rPr>
          <w:sz w:val="28"/>
          <w:szCs w:val="28"/>
          <w:lang w:val="en-US"/>
        </w:rPr>
        <w:t>, 1-60.</w:t>
      </w:r>
    </w:p>
    <w:p w:rsidR="005018B8" w:rsidRDefault="00B71408" w:rsidP="002F2633">
      <w:pPr>
        <w:spacing w:line="360" w:lineRule="auto"/>
        <w:ind w:left="709" w:hanging="709"/>
        <w:rPr>
          <w:sz w:val="28"/>
          <w:szCs w:val="28"/>
          <w:lang w:val="en-US"/>
        </w:rPr>
      </w:pPr>
      <w:r w:rsidRPr="00B71408">
        <w:rPr>
          <w:sz w:val="28"/>
          <w:szCs w:val="28"/>
          <w:lang w:val="en-US"/>
        </w:rPr>
        <w:t xml:space="preserve">Solana, J. (2003). European Security Strategy, </w:t>
      </w:r>
      <w:r w:rsidRPr="00B71408">
        <w:rPr>
          <w:i/>
          <w:iCs/>
          <w:sz w:val="28"/>
          <w:szCs w:val="28"/>
          <w:lang w:val="en-US"/>
        </w:rPr>
        <w:t>A Secure Europe in a Better World.</w:t>
      </w:r>
      <w:r w:rsidRPr="00B71408">
        <w:rPr>
          <w:sz w:val="28"/>
          <w:szCs w:val="28"/>
          <w:lang w:val="en-US"/>
        </w:rPr>
        <w:t xml:space="preserve"> Brussels.</w:t>
      </w:r>
    </w:p>
    <w:p w:rsidR="005018B8" w:rsidRDefault="00B71408" w:rsidP="002F2633">
      <w:pPr>
        <w:spacing w:line="360" w:lineRule="auto"/>
        <w:ind w:left="709" w:hanging="709"/>
        <w:rPr>
          <w:sz w:val="28"/>
          <w:szCs w:val="28"/>
          <w:lang w:val="en-US"/>
        </w:rPr>
      </w:pPr>
      <w:r w:rsidRPr="00B71408">
        <w:rPr>
          <w:sz w:val="28"/>
          <w:szCs w:val="28"/>
          <w:lang w:val="en-US"/>
        </w:rPr>
        <w:t>Solana, J. (2008). Report on the Implementation of the European Security Strategy “Providing Security in a Changing World.” Brussels.</w:t>
      </w:r>
    </w:p>
    <w:p w:rsidR="005018B8" w:rsidRDefault="00B71408" w:rsidP="002F2633">
      <w:pPr>
        <w:spacing w:line="360" w:lineRule="auto"/>
        <w:ind w:left="709" w:hanging="709"/>
        <w:rPr>
          <w:sz w:val="28"/>
          <w:szCs w:val="28"/>
          <w:lang w:val="en-US"/>
        </w:rPr>
      </w:pPr>
      <w:r w:rsidRPr="0069627F">
        <w:rPr>
          <w:sz w:val="28"/>
          <w:szCs w:val="28"/>
          <w:lang w:val="en-US"/>
        </w:rPr>
        <w:lastRenderedPageBreak/>
        <w:t>State of the Union Address by President von der Leyen</w:t>
      </w:r>
      <w:r w:rsidRPr="00B71408">
        <w:rPr>
          <w:sz w:val="28"/>
          <w:szCs w:val="28"/>
          <w:lang w:val="en-US"/>
        </w:rPr>
        <w:t xml:space="preserve">. (2022). </w:t>
      </w:r>
      <w:r w:rsidRPr="00B71408">
        <w:rPr>
          <w:i/>
          <w:iCs/>
          <w:sz w:val="28"/>
          <w:szCs w:val="28"/>
          <w:lang w:val="en-US"/>
        </w:rPr>
        <w:t>European Commission.</w:t>
      </w:r>
      <w:r w:rsidRPr="00B71408">
        <w:rPr>
          <w:sz w:val="28"/>
          <w:szCs w:val="28"/>
          <w:lang w:val="en-US"/>
        </w:rPr>
        <w:t xml:space="preserve"> Retrieved from </w:t>
      </w:r>
      <w:hyperlink r:id="rId26" w:tgtFrame="_new" w:history="1">
        <w:r w:rsidRPr="00B71408">
          <w:rPr>
            <w:color w:val="0000FF"/>
            <w:sz w:val="28"/>
            <w:szCs w:val="28"/>
            <w:u w:val="single"/>
            <w:lang w:val="en-US"/>
          </w:rPr>
          <w:t>https://ec.europa.eu/commission/presscorner/detail/en/speech_22_5493</w:t>
        </w:r>
      </w:hyperlink>
    </w:p>
    <w:p w:rsidR="005018B8" w:rsidRDefault="00B71408" w:rsidP="002F2633">
      <w:pPr>
        <w:spacing w:line="360" w:lineRule="auto"/>
        <w:ind w:left="709" w:hanging="709"/>
        <w:rPr>
          <w:sz w:val="28"/>
          <w:szCs w:val="28"/>
          <w:lang w:val="en-US"/>
        </w:rPr>
      </w:pPr>
      <w:r w:rsidRPr="0069627F">
        <w:rPr>
          <w:sz w:val="28"/>
          <w:szCs w:val="28"/>
          <w:lang w:val="en-US"/>
        </w:rPr>
        <w:t>Statement of the Members of the European Council</w:t>
      </w:r>
      <w:r w:rsidRPr="00B71408">
        <w:rPr>
          <w:sz w:val="28"/>
          <w:szCs w:val="28"/>
          <w:lang w:val="en-US"/>
        </w:rPr>
        <w:t xml:space="preserve">. (2021). </w:t>
      </w:r>
      <w:r w:rsidRPr="00B71408">
        <w:rPr>
          <w:i/>
          <w:iCs/>
          <w:sz w:val="28"/>
          <w:szCs w:val="28"/>
          <w:lang w:val="en-US"/>
        </w:rPr>
        <w:t>European Council.</w:t>
      </w:r>
      <w:r w:rsidRPr="00B71408">
        <w:rPr>
          <w:sz w:val="28"/>
          <w:szCs w:val="28"/>
          <w:lang w:val="en-US"/>
        </w:rPr>
        <w:t xml:space="preserve"> Retrieved from </w:t>
      </w:r>
      <w:hyperlink r:id="rId27" w:tgtFrame="_new" w:history="1">
        <w:r w:rsidRPr="00B71408">
          <w:rPr>
            <w:color w:val="0000FF"/>
            <w:sz w:val="28"/>
            <w:szCs w:val="28"/>
            <w:u w:val="single"/>
            <w:lang w:val="en-US"/>
          </w:rPr>
          <w:t>https://www.consilium.europa.eu/en/press/press-releases/2021/03/25/statement-of-the-members-of-the-european-council-25-march-2021/</w:t>
        </w:r>
      </w:hyperlink>
    </w:p>
    <w:p w:rsidR="005018B8" w:rsidRDefault="00B71408" w:rsidP="002F2633">
      <w:pPr>
        <w:spacing w:line="360" w:lineRule="auto"/>
        <w:ind w:left="709" w:hanging="709"/>
        <w:rPr>
          <w:sz w:val="28"/>
          <w:szCs w:val="28"/>
          <w:lang w:val="en-US"/>
        </w:rPr>
      </w:pPr>
      <w:r w:rsidRPr="00B71408">
        <w:rPr>
          <w:sz w:val="28"/>
          <w:szCs w:val="28"/>
          <w:lang w:val="en-US"/>
        </w:rPr>
        <w:t>Steiner, N., Berlinschi, R., Farvaque, E., Fidrmuc, J., Harms, P., Mihailov, A., Neugart, M., Stanek, P. (2023). Rallying around the EU flag: Russia</w:t>
      </w:r>
      <w:r w:rsidR="00C631E2">
        <w:rPr>
          <w:sz w:val="28"/>
          <w:szCs w:val="28"/>
          <w:lang w:val="en-US"/>
        </w:rPr>
        <w:t>’</w:t>
      </w:r>
      <w:r w:rsidRPr="00B71408">
        <w:rPr>
          <w:sz w:val="28"/>
          <w:szCs w:val="28"/>
          <w:lang w:val="en-US"/>
        </w:rPr>
        <w:t xml:space="preserve">s invasion of Ukraine and attitudes toward European integration. </w:t>
      </w:r>
      <w:r w:rsidRPr="00B71408">
        <w:rPr>
          <w:i/>
          <w:iCs/>
          <w:sz w:val="28"/>
          <w:szCs w:val="28"/>
          <w:lang w:val="en-US"/>
        </w:rPr>
        <w:t>Journal of Common Market Studies</w:t>
      </w:r>
      <w:r w:rsidRPr="00B71408">
        <w:rPr>
          <w:sz w:val="28"/>
          <w:szCs w:val="28"/>
          <w:lang w:val="en-US"/>
        </w:rPr>
        <w:t>, 61(2), 283-301.</w:t>
      </w:r>
    </w:p>
    <w:p w:rsidR="005018B8" w:rsidRDefault="00B71408" w:rsidP="002F2633">
      <w:pPr>
        <w:spacing w:line="360" w:lineRule="auto"/>
        <w:ind w:left="709" w:hanging="709"/>
        <w:rPr>
          <w:sz w:val="28"/>
          <w:szCs w:val="28"/>
          <w:lang w:val="en-US"/>
        </w:rPr>
      </w:pPr>
      <w:r w:rsidRPr="00B71408">
        <w:rPr>
          <w:sz w:val="28"/>
          <w:szCs w:val="28"/>
          <w:lang w:val="en-US"/>
        </w:rPr>
        <w:t xml:space="preserve">Sus, M. (2023). Exploring the dynamics of policy change in EU security and defence: policy entrepreneurs behind the Strategic Compass. </w:t>
      </w:r>
      <w:r w:rsidRPr="00B71408">
        <w:rPr>
          <w:i/>
          <w:iCs/>
          <w:sz w:val="28"/>
          <w:szCs w:val="28"/>
          <w:lang w:val="en-US"/>
        </w:rPr>
        <w:t>West European Politics</w:t>
      </w:r>
      <w:r w:rsidRPr="00B71408">
        <w:rPr>
          <w:sz w:val="28"/>
          <w:szCs w:val="28"/>
          <w:lang w:val="en-US"/>
        </w:rPr>
        <w:t>, 47(4), 942-966.</w:t>
      </w:r>
    </w:p>
    <w:p w:rsidR="005018B8" w:rsidRDefault="00B71408" w:rsidP="002F2633">
      <w:pPr>
        <w:spacing w:line="360" w:lineRule="auto"/>
        <w:ind w:left="709" w:hanging="709"/>
        <w:rPr>
          <w:sz w:val="28"/>
          <w:szCs w:val="28"/>
          <w:lang w:val="en-US"/>
        </w:rPr>
      </w:pPr>
      <w:r w:rsidRPr="00B71408">
        <w:rPr>
          <w:sz w:val="28"/>
          <w:szCs w:val="28"/>
          <w:lang w:val="en-US"/>
        </w:rPr>
        <w:t>Support of Ukraine</w:t>
      </w:r>
      <w:r w:rsidR="00C631E2">
        <w:rPr>
          <w:sz w:val="28"/>
          <w:szCs w:val="28"/>
          <w:lang w:val="en-US"/>
        </w:rPr>
        <w:t>’</w:t>
      </w:r>
      <w:r w:rsidRPr="00B71408">
        <w:rPr>
          <w:sz w:val="28"/>
          <w:szCs w:val="28"/>
          <w:lang w:val="en-US"/>
        </w:rPr>
        <w:t xml:space="preserve">s swift candidacy to the EU. (2022). </w:t>
      </w:r>
      <w:r w:rsidRPr="00B71408">
        <w:rPr>
          <w:i/>
          <w:iCs/>
          <w:sz w:val="28"/>
          <w:szCs w:val="28"/>
          <w:lang w:val="en-US"/>
        </w:rPr>
        <w:t>The official website of the President of the Republic of Poland.</w:t>
      </w:r>
      <w:r w:rsidRPr="00B71408">
        <w:rPr>
          <w:sz w:val="28"/>
          <w:szCs w:val="28"/>
          <w:lang w:val="en-US"/>
        </w:rPr>
        <w:t xml:space="preserve"> Retrieved from </w:t>
      </w:r>
      <w:hyperlink r:id="rId28" w:tgtFrame="_new" w:history="1">
        <w:r w:rsidRPr="00B71408">
          <w:rPr>
            <w:color w:val="0000FF"/>
            <w:sz w:val="28"/>
            <w:szCs w:val="28"/>
            <w:u w:val="single"/>
            <w:lang w:val="en-US"/>
          </w:rPr>
          <w:t>https://www.president.pl/news/open-letter-by-presidents-in-support-of-ukraines-swift-candidacy-to-the-european-union,49584</w:t>
        </w:r>
      </w:hyperlink>
    </w:p>
    <w:p w:rsidR="005018B8" w:rsidRDefault="00B71408" w:rsidP="002F2633">
      <w:pPr>
        <w:spacing w:line="360" w:lineRule="auto"/>
        <w:ind w:left="709" w:hanging="709"/>
        <w:rPr>
          <w:sz w:val="28"/>
          <w:szCs w:val="28"/>
          <w:lang w:val="en-US"/>
        </w:rPr>
      </w:pPr>
      <w:r w:rsidRPr="00B71408">
        <w:rPr>
          <w:sz w:val="28"/>
          <w:szCs w:val="28"/>
          <w:lang w:val="en-US"/>
        </w:rPr>
        <w:t xml:space="preserve">The Treaty of Lisbon. (2009). </w:t>
      </w:r>
      <w:r w:rsidRPr="00B71408">
        <w:rPr>
          <w:i/>
          <w:iCs/>
          <w:sz w:val="28"/>
          <w:szCs w:val="28"/>
          <w:lang w:val="en-US"/>
        </w:rPr>
        <w:t>Fact Sheets on the European Union.</w:t>
      </w:r>
      <w:r w:rsidRPr="00B71408">
        <w:rPr>
          <w:sz w:val="28"/>
          <w:szCs w:val="28"/>
          <w:lang w:val="en-US"/>
        </w:rPr>
        <w:t xml:space="preserve"> Retrieved from </w:t>
      </w:r>
      <w:hyperlink r:id="rId29" w:tgtFrame="_new" w:history="1">
        <w:r w:rsidRPr="00B71408">
          <w:rPr>
            <w:color w:val="0000FF"/>
            <w:sz w:val="28"/>
            <w:szCs w:val="28"/>
            <w:u w:val="single"/>
            <w:lang w:val="en-US"/>
          </w:rPr>
          <w:t>https://www.europarl.europa.eu/factsheets/en/sheet/5/the-treaty-of-lisbon</w:t>
        </w:r>
      </w:hyperlink>
    </w:p>
    <w:p w:rsidR="005018B8" w:rsidRDefault="00B71408" w:rsidP="002F2633">
      <w:pPr>
        <w:spacing w:line="360" w:lineRule="auto"/>
        <w:ind w:left="709" w:hanging="709"/>
        <w:rPr>
          <w:sz w:val="28"/>
          <w:szCs w:val="28"/>
          <w:lang w:val="en-US"/>
        </w:rPr>
      </w:pPr>
      <w:r w:rsidRPr="00B71408">
        <w:rPr>
          <w:sz w:val="28"/>
          <w:szCs w:val="28"/>
          <w:lang w:val="en-US"/>
        </w:rPr>
        <w:t xml:space="preserve">Tulun, T. (2022). EU Strategic Compass for Security and Defence Shows the Wrong Course at the Worst Possible Time. </w:t>
      </w:r>
      <w:r w:rsidRPr="00B71408">
        <w:rPr>
          <w:i/>
          <w:iCs/>
          <w:sz w:val="28"/>
          <w:szCs w:val="28"/>
          <w:lang w:val="en-US"/>
        </w:rPr>
        <w:t>Center for Eurasian Studies</w:t>
      </w:r>
      <w:r w:rsidRPr="00B71408">
        <w:rPr>
          <w:sz w:val="28"/>
          <w:szCs w:val="28"/>
          <w:lang w:val="en-US"/>
        </w:rPr>
        <w:t>, 6, 1-9.</w:t>
      </w:r>
    </w:p>
    <w:p w:rsidR="00DB65CD" w:rsidRPr="004948DD" w:rsidRDefault="00B71408" w:rsidP="004948DD">
      <w:pPr>
        <w:spacing w:line="360" w:lineRule="auto"/>
        <w:ind w:left="709" w:hanging="709"/>
        <w:rPr>
          <w:sz w:val="28"/>
          <w:szCs w:val="28"/>
          <w:lang w:val="en-US"/>
        </w:rPr>
      </w:pPr>
      <w:r w:rsidRPr="00B71408">
        <w:rPr>
          <w:sz w:val="28"/>
          <w:szCs w:val="28"/>
          <w:lang w:val="en-US"/>
        </w:rPr>
        <w:t xml:space="preserve">Wahl, T. (2020). Commission: New EU Security Union Strategy. </w:t>
      </w:r>
      <w:r w:rsidRPr="00B71408">
        <w:rPr>
          <w:i/>
          <w:iCs/>
          <w:sz w:val="28"/>
          <w:szCs w:val="28"/>
          <w:lang w:val="en-US"/>
        </w:rPr>
        <w:t>The European Criminal Law Associations</w:t>
      </w:r>
      <w:r w:rsidR="00C631E2">
        <w:rPr>
          <w:i/>
          <w:iCs/>
          <w:sz w:val="28"/>
          <w:szCs w:val="28"/>
          <w:lang w:val="en-US"/>
        </w:rPr>
        <w:t>’</w:t>
      </w:r>
      <w:r w:rsidRPr="00B71408">
        <w:rPr>
          <w:i/>
          <w:iCs/>
          <w:sz w:val="28"/>
          <w:szCs w:val="28"/>
          <w:lang w:val="en-US"/>
        </w:rPr>
        <w:t xml:space="preserve"> Forum</w:t>
      </w:r>
      <w:r w:rsidRPr="00B71408">
        <w:rPr>
          <w:sz w:val="28"/>
          <w:szCs w:val="28"/>
          <w:lang w:val="en-US"/>
        </w:rPr>
        <w:t>, p. 71-72.</w:t>
      </w:r>
      <w:r w:rsidR="00DB65CD">
        <w:rPr>
          <w:sz w:val="28"/>
          <w:szCs w:val="28"/>
        </w:rPr>
        <w:br w:type="page"/>
      </w:r>
    </w:p>
    <w:p w:rsidR="005F11C7" w:rsidRPr="00DB65CD" w:rsidRDefault="00DB65CD" w:rsidP="00DB65CD">
      <w:pPr>
        <w:spacing w:after="240" w:line="360" w:lineRule="auto"/>
        <w:ind w:left="709" w:hanging="709"/>
        <w:jc w:val="right"/>
        <w:rPr>
          <w:sz w:val="28"/>
          <w:szCs w:val="28"/>
        </w:rPr>
      </w:pPr>
      <w:r>
        <w:rPr>
          <w:sz w:val="28"/>
          <w:szCs w:val="28"/>
        </w:rPr>
        <w:lastRenderedPageBreak/>
        <w:t>Додаток 1. Еволюція витрат та інвестицій в оборону ЄС в 2006-2021</w:t>
      </w:r>
    </w:p>
    <w:p w:rsidR="00DD2AB6" w:rsidRDefault="00DB65CD" w:rsidP="00DB65CD">
      <w:pPr>
        <w:spacing w:after="240" w:line="360" w:lineRule="auto"/>
        <w:ind w:left="709" w:hanging="709"/>
        <w:jc w:val="right"/>
        <w:rPr>
          <w:sz w:val="28"/>
          <w:szCs w:val="28"/>
        </w:rPr>
      </w:pPr>
      <w:r>
        <w:rPr>
          <w:noProof/>
          <w:lang w:val="en-US" w:eastAsia="ja-JP"/>
        </w:rPr>
        <w:drawing>
          <wp:inline distT="0" distB="0" distL="0" distR="0">
            <wp:extent cx="5971540" cy="3520471"/>
            <wp:effectExtent l="0" t="0" r="0" b="3810"/>
            <wp:docPr id="1" name="Рисунок 1" descr="Insufficient defense expendit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sufficient defense expenditure "/>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71540" cy="3520471"/>
                    </a:xfrm>
                    <a:prstGeom prst="rect">
                      <a:avLst/>
                    </a:prstGeom>
                    <a:noFill/>
                    <a:ln>
                      <a:noFill/>
                    </a:ln>
                  </pic:spPr>
                </pic:pic>
              </a:graphicData>
            </a:graphic>
          </wp:inline>
        </w:drawing>
      </w:r>
      <w:r w:rsidR="00DD2AB6">
        <w:rPr>
          <w:sz w:val="28"/>
          <w:szCs w:val="28"/>
        </w:rPr>
        <w:br w:type="page"/>
      </w:r>
    </w:p>
    <w:p w:rsidR="00DB65CD" w:rsidRDefault="00DD2AB6" w:rsidP="00DB65CD">
      <w:pPr>
        <w:spacing w:after="240" w:line="360" w:lineRule="auto"/>
        <w:ind w:left="709" w:hanging="709"/>
        <w:jc w:val="right"/>
        <w:rPr>
          <w:sz w:val="28"/>
          <w:szCs w:val="28"/>
        </w:rPr>
      </w:pPr>
      <w:r>
        <w:rPr>
          <w:sz w:val="28"/>
          <w:szCs w:val="28"/>
        </w:rPr>
        <w:lastRenderedPageBreak/>
        <w:t>Додаток 2.</w:t>
      </w:r>
      <w:r w:rsidRPr="00DD2AB6">
        <w:rPr>
          <w:sz w:val="28"/>
          <w:szCs w:val="28"/>
        </w:rPr>
        <w:t xml:space="preserve"> Міжнародна фінансова допомога Україні (2022)</w:t>
      </w:r>
    </w:p>
    <w:p w:rsidR="00DD2AB6" w:rsidRPr="00DB65CD" w:rsidRDefault="00DD2AB6" w:rsidP="00DB65CD">
      <w:pPr>
        <w:spacing w:after="240" w:line="360" w:lineRule="auto"/>
        <w:ind w:left="709" w:hanging="709"/>
        <w:jc w:val="right"/>
        <w:rPr>
          <w:sz w:val="28"/>
          <w:szCs w:val="28"/>
        </w:rPr>
      </w:pPr>
      <w:r>
        <w:rPr>
          <w:noProof/>
          <w:lang w:val="en-US" w:eastAsia="ja-JP"/>
        </w:rPr>
        <w:drawing>
          <wp:inline distT="0" distB="0" distL="0" distR="0">
            <wp:extent cx="5971356" cy="3032760"/>
            <wp:effectExtent l="0" t="0" r="0" b="0"/>
            <wp:docPr id="2" name="Рисунок 2" descr="https://kreston.ua/wp-content/uploads/2022/08/1-1024x561-optimiz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kreston.ua/wp-content/uploads/2022/08/1-1024x561-optimized.jpg"/>
                    <pic:cNvPicPr>
                      <a:picLocks noChangeAspect="1" noChangeArrowheads="1"/>
                    </pic:cNvPicPr>
                  </pic:nvPicPr>
                  <pic:blipFill rotWithShape="1">
                    <a:blip r:embed="rId31">
                      <a:extLst>
                        <a:ext uri="{28A0092B-C50C-407E-A947-70E740481C1C}">
                          <a14:useLocalDpi xmlns:a14="http://schemas.microsoft.com/office/drawing/2010/main" val="0"/>
                        </a:ext>
                      </a:extLst>
                    </a:blip>
                    <a:srcRect b="7262"/>
                    <a:stretch/>
                  </pic:blipFill>
                  <pic:spPr bwMode="auto">
                    <a:xfrm>
                      <a:off x="0" y="0"/>
                      <a:ext cx="5971540" cy="3032854"/>
                    </a:xfrm>
                    <a:prstGeom prst="rect">
                      <a:avLst/>
                    </a:prstGeom>
                    <a:noFill/>
                    <a:ln>
                      <a:noFill/>
                    </a:ln>
                    <a:extLst>
                      <a:ext uri="{53640926-AAD7-44D8-BBD7-CCE9431645EC}">
                        <a14:shadowObscured xmlns:a14="http://schemas.microsoft.com/office/drawing/2010/main"/>
                      </a:ext>
                    </a:extLst>
                  </pic:spPr>
                </pic:pic>
              </a:graphicData>
            </a:graphic>
          </wp:inline>
        </w:drawing>
      </w:r>
    </w:p>
    <w:sectPr w:rsidR="00DD2AB6" w:rsidRPr="00DB65CD" w:rsidSect="00613414">
      <w:headerReference w:type="default" r:id="rId32"/>
      <w:pgSz w:w="12240" w:h="15840"/>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2E4" w:rsidRDefault="004342E4" w:rsidP="007815BC">
      <w:r>
        <w:separator/>
      </w:r>
    </w:p>
  </w:endnote>
  <w:endnote w:type="continuationSeparator" w:id="0">
    <w:p w:rsidR="004342E4" w:rsidRDefault="004342E4" w:rsidP="007815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2E4" w:rsidRDefault="004342E4" w:rsidP="007815BC">
      <w:r>
        <w:separator/>
      </w:r>
    </w:p>
  </w:footnote>
  <w:footnote w:type="continuationSeparator" w:id="0">
    <w:p w:rsidR="004342E4" w:rsidRDefault="004342E4" w:rsidP="007815B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8"/>
        <w:szCs w:val="28"/>
      </w:rPr>
      <w:id w:val="-2098852496"/>
      <w:docPartObj>
        <w:docPartGallery w:val="Page Numbers (Top of Page)"/>
        <w:docPartUnique/>
      </w:docPartObj>
    </w:sdtPr>
    <w:sdtEndPr/>
    <w:sdtContent>
      <w:p w:rsidR="00765C7C" w:rsidRPr="00865A37" w:rsidRDefault="00765C7C">
        <w:pPr>
          <w:pStyle w:val="a3"/>
          <w:jc w:val="right"/>
          <w:rPr>
            <w:sz w:val="28"/>
            <w:szCs w:val="28"/>
          </w:rPr>
        </w:pPr>
        <w:r w:rsidRPr="00865A37">
          <w:rPr>
            <w:sz w:val="28"/>
            <w:szCs w:val="28"/>
          </w:rPr>
          <w:fldChar w:fldCharType="begin"/>
        </w:r>
        <w:r w:rsidRPr="00865A37">
          <w:rPr>
            <w:sz w:val="28"/>
            <w:szCs w:val="28"/>
          </w:rPr>
          <w:instrText>PAGE   \* MERGEFORMAT</w:instrText>
        </w:r>
        <w:r w:rsidRPr="00865A37">
          <w:rPr>
            <w:sz w:val="28"/>
            <w:szCs w:val="28"/>
          </w:rPr>
          <w:fldChar w:fldCharType="separate"/>
        </w:r>
        <w:r w:rsidR="0047660A" w:rsidRPr="0047660A">
          <w:rPr>
            <w:noProof/>
            <w:sz w:val="28"/>
            <w:szCs w:val="28"/>
            <w:lang w:val="ru-RU"/>
          </w:rPr>
          <w:t>4</w:t>
        </w:r>
        <w:r w:rsidRPr="00865A37">
          <w:rPr>
            <w:sz w:val="28"/>
            <w:szCs w:val="28"/>
          </w:rPr>
          <w:fldChar w:fldCharType="end"/>
        </w:r>
      </w:p>
    </w:sdtContent>
  </w:sdt>
  <w:p w:rsidR="00765C7C" w:rsidRDefault="00765C7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75462"/>
    <w:multiLevelType w:val="hybridMultilevel"/>
    <w:tmpl w:val="D1A2C89C"/>
    <w:lvl w:ilvl="0" w:tplc="6672954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9875E39"/>
    <w:multiLevelType w:val="hybridMultilevel"/>
    <w:tmpl w:val="0610E6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705627"/>
    <w:multiLevelType w:val="hybridMultilevel"/>
    <w:tmpl w:val="D99A871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0C5E60"/>
    <w:multiLevelType w:val="hybridMultilevel"/>
    <w:tmpl w:val="86BAFE7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55A61788"/>
    <w:multiLevelType w:val="hybridMultilevel"/>
    <w:tmpl w:val="051A05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1F5C99"/>
    <w:multiLevelType w:val="hybridMultilevel"/>
    <w:tmpl w:val="6D70C6B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E5F0652"/>
    <w:multiLevelType w:val="hybridMultilevel"/>
    <w:tmpl w:val="30D49366"/>
    <w:lvl w:ilvl="0" w:tplc="6672954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701775A8"/>
    <w:multiLevelType w:val="hybridMultilevel"/>
    <w:tmpl w:val="E7540392"/>
    <w:lvl w:ilvl="0" w:tplc="8A32300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6A73AD5"/>
    <w:multiLevelType w:val="hybridMultilevel"/>
    <w:tmpl w:val="89C6EA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2"/>
  </w:num>
  <w:num w:numId="4">
    <w:abstractNumId w:val="0"/>
  </w:num>
  <w:num w:numId="5">
    <w:abstractNumId w:val="8"/>
  </w:num>
  <w:num w:numId="6">
    <w:abstractNumId w:val="5"/>
  </w:num>
  <w:num w:numId="7">
    <w:abstractNumId w:val="1"/>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6AAA"/>
    <w:rsid w:val="00004F56"/>
    <w:rsid w:val="0008542F"/>
    <w:rsid w:val="0009528B"/>
    <w:rsid w:val="000A00B9"/>
    <w:rsid w:val="000B14A0"/>
    <w:rsid w:val="000B4780"/>
    <w:rsid w:val="000C24A0"/>
    <w:rsid w:val="000F1E85"/>
    <w:rsid w:val="00131668"/>
    <w:rsid w:val="00171968"/>
    <w:rsid w:val="00181AE3"/>
    <w:rsid w:val="00182204"/>
    <w:rsid w:val="001F6388"/>
    <w:rsid w:val="002069D6"/>
    <w:rsid w:val="00216D73"/>
    <w:rsid w:val="00220C24"/>
    <w:rsid w:val="00261314"/>
    <w:rsid w:val="002876F7"/>
    <w:rsid w:val="002A03B0"/>
    <w:rsid w:val="002A0B3C"/>
    <w:rsid w:val="002A4F14"/>
    <w:rsid w:val="002F2633"/>
    <w:rsid w:val="002F4E03"/>
    <w:rsid w:val="0032081F"/>
    <w:rsid w:val="003209AB"/>
    <w:rsid w:val="00324D9E"/>
    <w:rsid w:val="0033329F"/>
    <w:rsid w:val="0033452C"/>
    <w:rsid w:val="00342190"/>
    <w:rsid w:val="003A222A"/>
    <w:rsid w:val="003B0EF4"/>
    <w:rsid w:val="003B6D19"/>
    <w:rsid w:val="003D1A6F"/>
    <w:rsid w:val="0040534F"/>
    <w:rsid w:val="004342E4"/>
    <w:rsid w:val="004611C1"/>
    <w:rsid w:val="0047660A"/>
    <w:rsid w:val="00482D08"/>
    <w:rsid w:val="004906F3"/>
    <w:rsid w:val="004948DD"/>
    <w:rsid w:val="005018B8"/>
    <w:rsid w:val="00510706"/>
    <w:rsid w:val="00521003"/>
    <w:rsid w:val="00540A4E"/>
    <w:rsid w:val="00543C8E"/>
    <w:rsid w:val="00577C82"/>
    <w:rsid w:val="005A23A5"/>
    <w:rsid w:val="005A6F1A"/>
    <w:rsid w:val="005B0847"/>
    <w:rsid w:val="005C165F"/>
    <w:rsid w:val="005D1E4A"/>
    <w:rsid w:val="005F11C7"/>
    <w:rsid w:val="005F7C46"/>
    <w:rsid w:val="00611A37"/>
    <w:rsid w:val="00613414"/>
    <w:rsid w:val="00615430"/>
    <w:rsid w:val="00617410"/>
    <w:rsid w:val="00623AE2"/>
    <w:rsid w:val="006339D8"/>
    <w:rsid w:val="00652BA9"/>
    <w:rsid w:val="006612BE"/>
    <w:rsid w:val="00667D28"/>
    <w:rsid w:val="00686B5D"/>
    <w:rsid w:val="00690FC8"/>
    <w:rsid w:val="00691E37"/>
    <w:rsid w:val="0069627F"/>
    <w:rsid w:val="006D2390"/>
    <w:rsid w:val="006E5EB6"/>
    <w:rsid w:val="00713BAF"/>
    <w:rsid w:val="00730ACE"/>
    <w:rsid w:val="0073521C"/>
    <w:rsid w:val="00736818"/>
    <w:rsid w:val="00752330"/>
    <w:rsid w:val="00764712"/>
    <w:rsid w:val="00765C7C"/>
    <w:rsid w:val="007815BC"/>
    <w:rsid w:val="0079512B"/>
    <w:rsid w:val="007D4268"/>
    <w:rsid w:val="007D7664"/>
    <w:rsid w:val="007E64C5"/>
    <w:rsid w:val="007F6C62"/>
    <w:rsid w:val="0081723A"/>
    <w:rsid w:val="00865A37"/>
    <w:rsid w:val="008743B9"/>
    <w:rsid w:val="0089526F"/>
    <w:rsid w:val="008D3AF1"/>
    <w:rsid w:val="008F25F4"/>
    <w:rsid w:val="0091280D"/>
    <w:rsid w:val="009322FC"/>
    <w:rsid w:val="009402BA"/>
    <w:rsid w:val="009730E6"/>
    <w:rsid w:val="009A3DC9"/>
    <w:rsid w:val="009A5BBF"/>
    <w:rsid w:val="00A15B4C"/>
    <w:rsid w:val="00A40B0B"/>
    <w:rsid w:val="00A46514"/>
    <w:rsid w:val="00A46AAA"/>
    <w:rsid w:val="00AA0FBB"/>
    <w:rsid w:val="00AC4B23"/>
    <w:rsid w:val="00B4009F"/>
    <w:rsid w:val="00B471D6"/>
    <w:rsid w:val="00B56B01"/>
    <w:rsid w:val="00B64143"/>
    <w:rsid w:val="00B71408"/>
    <w:rsid w:val="00BA2D1D"/>
    <w:rsid w:val="00BC640C"/>
    <w:rsid w:val="00BC66B2"/>
    <w:rsid w:val="00BE5DBD"/>
    <w:rsid w:val="00BF07D7"/>
    <w:rsid w:val="00C42BD0"/>
    <w:rsid w:val="00C4587E"/>
    <w:rsid w:val="00C51CCD"/>
    <w:rsid w:val="00C56D23"/>
    <w:rsid w:val="00C62696"/>
    <w:rsid w:val="00C631E2"/>
    <w:rsid w:val="00C834D4"/>
    <w:rsid w:val="00CB5DA0"/>
    <w:rsid w:val="00CC2B51"/>
    <w:rsid w:val="00CC5075"/>
    <w:rsid w:val="00CC689C"/>
    <w:rsid w:val="00CD4776"/>
    <w:rsid w:val="00CE5D48"/>
    <w:rsid w:val="00CE7CCF"/>
    <w:rsid w:val="00CF5FA4"/>
    <w:rsid w:val="00D04DC1"/>
    <w:rsid w:val="00D1443A"/>
    <w:rsid w:val="00D4206B"/>
    <w:rsid w:val="00D7691B"/>
    <w:rsid w:val="00D86BA4"/>
    <w:rsid w:val="00DB6549"/>
    <w:rsid w:val="00DB65CD"/>
    <w:rsid w:val="00DC61EB"/>
    <w:rsid w:val="00DD2AB6"/>
    <w:rsid w:val="00DE7AD7"/>
    <w:rsid w:val="00E20BF9"/>
    <w:rsid w:val="00E2134A"/>
    <w:rsid w:val="00E814AC"/>
    <w:rsid w:val="00EA2FAC"/>
    <w:rsid w:val="00EB1F62"/>
    <w:rsid w:val="00EC18CB"/>
    <w:rsid w:val="00EC6686"/>
    <w:rsid w:val="00ED4EBB"/>
    <w:rsid w:val="00EF26D9"/>
    <w:rsid w:val="00EF2937"/>
    <w:rsid w:val="00F42612"/>
    <w:rsid w:val="00F44E49"/>
    <w:rsid w:val="00F5523C"/>
    <w:rsid w:val="00F55968"/>
    <w:rsid w:val="00F56624"/>
    <w:rsid w:val="00F74403"/>
    <w:rsid w:val="00FB4C7E"/>
    <w:rsid w:val="00FE1D56"/>
    <w:rsid w:val="00FE21D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33C82"/>
  <w15:docId w15:val="{008A00C6-0ED4-4E13-8677-D7F2B1B4E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15BC"/>
    <w:pPr>
      <w:spacing w:after="0" w:line="240" w:lineRule="auto"/>
      <w:jc w:val="both"/>
    </w:pPr>
    <w:rPr>
      <w:rFonts w:ascii="Times New Roman" w:eastAsia="Times New Roman"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15BC"/>
    <w:pPr>
      <w:tabs>
        <w:tab w:val="center" w:pos="4844"/>
        <w:tab w:val="right" w:pos="9689"/>
      </w:tabs>
    </w:pPr>
  </w:style>
  <w:style w:type="character" w:customStyle="1" w:styleId="a4">
    <w:name w:val="Верхний колонтитул Знак"/>
    <w:basedOn w:val="a0"/>
    <w:link w:val="a3"/>
    <w:uiPriority w:val="99"/>
    <w:rsid w:val="007815BC"/>
  </w:style>
  <w:style w:type="paragraph" w:styleId="a5">
    <w:name w:val="footer"/>
    <w:basedOn w:val="a"/>
    <w:link w:val="a6"/>
    <w:uiPriority w:val="99"/>
    <w:unhideWhenUsed/>
    <w:rsid w:val="007815BC"/>
    <w:pPr>
      <w:tabs>
        <w:tab w:val="center" w:pos="4844"/>
        <w:tab w:val="right" w:pos="9689"/>
      </w:tabs>
    </w:pPr>
  </w:style>
  <w:style w:type="character" w:customStyle="1" w:styleId="a6">
    <w:name w:val="Нижний колонтитул Знак"/>
    <w:basedOn w:val="a0"/>
    <w:link w:val="a5"/>
    <w:uiPriority w:val="99"/>
    <w:rsid w:val="007815BC"/>
  </w:style>
  <w:style w:type="character" w:styleId="a7">
    <w:name w:val="Hyperlink"/>
    <w:basedOn w:val="a0"/>
    <w:uiPriority w:val="99"/>
    <w:unhideWhenUsed/>
    <w:rsid w:val="000A00B9"/>
    <w:rPr>
      <w:color w:val="0563C1" w:themeColor="hyperlink"/>
      <w:u w:val="single"/>
    </w:rPr>
  </w:style>
  <w:style w:type="paragraph" w:styleId="a8">
    <w:name w:val="List Paragraph"/>
    <w:basedOn w:val="a"/>
    <w:uiPriority w:val="34"/>
    <w:qFormat/>
    <w:rsid w:val="00765C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0276875">
      <w:bodyDiv w:val="1"/>
      <w:marLeft w:val="0"/>
      <w:marRight w:val="0"/>
      <w:marTop w:val="0"/>
      <w:marBottom w:val="0"/>
      <w:divBdr>
        <w:top w:val="none" w:sz="0" w:space="0" w:color="auto"/>
        <w:left w:val="none" w:sz="0" w:space="0" w:color="auto"/>
        <w:bottom w:val="none" w:sz="0" w:space="0" w:color="auto"/>
        <w:right w:val="none" w:sz="0" w:space="0" w:color="auto"/>
      </w:divBdr>
    </w:div>
    <w:div w:id="1228028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iss.gov.ua/doslidzhennya/nacionalna-bezpeka/schodo-perspektivi-rozrobki-novoi-redakcii-evropeyskoi-strategii" TargetMode="External"/><Relationship Id="rId13" Type="http://schemas.openxmlformats.org/officeDocument/2006/relationships/hyperlink" Target="https://papers.ssrn.com/sol3/papers.cfm?abstract_id=3772589" TargetMode="External"/><Relationship Id="rId18" Type="http://schemas.openxmlformats.org/officeDocument/2006/relationships/hyperlink" Target="https://www.eeas.europa.eu/eeas/denmark-statement-high-representative-outcome-referendum-opt-out-defence-matters_en" TargetMode="External"/><Relationship Id="rId26" Type="http://schemas.openxmlformats.org/officeDocument/2006/relationships/hyperlink" Target="https://ec.europa.eu/commission/presscorner/detail/en/speech_22_5493" TargetMode="External"/><Relationship Id="rId3" Type="http://schemas.openxmlformats.org/officeDocument/2006/relationships/styles" Target="styles.xml"/><Relationship Id="rId21" Type="http://schemas.openxmlformats.org/officeDocument/2006/relationships/hyperlink" Target="https://www.eeas.europa.eu/sites/default/files/eugs_review_web_0.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consilium.europa.eu/en/press/press-releases/2019/06/20/a-new-strategic-agenda-2019-2024/" TargetMode="External"/><Relationship Id="rId17" Type="http://schemas.openxmlformats.org/officeDocument/2006/relationships/hyperlink" Target="https://www.egmontinstitute.be/content/uploads/2004/03/Artikel.ESS_.pdf?type=pdf" TargetMode="External"/><Relationship Id="rId25" Type="http://schemas.openxmlformats.org/officeDocument/2006/relationships/hyperlink" Target="https://www.europarl.europa.eu/thinktank/en/document/EXPO_STU(2015)534989"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ws.bbc.co.uk/2/hi/europe/1387960.stm" TargetMode="External"/><Relationship Id="rId20" Type="http://schemas.openxmlformats.org/officeDocument/2006/relationships/hyperlink" Target="https://www.europarl.europa.eu/about-parliament/en/in-the-past/the-parliament-and-the-treaties/maastricht-treaty" TargetMode="External"/><Relationship Id="rId29" Type="http://schemas.openxmlformats.org/officeDocument/2006/relationships/hyperlink" Target="https://www.europarl.europa.eu/factsheets/en/sheet/5/the-treaty-of-lisb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volutio.info/ru/journal-menu/2005-2/2005-2-talayko" TargetMode="External"/><Relationship Id="rId24" Type="http://schemas.openxmlformats.org/officeDocument/2006/relationships/hyperlink" Target="https://www.mfa.gov.tr/no_-98_-ab-tarafindan-onaylanan-stratejik-pusula-baslikli-belge-hk.en.mfa"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eeas.europa.eu/eeas/2024-progress-report-implementation-strategic-compass-security-and-defence_en" TargetMode="External"/><Relationship Id="rId23" Type="http://schemas.openxmlformats.org/officeDocument/2006/relationships/hyperlink" Target="https://www.bundesregierung.de/breg-en/news/policy-statement-by-olaf-scholz-chancellor-of-the-federal-republic-of-germany-and-member-of-the-german-bundestag-27-february-2022-in-berlin-2008378" TargetMode="External"/><Relationship Id="rId28" Type="http://schemas.openxmlformats.org/officeDocument/2006/relationships/hyperlink" Target="https://www.president.pl/news/open-letter-by-presidents-in-support-of-ukraines-swift-candidacy-to-the-european-union,49584" TargetMode="External"/><Relationship Id="rId10" Type="http://schemas.openxmlformats.org/officeDocument/2006/relationships/hyperlink" Target="https://www.eeas.europa.eu/delegations/ukraine/%D0%BF%D1%96%D0%B4%D0%B2%D0%B8%D1%89%D0%B8%D1%82%D0%B8-%D0%BF%D0%BE%D1%82%D1%83%D0%B6%D0%BD%D1%96%D1%81%D1%82%D1%8C-%D1%94%D0%B2%D1%80%D0%BE%D0%BF%D0%B5%D0%B9%D1%81%D1%8C%D0%BA%D0%BE%D1%97-%D0%BE%D0%B1%D0%BE%D1%80%D0%BE%D0%BD%D0%B8_uk?s=232" TargetMode="External"/><Relationship Id="rId19" Type="http://schemas.openxmlformats.org/officeDocument/2006/relationships/hyperlink" Target="https://fpc.org.uk/wp-content/uploads/2006/09/187.pdf" TargetMode="External"/><Relationship Id="rId31"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www.consilium.europa.eu/en/documents-publications/publications/european-security-strategy-secure-europe-better-world/" TargetMode="External"/><Relationship Id="rId14" Type="http://schemas.openxmlformats.org/officeDocument/2006/relationships/hyperlink" Target="https://www.eeas.europa.eu/eeas/2023-annual-progress-report-implementation-strategic-compass-security-and-defence_en" TargetMode="External"/><Relationship Id="rId22" Type="http://schemas.openxmlformats.org/officeDocument/2006/relationships/hyperlink" Target="https://www.researchgate.net/publication/330046723_Strategy-Making_in_the_EU_From_Foreign_and_Security_Policy_to_External_Action" TargetMode="External"/><Relationship Id="rId27" Type="http://schemas.openxmlformats.org/officeDocument/2006/relationships/hyperlink" Target="https://www.consilium.europa.eu/en/press/press-releases/2021/03/25/statement-of-the-members-of-the-european-council-25-march-2021/" TargetMode="External"/><Relationship Id="rId30"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C04CF-D18D-4A5E-9D48-18D302739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103</Pages>
  <Words>26614</Words>
  <Characters>151704</Characters>
  <Application>Microsoft Office Word</Application>
  <DocSecurity>0</DocSecurity>
  <Lines>1264</Lines>
  <Paragraphs>355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Anastasia Moroz</dc:creator>
  <cp:keywords/>
  <dc:description/>
  <cp:lastModifiedBy>Пользователь Windows</cp:lastModifiedBy>
  <cp:revision>111</cp:revision>
  <dcterms:created xsi:type="dcterms:W3CDTF">2024-11-16T19:00:00Z</dcterms:created>
  <dcterms:modified xsi:type="dcterms:W3CDTF">2024-11-27T09:53:00Z</dcterms:modified>
</cp:coreProperties>
</file>