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494" w:rsidRPr="00CD2767" w:rsidRDefault="00F31494" w:rsidP="00F31494">
      <w:pPr>
        <w:widowControl w:val="0"/>
        <w:autoSpaceDE w:val="0"/>
        <w:autoSpaceDN w:val="0"/>
        <w:adjustRightInd w:val="0"/>
        <w:spacing w:after="0" w:line="360" w:lineRule="auto"/>
        <w:jc w:val="center"/>
        <w:rPr>
          <w:rFonts w:ascii="Times New Roman" w:hAnsi="Times New Roman"/>
          <w:kern w:val="28"/>
          <w:sz w:val="28"/>
          <w:szCs w:val="28"/>
        </w:rPr>
      </w:pPr>
      <w:r w:rsidRPr="00CD2767">
        <w:rPr>
          <w:rFonts w:ascii="Times New Roman" w:hAnsi="Times New Roman"/>
          <w:kern w:val="28"/>
          <w:sz w:val="28"/>
          <w:szCs w:val="28"/>
        </w:rPr>
        <w:t>ОДЕСЬКИЙ НАЦІОНАЛЬНИЙ УНІВЕРСИТЕТ ІМЕНІ І.</w:t>
      </w:r>
      <w:r w:rsidRPr="00CD2767">
        <w:rPr>
          <w:rFonts w:ascii="Times New Roman" w:hAnsi="Times New Roman"/>
          <w:sz w:val="28"/>
          <w:szCs w:val="28"/>
        </w:rPr>
        <w:t xml:space="preserve"> </w:t>
      </w:r>
      <w:r w:rsidRPr="00CD2767">
        <w:rPr>
          <w:rFonts w:ascii="Times New Roman" w:hAnsi="Times New Roman"/>
          <w:kern w:val="28"/>
          <w:sz w:val="28"/>
          <w:szCs w:val="28"/>
        </w:rPr>
        <w:t>І.</w:t>
      </w:r>
      <w:r w:rsidRPr="00CD2767">
        <w:rPr>
          <w:rFonts w:ascii="Times New Roman" w:hAnsi="Times New Roman"/>
          <w:sz w:val="28"/>
          <w:szCs w:val="28"/>
        </w:rPr>
        <w:t xml:space="preserve"> </w:t>
      </w:r>
      <w:r w:rsidRPr="00CD2767">
        <w:rPr>
          <w:rFonts w:ascii="Times New Roman" w:hAnsi="Times New Roman"/>
          <w:kern w:val="28"/>
          <w:sz w:val="28"/>
          <w:szCs w:val="28"/>
        </w:rPr>
        <w:t>МЕЧНИКОВА</w:t>
      </w:r>
    </w:p>
    <w:p w:rsidR="00F31494" w:rsidRPr="00CD2767" w:rsidRDefault="00F31494" w:rsidP="00F31494">
      <w:pPr>
        <w:widowControl w:val="0"/>
        <w:autoSpaceDE w:val="0"/>
        <w:autoSpaceDN w:val="0"/>
        <w:adjustRightInd w:val="0"/>
        <w:spacing w:after="0" w:line="360" w:lineRule="auto"/>
        <w:jc w:val="center"/>
        <w:rPr>
          <w:rFonts w:ascii="Times New Roman" w:hAnsi="Times New Roman"/>
          <w:kern w:val="28"/>
          <w:sz w:val="28"/>
          <w:szCs w:val="28"/>
        </w:rPr>
      </w:pPr>
      <w:r w:rsidRPr="00CD2767">
        <w:rPr>
          <w:rFonts w:ascii="Times New Roman" w:hAnsi="Times New Roman"/>
          <w:kern w:val="28"/>
          <w:sz w:val="28"/>
          <w:szCs w:val="28"/>
        </w:rPr>
        <w:t>Біологічний факультет</w:t>
      </w:r>
    </w:p>
    <w:p w:rsidR="00F31494" w:rsidRPr="00CD2767" w:rsidRDefault="00F31494" w:rsidP="00F31494">
      <w:pPr>
        <w:spacing w:after="0" w:line="360" w:lineRule="auto"/>
        <w:jc w:val="center"/>
        <w:rPr>
          <w:rFonts w:ascii="Times New Roman" w:hAnsi="Times New Roman"/>
          <w:b/>
          <w:sz w:val="28"/>
          <w:szCs w:val="28"/>
        </w:rPr>
      </w:pPr>
      <w:r w:rsidRPr="00CD2767">
        <w:rPr>
          <w:rFonts w:ascii="Times New Roman" w:hAnsi="Times New Roman"/>
          <w:sz w:val="28"/>
          <w:szCs w:val="28"/>
        </w:rPr>
        <w:t>Кафедра фізіології, здоров’я і безпеки людини та природничої освіти</w:t>
      </w:r>
    </w:p>
    <w:p w:rsidR="00F31494" w:rsidRPr="00CD2767" w:rsidRDefault="00F31494" w:rsidP="00F31494">
      <w:pPr>
        <w:spacing w:line="360" w:lineRule="auto"/>
        <w:jc w:val="center"/>
        <w:rPr>
          <w:rFonts w:ascii="Times New Roman" w:hAnsi="Times New Roman"/>
          <w:b/>
          <w:sz w:val="28"/>
          <w:szCs w:val="28"/>
          <w:lang w:val="ru-RU"/>
        </w:rPr>
      </w:pPr>
    </w:p>
    <w:p w:rsidR="00F31494" w:rsidRPr="00CD2767" w:rsidRDefault="00F31494" w:rsidP="00F31494">
      <w:pPr>
        <w:spacing w:after="0" w:line="360" w:lineRule="auto"/>
        <w:jc w:val="center"/>
        <w:rPr>
          <w:rFonts w:ascii="Times New Roman" w:hAnsi="Times New Roman"/>
          <w:b/>
          <w:sz w:val="28"/>
          <w:szCs w:val="28"/>
        </w:rPr>
      </w:pPr>
      <w:r w:rsidRPr="00CD2767">
        <w:rPr>
          <w:rFonts w:ascii="Times New Roman" w:hAnsi="Times New Roman"/>
          <w:b/>
          <w:sz w:val="28"/>
          <w:szCs w:val="28"/>
        </w:rPr>
        <w:t xml:space="preserve">Дипломна робота </w:t>
      </w:r>
    </w:p>
    <w:p w:rsidR="00F31494" w:rsidRPr="00CD2767" w:rsidRDefault="00F31494" w:rsidP="00F31494">
      <w:pPr>
        <w:spacing w:after="0" w:line="360" w:lineRule="auto"/>
        <w:jc w:val="center"/>
        <w:rPr>
          <w:rFonts w:ascii="Times New Roman" w:hAnsi="Times New Roman"/>
          <w:sz w:val="28"/>
          <w:szCs w:val="28"/>
        </w:rPr>
      </w:pPr>
      <w:r w:rsidRPr="00CD2767">
        <w:rPr>
          <w:rFonts w:ascii="Times New Roman" w:hAnsi="Times New Roman"/>
          <w:sz w:val="28"/>
          <w:szCs w:val="28"/>
        </w:rPr>
        <w:t>на здобуття ступеня вищої освіти «магістр»</w:t>
      </w:r>
    </w:p>
    <w:p w:rsidR="00F31494" w:rsidRPr="00CD2767" w:rsidRDefault="00F31494" w:rsidP="00F31494">
      <w:pPr>
        <w:spacing w:after="0" w:line="360" w:lineRule="auto"/>
        <w:jc w:val="center"/>
        <w:rPr>
          <w:rFonts w:ascii="Times New Roman" w:hAnsi="Times New Roman"/>
          <w:sz w:val="28"/>
          <w:szCs w:val="28"/>
        </w:rPr>
      </w:pPr>
      <w:r w:rsidRPr="00CD2767">
        <w:rPr>
          <w:rFonts w:ascii="Times New Roman" w:hAnsi="Times New Roman"/>
          <w:sz w:val="28"/>
          <w:szCs w:val="28"/>
        </w:rPr>
        <w:t xml:space="preserve"> </w:t>
      </w:r>
      <w:r w:rsidRPr="00CD2767">
        <w:rPr>
          <w:rFonts w:ascii="Times New Roman" w:hAnsi="Times New Roman"/>
          <w:b/>
          <w:sz w:val="28"/>
          <w:szCs w:val="28"/>
        </w:rPr>
        <w:t>«Показники гемограми у мешканців м. Одеса</w:t>
      </w:r>
      <w:r w:rsidRPr="00CD2767">
        <w:rPr>
          <w:rFonts w:ascii="Times New Roman" w:hAnsi="Times New Roman"/>
          <w:sz w:val="28"/>
          <w:szCs w:val="28"/>
        </w:rPr>
        <w:t>»</w:t>
      </w:r>
    </w:p>
    <w:p w:rsidR="00F31494" w:rsidRPr="00CD2767" w:rsidRDefault="00F31494" w:rsidP="00F31494">
      <w:pPr>
        <w:pStyle w:val="HTML"/>
        <w:spacing w:line="360" w:lineRule="auto"/>
        <w:jc w:val="center"/>
        <w:rPr>
          <w:rFonts w:ascii="Times New Roman" w:hAnsi="Times New Roman" w:cs="Times New Roman"/>
          <w:sz w:val="24"/>
          <w:szCs w:val="24"/>
          <w:lang w:val="en-US" w:eastAsia="uk-UA"/>
        </w:rPr>
      </w:pPr>
      <w:r w:rsidRPr="00CD2767">
        <w:rPr>
          <w:rFonts w:ascii="Times New Roman" w:hAnsi="Times New Roman" w:cs="Times New Roman"/>
          <w:sz w:val="24"/>
          <w:szCs w:val="24"/>
          <w:lang w:val="uk-UA"/>
        </w:rPr>
        <w:t>«</w:t>
      </w:r>
      <w:r w:rsidRPr="00CD2767">
        <w:rPr>
          <w:rFonts w:ascii="Times New Roman" w:hAnsi="Times New Roman" w:cs="Times New Roman"/>
          <w:sz w:val="24"/>
          <w:szCs w:val="24"/>
          <w:lang w:val="en-US"/>
        </w:rPr>
        <w:t>Indices</w:t>
      </w:r>
      <w:r w:rsidRPr="00CD2767">
        <w:rPr>
          <w:rFonts w:ascii="Times New Roman" w:hAnsi="Times New Roman" w:cs="Times New Roman"/>
          <w:sz w:val="24"/>
          <w:szCs w:val="24"/>
          <w:lang w:val="en-US" w:eastAsia="uk-UA"/>
        </w:rPr>
        <w:t xml:space="preserve"> of hemogram in residents of Odessa</w:t>
      </w:r>
      <w:r w:rsidRPr="00CD2767">
        <w:rPr>
          <w:rFonts w:ascii="Times New Roman" w:hAnsi="Times New Roman" w:cs="Times New Roman"/>
          <w:sz w:val="24"/>
          <w:szCs w:val="24"/>
          <w:lang w:val="uk-UA" w:eastAsia="uk-UA"/>
        </w:rPr>
        <w:t xml:space="preserve"> </w:t>
      </w:r>
      <w:r w:rsidRPr="00CD2767">
        <w:rPr>
          <w:rFonts w:ascii="Times New Roman" w:hAnsi="Times New Roman" w:cs="Times New Roman"/>
          <w:sz w:val="24"/>
          <w:szCs w:val="24"/>
          <w:lang w:val="en-US" w:eastAsia="uk-UA"/>
        </w:rPr>
        <w:t>city</w:t>
      </w:r>
      <w:r w:rsidRPr="00CD2767">
        <w:rPr>
          <w:rFonts w:ascii="Times New Roman" w:hAnsi="Times New Roman" w:cs="Times New Roman"/>
          <w:sz w:val="24"/>
          <w:szCs w:val="24"/>
          <w:lang w:val="en-US"/>
        </w:rPr>
        <w:t>»</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cs="Times New Roman"/>
          <w:b/>
          <w:kern w:val="28"/>
          <w:sz w:val="28"/>
          <w:szCs w:val="28"/>
          <w:lang w:eastAsia="ru-RU"/>
        </w:rPr>
      </w:pP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contextualSpacing/>
        <w:jc w:val="center"/>
        <w:rPr>
          <w:rFonts w:ascii="Times New Roman" w:hAnsi="Times New Roman"/>
          <w:b/>
          <w:kern w:val="28"/>
          <w:sz w:val="28"/>
          <w:szCs w:val="28"/>
        </w:rPr>
      </w:pP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b/>
          <w:kern w:val="28"/>
          <w:sz w:val="28"/>
          <w:szCs w:val="28"/>
        </w:rPr>
      </w:pP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b/>
          <w:kern w:val="28"/>
          <w:sz w:val="28"/>
          <w:szCs w:val="28"/>
        </w:rPr>
        <w:t>Виконав:</w:t>
      </w:r>
      <w:r w:rsidRPr="00CD2767">
        <w:rPr>
          <w:rFonts w:ascii="Times New Roman" w:hAnsi="Times New Roman"/>
          <w:kern w:val="28"/>
          <w:sz w:val="28"/>
          <w:szCs w:val="28"/>
        </w:rPr>
        <w:t xml:space="preserve"> </w:t>
      </w:r>
      <w:r>
        <w:rPr>
          <w:rFonts w:ascii="Times New Roman" w:hAnsi="Times New Roman"/>
          <w:kern w:val="28"/>
          <w:sz w:val="28"/>
          <w:szCs w:val="28"/>
        </w:rPr>
        <w:t xml:space="preserve">здобувач </w:t>
      </w:r>
      <w:r w:rsidRPr="00CD2767">
        <w:rPr>
          <w:rFonts w:ascii="Times New Roman" w:hAnsi="Times New Roman"/>
          <w:kern w:val="28"/>
          <w:sz w:val="28"/>
          <w:szCs w:val="28"/>
        </w:rPr>
        <w:t xml:space="preserve">заочної </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kern w:val="28"/>
          <w:sz w:val="28"/>
          <w:szCs w:val="28"/>
        </w:rPr>
        <w:t>форми навчання</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sz w:val="28"/>
          <w:szCs w:val="28"/>
        </w:rPr>
      </w:pPr>
      <w:r>
        <w:rPr>
          <w:rFonts w:ascii="Times New Roman" w:hAnsi="Times New Roman"/>
          <w:kern w:val="28"/>
          <w:sz w:val="28"/>
          <w:szCs w:val="28"/>
        </w:rPr>
        <w:t>с</w:t>
      </w:r>
      <w:r w:rsidRPr="00CD2767">
        <w:rPr>
          <w:rFonts w:ascii="Times New Roman" w:hAnsi="Times New Roman"/>
          <w:kern w:val="28"/>
          <w:sz w:val="28"/>
          <w:szCs w:val="28"/>
        </w:rPr>
        <w:t xml:space="preserve">пеціальності </w:t>
      </w:r>
      <w:r w:rsidRPr="00CD2767">
        <w:rPr>
          <w:rFonts w:ascii="Times New Roman" w:hAnsi="Times New Roman"/>
          <w:sz w:val="28"/>
          <w:szCs w:val="28"/>
        </w:rPr>
        <w:t>091 Біологія,</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sz w:val="28"/>
          <w:szCs w:val="28"/>
        </w:rPr>
        <w:t>ОП Біологія</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b/>
          <w:kern w:val="28"/>
          <w:sz w:val="28"/>
          <w:szCs w:val="28"/>
        </w:rPr>
      </w:pPr>
      <w:r w:rsidRPr="00CD2767">
        <w:rPr>
          <w:rFonts w:ascii="Times New Roman" w:hAnsi="Times New Roman"/>
          <w:b/>
          <w:kern w:val="28"/>
          <w:sz w:val="28"/>
          <w:szCs w:val="28"/>
        </w:rPr>
        <w:t>Морозов Андрій Володимирович</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4678"/>
        <w:contextualSpacing/>
        <w:rPr>
          <w:rFonts w:ascii="Times New Roman" w:hAnsi="Times New Roman"/>
          <w:kern w:val="28"/>
          <w:sz w:val="28"/>
          <w:szCs w:val="28"/>
        </w:rPr>
      </w:pP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b/>
          <w:kern w:val="28"/>
          <w:sz w:val="28"/>
          <w:szCs w:val="28"/>
        </w:rPr>
        <w:t xml:space="preserve">Науковий керівник: </w:t>
      </w:r>
    </w:p>
    <w:p w:rsidR="00F31494" w:rsidRPr="00CD2767"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kern w:val="28"/>
          <w:sz w:val="28"/>
          <w:szCs w:val="28"/>
        </w:rPr>
        <w:t>кандидат біологічних наук, доцент</w:t>
      </w:r>
    </w:p>
    <w:p w:rsidR="00F31494"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4678"/>
        <w:contextualSpacing/>
        <w:rPr>
          <w:rFonts w:ascii="Times New Roman" w:hAnsi="Times New Roman"/>
          <w:kern w:val="28"/>
          <w:sz w:val="28"/>
          <w:szCs w:val="28"/>
        </w:rPr>
      </w:pPr>
      <w:r w:rsidRPr="00CD2767">
        <w:rPr>
          <w:rFonts w:ascii="Times New Roman" w:hAnsi="Times New Roman"/>
          <w:kern w:val="28"/>
          <w:sz w:val="28"/>
          <w:szCs w:val="28"/>
        </w:rPr>
        <w:t>Кириленко Наталя Анатоліївна</w:t>
      </w:r>
    </w:p>
    <w:p w:rsidR="00F31494" w:rsidRPr="005E571F"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4678"/>
        <w:contextualSpacing/>
        <w:rPr>
          <w:rFonts w:ascii="Times New Roman" w:hAnsi="Times New Roman" w:cs="Times New Roman"/>
          <w:kern w:val="28"/>
          <w:sz w:val="28"/>
          <w:szCs w:val="28"/>
        </w:rPr>
      </w:pPr>
      <w:r w:rsidRPr="005E571F">
        <w:rPr>
          <w:rFonts w:ascii="Times New Roman" w:hAnsi="Times New Roman" w:cs="Times New Roman"/>
          <w:kern w:val="28"/>
          <w:sz w:val="28"/>
          <w:szCs w:val="28"/>
        </w:rPr>
        <w:t>____________________________</w:t>
      </w:r>
    </w:p>
    <w:p w:rsidR="00F31494" w:rsidRPr="00CD2767" w:rsidRDefault="00F31494" w:rsidP="00F31494">
      <w:pPr>
        <w:widowControl w:val="0"/>
        <w:tabs>
          <w:tab w:val="left" w:pos="1418"/>
          <w:tab w:val="left" w:pos="1843"/>
          <w:tab w:val="left" w:pos="4536"/>
        </w:tabs>
        <w:autoSpaceDE w:val="0"/>
        <w:autoSpaceDN w:val="0"/>
        <w:adjustRightInd w:val="0"/>
        <w:spacing w:line="240" w:lineRule="auto"/>
        <w:ind w:left="4536"/>
        <w:rPr>
          <w:rFonts w:ascii="Times New Roman" w:hAnsi="Times New Roman" w:cs="Times New Roman"/>
          <w:kern w:val="28"/>
          <w:sz w:val="24"/>
          <w:szCs w:val="24"/>
        </w:rPr>
      </w:pPr>
      <w:r>
        <w:rPr>
          <w:rFonts w:ascii="Times New Roman" w:hAnsi="Times New Roman" w:cs="Times New Roman"/>
          <w:kern w:val="28"/>
          <w:sz w:val="24"/>
          <w:szCs w:val="24"/>
        </w:rPr>
        <w:t xml:space="preserve">                             </w:t>
      </w:r>
      <w:r w:rsidRPr="00CD2767">
        <w:rPr>
          <w:rFonts w:ascii="Times New Roman" w:hAnsi="Times New Roman" w:cs="Times New Roman"/>
          <w:kern w:val="28"/>
          <w:sz w:val="24"/>
          <w:szCs w:val="24"/>
        </w:rPr>
        <w:t>(підпис)</w:t>
      </w:r>
    </w:p>
    <w:p w:rsidR="00F31494" w:rsidRPr="00CD2767" w:rsidRDefault="00F31494" w:rsidP="00F31494">
      <w:pPr>
        <w:widowControl w:val="0"/>
        <w:tabs>
          <w:tab w:val="left" w:pos="1418"/>
          <w:tab w:val="left" w:pos="1843"/>
          <w:tab w:val="left" w:pos="4536"/>
        </w:tabs>
        <w:autoSpaceDE w:val="0"/>
        <w:autoSpaceDN w:val="0"/>
        <w:adjustRightInd w:val="0"/>
        <w:spacing w:after="0" w:line="240" w:lineRule="auto"/>
        <w:rPr>
          <w:rFonts w:ascii="Times New Roman" w:hAnsi="Times New Roman"/>
          <w:b/>
          <w:kern w:val="28"/>
          <w:sz w:val="28"/>
          <w:szCs w:val="28"/>
        </w:rPr>
      </w:pPr>
    </w:p>
    <w:p w:rsidR="00F31494" w:rsidRPr="00CD2767" w:rsidRDefault="00F31494" w:rsidP="00F31494">
      <w:pPr>
        <w:widowControl w:val="0"/>
        <w:tabs>
          <w:tab w:val="left" w:pos="1418"/>
          <w:tab w:val="left" w:pos="1843"/>
          <w:tab w:val="left" w:pos="4536"/>
        </w:tabs>
        <w:autoSpaceDE w:val="0"/>
        <w:autoSpaceDN w:val="0"/>
        <w:adjustRightInd w:val="0"/>
        <w:spacing w:after="0" w:line="240" w:lineRule="auto"/>
        <w:ind w:left="4536" w:firstLine="142"/>
        <w:rPr>
          <w:rFonts w:ascii="Times New Roman" w:hAnsi="Times New Roman" w:cs="Times New Roman"/>
          <w:b/>
          <w:kern w:val="28"/>
          <w:sz w:val="28"/>
          <w:szCs w:val="28"/>
        </w:rPr>
      </w:pPr>
    </w:p>
    <w:p w:rsidR="00F31494" w:rsidRPr="00CD2767" w:rsidRDefault="00F31494" w:rsidP="00F31494">
      <w:pPr>
        <w:widowControl w:val="0"/>
        <w:tabs>
          <w:tab w:val="left" w:pos="1418"/>
          <w:tab w:val="left" w:pos="1843"/>
          <w:tab w:val="left" w:pos="4536"/>
        </w:tabs>
        <w:autoSpaceDE w:val="0"/>
        <w:autoSpaceDN w:val="0"/>
        <w:adjustRightInd w:val="0"/>
        <w:spacing w:after="0" w:line="240" w:lineRule="auto"/>
        <w:ind w:left="4536" w:firstLine="142"/>
        <w:rPr>
          <w:rFonts w:ascii="Times New Roman" w:hAnsi="Times New Roman"/>
          <w:kern w:val="28"/>
          <w:sz w:val="28"/>
          <w:szCs w:val="28"/>
        </w:rPr>
      </w:pPr>
      <w:r w:rsidRPr="00CD2767">
        <w:rPr>
          <w:rFonts w:ascii="Times New Roman" w:hAnsi="Times New Roman"/>
          <w:b/>
          <w:kern w:val="28"/>
          <w:sz w:val="28"/>
          <w:szCs w:val="28"/>
        </w:rPr>
        <w:t>Рецензен</w:t>
      </w:r>
      <w:r w:rsidRPr="00CD2767">
        <w:rPr>
          <w:rFonts w:ascii="Times New Roman" w:hAnsi="Times New Roman"/>
          <w:kern w:val="28"/>
          <w:sz w:val="28"/>
          <w:szCs w:val="28"/>
        </w:rPr>
        <w:t>т:</w:t>
      </w:r>
    </w:p>
    <w:p w:rsidR="00F31494" w:rsidRPr="00CD2767" w:rsidRDefault="00F31494" w:rsidP="00F31494">
      <w:pPr>
        <w:widowControl w:val="0"/>
        <w:tabs>
          <w:tab w:val="left" w:pos="1418"/>
          <w:tab w:val="left" w:pos="1843"/>
          <w:tab w:val="left" w:pos="4536"/>
        </w:tabs>
        <w:autoSpaceDE w:val="0"/>
        <w:spacing w:after="0" w:line="240" w:lineRule="auto"/>
        <w:ind w:left="4536" w:firstLine="142"/>
        <w:rPr>
          <w:rFonts w:ascii="Times New Roman" w:hAnsi="Times New Roman"/>
          <w:kern w:val="28"/>
          <w:sz w:val="28"/>
          <w:szCs w:val="28"/>
        </w:rPr>
      </w:pPr>
      <w:r w:rsidRPr="00CD2767">
        <w:rPr>
          <w:rFonts w:ascii="Times New Roman" w:hAnsi="Times New Roman"/>
          <w:kern w:val="28"/>
          <w:sz w:val="28"/>
          <w:szCs w:val="28"/>
        </w:rPr>
        <w:t>кандидат біологічних наук, доцент</w:t>
      </w:r>
    </w:p>
    <w:p w:rsidR="00F31494" w:rsidRPr="00CD2767" w:rsidRDefault="00F31494" w:rsidP="00F31494">
      <w:pPr>
        <w:tabs>
          <w:tab w:val="left" w:pos="1418"/>
          <w:tab w:val="left" w:pos="1843"/>
          <w:tab w:val="left" w:pos="4536"/>
        </w:tabs>
        <w:spacing w:after="0" w:line="240" w:lineRule="auto"/>
        <w:ind w:left="4536" w:firstLine="142"/>
        <w:rPr>
          <w:rFonts w:ascii="Times New Roman" w:hAnsi="Times New Roman"/>
          <w:kern w:val="2"/>
          <w:sz w:val="28"/>
          <w:szCs w:val="28"/>
        </w:rPr>
      </w:pPr>
      <w:r w:rsidRPr="00CD2767">
        <w:rPr>
          <w:rFonts w:ascii="Times New Roman" w:hAnsi="Times New Roman"/>
          <w:kern w:val="28"/>
          <w:sz w:val="28"/>
          <w:szCs w:val="28"/>
        </w:rPr>
        <w:t>Делі Ольга Федорівна</w:t>
      </w:r>
    </w:p>
    <w:p w:rsidR="00F31494" w:rsidRPr="00CD2767"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42"/>
        <w:jc w:val="center"/>
        <w:rPr>
          <w:rFonts w:ascii="Times New Roman" w:hAnsi="Times New Roman"/>
          <w:kern w:val="2"/>
          <w:sz w:val="28"/>
          <w:szCs w:val="28"/>
        </w:rPr>
      </w:pPr>
    </w:p>
    <w:p w:rsidR="00F31494" w:rsidRPr="00CD2767"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kern w:val="2"/>
          <w:sz w:val="28"/>
          <w:szCs w:val="28"/>
        </w:rPr>
      </w:pPr>
    </w:p>
    <w:tbl>
      <w:tblPr>
        <w:tblW w:w="0" w:type="auto"/>
        <w:jc w:val="center"/>
        <w:tblLook w:val="04A0" w:firstRow="1" w:lastRow="0" w:firstColumn="1" w:lastColumn="0" w:noHBand="0" w:noVBand="1"/>
      </w:tblPr>
      <w:tblGrid>
        <w:gridCol w:w="4476"/>
        <w:gridCol w:w="4785"/>
      </w:tblGrid>
      <w:tr w:rsidR="00F31494" w:rsidRPr="00CD2767" w:rsidTr="0000577F">
        <w:trPr>
          <w:jc w:val="center"/>
        </w:trPr>
        <w:tc>
          <w:tcPr>
            <w:tcW w:w="4476"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Рекомендовано до захисту:</w:t>
            </w:r>
          </w:p>
        </w:tc>
        <w:tc>
          <w:tcPr>
            <w:tcW w:w="4785"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 xml:space="preserve">Захищено на засіданні ЕК № </w:t>
            </w:r>
            <w:r>
              <w:rPr>
                <w:rFonts w:ascii="Times New Roman" w:hAnsi="Times New Roman"/>
                <w:kern w:val="2"/>
                <w:sz w:val="28"/>
                <w:szCs w:val="28"/>
              </w:rPr>
              <w:t>5</w:t>
            </w:r>
          </w:p>
        </w:tc>
      </w:tr>
      <w:tr w:rsidR="00F31494" w:rsidRPr="00CD2767" w:rsidTr="0000577F">
        <w:trPr>
          <w:jc w:val="center"/>
        </w:trPr>
        <w:tc>
          <w:tcPr>
            <w:tcW w:w="4476"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Протокол засідання кафедри</w:t>
            </w:r>
          </w:p>
        </w:tc>
        <w:tc>
          <w:tcPr>
            <w:tcW w:w="4785"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Протокол №_____від «___» _______р.</w:t>
            </w:r>
          </w:p>
        </w:tc>
      </w:tr>
      <w:tr w:rsidR="00F31494" w:rsidRPr="00CD2767" w:rsidTr="0000577F">
        <w:trPr>
          <w:jc w:val="center"/>
        </w:trPr>
        <w:tc>
          <w:tcPr>
            <w:tcW w:w="4476"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№_____від «___» ________р.</w:t>
            </w:r>
          </w:p>
        </w:tc>
        <w:tc>
          <w:tcPr>
            <w:tcW w:w="4785" w:type="dxa"/>
            <w:hideMark/>
          </w:tcPr>
          <w:p w:rsidR="00F31494" w:rsidRPr="00CD2767" w:rsidRDefault="00F31494" w:rsidP="0000577F">
            <w:pPr>
              <w:widowControl w:val="0"/>
              <w:tabs>
                <w:tab w:val="left" w:pos="4678"/>
              </w:tabs>
              <w:autoSpaceDE w:val="0"/>
              <w:spacing w:after="0" w:line="240" w:lineRule="auto"/>
              <w:jc w:val="both"/>
              <w:rPr>
                <w:rFonts w:ascii="Times New Roman" w:eastAsiaTheme="minorHAnsi" w:hAnsi="Times New Roman" w:cs="Times New Roman"/>
                <w:kern w:val="2"/>
                <w:sz w:val="28"/>
                <w:szCs w:val="28"/>
                <w:lang w:eastAsia="en-US"/>
              </w:rPr>
            </w:pPr>
            <w:r w:rsidRPr="00CD2767">
              <w:rPr>
                <w:rFonts w:ascii="Times New Roman" w:hAnsi="Times New Roman"/>
                <w:kern w:val="2"/>
                <w:sz w:val="28"/>
                <w:szCs w:val="28"/>
              </w:rPr>
              <w:t>Оцінка_____/________/__________</w:t>
            </w:r>
          </w:p>
          <w:p w:rsidR="00F31494" w:rsidRPr="00CD2767" w:rsidRDefault="00F31494" w:rsidP="0000577F">
            <w:pPr>
              <w:widowControl w:val="0"/>
              <w:tabs>
                <w:tab w:val="left" w:pos="4678"/>
              </w:tabs>
              <w:autoSpaceDE w:val="0"/>
              <w:spacing w:after="0" w:line="240" w:lineRule="auto"/>
              <w:jc w:val="both"/>
              <w:rPr>
                <w:rFonts w:ascii="Times New Roman" w:eastAsia="Times New Roman" w:hAnsi="Times New Roman"/>
                <w:kern w:val="2"/>
                <w:sz w:val="28"/>
                <w:szCs w:val="28"/>
                <w:lang w:eastAsia="en-US"/>
              </w:rPr>
            </w:pPr>
            <w:r w:rsidRPr="00CD2767">
              <w:rPr>
                <w:kern w:val="2"/>
                <w:sz w:val="28"/>
                <w:szCs w:val="28"/>
                <w:vertAlign w:val="superscript"/>
              </w:rPr>
              <w:t xml:space="preserve">  </w:t>
            </w:r>
            <w:r w:rsidRPr="00CD2767">
              <w:rPr>
                <w:rFonts w:ascii="Times New Roman" w:hAnsi="Times New Roman"/>
                <w:kern w:val="2"/>
                <w:sz w:val="28"/>
                <w:szCs w:val="28"/>
                <w:vertAlign w:val="superscript"/>
              </w:rPr>
              <w:t xml:space="preserve">                  (за національною шкалою, шкалою ЕCТS, бал)</w:t>
            </w:r>
          </w:p>
        </w:tc>
      </w:tr>
      <w:tr w:rsidR="00F31494" w:rsidRPr="00CD2767" w:rsidTr="0000577F">
        <w:trPr>
          <w:jc w:val="center"/>
        </w:trPr>
        <w:tc>
          <w:tcPr>
            <w:tcW w:w="4476"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Завідувач кафедри</w:t>
            </w:r>
          </w:p>
        </w:tc>
        <w:tc>
          <w:tcPr>
            <w:tcW w:w="4785" w:type="dxa"/>
            <w:hideMark/>
          </w:tcPr>
          <w:p w:rsidR="00F31494" w:rsidRPr="00CD2767" w:rsidRDefault="00F31494" w:rsidP="0000577F">
            <w:pPr>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Голова ЕК___________</w:t>
            </w:r>
            <w:r w:rsidRPr="00CD2767">
              <w:rPr>
                <w:rFonts w:ascii="Times New Roman" w:hAnsi="Times New Roman"/>
                <w:sz w:val="28"/>
                <w:szCs w:val="28"/>
              </w:rPr>
              <w:t>Філіпова Т. О.</w:t>
            </w:r>
          </w:p>
        </w:tc>
      </w:tr>
      <w:tr w:rsidR="00F31494" w:rsidRPr="00CD2767" w:rsidTr="0000577F">
        <w:trPr>
          <w:jc w:val="center"/>
        </w:trPr>
        <w:tc>
          <w:tcPr>
            <w:tcW w:w="4476" w:type="dxa"/>
            <w:hideMark/>
          </w:tcPr>
          <w:p w:rsidR="00F31494" w:rsidRPr="00CD2767" w:rsidRDefault="00F31494" w:rsidP="0000577F">
            <w:pPr>
              <w:widowControl w:val="0"/>
              <w:tabs>
                <w:tab w:val="left" w:pos="4678"/>
              </w:tabs>
              <w:autoSpaceDE w:val="0"/>
              <w:spacing w:after="0" w:line="240" w:lineRule="auto"/>
              <w:rPr>
                <w:rFonts w:ascii="Times New Roman" w:eastAsia="Times New Roman" w:hAnsi="Times New Roman"/>
                <w:kern w:val="2"/>
                <w:sz w:val="28"/>
                <w:szCs w:val="28"/>
                <w:lang w:eastAsia="en-US"/>
              </w:rPr>
            </w:pPr>
            <w:r w:rsidRPr="00CD2767">
              <w:rPr>
                <w:rFonts w:ascii="Times New Roman" w:hAnsi="Times New Roman"/>
                <w:kern w:val="2"/>
                <w:sz w:val="28"/>
                <w:szCs w:val="28"/>
              </w:rPr>
              <w:t>___________Макаренко О. А.</w:t>
            </w:r>
          </w:p>
        </w:tc>
        <w:tc>
          <w:tcPr>
            <w:tcW w:w="4785" w:type="dxa"/>
            <w:hideMark/>
          </w:tcPr>
          <w:p w:rsidR="00F31494" w:rsidRPr="00CD2767" w:rsidRDefault="00F31494" w:rsidP="0000577F">
            <w:pPr>
              <w:widowControl w:val="0"/>
              <w:tabs>
                <w:tab w:val="left" w:pos="4678"/>
              </w:tabs>
              <w:autoSpaceDE w:val="0"/>
              <w:spacing w:after="0" w:line="240" w:lineRule="auto"/>
              <w:jc w:val="both"/>
              <w:rPr>
                <w:rFonts w:ascii="Times New Roman" w:eastAsia="Times New Roman" w:hAnsi="Times New Roman"/>
                <w:kern w:val="2"/>
                <w:sz w:val="28"/>
                <w:szCs w:val="28"/>
                <w:vertAlign w:val="superscript"/>
                <w:lang w:eastAsia="en-US"/>
              </w:rPr>
            </w:pPr>
            <w:r w:rsidRPr="00CD2767">
              <w:rPr>
                <w:rFonts w:ascii="Times New Roman" w:hAnsi="Times New Roman"/>
                <w:kern w:val="2"/>
                <w:sz w:val="28"/>
                <w:szCs w:val="28"/>
              </w:rPr>
              <w:t xml:space="preserve">       </w:t>
            </w:r>
          </w:p>
        </w:tc>
      </w:tr>
      <w:tr w:rsidR="00F31494" w:rsidRPr="00CD2767" w:rsidTr="0000577F">
        <w:trPr>
          <w:jc w:val="center"/>
        </w:trPr>
        <w:tc>
          <w:tcPr>
            <w:tcW w:w="4476" w:type="dxa"/>
          </w:tcPr>
          <w:p w:rsidR="00F31494" w:rsidRPr="00CD2767" w:rsidRDefault="00F31494" w:rsidP="0000577F">
            <w:pPr>
              <w:spacing w:after="0" w:line="240" w:lineRule="auto"/>
              <w:rPr>
                <w:rFonts w:ascii="Times New Roman" w:eastAsia="Times New Roman" w:hAnsi="Times New Roman"/>
                <w:kern w:val="2"/>
                <w:sz w:val="28"/>
                <w:szCs w:val="28"/>
                <w:lang w:eastAsia="en-US"/>
              </w:rPr>
            </w:pPr>
          </w:p>
        </w:tc>
        <w:tc>
          <w:tcPr>
            <w:tcW w:w="4785" w:type="dxa"/>
          </w:tcPr>
          <w:p w:rsidR="00F31494" w:rsidRPr="00CD2767" w:rsidRDefault="00F31494" w:rsidP="0000577F">
            <w:pPr>
              <w:spacing w:after="0" w:line="240" w:lineRule="auto"/>
              <w:rPr>
                <w:rFonts w:ascii="Times New Roman" w:eastAsia="Times New Roman" w:hAnsi="Times New Roman"/>
                <w:kern w:val="2"/>
                <w:sz w:val="28"/>
                <w:szCs w:val="28"/>
                <w:lang w:eastAsia="en-US"/>
              </w:rPr>
            </w:pPr>
          </w:p>
        </w:tc>
      </w:tr>
    </w:tbl>
    <w:p w:rsidR="00F31494" w:rsidRPr="007309F8"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kern w:val="2"/>
          <w:sz w:val="28"/>
          <w:szCs w:val="28"/>
          <w:lang w:val="en-US"/>
        </w:rPr>
      </w:pPr>
    </w:p>
    <w:p w:rsidR="00F31494" w:rsidRPr="00CD2767"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2"/>
          <w:sz w:val="28"/>
          <w:szCs w:val="28"/>
          <w:lang w:eastAsia="ru-RU"/>
        </w:rPr>
      </w:pPr>
      <w:r>
        <w:rPr>
          <w:rFonts w:ascii="Times New Roman" w:hAnsi="Times New Roman"/>
          <w:b/>
          <w:kern w:val="2"/>
          <w:sz w:val="28"/>
          <w:szCs w:val="28"/>
        </w:rPr>
        <w:t xml:space="preserve">Одеcа </w:t>
      </w:r>
      <w:r w:rsidRPr="00CD2767">
        <w:rPr>
          <w:rFonts w:ascii="Times New Roman" w:hAnsi="Times New Roman"/>
          <w:b/>
          <w:kern w:val="2"/>
          <w:sz w:val="28"/>
          <w:szCs w:val="28"/>
        </w:rPr>
        <w:t>2022</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r w:rsidRPr="00CD2767">
        <w:rPr>
          <w:rFonts w:ascii="Times New Roman" w:hAnsi="Times New Roman"/>
          <w:b/>
          <w:kern w:val="2"/>
          <w:sz w:val="28"/>
          <w:szCs w:val="28"/>
        </w:rPr>
        <w:br w:type="column"/>
      </w:r>
      <w:r>
        <w:rPr>
          <w:rFonts w:ascii="Times New Roman" w:hAnsi="Times New Roman"/>
          <w:b/>
          <w:sz w:val="28"/>
          <w:szCs w:val="28"/>
        </w:rPr>
        <w:lastRenderedPageBreak/>
        <w:t>АНОТАЦІЯ</w:t>
      </w:r>
    </w:p>
    <w:p w:rsidR="00F31494" w:rsidRPr="00E75021" w:rsidRDefault="00F31494" w:rsidP="00F3149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rFonts w:ascii="Times New Roman" w:hAnsi="Times New Roman"/>
          <w:b/>
          <w:sz w:val="28"/>
          <w:szCs w:val="28"/>
        </w:rPr>
      </w:pPr>
    </w:p>
    <w:p w:rsidR="00F31494" w:rsidRPr="00283C74" w:rsidRDefault="00F31494" w:rsidP="00F31494">
      <w:pPr>
        <w:pStyle w:val="HTML"/>
        <w:spacing w:line="360" w:lineRule="auto"/>
        <w:ind w:firstLine="567"/>
        <w:jc w:val="both"/>
        <w:rPr>
          <w:rFonts w:ascii="Times New Roman" w:hAnsi="Times New Roman" w:cs="Times New Roman"/>
          <w:sz w:val="28"/>
          <w:szCs w:val="28"/>
          <w:lang w:val="uk-UA" w:eastAsia="uk-UA"/>
        </w:rPr>
      </w:pPr>
      <w:r w:rsidRPr="00283C74">
        <w:rPr>
          <w:rFonts w:ascii="Times New Roman" w:hAnsi="Times New Roman" w:cs="Times New Roman"/>
          <w:sz w:val="28"/>
          <w:szCs w:val="28"/>
          <w:lang w:val="uk-UA" w:eastAsia="uk-UA"/>
        </w:rPr>
        <w:t>Наведено результати дослідження показників крові дорослого населення м. Одеса. Встановлено, що</w:t>
      </w:r>
      <w:r w:rsidRPr="00283C7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283C74">
        <w:rPr>
          <w:rFonts w:ascii="Times New Roman" w:hAnsi="Times New Roman" w:cs="Times New Roman"/>
          <w:sz w:val="28"/>
          <w:szCs w:val="28"/>
          <w:lang w:val="uk-UA"/>
        </w:rPr>
        <w:t>ередні статистичні значення гематологічних показників в групах обстежених здебільшого не виходили за рамки РІ, але виявлено тенденцію до відхилення від прийнятих нижньої та верхньої меж РІ для всіх пулів формених елементів периферичної крові. Найчастіше зустрічалися зменшення числа тромбоцитів (3,17-26,78%), зниження рівня еритроцитів (2,38-13,02%) та гемоглобіну (0,63-5,91%).</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rPr>
        <w:t>Дипломну роботу викладено на 50 сторінках, вона містить 2 таблиці та 5 рисунків. Наведено посилання на 55 джерел літератури (37 кирилицею та 18 латиницею).</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i/>
          <w:sz w:val="28"/>
          <w:szCs w:val="28"/>
        </w:rPr>
      </w:pPr>
      <w:r>
        <w:rPr>
          <w:rFonts w:ascii="Times New Roman" w:hAnsi="Times New Roman"/>
          <w:b/>
          <w:sz w:val="28"/>
          <w:szCs w:val="28"/>
        </w:rPr>
        <w:t>Ключові слова:</w:t>
      </w:r>
      <w:r>
        <w:rPr>
          <w:rFonts w:ascii="Times New Roman" w:hAnsi="Times New Roman"/>
          <w:sz w:val="28"/>
          <w:szCs w:val="28"/>
        </w:rPr>
        <w:t xml:space="preserve"> </w:t>
      </w:r>
      <w:r>
        <w:rPr>
          <w:rFonts w:ascii="Times New Roman" w:hAnsi="Times New Roman"/>
          <w:i/>
          <w:sz w:val="28"/>
          <w:szCs w:val="28"/>
        </w:rPr>
        <w:t>гемограма, периферична кров, норма, референсні показники.</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i/>
          <w:sz w:val="28"/>
          <w:szCs w:val="28"/>
        </w:rPr>
      </w:pPr>
    </w:p>
    <w:p w:rsidR="00F31494" w:rsidRPr="003036AF" w:rsidRDefault="00F31494" w:rsidP="00F31494">
      <w:pPr>
        <w:pStyle w:val="HTML"/>
        <w:spacing w:line="360" w:lineRule="auto"/>
        <w:ind w:firstLine="567"/>
        <w:jc w:val="both"/>
        <w:rPr>
          <w:rFonts w:ascii="inherit" w:hAnsi="inherit"/>
          <w:sz w:val="47"/>
          <w:szCs w:val="47"/>
          <w:lang w:val="uk-UA" w:eastAsia="uk-UA"/>
        </w:rPr>
      </w:pPr>
      <w:r w:rsidRPr="003036AF">
        <w:rPr>
          <w:rFonts w:ascii="Times New Roman" w:hAnsi="Times New Roman" w:cs="Times New Roman"/>
          <w:sz w:val="28"/>
          <w:szCs w:val="28"/>
          <w:lang w:val="en-US"/>
        </w:rPr>
        <w:t xml:space="preserve">The results of the study of blood parameters of the adult population of Odessa are presented. </w:t>
      </w:r>
      <w:r w:rsidRPr="006B26E3">
        <w:rPr>
          <w:rFonts w:ascii="Times New Roman" w:hAnsi="Times New Roman" w:cs="Times New Roman"/>
          <w:sz w:val="28"/>
          <w:szCs w:val="28"/>
          <w:lang w:val="en-US" w:eastAsia="uk-UA"/>
        </w:rPr>
        <w:t>It was established that the average statistical values of hematological indicators in the groups of the examined mostly did not go beyond the limits of RI, but a tendency to deviation from the accepted lower and upper limits of RI for all pools of formed elements of peripheral blood was revealed. The most common occurrences were a decrease in the number of platelets (3.17-26.78%), a decrease in the level of erythrocytes (2.38-13.02%) and hemoglobin (0.63-5.91%).</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after="0" w:line="360" w:lineRule="auto"/>
        <w:ind w:firstLine="567"/>
        <w:jc w:val="both"/>
        <w:rPr>
          <w:rFonts w:ascii="Times New Roman" w:eastAsia="Calibri" w:hAnsi="Times New Roman"/>
          <w:color w:val="000000" w:themeColor="text1"/>
          <w:sz w:val="28"/>
          <w:szCs w:val="28"/>
          <w:lang w:val="en-US" w:eastAsia="en-US"/>
        </w:rPr>
      </w:pPr>
      <w:r>
        <w:rPr>
          <w:rFonts w:ascii="Times New Roman" w:eastAsia="Calibri" w:hAnsi="Times New Roman"/>
          <w:color w:val="000000" w:themeColor="text1"/>
          <w:sz w:val="28"/>
          <w:szCs w:val="28"/>
          <w:lang w:val="en-US"/>
        </w:rPr>
        <w:t xml:space="preserve">Qualification work is presented on </w:t>
      </w:r>
      <w:r>
        <w:rPr>
          <w:rFonts w:ascii="Times New Roman" w:eastAsia="Calibri" w:hAnsi="Times New Roman"/>
          <w:color w:val="000000" w:themeColor="text1"/>
          <w:sz w:val="28"/>
          <w:szCs w:val="28"/>
        </w:rPr>
        <w:t>50</w:t>
      </w:r>
      <w:r>
        <w:rPr>
          <w:rFonts w:ascii="Times New Roman" w:eastAsia="Calibri" w:hAnsi="Times New Roman"/>
          <w:color w:val="000000" w:themeColor="text1"/>
          <w:sz w:val="28"/>
          <w:szCs w:val="28"/>
          <w:lang w:val="en-US"/>
        </w:rPr>
        <w:t xml:space="preserve"> pages of printed text. The work is illustrated with </w:t>
      </w:r>
      <w:r>
        <w:rPr>
          <w:rFonts w:ascii="Times New Roman" w:eastAsia="Calibri" w:hAnsi="Times New Roman"/>
          <w:color w:val="000000" w:themeColor="text1"/>
          <w:sz w:val="28"/>
          <w:szCs w:val="28"/>
        </w:rPr>
        <w:t>2</w:t>
      </w:r>
      <w:r>
        <w:rPr>
          <w:rFonts w:ascii="Times New Roman" w:eastAsia="Calibri" w:hAnsi="Times New Roman"/>
          <w:color w:val="000000" w:themeColor="text1"/>
          <w:sz w:val="28"/>
          <w:szCs w:val="28"/>
          <w:lang w:val="en-US"/>
        </w:rPr>
        <w:t xml:space="preserve"> tables and </w:t>
      </w:r>
      <w:r>
        <w:rPr>
          <w:rFonts w:ascii="Times New Roman" w:eastAsia="Calibri" w:hAnsi="Times New Roman"/>
          <w:color w:val="000000" w:themeColor="text1"/>
          <w:sz w:val="28"/>
          <w:szCs w:val="28"/>
        </w:rPr>
        <w:t>5</w:t>
      </w:r>
      <w:r>
        <w:rPr>
          <w:rFonts w:ascii="Times New Roman" w:eastAsia="Calibri" w:hAnsi="Times New Roman"/>
          <w:color w:val="000000" w:themeColor="text1"/>
          <w:sz w:val="28"/>
          <w:szCs w:val="28"/>
          <w:lang w:val="en-US"/>
        </w:rPr>
        <w:t xml:space="preserve"> figures, references to the works of </w:t>
      </w:r>
      <w:r>
        <w:rPr>
          <w:rFonts w:ascii="Times New Roman" w:eastAsia="Calibri" w:hAnsi="Times New Roman"/>
          <w:color w:val="000000" w:themeColor="text1"/>
          <w:sz w:val="28"/>
          <w:szCs w:val="28"/>
        </w:rPr>
        <w:t>55 references</w:t>
      </w:r>
      <w:r>
        <w:rPr>
          <w:rFonts w:ascii="Times New Roman" w:eastAsia="Calibri" w:hAnsi="Times New Roman"/>
          <w:color w:val="000000" w:themeColor="text1"/>
          <w:sz w:val="28"/>
          <w:szCs w:val="28"/>
          <w:lang w:val="en-US"/>
        </w:rPr>
        <w:t xml:space="preserve">, including </w:t>
      </w:r>
      <w:r>
        <w:rPr>
          <w:rFonts w:ascii="Times New Roman" w:eastAsia="Calibri" w:hAnsi="Times New Roman"/>
          <w:color w:val="000000" w:themeColor="text1"/>
          <w:sz w:val="28"/>
          <w:szCs w:val="28"/>
        </w:rPr>
        <w:t>37</w:t>
      </w:r>
      <w:r>
        <w:rPr>
          <w:rFonts w:ascii="Times New Roman" w:eastAsia="Calibri" w:hAnsi="Times New Roman"/>
          <w:color w:val="000000" w:themeColor="text1"/>
          <w:sz w:val="28"/>
          <w:szCs w:val="28"/>
          <w:lang w:val="en-US"/>
        </w:rPr>
        <w:t xml:space="preserve"> in cyrillic, 1</w:t>
      </w:r>
      <w:r>
        <w:rPr>
          <w:rFonts w:ascii="Times New Roman" w:eastAsia="Calibri" w:hAnsi="Times New Roman"/>
          <w:color w:val="000000" w:themeColor="text1"/>
          <w:sz w:val="28"/>
          <w:szCs w:val="28"/>
        </w:rPr>
        <w:t>8</w:t>
      </w:r>
      <w:r>
        <w:rPr>
          <w:rFonts w:ascii="Times New Roman" w:eastAsia="Calibri" w:hAnsi="Times New Roman"/>
          <w:color w:val="000000" w:themeColor="text1"/>
          <w:sz w:val="28"/>
          <w:szCs w:val="28"/>
          <w:lang w:val="en-US"/>
        </w:rPr>
        <w:t xml:space="preserve"> in latin.</w:t>
      </w:r>
    </w:p>
    <w:p w:rsidR="00F31494" w:rsidRPr="000B2B3C" w:rsidRDefault="00F31494" w:rsidP="00F31494">
      <w:pPr>
        <w:pStyle w:val="HTML"/>
        <w:spacing w:line="360" w:lineRule="auto"/>
        <w:ind w:firstLine="567"/>
        <w:rPr>
          <w:rFonts w:ascii="Times New Roman" w:hAnsi="Times New Roman" w:cs="Times New Roman"/>
          <w:i/>
          <w:sz w:val="28"/>
          <w:szCs w:val="28"/>
          <w:lang w:val="uk-UA" w:eastAsia="uk-UA"/>
        </w:rPr>
      </w:pPr>
      <w:r w:rsidRPr="000B2B3C">
        <w:rPr>
          <w:rFonts w:ascii="Times New Roman" w:hAnsi="Times New Roman" w:cs="Times New Roman"/>
          <w:b/>
          <w:color w:val="000000" w:themeColor="text1"/>
          <w:sz w:val="28"/>
          <w:szCs w:val="28"/>
          <w:lang w:val="en-US"/>
        </w:rPr>
        <w:t>Key words:</w:t>
      </w:r>
      <w:r w:rsidRPr="000B2B3C">
        <w:rPr>
          <w:rFonts w:ascii="Times New Roman" w:hAnsi="Times New Roman" w:cs="Times New Roman"/>
          <w:color w:val="000000" w:themeColor="text1"/>
          <w:sz w:val="28"/>
          <w:szCs w:val="28"/>
          <w:lang w:val="en-US"/>
        </w:rPr>
        <w:t xml:space="preserve"> </w:t>
      </w:r>
      <w:r w:rsidRPr="003A015C">
        <w:rPr>
          <w:rFonts w:ascii="Times New Roman" w:hAnsi="Times New Roman" w:cs="Times New Roman"/>
          <w:i/>
          <w:sz w:val="28"/>
          <w:szCs w:val="28"/>
          <w:lang w:val="en-US" w:eastAsia="uk-UA"/>
        </w:rPr>
        <w:t>hemogram, peripheral blood, norm, reference indicators.</w:t>
      </w:r>
    </w:p>
    <w:p w:rsidR="00F31494" w:rsidRPr="000B2B3C" w:rsidRDefault="00F31494" w:rsidP="00F31494">
      <w:pPr>
        <w:pStyle w:val="HTML"/>
        <w:spacing w:line="540" w:lineRule="atLeast"/>
        <w:rPr>
          <w:rFonts w:asciiTheme="minorHAnsi" w:hAnsiTheme="minorHAnsi"/>
          <w:i/>
          <w:sz w:val="28"/>
          <w:szCs w:val="28"/>
          <w:lang w:val="uk-UA" w:eastAsia="uk-UA"/>
        </w:rPr>
      </w:pP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b/>
          <w:sz w:val="28"/>
          <w:szCs w:val="28"/>
          <w:lang w:eastAsia="en-US"/>
        </w:rPr>
      </w:pPr>
      <w:r>
        <w:rPr>
          <w:rFonts w:ascii="Times New Roman" w:hAnsi="Times New Roman"/>
          <w:i/>
          <w:color w:val="FF0000"/>
          <w:sz w:val="28"/>
          <w:szCs w:val="28"/>
        </w:rPr>
        <w:br w:type="column"/>
      </w:r>
      <w:r>
        <w:rPr>
          <w:rFonts w:ascii="Times New Roman" w:hAnsi="Times New Roman"/>
          <w:b/>
          <w:sz w:val="28"/>
          <w:szCs w:val="28"/>
        </w:rPr>
        <w:lastRenderedPageBreak/>
        <w:t>ЗМІСТ</w:t>
      </w:r>
    </w:p>
    <w:p w:rsidR="00F31494" w:rsidRPr="003A015C" w:rsidRDefault="00F31494" w:rsidP="00F31494">
      <w:pPr>
        <w:tabs>
          <w:tab w:val="right" w:leader="dot" w:pos="9214"/>
        </w:tabs>
        <w:spacing w:after="0" w:line="360" w:lineRule="auto"/>
        <w:rPr>
          <w:rFonts w:ascii="Times New Roman" w:hAnsi="Times New Roman"/>
          <w:sz w:val="28"/>
          <w:szCs w:val="28"/>
          <w:lang w:val="ru-RU" w:eastAsia="ru-RU"/>
        </w:rPr>
      </w:pPr>
      <w:r>
        <w:rPr>
          <w:rFonts w:ascii="Times New Roman" w:hAnsi="Times New Roman"/>
          <w:sz w:val="28"/>
          <w:szCs w:val="28"/>
        </w:rPr>
        <w:t>ВСТУП…………………………………………………………………………….6</w:t>
      </w:r>
    </w:p>
    <w:p w:rsidR="00F31494" w:rsidRPr="003A015C" w:rsidRDefault="00F31494" w:rsidP="00F31494">
      <w:pPr>
        <w:tabs>
          <w:tab w:val="right" w:leader="dot" w:pos="9214"/>
        </w:tabs>
        <w:spacing w:after="0" w:line="360" w:lineRule="auto"/>
        <w:rPr>
          <w:rFonts w:ascii="Times New Roman" w:hAnsi="Times New Roman"/>
          <w:sz w:val="28"/>
          <w:szCs w:val="28"/>
          <w:lang w:val="ru-RU"/>
        </w:rPr>
      </w:pPr>
      <w:r>
        <w:rPr>
          <w:rFonts w:ascii="Times New Roman" w:hAnsi="Times New Roman"/>
          <w:sz w:val="28"/>
          <w:szCs w:val="28"/>
        </w:rPr>
        <w:t>1. ОГЛЯД ЛІТЕРАТУРИ…………………………………………………………8</w:t>
      </w:r>
    </w:p>
    <w:p w:rsidR="00F31494" w:rsidRDefault="00F31494" w:rsidP="00F31494">
      <w:pPr>
        <w:tabs>
          <w:tab w:val="right" w:leader="dot" w:pos="9214"/>
        </w:tabs>
        <w:spacing w:after="0" w:line="360" w:lineRule="auto"/>
        <w:ind w:firstLine="284"/>
        <w:rPr>
          <w:rFonts w:ascii="Times New Roman" w:hAnsi="Times New Roman"/>
          <w:sz w:val="28"/>
          <w:szCs w:val="28"/>
        </w:rPr>
      </w:pPr>
      <w:r>
        <w:rPr>
          <w:rFonts w:ascii="Times New Roman" w:hAnsi="Times New Roman"/>
          <w:sz w:val="28"/>
          <w:szCs w:val="28"/>
        </w:rPr>
        <w:t>1.1. Загальний аналіз крові та його значення…………………………………8</w:t>
      </w:r>
    </w:p>
    <w:p w:rsidR="00F31494" w:rsidRDefault="00F31494" w:rsidP="00F31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textAlignment w:val="baseline"/>
        <w:rPr>
          <w:rFonts w:ascii="Times New Roman" w:hAnsi="Times New Roman"/>
          <w:sz w:val="28"/>
          <w:szCs w:val="28"/>
        </w:rPr>
      </w:pPr>
      <w:r>
        <w:rPr>
          <w:rFonts w:ascii="Times New Roman" w:hAnsi="Times New Roman"/>
          <w:sz w:val="28"/>
          <w:szCs w:val="28"/>
        </w:rPr>
        <w:t>1.2. Показники гемограми здорової людини…………………………………8</w:t>
      </w:r>
    </w:p>
    <w:p w:rsidR="00F31494" w:rsidRDefault="00F31494" w:rsidP="00F31494">
      <w:pPr>
        <w:tabs>
          <w:tab w:val="right" w:leader="dot" w:pos="9214"/>
        </w:tabs>
        <w:spacing w:after="0" w:line="360" w:lineRule="auto"/>
        <w:ind w:firstLine="284"/>
        <w:rPr>
          <w:rFonts w:ascii="Times New Roman" w:hAnsi="Times New Roman"/>
          <w:sz w:val="28"/>
          <w:szCs w:val="28"/>
        </w:rPr>
      </w:pPr>
      <w:r>
        <w:rPr>
          <w:rFonts w:ascii="Times New Roman" w:hAnsi="Times New Roman"/>
          <w:sz w:val="28"/>
          <w:szCs w:val="28"/>
        </w:rPr>
        <w:t>1.3. Аналіз гемограми…………………………………………………………11</w:t>
      </w:r>
    </w:p>
    <w:p w:rsidR="00F31494" w:rsidRDefault="00F31494" w:rsidP="00F31494">
      <w:pPr>
        <w:tabs>
          <w:tab w:val="right" w:leader="dot" w:pos="9214"/>
        </w:tabs>
        <w:spacing w:after="0" w:line="360" w:lineRule="auto"/>
        <w:ind w:firstLine="567"/>
        <w:jc w:val="both"/>
        <w:rPr>
          <w:rFonts w:ascii="Times New Roman" w:hAnsi="Times New Roman"/>
          <w:sz w:val="28"/>
          <w:szCs w:val="28"/>
        </w:rPr>
      </w:pPr>
      <w:r>
        <w:rPr>
          <w:rFonts w:ascii="Times New Roman" w:hAnsi="Times New Roman"/>
          <w:sz w:val="28"/>
          <w:szCs w:val="28"/>
        </w:rPr>
        <w:t xml:space="preserve">1.3.1. </w:t>
      </w:r>
      <w:r>
        <w:rPr>
          <w:rFonts w:ascii="Times New Roman" w:hAnsi="Times New Roman"/>
          <w:bCs/>
          <w:sz w:val="28"/>
          <w:szCs w:val="28"/>
          <w:bdr w:val="none" w:sz="0" w:space="0" w:color="auto" w:frame="1"/>
        </w:rPr>
        <w:t>Основні фактори, що можуть вплинути на результат дослідження крові………………………………………………………………………………12</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hAnsi="Times New Roman"/>
          <w:bCs/>
          <w:sz w:val="28"/>
          <w:szCs w:val="28"/>
        </w:rPr>
      </w:pPr>
      <w:r>
        <w:rPr>
          <w:rFonts w:ascii="Times New Roman" w:hAnsi="Times New Roman"/>
          <w:bCs/>
          <w:sz w:val="28"/>
          <w:szCs w:val="28"/>
        </w:rPr>
        <w:t>1.3.2. Параметри, які визначаються в ході дослідження………………...13</w:t>
      </w:r>
    </w:p>
    <w:p w:rsidR="00F31494" w:rsidRPr="00636CBF" w:rsidRDefault="00F31494" w:rsidP="00F31494">
      <w:pPr>
        <w:tabs>
          <w:tab w:val="right" w:leader="dot" w:pos="9356"/>
        </w:tabs>
        <w:spacing w:after="0" w:line="360" w:lineRule="auto"/>
        <w:ind w:firstLine="567"/>
        <w:rPr>
          <w:rFonts w:ascii="Times New Roman" w:hAnsi="Times New Roman"/>
          <w:sz w:val="28"/>
          <w:szCs w:val="28"/>
          <w:lang w:val="ru-RU" w:eastAsia="ru-RU"/>
        </w:rPr>
      </w:pPr>
      <w:r>
        <w:rPr>
          <w:rFonts w:ascii="Times New Roman" w:hAnsi="Times New Roman"/>
          <w:sz w:val="28"/>
          <w:szCs w:val="28"/>
        </w:rPr>
        <w:t>1.3.3.</w:t>
      </w:r>
      <w:r>
        <w:t xml:space="preserve"> </w:t>
      </w:r>
      <w:r>
        <w:rPr>
          <w:rFonts w:ascii="Times New Roman" w:hAnsi="Times New Roman"/>
          <w:sz w:val="28"/>
          <w:szCs w:val="28"/>
        </w:rPr>
        <w:t>Співставлення показників гемограми з референсними інтервалами………………………………………………………………………16</w:t>
      </w:r>
    </w:p>
    <w:p w:rsidR="00F31494" w:rsidRDefault="00F31494" w:rsidP="00F31494">
      <w:pPr>
        <w:tabs>
          <w:tab w:val="right" w:leader="dot" w:pos="9214"/>
        </w:tabs>
        <w:spacing w:after="0" w:line="360" w:lineRule="auto"/>
        <w:ind w:firstLine="284"/>
        <w:rPr>
          <w:rFonts w:ascii="Times New Roman" w:hAnsi="Times New Roman"/>
          <w:sz w:val="28"/>
          <w:szCs w:val="28"/>
        </w:rPr>
      </w:pPr>
      <w:r>
        <w:rPr>
          <w:rFonts w:ascii="Times New Roman" w:hAnsi="Times New Roman"/>
          <w:sz w:val="28"/>
          <w:szCs w:val="28"/>
        </w:rPr>
        <w:t>1.4. Зміни у складі крові………………………………………………………19</w:t>
      </w:r>
    </w:p>
    <w:p w:rsidR="00F31494" w:rsidRDefault="00F31494" w:rsidP="00F31494">
      <w:pPr>
        <w:tabs>
          <w:tab w:val="right" w:leader="dot" w:pos="9214"/>
        </w:tabs>
        <w:spacing w:after="0" w:line="360" w:lineRule="auto"/>
        <w:ind w:right="-144"/>
        <w:rPr>
          <w:rFonts w:ascii="Times New Roman" w:hAnsi="Times New Roman"/>
          <w:sz w:val="28"/>
          <w:szCs w:val="28"/>
        </w:rPr>
      </w:pPr>
      <w:r>
        <w:rPr>
          <w:rFonts w:ascii="Times New Roman" w:hAnsi="Times New Roman"/>
          <w:sz w:val="28"/>
          <w:szCs w:val="28"/>
        </w:rPr>
        <w:t>2. МАТЕРІАЛ І МЕТОДИ ДОСЛІДЖЕННЯ…………………………………..21</w:t>
      </w:r>
    </w:p>
    <w:p w:rsidR="00F31494" w:rsidRDefault="00F31494" w:rsidP="00F31494">
      <w:pPr>
        <w:tabs>
          <w:tab w:val="right" w:leader="dot" w:pos="9214"/>
        </w:tabs>
        <w:spacing w:after="0" w:line="360" w:lineRule="auto"/>
        <w:ind w:firstLine="284"/>
        <w:rPr>
          <w:rFonts w:ascii="Times New Roman" w:hAnsi="Times New Roman"/>
          <w:sz w:val="28"/>
          <w:szCs w:val="28"/>
        </w:rPr>
      </w:pPr>
      <w:r>
        <w:rPr>
          <w:rFonts w:ascii="Times New Roman" w:hAnsi="Times New Roman"/>
          <w:sz w:val="28"/>
          <w:szCs w:val="28"/>
        </w:rPr>
        <w:t>2.1. Матеріали досліджень……………………………………………………21</w:t>
      </w:r>
    </w:p>
    <w:p w:rsidR="00F31494" w:rsidRDefault="00F31494" w:rsidP="00F31494">
      <w:pPr>
        <w:tabs>
          <w:tab w:val="right" w:leader="dot" w:pos="9214"/>
        </w:tabs>
        <w:spacing w:after="0" w:line="360" w:lineRule="auto"/>
        <w:ind w:firstLine="284"/>
        <w:rPr>
          <w:rFonts w:ascii="Times New Roman" w:hAnsi="Times New Roman"/>
          <w:sz w:val="28"/>
          <w:szCs w:val="28"/>
        </w:rPr>
      </w:pPr>
      <w:r>
        <w:rPr>
          <w:rFonts w:ascii="Times New Roman" w:hAnsi="Times New Roman"/>
          <w:sz w:val="28"/>
          <w:szCs w:val="28"/>
        </w:rPr>
        <w:t>2.2. Методи досліджень………………………………………………………22</w:t>
      </w:r>
    </w:p>
    <w:p w:rsidR="00F31494" w:rsidRPr="0094412F" w:rsidRDefault="00F31494" w:rsidP="00F31494">
      <w:pPr>
        <w:pStyle w:val="5"/>
        <w:spacing w:before="0" w:after="0" w:line="360" w:lineRule="auto"/>
        <w:ind w:right="-2" w:firstLine="567"/>
        <w:jc w:val="both"/>
        <w:rPr>
          <w:rFonts w:ascii="Times New Roman" w:hAnsi="Times New Roman"/>
          <w:b w:val="0"/>
          <w:i w:val="0"/>
          <w:noProof/>
          <w:sz w:val="28"/>
          <w:szCs w:val="28"/>
          <w:lang w:val="uk-UA"/>
        </w:rPr>
      </w:pPr>
      <w:r w:rsidRPr="0094412F">
        <w:rPr>
          <w:rFonts w:ascii="Times New Roman" w:hAnsi="Times New Roman"/>
          <w:b w:val="0"/>
          <w:i w:val="0"/>
          <w:noProof/>
          <w:sz w:val="28"/>
          <w:szCs w:val="28"/>
          <w:lang w:val="uk-UA"/>
        </w:rPr>
        <w:t xml:space="preserve">2.2.1. </w:t>
      </w:r>
      <w:r w:rsidRPr="00310088">
        <w:rPr>
          <w:rFonts w:ascii="Times New Roman" w:hAnsi="Times New Roman"/>
          <w:b w:val="0"/>
          <w:i w:val="0"/>
          <w:noProof/>
          <w:sz w:val="28"/>
          <w:szCs w:val="28"/>
          <w:lang w:val="uk-UA"/>
        </w:rPr>
        <w:t xml:space="preserve">Методика визначення </w:t>
      </w:r>
      <w:r>
        <w:rPr>
          <w:rFonts w:ascii="Times New Roman" w:hAnsi="Times New Roman"/>
          <w:b w:val="0"/>
          <w:i w:val="0"/>
          <w:noProof/>
          <w:sz w:val="28"/>
          <w:szCs w:val="28"/>
          <w:lang w:val="uk-UA"/>
        </w:rPr>
        <w:t>гематокриту………………………………...22</w:t>
      </w:r>
    </w:p>
    <w:p w:rsidR="00F31494" w:rsidRPr="00C77ADD" w:rsidRDefault="00F31494" w:rsidP="00F31494">
      <w:pPr>
        <w:tabs>
          <w:tab w:val="right" w:leader="dot" w:pos="9214"/>
        </w:tabs>
        <w:spacing w:after="0" w:line="360" w:lineRule="auto"/>
        <w:ind w:firstLine="567"/>
        <w:jc w:val="both"/>
        <w:rPr>
          <w:rFonts w:ascii="Times New Roman" w:hAnsi="Times New Roman"/>
          <w:color w:val="000000"/>
          <w:sz w:val="28"/>
          <w:szCs w:val="28"/>
        </w:rPr>
      </w:pPr>
      <w:r>
        <w:rPr>
          <w:rFonts w:ascii="Times New Roman" w:hAnsi="Times New Roman"/>
          <w:sz w:val="28"/>
          <w:szCs w:val="28"/>
        </w:rPr>
        <w:t>2.2.2</w:t>
      </w:r>
      <w:r w:rsidRPr="00C77ADD">
        <w:rPr>
          <w:rFonts w:ascii="Times New Roman" w:hAnsi="Times New Roman"/>
          <w:sz w:val="28"/>
          <w:szCs w:val="28"/>
        </w:rPr>
        <w:t xml:space="preserve">. </w:t>
      </w:r>
      <w:r w:rsidRPr="00C77ADD">
        <w:rPr>
          <w:rFonts w:ascii="Times New Roman" w:hAnsi="Times New Roman"/>
          <w:noProof/>
          <w:sz w:val="28"/>
          <w:szCs w:val="28"/>
        </w:rPr>
        <w:t>Методика підрахунку еритроцитів крові в лічильній камері Горяєва</w:t>
      </w:r>
      <w:r>
        <w:rPr>
          <w:rFonts w:ascii="Times New Roman" w:hAnsi="Times New Roman"/>
          <w:noProof/>
          <w:sz w:val="28"/>
          <w:szCs w:val="28"/>
        </w:rPr>
        <w:t>……………………………………………………………………………23</w:t>
      </w:r>
    </w:p>
    <w:p w:rsidR="00F31494" w:rsidRPr="00BE14FF" w:rsidRDefault="00F31494" w:rsidP="00F31494">
      <w:pPr>
        <w:spacing w:after="0" w:line="360" w:lineRule="auto"/>
        <w:ind w:firstLine="567"/>
        <w:jc w:val="both"/>
        <w:rPr>
          <w:rFonts w:ascii="Times New Roman" w:hAnsi="Times New Roman"/>
          <w:noProof/>
          <w:sz w:val="28"/>
          <w:szCs w:val="28"/>
        </w:rPr>
      </w:pPr>
      <w:r w:rsidRPr="00BE14FF">
        <w:rPr>
          <w:rFonts w:ascii="Times New Roman" w:hAnsi="Times New Roman"/>
          <w:noProof/>
          <w:sz w:val="28"/>
          <w:szCs w:val="28"/>
        </w:rPr>
        <w:t>2.2.3. Методика визначення кількості гемоглобіну за методом Салі</w:t>
      </w:r>
      <w:r>
        <w:rPr>
          <w:rFonts w:ascii="Times New Roman" w:hAnsi="Times New Roman"/>
          <w:noProof/>
          <w:sz w:val="28"/>
          <w:szCs w:val="28"/>
        </w:rPr>
        <w:t>…...25</w:t>
      </w:r>
    </w:p>
    <w:p w:rsidR="00F31494" w:rsidRPr="005E6EF7" w:rsidRDefault="00F31494" w:rsidP="00F31494">
      <w:pPr>
        <w:pStyle w:val="5"/>
        <w:spacing w:before="0" w:after="0" w:line="360" w:lineRule="auto"/>
        <w:ind w:firstLine="567"/>
        <w:jc w:val="both"/>
        <w:rPr>
          <w:rFonts w:ascii="Times New Roman" w:hAnsi="Times New Roman"/>
          <w:b w:val="0"/>
          <w:i w:val="0"/>
          <w:noProof/>
          <w:sz w:val="28"/>
          <w:szCs w:val="28"/>
          <w:lang w:val="uk-UA"/>
        </w:rPr>
      </w:pPr>
      <w:r w:rsidRPr="005E6EF7">
        <w:rPr>
          <w:rFonts w:ascii="Times New Roman" w:hAnsi="Times New Roman"/>
          <w:b w:val="0"/>
          <w:i w:val="0"/>
          <w:noProof/>
          <w:sz w:val="28"/>
          <w:szCs w:val="28"/>
          <w:lang w:val="uk-UA"/>
        </w:rPr>
        <w:t>2.2.4. Методика визначення швидкості осідання еритроцитів</w:t>
      </w:r>
      <w:r>
        <w:rPr>
          <w:rFonts w:ascii="Times New Roman" w:hAnsi="Times New Roman"/>
          <w:b w:val="0"/>
          <w:i w:val="0"/>
          <w:noProof/>
          <w:sz w:val="28"/>
          <w:szCs w:val="28"/>
          <w:lang w:val="uk-UA"/>
        </w:rPr>
        <w:t>………….26</w:t>
      </w:r>
    </w:p>
    <w:p w:rsidR="00F31494" w:rsidRDefault="00F31494" w:rsidP="00F31494">
      <w:pPr>
        <w:pStyle w:val="5"/>
        <w:spacing w:before="0" w:after="0" w:line="360" w:lineRule="auto"/>
        <w:ind w:firstLine="567"/>
        <w:jc w:val="both"/>
        <w:rPr>
          <w:rFonts w:ascii="Times New Roman" w:hAnsi="Times New Roman"/>
          <w:b w:val="0"/>
          <w:i w:val="0"/>
          <w:noProof/>
          <w:sz w:val="28"/>
          <w:szCs w:val="28"/>
          <w:lang w:val="uk-UA"/>
        </w:rPr>
      </w:pPr>
      <w:r w:rsidRPr="006D0FBF">
        <w:rPr>
          <w:rFonts w:ascii="Times New Roman" w:hAnsi="Times New Roman"/>
          <w:b w:val="0"/>
          <w:i w:val="0"/>
          <w:noProof/>
          <w:sz w:val="28"/>
          <w:szCs w:val="28"/>
          <w:lang w:val="uk-UA"/>
        </w:rPr>
        <w:t>2.2.5. Методика підрахунку лейкоцитів крові у лічильній камері Горяєва</w:t>
      </w:r>
      <w:r>
        <w:rPr>
          <w:rFonts w:ascii="Times New Roman" w:hAnsi="Times New Roman"/>
          <w:b w:val="0"/>
          <w:i w:val="0"/>
          <w:noProof/>
          <w:sz w:val="28"/>
          <w:szCs w:val="28"/>
          <w:lang w:val="uk-UA"/>
        </w:rPr>
        <w:t>……………………………………………………………………………26</w:t>
      </w:r>
    </w:p>
    <w:p w:rsidR="00F31494" w:rsidRPr="002F16FD" w:rsidRDefault="00F31494" w:rsidP="00F31494">
      <w:pPr>
        <w:pStyle w:val="5"/>
        <w:spacing w:before="0" w:after="0" w:line="360" w:lineRule="auto"/>
        <w:ind w:firstLine="567"/>
        <w:jc w:val="both"/>
        <w:rPr>
          <w:rFonts w:ascii="Times New Roman" w:hAnsi="Times New Roman"/>
          <w:b w:val="0"/>
          <w:i w:val="0"/>
          <w:noProof/>
          <w:sz w:val="28"/>
          <w:szCs w:val="28"/>
          <w:lang w:val="uk-UA"/>
        </w:rPr>
      </w:pPr>
      <w:r w:rsidRPr="00D3122B">
        <w:rPr>
          <w:rFonts w:ascii="Times New Roman" w:hAnsi="Times New Roman"/>
          <w:b w:val="0"/>
          <w:i w:val="0"/>
          <w:noProof/>
          <w:sz w:val="28"/>
          <w:szCs w:val="28"/>
          <w:lang w:val="uk-UA"/>
        </w:rPr>
        <w:t>2.2.</w:t>
      </w:r>
      <w:r>
        <w:rPr>
          <w:rFonts w:ascii="Times New Roman" w:hAnsi="Times New Roman"/>
          <w:b w:val="0"/>
          <w:i w:val="0"/>
          <w:noProof/>
          <w:sz w:val="28"/>
          <w:szCs w:val="28"/>
          <w:lang w:val="uk-UA"/>
        </w:rPr>
        <w:t>6</w:t>
      </w:r>
      <w:r w:rsidRPr="00D3122B">
        <w:rPr>
          <w:rFonts w:ascii="Times New Roman" w:hAnsi="Times New Roman"/>
          <w:b w:val="0"/>
          <w:i w:val="0"/>
          <w:noProof/>
          <w:sz w:val="28"/>
          <w:szCs w:val="28"/>
          <w:lang w:val="uk-UA"/>
        </w:rPr>
        <w:t>. Методика підрахунку лейкоцитарної формули в мазку крові</w:t>
      </w:r>
      <w:r>
        <w:rPr>
          <w:rFonts w:ascii="Times New Roman" w:hAnsi="Times New Roman"/>
          <w:b w:val="0"/>
          <w:i w:val="0"/>
          <w:noProof/>
          <w:sz w:val="28"/>
          <w:szCs w:val="28"/>
          <w:lang w:val="uk-UA"/>
        </w:rPr>
        <w:t>……28</w:t>
      </w:r>
    </w:p>
    <w:p w:rsidR="00F31494" w:rsidRDefault="00F31494" w:rsidP="00F31494">
      <w:pPr>
        <w:pStyle w:val="5"/>
        <w:spacing w:before="0" w:after="0" w:line="360" w:lineRule="auto"/>
        <w:ind w:firstLine="567"/>
        <w:jc w:val="both"/>
        <w:rPr>
          <w:rFonts w:ascii="Times New Roman" w:hAnsi="Times New Roman"/>
          <w:b w:val="0"/>
          <w:i w:val="0"/>
          <w:noProof/>
          <w:sz w:val="28"/>
          <w:szCs w:val="28"/>
          <w:lang w:val="uk-UA"/>
        </w:rPr>
      </w:pPr>
      <w:r>
        <w:rPr>
          <w:rFonts w:ascii="Times New Roman" w:hAnsi="Times New Roman"/>
          <w:b w:val="0"/>
          <w:i w:val="0"/>
          <w:noProof/>
          <w:sz w:val="28"/>
          <w:szCs w:val="28"/>
          <w:lang w:val="uk-UA"/>
        </w:rPr>
        <w:t>2.2.7</w:t>
      </w:r>
      <w:r w:rsidRPr="00431DB4">
        <w:rPr>
          <w:rFonts w:ascii="Times New Roman" w:hAnsi="Times New Roman"/>
          <w:b w:val="0"/>
          <w:i w:val="0"/>
          <w:noProof/>
          <w:sz w:val="28"/>
          <w:szCs w:val="28"/>
          <w:lang w:val="uk-UA"/>
        </w:rPr>
        <w:t>. Методика приготування мазка крові та вивчення його під мікроскопом</w:t>
      </w:r>
      <w:r>
        <w:rPr>
          <w:rFonts w:ascii="Times New Roman" w:hAnsi="Times New Roman"/>
          <w:b w:val="0"/>
          <w:i w:val="0"/>
          <w:noProof/>
          <w:sz w:val="28"/>
          <w:szCs w:val="28"/>
          <w:lang w:val="uk-UA"/>
        </w:rPr>
        <w:t>……………………………………………………………………...28</w:t>
      </w:r>
    </w:p>
    <w:p w:rsidR="00F31494" w:rsidRPr="00B760C1" w:rsidRDefault="00F31494" w:rsidP="00F31494">
      <w:pPr>
        <w:tabs>
          <w:tab w:val="right" w:leader="dot" w:pos="9214"/>
        </w:tabs>
        <w:spacing w:after="0" w:line="360" w:lineRule="auto"/>
        <w:ind w:firstLine="567"/>
        <w:jc w:val="both"/>
        <w:rPr>
          <w:rFonts w:ascii="Times New Roman" w:hAnsi="Times New Roman"/>
          <w:noProof/>
          <w:sz w:val="28"/>
          <w:szCs w:val="28"/>
        </w:rPr>
      </w:pPr>
      <w:r w:rsidRPr="00434255">
        <w:rPr>
          <w:rFonts w:ascii="Times New Roman" w:hAnsi="Times New Roman"/>
          <w:sz w:val="28"/>
          <w:szCs w:val="28"/>
        </w:rPr>
        <w:t xml:space="preserve">2.2.8. </w:t>
      </w:r>
      <w:r w:rsidRPr="00434255">
        <w:rPr>
          <w:rFonts w:ascii="Times New Roman" w:hAnsi="Times New Roman"/>
          <w:noProof/>
          <w:sz w:val="28"/>
          <w:szCs w:val="28"/>
        </w:rPr>
        <w:t>Методика підрахунку тромбоцитів крові у лічильній камері Горяєва</w:t>
      </w:r>
      <w:r>
        <w:rPr>
          <w:rFonts w:ascii="Times New Roman" w:hAnsi="Times New Roman"/>
          <w:noProof/>
          <w:sz w:val="28"/>
          <w:szCs w:val="28"/>
        </w:rPr>
        <w:t>……………………………………………………………………………29</w:t>
      </w:r>
    </w:p>
    <w:p w:rsidR="00F31494" w:rsidRDefault="00F31494" w:rsidP="00F31494">
      <w:pPr>
        <w:tabs>
          <w:tab w:val="right" w:leader="dot" w:pos="9214"/>
        </w:tabs>
        <w:spacing w:after="0" w:line="360" w:lineRule="auto"/>
        <w:rPr>
          <w:rFonts w:ascii="Times New Roman" w:hAnsi="Times New Roman"/>
          <w:sz w:val="28"/>
          <w:szCs w:val="28"/>
        </w:rPr>
      </w:pPr>
      <w:r>
        <w:rPr>
          <w:rFonts w:ascii="Times New Roman" w:hAnsi="Times New Roman"/>
          <w:sz w:val="28"/>
          <w:szCs w:val="28"/>
        </w:rPr>
        <w:t>3. РЕЗУЛЬТАТИ ДОСЛІДЖЕНЬ ТА ЇХ ОБГОВОРЕННЯ…………………...31</w:t>
      </w:r>
    </w:p>
    <w:p w:rsidR="00F31494" w:rsidRPr="00570E6D"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284"/>
        <w:jc w:val="both"/>
        <w:rPr>
          <w:sz w:val="28"/>
          <w:szCs w:val="28"/>
          <w:lang w:val="uk-UA"/>
        </w:rPr>
      </w:pPr>
      <w:r w:rsidRPr="00570E6D">
        <w:rPr>
          <w:sz w:val="28"/>
          <w:szCs w:val="28"/>
          <w:lang w:val="uk-UA"/>
        </w:rPr>
        <w:lastRenderedPageBreak/>
        <w:t xml:space="preserve">3.1. </w:t>
      </w:r>
      <w:r w:rsidRPr="00570E6D">
        <w:rPr>
          <w:color w:val="000000" w:themeColor="text1"/>
          <w:sz w:val="28"/>
          <w:szCs w:val="28"/>
          <w:lang w:val="uk-UA"/>
        </w:rPr>
        <w:t>Порівняння показників гемограми з РІ</w:t>
      </w:r>
      <w:r>
        <w:rPr>
          <w:color w:val="000000" w:themeColor="text1"/>
          <w:sz w:val="28"/>
          <w:szCs w:val="28"/>
          <w:lang w:val="uk-UA"/>
        </w:rPr>
        <w:t>…………………………………31</w:t>
      </w:r>
    </w:p>
    <w:p w:rsidR="00F31494" w:rsidRPr="00570E6D"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284"/>
        <w:jc w:val="both"/>
        <w:rPr>
          <w:sz w:val="28"/>
          <w:szCs w:val="28"/>
          <w:lang w:val="uk-UA"/>
        </w:rPr>
      </w:pPr>
      <w:r w:rsidRPr="00570E6D">
        <w:rPr>
          <w:sz w:val="28"/>
          <w:szCs w:val="28"/>
          <w:lang w:val="uk-UA"/>
        </w:rPr>
        <w:t xml:space="preserve">3.2. Розподіл частоти відхилень досліджуваних показників від </w:t>
      </w:r>
      <w:r>
        <w:rPr>
          <w:sz w:val="28"/>
          <w:szCs w:val="28"/>
          <w:lang w:val="uk-UA"/>
        </w:rPr>
        <w:t>меж РІ…..38</w:t>
      </w:r>
    </w:p>
    <w:p w:rsidR="00F31494" w:rsidRDefault="00F31494" w:rsidP="00F31494">
      <w:pPr>
        <w:tabs>
          <w:tab w:val="right" w:leader="dot" w:pos="9214"/>
        </w:tabs>
        <w:spacing w:after="0" w:line="360" w:lineRule="auto"/>
        <w:rPr>
          <w:rFonts w:ascii="Times New Roman" w:hAnsi="Times New Roman"/>
          <w:sz w:val="28"/>
          <w:szCs w:val="28"/>
        </w:rPr>
      </w:pPr>
      <w:r>
        <w:rPr>
          <w:rFonts w:ascii="Times New Roman" w:hAnsi="Times New Roman"/>
          <w:sz w:val="28"/>
          <w:szCs w:val="28"/>
        </w:rPr>
        <w:t>УЗАГАЛЬНЕННЯ……………………………………………………………….41</w:t>
      </w:r>
    </w:p>
    <w:p w:rsidR="00F31494" w:rsidRDefault="00F31494" w:rsidP="00F31494">
      <w:pPr>
        <w:tabs>
          <w:tab w:val="right" w:leader="dot" w:pos="9214"/>
        </w:tabs>
        <w:spacing w:after="0" w:line="360" w:lineRule="auto"/>
        <w:rPr>
          <w:rFonts w:ascii="Times New Roman" w:hAnsi="Times New Roman"/>
          <w:sz w:val="28"/>
          <w:szCs w:val="28"/>
        </w:rPr>
      </w:pPr>
      <w:r>
        <w:rPr>
          <w:rFonts w:ascii="Times New Roman" w:hAnsi="Times New Roman"/>
          <w:sz w:val="28"/>
          <w:szCs w:val="28"/>
        </w:rPr>
        <w:t>ВИСНОВКИ……………………………………………………………………...44</w:t>
      </w:r>
    </w:p>
    <w:p w:rsidR="00F31494" w:rsidRDefault="00F31494" w:rsidP="00F31494">
      <w:pPr>
        <w:tabs>
          <w:tab w:val="right" w:leader="dot" w:pos="9214"/>
        </w:tabs>
        <w:spacing w:after="0" w:line="360" w:lineRule="auto"/>
        <w:rPr>
          <w:rFonts w:ascii="Times New Roman" w:hAnsi="Times New Roman"/>
          <w:sz w:val="28"/>
          <w:szCs w:val="28"/>
        </w:rPr>
      </w:pPr>
      <w:r>
        <w:rPr>
          <w:rFonts w:ascii="Times New Roman" w:hAnsi="Times New Roman"/>
          <w:sz w:val="28"/>
          <w:szCs w:val="28"/>
        </w:rPr>
        <w:t>СПИСОК ЛІТЕРАТУРИ………………………………………………………...45</w:t>
      </w:r>
    </w:p>
    <w:p w:rsidR="00F31494" w:rsidRDefault="00F31494" w:rsidP="00F31494">
      <w:pPr>
        <w:tabs>
          <w:tab w:val="right" w:leader="dot" w:pos="9214"/>
        </w:tabs>
        <w:spacing w:after="0" w:line="360" w:lineRule="auto"/>
        <w:jc w:val="center"/>
        <w:rPr>
          <w:rFonts w:ascii="Times New Roman" w:eastAsia="Calibri" w:hAnsi="Times New Roman"/>
          <w:b/>
          <w:bCs/>
          <w:sz w:val="28"/>
          <w:szCs w:val="28"/>
        </w:rPr>
      </w:pPr>
      <w:r>
        <w:rPr>
          <w:rFonts w:ascii="Times New Roman" w:hAnsi="Times New Roman"/>
          <w:sz w:val="28"/>
          <w:szCs w:val="28"/>
        </w:rPr>
        <w:br w:type="column"/>
      </w:r>
      <w:r>
        <w:rPr>
          <w:rFonts w:ascii="Times New Roman" w:eastAsia="Calibri" w:hAnsi="Times New Roman"/>
          <w:b/>
          <w:bCs/>
          <w:sz w:val="28"/>
          <w:szCs w:val="28"/>
        </w:rPr>
        <w:lastRenderedPageBreak/>
        <w:t>ПРИЙНЯТІ СКОРОЧЕННЯ ТА АБРЕВІАТУРИ</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b/>
          <w:bCs/>
          <w:sz w:val="28"/>
          <w:szCs w:val="28"/>
        </w:rPr>
      </w:pP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rPr>
      </w:pPr>
      <w:r>
        <w:rPr>
          <w:rFonts w:ascii="Times New Roman" w:hAnsi="Times New Roman"/>
          <w:sz w:val="28"/>
          <w:szCs w:val="28"/>
        </w:rPr>
        <w:t xml:space="preserve">Г – гемоглобін; </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Pr>
          <w:rFonts w:ascii="Times New Roman" w:hAnsi="Times New Roman"/>
          <w:sz w:val="28"/>
          <w:szCs w:val="28"/>
        </w:rPr>
        <w:t xml:space="preserve">Е – еритроцити; </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Pr>
          <w:rFonts w:ascii="Times New Roman" w:hAnsi="Times New Roman"/>
          <w:sz w:val="28"/>
          <w:szCs w:val="28"/>
        </w:rPr>
        <w:t xml:space="preserve">ЕДТА – </w:t>
      </w:r>
      <w:r w:rsidRPr="0047011F">
        <w:rPr>
          <w:rFonts w:ascii="Times New Roman" w:hAnsi="Times New Roman" w:cs="Times New Roman"/>
          <w:sz w:val="28"/>
          <w:szCs w:val="28"/>
        </w:rPr>
        <w:t>етилендіамінтетраацетат натрію;</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heme="minorHAnsi" w:hAnsi="Times New Roman"/>
          <w:b/>
          <w:sz w:val="28"/>
          <w:szCs w:val="28"/>
        </w:rPr>
      </w:pPr>
      <w:r>
        <w:rPr>
          <w:rFonts w:ascii="Times New Roman" w:hAnsi="Times New Roman"/>
          <w:sz w:val="28"/>
          <w:szCs w:val="28"/>
        </w:rPr>
        <w:t xml:space="preserve">Л – лейкоцити; </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AE7C59">
        <w:rPr>
          <w:rFonts w:ascii="Times New Roman" w:hAnsi="Times New Roman"/>
          <w:bCs/>
          <w:sz w:val="28"/>
          <w:szCs w:val="28"/>
        </w:rPr>
        <w:t>МСНС – середня концентрація гемоглобіну в еритроциті;</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rPr>
      </w:pPr>
      <w:r>
        <w:rPr>
          <w:rFonts w:ascii="Times New Roman" w:hAnsi="Times New Roman"/>
          <w:sz w:val="28"/>
          <w:szCs w:val="28"/>
        </w:rPr>
        <w:t>РІ – референсний інтервал;</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rPr>
      </w:pPr>
      <w:r>
        <w:rPr>
          <w:rFonts w:ascii="Times New Roman" w:hAnsi="Times New Roman"/>
          <w:sz w:val="28"/>
          <w:szCs w:val="28"/>
        </w:rPr>
        <w:t>Т – тромбоцити;</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bdr w:val="none" w:sz="0" w:space="0" w:color="auto" w:frame="1"/>
        </w:rPr>
      </w:pPr>
      <w:r>
        <w:rPr>
          <w:rFonts w:ascii="Times New Roman" w:hAnsi="Times New Roman"/>
          <w:sz w:val="28"/>
          <w:szCs w:val="28"/>
          <w:bdr w:val="none" w:sz="0" w:space="0" w:color="auto" w:frame="1"/>
        </w:rPr>
        <w:t>ФСГ – фолікулостимулюючий гормон;</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ШОЕ – швидкість осідання еритроцитів </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HCT</w:t>
      </w:r>
      <w:r>
        <w:rPr>
          <w:rFonts w:ascii="Times New Roman" w:hAnsi="Times New Roman"/>
          <w:bCs/>
          <w:sz w:val="28"/>
          <w:szCs w:val="28"/>
        </w:rPr>
        <w:t xml:space="preserve"> – гематокрит;</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HGB</w:t>
      </w:r>
      <w:r>
        <w:rPr>
          <w:rFonts w:ascii="Times New Roman" w:hAnsi="Times New Roman"/>
          <w:bCs/>
          <w:sz w:val="28"/>
          <w:szCs w:val="28"/>
        </w:rPr>
        <w:t xml:space="preserve"> – гемоглобін;</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MCH</w:t>
      </w:r>
      <w:r>
        <w:rPr>
          <w:rFonts w:ascii="Times New Roman" w:hAnsi="Times New Roman"/>
          <w:bCs/>
          <w:sz w:val="28"/>
          <w:szCs w:val="28"/>
        </w:rPr>
        <w:t xml:space="preserve"> – </w:t>
      </w:r>
      <w:r w:rsidRPr="00AE7C59">
        <w:rPr>
          <w:rFonts w:ascii="Times New Roman" w:hAnsi="Times New Roman"/>
          <w:bCs/>
          <w:sz w:val="28"/>
          <w:szCs w:val="28"/>
        </w:rPr>
        <w:t>середній вміст гемоглобіну в еритроциті;</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MCV</w:t>
      </w:r>
      <w:r>
        <w:rPr>
          <w:rFonts w:ascii="Times New Roman" w:hAnsi="Times New Roman"/>
          <w:bCs/>
          <w:sz w:val="28"/>
          <w:szCs w:val="28"/>
        </w:rPr>
        <w:t xml:space="preserve"> – середній об</w:t>
      </w:r>
      <w:r w:rsidRPr="00283C74">
        <w:rPr>
          <w:rFonts w:ascii="Times New Roman" w:hAnsi="Times New Roman"/>
          <w:bCs/>
          <w:sz w:val="28"/>
          <w:szCs w:val="28"/>
        </w:rPr>
        <w:t>’</w:t>
      </w:r>
      <w:r>
        <w:rPr>
          <w:rFonts w:ascii="Times New Roman" w:hAnsi="Times New Roman"/>
          <w:bCs/>
          <w:sz w:val="28"/>
          <w:szCs w:val="28"/>
        </w:rPr>
        <w:t>єм еритроциту;</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MPV</w:t>
      </w:r>
      <w:r>
        <w:rPr>
          <w:rFonts w:ascii="Times New Roman" w:hAnsi="Times New Roman"/>
          <w:bCs/>
          <w:sz w:val="28"/>
          <w:szCs w:val="28"/>
        </w:rPr>
        <w:t xml:space="preserve"> – </w:t>
      </w:r>
      <w:r w:rsidRPr="00D829DA">
        <w:rPr>
          <w:rFonts w:ascii="Times New Roman" w:hAnsi="Times New Roman"/>
          <w:bCs/>
          <w:sz w:val="28"/>
          <w:szCs w:val="28"/>
        </w:rPr>
        <w:t xml:space="preserve">середній </w:t>
      </w:r>
      <w:r>
        <w:rPr>
          <w:rFonts w:ascii="Times New Roman" w:hAnsi="Times New Roman"/>
          <w:bCs/>
          <w:sz w:val="28"/>
          <w:szCs w:val="28"/>
        </w:rPr>
        <w:t>об’єм</w:t>
      </w:r>
      <w:r w:rsidRPr="00D829DA">
        <w:rPr>
          <w:rFonts w:ascii="Times New Roman" w:hAnsi="Times New Roman"/>
          <w:bCs/>
          <w:sz w:val="28"/>
          <w:szCs w:val="28"/>
        </w:rPr>
        <w:t xml:space="preserve"> тромбоцитів;</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D829DA">
        <w:rPr>
          <w:rFonts w:ascii="Times New Roman" w:hAnsi="Times New Roman"/>
          <w:bCs/>
          <w:sz w:val="28"/>
          <w:szCs w:val="28"/>
        </w:rPr>
        <w:t>PDW – розподіл тромбоцитів</w:t>
      </w:r>
      <w:r>
        <w:rPr>
          <w:rFonts w:ascii="Times New Roman" w:hAnsi="Times New Roman"/>
          <w:bCs/>
          <w:sz w:val="28"/>
          <w:szCs w:val="28"/>
        </w:rPr>
        <w:t>;</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PLT</w:t>
      </w:r>
      <w:r>
        <w:rPr>
          <w:rFonts w:ascii="Times New Roman" w:hAnsi="Times New Roman"/>
          <w:bCs/>
          <w:sz w:val="28"/>
          <w:szCs w:val="28"/>
        </w:rPr>
        <w:t xml:space="preserve"> – тромбоцити; </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E01275">
        <w:rPr>
          <w:rFonts w:ascii="Times New Roman" w:hAnsi="Times New Roman"/>
          <w:bCs/>
          <w:sz w:val="28"/>
          <w:szCs w:val="28"/>
        </w:rPr>
        <w:t>RBC</w:t>
      </w:r>
      <w:r>
        <w:rPr>
          <w:rFonts w:ascii="Times New Roman" w:hAnsi="Times New Roman"/>
          <w:bCs/>
          <w:sz w:val="28"/>
          <w:szCs w:val="28"/>
        </w:rPr>
        <w:t xml:space="preserve"> – еритроцити;</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A93563">
        <w:rPr>
          <w:rFonts w:ascii="Times New Roman" w:hAnsi="Times New Roman"/>
          <w:bCs/>
          <w:sz w:val="28"/>
          <w:szCs w:val="28"/>
        </w:rPr>
        <w:t>RDW – розподіл еритроцитів за об’ємом;</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Cs/>
          <w:sz w:val="28"/>
          <w:szCs w:val="28"/>
        </w:rPr>
      </w:pPr>
      <w:r w:rsidRPr="00660C03">
        <w:rPr>
          <w:rFonts w:ascii="Times New Roman" w:hAnsi="Times New Roman"/>
          <w:bCs/>
          <w:sz w:val="28"/>
          <w:szCs w:val="28"/>
        </w:rPr>
        <w:t>WBC</w:t>
      </w:r>
      <w:r>
        <w:rPr>
          <w:rFonts w:ascii="Times New Roman" w:hAnsi="Times New Roman"/>
          <w:bCs/>
          <w:sz w:val="28"/>
          <w:szCs w:val="28"/>
        </w:rPr>
        <w:t xml:space="preserve"> – лейкоцити</w:t>
      </w:r>
    </w:p>
    <w:p w:rsidR="00F31494" w:rsidRPr="00A93563"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8"/>
          <w:szCs w:val="28"/>
        </w:rPr>
      </w:pP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8"/>
          <w:szCs w:val="28"/>
        </w:rPr>
      </w:pPr>
      <w:r>
        <w:rPr>
          <w:rFonts w:ascii="Times New Roman" w:hAnsi="Times New Roman"/>
          <w:b/>
          <w:sz w:val="28"/>
          <w:szCs w:val="28"/>
        </w:rPr>
        <w:br w:type="column"/>
      </w:r>
      <w:r>
        <w:rPr>
          <w:rFonts w:ascii="Times New Roman" w:hAnsi="Times New Roman"/>
          <w:b/>
          <w:sz w:val="28"/>
          <w:szCs w:val="28"/>
        </w:rPr>
        <w:lastRenderedPageBreak/>
        <w:t>ВСТУП</w:t>
      </w:r>
    </w:p>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8"/>
          <w:szCs w:val="28"/>
          <w:lang w:eastAsia="ru-RU"/>
        </w:rPr>
      </w:pPr>
    </w:p>
    <w:p w:rsidR="00F31494" w:rsidRPr="00410418" w:rsidRDefault="00F31494" w:rsidP="00F31494">
      <w:pPr>
        <w:shd w:val="clear" w:color="auto" w:fill="FFFFFF"/>
        <w:tabs>
          <w:tab w:val="left" w:pos="851"/>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426"/>
        <w:jc w:val="both"/>
        <w:textAlignment w:val="baseline"/>
        <w:rPr>
          <w:rFonts w:ascii="Times New Roman" w:hAnsi="Times New Roman"/>
          <w:sz w:val="28"/>
          <w:szCs w:val="28"/>
        </w:rPr>
      </w:pPr>
      <w:r w:rsidRPr="00410418">
        <w:rPr>
          <w:rFonts w:ascii="Times New Roman" w:hAnsi="Times New Roman"/>
          <w:sz w:val="28"/>
          <w:szCs w:val="28"/>
        </w:rPr>
        <w:t>Своєчасне і ефективне лікування будь-якого захворювання завжди залежить від правильно поставленого діагнозу. Будь яка доросла людина, звертаючись на прийом до лікаря, хоче якнайшвидшого одужання. З іншого боку, лікарю дуже важливо окрім скарг, анамнезу захворювання і стану пацієнта при постановці діагнозу мати дані лабораторних досліджень, зокрема аналіз крові [</w:t>
      </w:r>
      <w:r w:rsidRPr="00410418">
        <w:rPr>
          <w:rFonts w:ascii="Times New Roman" w:hAnsi="Times New Roman" w:cs="Times New Roman"/>
          <w:sz w:val="28"/>
          <w:szCs w:val="28"/>
        </w:rPr>
        <w:t>Лянг и др., 2019</w:t>
      </w:r>
      <w:r w:rsidRPr="00410418">
        <w:rPr>
          <w:rFonts w:ascii="Times New Roman" w:hAnsi="Times New Roman"/>
          <w:sz w:val="28"/>
          <w:szCs w:val="28"/>
        </w:rPr>
        <w:t>].</w:t>
      </w:r>
    </w:p>
    <w:p w:rsidR="00F31494" w:rsidRPr="00CA7403" w:rsidRDefault="00F31494" w:rsidP="00F31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contextualSpacing/>
        <w:jc w:val="both"/>
        <w:textAlignment w:val="baseline"/>
        <w:rPr>
          <w:rFonts w:ascii="Times New Roman" w:hAnsi="Times New Roman"/>
          <w:sz w:val="28"/>
          <w:szCs w:val="28"/>
        </w:rPr>
      </w:pPr>
      <w:r w:rsidRPr="00CA7403">
        <w:rPr>
          <w:rFonts w:ascii="Times New Roman" w:hAnsi="Times New Roman"/>
          <w:sz w:val="28"/>
          <w:szCs w:val="28"/>
        </w:rPr>
        <w:t>Гемограма – це сукупність якісних та кількісних показників, що характеризують клітинний склад периферичної кро</w:t>
      </w:r>
      <w:r>
        <w:rPr>
          <w:rFonts w:ascii="Times New Roman" w:hAnsi="Times New Roman"/>
          <w:sz w:val="28"/>
          <w:szCs w:val="28"/>
        </w:rPr>
        <w:t>ві та пов'язаних з ним констант</w:t>
      </w:r>
      <w:r w:rsidRPr="005E7FD3">
        <w:rPr>
          <w:rFonts w:ascii="Times New Roman" w:hAnsi="Times New Roman"/>
          <w:sz w:val="28"/>
          <w:szCs w:val="28"/>
        </w:rPr>
        <w:t xml:space="preserve">. </w:t>
      </w:r>
      <w:r w:rsidRPr="00CA7403">
        <w:rPr>
          <w:rFonts w:ascii="Times New Roman" w:hAnsi="Times New Roman"/>
          <w:sz w:val="28"/>
          <w:szCs w:val="28"/>
        </w:rPr>
        <w:t>Дослідження клітинного складу крові є одним із найбільш доступних та інформативних лабораторних тестів, який затребуваний лікарями [</w:t>
      </w:r>
      <w:r w:rsidRPr="00AF42CC">
        <w:rPr>
          <w:rFonts w:ascii="Times New Roman" w:hAnsi="Times New Roman" w:cs="Times New Roman"/>
          <w:sz w:val="28"/>
          <w:szCs w:val="28"/>
        </w:rPr>
        <w:t>Richard</w:t>
      </w:r>
      <w:r w:rsidRPr="005E7FD3">
        <w:rPr>
          <w:rFonts w:ascii="Times New Roman" w:hAnsi="Times New Roman" w:cs="Times New Roman"/>
          <w:sz w:val="28"/>
          <w:szCs w:val="28"/>
        </w:rPr>
        <w:t xml:space="preserve"> </w:t>
      </w:r>
      <w:r>
        <w:rPr>
          <w:rFonts w:ascii="Times New Roman" w:hAnsi="Times New Roman" w:cs="Times New Roman"/>
          <w:sz w:val="28"/>
          <w:szCs w:val="28"/>
          <w:lang w:val="en-US"/>
        </w:rPr>
        <w:t>et</w:t>
      </w:r>
      <w:r w:rsidRPr="005E7FD3">
        <w:rPr>
          <w:rFonts w:ascii="Times New Roman" w:hAnsi="Times New Roman" w:cs="Times New Roman"/>
          <w:sz w:val="28"/>
          <w:szCs w:val="28"/>
        </w:rPr>
        <w:t xml:space="preserve"> </w:t>
      </w:r>
      <w:r>
        <w:rPr>
          <w:rFonts w:ascii="Times New Roman" w:hAnsi="Times New Roman" w:cs="Times New Roman"/>
          <w:sz w:val="28"/>
          <w:szCs w:val="28"/>
          <w:lang w:val="en-US"/>
        </w:rPr>
        <w:t>all</w:t>
      </w:r>
      <w:r w:rsidRPr="005E7FD3">
        <w:rPr>
          <w:rFonts w:ascii="Times New Roman" w:hAnsi="Times New Roman" w:cs="Times New Roman"/>
          <w:sz w:val="28"/>
          <w:szCs w:val="28"/>
        </w:rPr>
        <w:t>., 2016</w:t>
      </w:r>
      <w:r w:rsidRPr="00CA7403">
        <w:rPr>
          <w:rFonts w:ascii="Times New Roman" w:hAnsi="Times New Roman"/>
          <w:sz w:val="28"/>
          <w:szCs w:val="28"/>
        </w:rPr>
        <w:t>].</w:t>
      </w:r>
    </w:p>
    <w:p w:rsidR="00F31494" w:rsidRPr="00CA7403" w:rsidRDefault="00F31494" w:rsidP="00F314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contextualSpacing/>
        <w:jc w:val="both"/>
        <w:textAlignment w:val="baseline"/>
        <w:rPr>
          <w:rFonts w:ascii="Times New Roman" w:hAnsi="Times New Roman"/>
          <w:sz w:val="28"/>
          <w:szCs w:val="28"/>
        </w:rPr>
      </w:pPr>
      <w:r w:rsidRPr="00CA7403">
        <w:rPr>
          <w:rFonts w:ascii="Times New Roman" w:hAnsi="Times New Roman"/>
          <w:sz w:val="28"/>
          <w:szCs w:val="28"/>
        </w:rPr>
        <w:t>Впроваджені останніми роками нові технології аналізів крові значно підвищили їхню якість. Використання автоматичних аналізаторів крові дозволило вдосконалити процедуру забору крові та суттєво збільшило обсяг отримуваної інформації за рахунок раніше невизначених показників. Проте слід пам'ятати, що цей метод не виключає, а доповнює традиційний аналіз крові.</w:t>
      </w:r>
    </w:p>
    <w:p w:rsidR="00F31494" w:rsidRPr="00810FBB"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rPr>
      </w:pPr>
      <w:r w:rsidRPr="00CA7403">
        <w:rPr>
          <w:rFonts w:ascii="Times New Roman" w:hAnsi="Times New Roman"/>
          <w:sz w:val="28"/>
          <w:szCs w:val="28"/>
        </w:rPr>
        <w:t>Зміни кількісного та якісного складу периферичної крові можуть бути наслідком як фізіологічних, так і патологічних процесів, таких як реакція кровотворної системи на зміни функціональний стан організму; пошкодження червоного кісткового мозку або окремих ліній кровотворення, обумовлених як</w:t>
      </w:r>
      <w:r w:rsidRPr="00810FBB">
        <w:rPr>
          <w:rFonts w:ascii="Times New Roman" w:hAnsi="Times New Roman"/>
          <w:sz w:val="28"/>
          <w:szCs w:val="28"/>
        </w:rPr>
        <w:t xml:space="preserve"> </w:t>
      </w:r>
      <w:r w:rsidRPr="00CA7403">
        <w:rPr>
          <w:rFonts w:ascii="Times New Roman" w:hAnsi="Times New Roman"/>
          <w:sz w:val="28"/>
          <w:szCs w:val="28"/>
        </w:rPr>
        <w:t xml:space="preserve">первинними генетичними дефектами, </w:t>
      </w:r>
      <w:r>
        <w:rPr>
          <w:rFonts w:ascii="Times New Roman" w:hAnsi="Times New Roman"/>
          <w:sz w:val="28"/>
          <w:szCs w:val="28"/>
        </w:rPr>
        <w:t xml:space="preserve">так </w:t>
      </w:r>
      <w:r w:rsidRPr="00CA7403">
        <w:rPr>
          <w:rFonts w:ascii="Times New Roman" w:hAnsi="Times New Roman"/>
          <w:sz w:val="28"/>
          <w:szCs w:val="28"/>
        </w:rPr>
        <w:t>і вторинними порушеннями, викликаними впливом зовнішніх чи внутрішніх патогенних факторів; адаптаційні та пристосувальні реакції кровотворної системи у відповідь на фактори довкілля; участь органів кровотворення у формуванні механізмів захисту та компенсації при різних патологічних процесах [</w:t>
      </w:r>
      <w:r w:rsidRPr="00AF42CC">
        <w:rPr>
          <w:rFonts w:ascii="Times New Roman" w:hAnsi="Times New Roman" w:cs="Times New Roman"/>
          <w:sz w:val="28"/>
          <w:szCs w:val="28"/>
          <w:lang w:val="en-US"/>
        </w:rPr>
        <w:t>Amulic</w:t>
      </w:r>
      <w:r>
        <w:rPr>
          <w:rFonts w:ascii="Times New Roman" w:hAnsi="Times New Roman" w:cs="Times New Roman"/>
          <w:sz w:val="28"/>
          <w:szCs w:val="28"/>
        </w:rPr>
        <w:t xml:space="preserve"> </w:t>
      </w:r>
      <w:r>
        <w:rPr>
          <w:rFonts w:ascii="Times New Roman" w:hAnsi="Times New Roman" w:cs="Times New Roman"/>
          <w:sz w:val="28"/>
          <w:szCs w:val="28"/>
          <w:lang w:val="en-US"/>
        </w:rPr>
        <w:t>et</w:t>
      </w:r>
      <w:r w:rsidRPr="001155F1">
        <w:rPr>
          <w:rFonts w:ascii="Times New Roman" w:hAnsi="Times New Roman" w:cs="Times New Roman"/>
          <w:sz w:val="28"/>
          <w:szCs w:val="28"/>
        </w:rPr>
        <w:t xml:space="preserve"> </w:t>
      </w:r>
      <w:r>
        <w:rPr>
          <w:rFonts w:ascii="Times New Roman" w:hAnsi="Times New Roman" w:cs="Times New Roman"/>
          <w:sz w:val="28"/>
          <w:szCs w:val="28"/>
          <w:lang w:val="en-US"/>
        </w:rPr>
        <w:t>all</w:t>
      </w:r>
      <w:r w:rsidRPr="001155F1">
        <w:rPr>
          <w:rFonts w:ascii="Times New Roman" w:hAnsi="Times New Roman" w:cs="Times New Roman"/>
          <w:sz w:val="28"/>
          <w:szCs w:val="28"/>
        </w:rPr>
        <w:t>.</w:t>
      </w:r>
      <w:r w:rsidRPr="00636CBF">
        <w:rPr>
          <w:rFonts w:ascii="Times New Roman" w:hAnsi="Times New Roman" w:cs="Times New Roman"/>
          <w:sz w:val="28"/>
          <w:szCs w:val="28"/>
        </w:rPr>
        <w:t>, 2018</w:t>
      </w:r>
      <w:r w:rsidRPr="00CA7403">
        <w:rPr>
          <w:rFonts w:ascii="Times New Roman" w:hAnsi="Times New Roman"/>
          <w:sz w:val="28"/>
          <w:szCs w:val="28"/>
        </w:rPr>
        <w:t>].</w:t>
      </w:r>
    </w:p>
    <w:p w:rsidR="00F31494" w:rsidRDefault="00F31494" w:rsidP="00F31494"/>
    <w:p w:rsidR="00F31494"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rPr>
      </w:pPr>
      <w:r w:rsidRPr="00CA7403">
        <w:rPr>
          <w:rFonts w:ascii="Times New Roman" w:hAnsi="Times New Roman"/>
          <w:sz w:val="28"/>
          <w:szCs w:val="28"/>
        </w:rPr>
        <w:lastRenderedPageBreak/>
        <w:t>В останні роки на зміну ручному підрахунку клітинного складу крові приходи</w:t>
      </w:r>
      <w:r>
        <w:rPr>
          <w:rFonts w:ascii="Times New Roman" w:hAnsi="Times New Roman"/>
          <w:sz w:val="28"/>
          <w:szCs w:val="28"/>
        </w:rPr>
        <w:t>ть автоматизований</w:t>
      </w:r>
      <w:r w:rsidRPr="00CA7403">
        <w:rPr>
          <w:rFonts w:ascii="Times New Roman" w:hAnsi="Times New Roman"/>
          <w:sz w:val="28"/>
          <w:szCs w:val="28"/>
        </w:rPr>
        <w:t>. Автоматизація підрахунку формених елементів підвищила точність результатів дослідження [</w:t>
      </w:r>
      <w:r w:rsidRPr="00AF42CC">
        <w:rPr>
          <w:rFonts w:ascii="Times New Roman" w:hAnsi="Times New Roman" w:cs="Times New Roman"/>
          <w:sz w:val="28"/>
          <w:szCs w:val="28"/>
        </w:rPr>
        <w:t>Казакова</w:t>
      </w:r>
      <w:r w:rsidRPr="00810FBB">
        <w:rPr>
          <w:rFonts w:ascii="Times New Roman" w:hAnsi="Times New Roman" w:cs="Times New Roman"/>
          <w:sz w:val="28"/>
          <w:szCs w:val="28"/>
          <w:lang w:val="ru-RU"/>
        </w:rPr>
        <w:t xml:space="preserve"> </w:t>
      </w:r>
      <w:r>
        <w:rPr>
          <w:rFonts w:ascii="Times New Roman" w:hAnsi="Times New Roman" w:cs="Times New Roman"/>
          <w:sz w:val="28"/>
          <w:szCs w:val="28"/>
          <w:lang w:val="ru-RU"/>
        </w:rPr>
        <w:t>и др., 2014</w:t>
      </w:r>
      <w:r w:rsidRPr="00CA7403">
        <w:rPr>
          <w:rFonts w:ascii="Times New Roman" w:hAnsi="Times New Roman"/>
          <w:sz w:val="28"/>
          <w:szCs w:val="28"/>
        </w:rPr>
        <w:t xml:space="preserve">]. </w:t>
      </w:r>
    </w:p>
    <w:p w:rsidR="00F31494" w:rsidRPr="00462BAD" w:rsidRDefault="00F31494" w:rsidP="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rPr>
      </w:pPr>
      <w:r w:rsidRPr="00462BAD">
        <w:rPr>
          <w:rFonts w:ascii="Times New Roman" w:hAnsi="Times New Roman"/>
          <w:sz w:val="28"/>
          <w:szCs w:val="28"/>
        </w:rPr>
        <w:t>Поширення автоматичних цифрових гематологічних аналізаторів в клініках диктує необхідність повноцінної  інтерпретації і зіставлення всіх численних показників гемограми, зокрема пошуку кореляції між індексами та станом кожної із ланок системи крові пацієнта з точки зору небезпеки виникнення порушень в системі гемостазу [</w:t>
      </w:r>
      <w:hyperlink r:id="rId7" w:tooltip="Пошук за автором" w:history="1">
        <w:r w:rsidRPr="00462BAD">
          <w:rPr>
            <w:rStyle w:val="ac"/>
            <w:rFonts w:ascii="Times New Roman" w:hAnsi="Times New Roman" w:cs="Times New Roman"/>
            <w:sz w:val="28"/>
            <w:szCs w:val="28"/>
          </w:rPr>
          <w:t xml:space="preserve">Бубряк та ін., </w:t>
        </w:r>
      </w:hyperlink>
      <w:r w:rsidRPr="00462BAD">
        <w:rPr>
          <w:rFonts w:ascii="Times New Roman" w:hAnsi="Times New Roman" w:cs="Times New Roman"/>
          <w:sz w:val="28"/>
          <w:szCs w:val="28"/>
        </w:rPr>
        <w:t>2011</w:t>
      </w:r>
      <w:r w:rsidRPr="00462BAD">
        <w:rPr>
          <w:rFonts w:ascii="Times New Roman" w:hAnsi="Times New Roman"/>
          <w:sz w:val="28"/>
          <w:szCs w:val="28"/>
        </w:rPr>
        <w:t xml:space="preserve">]. </w:t>
      </w:r>
    </w:p>
    <w:p w:rsidR="00F31494" w:rsidRPr="00D72F33" w:rsidRDefault="00F31494" w:rsidP="00F31494">
      <w:pPr>
        <w:shd w:val="clear" w:color="auto" w:fill="FFFFFF"/>
        <w:spacing w:after="0" w:line="360" w:lineRule="auto"/>
        <w:ind w:firstLine="567"/>
        <w:contextualSpacing/>
        <w:jc w:val="both"/>
        <w:textAlignment w:val="baseline"/>
        <w:rPr>
          <w:rFonts w:ascii="Times New Roman" w:hAnsi="Times New Roman"/>
          <w:sz w:val="28"/>
          <w:szCs w:val="28"/>
        </w:rPr>
      </w:pPr>
      <w:r>
        <w:rPr>
          <w:rFonts w:ascii="Times New Roman" w:hAnsi="Times New Roman"/>
          <w:sz w:val="28"/>
          <w:szCs w:val="28"/>
        </w:rPr>
        <w:t>Метою нашого дослідження було вивчення</w:t>
      </w:r>
      <w:r w:rsidRPr="002970D5">
        <w:rPr>
          <w:rFonts w:ascii="Times New Roman" w:eastAsia="Calibri" w:hAnsi="Times New Roman"/>
          <w:sz w:val="28"/>
          <w:szCs w:val="28"/>
        </w:rPr>
        <w:t xml:space="preserve"> </w:t>
      </w:r>
      <w:r>
        <w:rPr>
          <w:rFonts w:ascii="Times New Roman" w:hAnsi="Times New Roman"/>
          <w:sz w:val="28"/>
          <w:szCs w:val="28"/>
        </w:rPr>
        <w:t>показників</w:t>
      </w:r>
      <w:r w:rsidRPr="00D72F33">
        <w:rPr>
          <w:rFonts w:ascii="Times New Roman" w:hAnsi="Times New Roman"/>
          <w:sz w:val="28"/>
          <w:szCs w:val="28"/>
        </w:rPr>
        <w:t xml:space="preserve"> гемограми у мешканців м. Одеса</w:t>
      </w:r>
      <w:r>
        <w:rPr>
          <w:rFonts w:ascii="Times New Roman" w:hAnsi="Times New Roman"/>
          <w:sz w:val="28"/>
          <w:szCs w:val="28"/>
        </w:rPr>
        <w:t>.</w:t>
      </w:r>
    </w:p>
    <w:p w:rsidR="00F31494" w:rsidRDefault="00F31494" w:rsidP="00F31494">
      <w:pPr>
        <w:spacing w:after="0" w:line="360" w:lineRule="auto"/>
        <w:ind w:firstLine="567"/>
        <w:jc w:val="both"/>
        <w:rPr>
          <w:rFonts w:ascii="Times New Roman" w:hAnsi="Times New Roman"/>
          <w:sz w:val="28"/>
          <w:szCs w:val="28"/>
        </w:rPr>
      </w:pPr>
      <w:r w:rsidRPr="00224C85">
        <w:rPr>
          <w:rFonts w:ascii="Times New Roman" w:hAnsi="Times New Roman"/>
          <w:sz w:val="28"/>
          <w:szCs w:val="28"/>
        </w:rPr>
        <w:t>Були поставлені наступні завдання:</w:t>
      </w:r>
    </w:p>
    <w:p w:rsidR="00F31494" w:rsidRDefault="00F31494" w:rsidP="00F31494">
      <w:pPr>
        <w:spacing w:after="0" w:line="360" w:lineRule="auto"/>
        <w:ind w:firstLine="567"/>
        <w:jc w:val="both"/>
        <w:rPr>
          <w:rFonts w:ascii="Times New Roman" w:hAnsi="Times New Roman"/>
          <w:sz w:val="28"/>
          <w:szCs w:val="28"/>
        </w:rPr>
      </w:pPr>
      <w:r>
        <w:rPr>
          <w:rFonts w:ascii="Times New Roman" w:hAnsi="Times New Roman"/>
          <w:sz w:val="28"/>
          <w:szCs w:val="28"/>
        </w:rPr>
        <w:t xml:space="preserve">1. визначити референтні інтервали показників гемограми у </w:t>
      </w:r>
      <w:r w:rsidRPr="00487028">
        <w:rPr>
          <w:rFonts w:ascii="Times New Roman" w:hAnsi="Times New Roman"/>
          <w:sz w:val="28"/>
          <w:szCs w:val="28"/>
        </w:rPr>
        <w:t>дорослого</w:t>
      </w:r>
      <w:r>
        <w:rPr>
          <w:rFonts w:ascii="Times New Roman" w:hAnsi="Times New Roman"/>
          <w:sz w:val="28"/>
          <w:szCs w:val="28"/>
        </w:rPr>
        <w:t xml:space="preserve"> </w:t>
      </w:r>
      <w:r w:rsidRPr="00487028">
        <w:rPr>
          <w:rFonts w:ascii="Times New Roman" w:hAnsi="Times New Roman"/>
          <w:sz w:val="28"/>
          <w:szCs w:val="28"/>
        </w:rPr>
        <w:t>населення</w:t>
      </w:r>
      <w:r>
        <w:rPr>
          <w:rFonts w:ascii="Times New Roman" w:hAnsi="Times New Roman"/>
          <w:sz w:val="28"/>
          <w:szCs w:val="28"/>
        </w:rPr>
        <w:t xml:space="preserve"> м. Одеса;</w:t>
      </w:r>
      <w:r w:rsidRPr="00487028">
        <w:rPr>
          <w:rFonts w:ascii="Times New Roman" w:hAnsi="Times New Roman"/>
          <w:sz w:val="28"/>
          <w:szCs w:val="28"/>
        </w:rPr>
        <w:t xml:space="preserve"> </w:t>
      </w:r>
    </w:p>
    <w:p w:rsidR="00F31494" w:rsidRDefault="00F31494" w:rsidP="00F31494">
      <w:pPr>
        <w:spacing w:after="0" w:line="360" w:lineRule="auto"/>
        <w:ind w:firstLine="567"/>
        <w:jc w:val="both"/>
        <w:rPr>
          <w:rFonts w:ascii="Times New Roman" w:hAnsi="Times New Roman"/>
          <w:sz w:val="28"/>
          <w:szCs w:val="28"/>
        </w:rPr>
      </w:pPr>
      <w:r>
        <w:rPr>
          <w:rFonts w:ascii="Times New Roman" w:hAnsi="Times New Roman"/>
          <w:sz w:val="28"/>
          <w:szCs w:val="28"/>
        </w:rPr>
        <w:t>2. виявити</w:t>
      </w:r>
      <w:r w:rsidRPr="00487028">
        <w:rPr>
          <w:rFonts w:ascii="Times New Roman" w:hAnsi="Times New Roman"/>
          <w:sz w:val="28"/>
          <w:szCs w:val="28"/>
        </w:rPr>
        <w:t xml:space="preserve"> в</w:t>
      </w:r>
      <w:r>
        <w:rPr>
          <w:rFonts w:ascii="Times New Roman" w:hAnsi="Times New Roman"/>
          <w:sz w:val="28"/>
          <w:szCs w:val="28"/>
        </w:rPr>
        <w:t>аріабельність клітинного складу крові та відхилення від референсних показників норми;</w:t>
      </w:r>
      <w:r w:rsidRPr="00487028">
        <w:rPr>
          <w:rFonts w:ascii="Times New Roman" w:hAnsi="Times New Roman"/>
          <w:sz w:val="28"/>
          <w:szCs w:val="28"/>
        </w:rPr>
        <w:t xml:space="preserve"> </w:t>
      </w:r>
    </w:p>
    <w:p w:rsidR="00F31494" w:rsidRDefault="00F31494" w:rsidP="00F31494">
      <w:pPr>
        <w:spacing w:after="0" w:line="360" w:lineRule="auto"/>
        <w:ind w:firstLine="567"/>
        <w:jc w:val="both"/>
        <w:rPr>
          <w:rFonts w:ascii="Times New Roman" w:hAnsi="Times New Roman"/>
          <w:sz w:val="28"/>
          <w:szCs w:val="28"/>
        </w:rPr>
      </w:pPr>
      <w:r>
        <w:rPr>
          <w:rFonts w:ascii="Times New Roman" w:hAnsi="Times New Roman"/>
          <w:sz w:val="28"/>
          <w:szCs w:val="28"/>
        </w:rPr>
        <w:t>3. з</w:t>
      </w:r>
      <w:r w:rsidRPr="0073083A">
        <w:rPr>
          <w:rFonts w:ascii="Times New Roman" w:hAnsi="Times New Roman"/>
          <w:sz w:val="28"/>
          <w:szCs w:val="28"/>
        </w:rPr>
        <w:t>’</w:t>
      </w:r>
      <w:r>
        <w:rPr>
          <w:rFonts w:ascii="Times New Roman" w:hAnsi="Times New Roman"/>
          <w:sz w:val="28"/>
          <w:szCs w:val="28"/>
        </w:rPr>
        <w:t xml:space="preserve">ясувати причини відхилення показників гемограми від нормального розподілу; </w:t>
      </w:r>
    </w:p>
    <w:p w:rsidR="00F31494" w:rsidRPr="0000252D" w:rsidRDefault="00F31494" w:rsidP="00F31494">
      <w:pPr>
        <w:spacing w:after="0" w:line="360" w:lineRule="auto"/>
        <w:ind w:firstLine="567"/>
        <w:jc w:val="both"/>
        <w:rPr>
          <w:rFonts w:ascii="Times New Roman" w:hAnsi="Times New Roman"/>
          <w:sz w:val="28"/>
          <w:szCs w:val="28"/>
        </w:rPr>
      </w:pPr>
      <w:r w:rsidRPr="00D04707">
        <w:rPr>
          <w:rFonts w:ascii="Times New Roman" w:hAnsi="Times New Roman"/>
          <w:i/>
          <w:sz w:val="28"/>
          <w:szCs w:val="28"/>
        </w:rPr>
        <w:t>Об'єкт дослідження</w:t>
      </w:r>
      <w:r w:rsidRPr="00075C8F">
        <w:rPr>
          <w:sz w:val="28"/>
          <w:szCs w:val="28"/>
        </w:rPr>
        <w:t xml:space="preserve"> </w:t>
      </w:r>
      <w:r>
        <w:rPr>
          <w:sz w:val="28"/>
          <w:szCs w:val="28"/>
        </w:rPr>
        <w:t xml:space="preserve">– </w:t>
      </w:r>
      <w:r w:rsidRPr="0000252D">
        <w:rPr>
          <w:rFonts w:ascii="Times New Roman" w:hAnsi="Times New Roman"/>
          <w:sz w:val="28"/>
          <w:szCs w:val="28"/>
        </w:rPr>
        <w:t>варіабельність показників клітинного ск</w:t>
      </w:r>
      <w:r>
        <w:rPr>
          <w:rFonts w:ascii="Times New Roman" w:hAnsi="Times New Roman"/>
          <w:sz w:val="28"/>
          <w:szCs w:val="28"/>
        </w:rPr>
        <w:t>ладу крові у мешканців м. Одеса.</w:t>
      </w:r>
    </w:p>
    <w:p w:rsidR="00F31494" w:rsidRDefault="00F31494" w:rsidP="00F31494">
      <w:pPr>
        <w:pStyle w:val="a3"/>
        <w:spacing w:before="0" w:beforeAutospacing="0" w:after="0" w:afterAutospacing="0" w:line="360" w:lineRule="auto"/>
        <w:ind w:firstLine="567"/>
        <w:jc w:val="both"/>
        <w:rPr>
          <w:sz w:val="28"/>
          <w:szCs w:val="28"/>
          <w:lang w:val="uk-UA"/>
        </w:rPr>
      </w:pPr>
      <w:r w:rsidRPr="00332FA5">
        <w:rPr>
          <w:i/>
          <w:sz w:val="28"/>
          <w:szCs w:val="28"/>
        </w:rPr>
        <w:t xml:space="preserve">Предмет дослідження </w:t>
      </w:r>
      <w:r>
        <w:rPr>
          <w:sz w:val="28"/>
          <w:szCs w:val="28"/>
          <w:lang w:val="uk-UA"/>
        </w:rPr>
        <w:t>–</w:t>
      </w:r>
      <w:r w:rsidRPr="002F04D2">
        <w:rPr>
          <w:rFonts w:eastAsia="Calibri"/>
          <w:sz w:val="28"/>
          <w:szCs w:val="28"/>
          <w:lang w:val="uk-UA"/>
        </w:rPr>
        <w:t xml:space="preserve"> </w:t>
      </w:r>
      <w:r>
        <w:rPr>
          <w:rFonts w:eastAsia="Calibri"/>
          <w:sz w:val="28"/>
          <w:szCs w:val="28"/>
          <w:lang w:val="uk-UA"/>
        </w:rPr>
        <w:t>показники гемограми дорослого населення.</w:t>
      </w:r>
    </w:p>
    <w:p w:rsidR="00A810D2" w:rsidRPr="00071DD4" w:rsidRDefault="00F31494" w:rsidP="00A810D2">
      <w:pPr>
        <w:shd w:val="clear" w:color="auto" w:fill="FFFFFF"/>
        <w:spacing w:after="0" w:line="360" w:lineRule="auto"/>
        <w:contextualSpacing/>
        <w:jc w:val="center"/>
        <w:textAlignment w:val="baseline"/>
        <w:rPr>
          <w:b/>
          <w:sz w:val="28"/>
          <w:szCs w:val="28"/>
        </w:rPr>
      </w:pPr>
      <w:r>
        <w:rPr>
          <w:rFonts w:ascii="Times New Roman" w:hAnsi="Times New Roman"/>
          <w:sz w:val="28"/>
          <w:szCs w:val="28"/>
        </w:rPr>
        <w:br w:type="column"/>
      </w:r>
      <w:bookmarkStart w:id="0" w:name="_GoBack"/>
      <w:bookmarkEnd w:id="0"/>
    </w:p>
    <w:p w:rsidR="00F3149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center"/>
        <w:rPr>
          <w:b/>
          <w:sz w:val="28"/>
          <w:szCs w:val="28"/>
          <w:lang w:val="uk-UA"/>
        </w:rPr>
      </w:pPr>
      <w:r w:rsidRPr="00071DD4">
        <w:rPr>
          <w:b/>
          <w:sz w:val="28"/>
          <w:szCs w:val="28"/>
          <w:lang w:val="uk-UA"/>
        </w:rPr>
        <w:t>ВИСНОВКИ</w:t>
      </w:r>
    </w:p>
    <w:p w:rsidR="00F3149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both"/>
        <w:rPr>
          <w:sz w:val="28"/>
          <w:szCs w:val="28"/>
          <w:lang w:val="uk-UA"/>
        </w:rPr>
      </w:pPr>
    </w:p>
    <w:p w:rsidR="00F3149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Pr>
          <w:sz w:val="28"/>
          <w:szCs w:val="28"/>
          <w:lang w:val="uk-UA"/>
        </w:rPr>
        <w:t>1. С</w:t>
      </w:r>
      <w:r w:rsidRPr="00D213DA">
        <w:rPr>
          <w:sz w:val="28"/>
          <w:szCs w:val="28"/>
          <w:lang w:val="uk-UA"/>
        </w:rPr>
        <w:t>ередні статистичні значення гемато</w:t>
      </w:r>
      <w:r>
        <w:rPr>
          <w:sz w:val="28"/>
          <w:szCs w:val="28"/>
          <w:lang w:val="uk-UA"/>
        </w:rPr>
        <w:t>логічних показників в групах</w:t>
      </w:r>
      <w:r w:rsidRPr="00D213DA">
        <w:rPr>
          <w:sz w:val="28"/>
          <w:szCs w:val="28"/>
          <w:lang w:val="uk-UA"/>
        </w:rPr>
        <w:t xml:space="preserve"> </w:t>
      </w:r>
      <w:r>
        <w:rPr>
          <w:sz w:val="28"/>
          <w:szCs w:val="28"/>
          <w:lang w:val="uk-UA"/>
        </w:rPr>
        <w:t>обстежених</w:t>
      </w:r>
      <w:r w:rsidRPr="00D213DA">
        <w:rPr>
          <w:sz w:val="28"/>
          <w:szCs w:val="28"/>
          <w:lang w:val="uk-UA"/>
        </w:rPr>
        <w:t xml:space="preserve"> здебільшого не виходили за рамки РІ, </w:t>
      </w:r>
      <w:r>
        <w:rPr>
          <w:sz w:val="28"/>
          <w:szCs w:val="28"/>
          <w:lang w:val="uk-UA"/>
        </w:rPr>
        <w:t>але виявлено тенденцію</w:t>
      </w:r>
      <w:r w:rsidRPr="00D213DA">
        <w:rPr>
          <w:sz w:val="28"/>
          <w:szCs w:val="28"/>
          <w:lang w:val="uk-UA"/>
        </w:rPr>
        <w:t xml:space="preserve"> до відхилення від прий</w:t>
      </w:r>
      <w:r>
        <w:rPr>
          <w:sz w:val="28"/>
          <w:szCs w:val="28"/>
          <w:lang w:val="uk-UA"/>
        </w:rPr>
        <w:t>нятих нижньої та верхньої меж</w:t>
      </w:r>
      <w:r w:rsidRPr="00D213DA">
        <w:rPr>
          <w:sz w:val="28"/>
          <w:szCs w:val="28"/>
          <w:lang w:val="uk-UA"/>
        </w:rPr>
        <w:t xml:space="preserve"> для всіх пулів формен</w:t>
      </w:r>
      <w:r>
        <w:rPr>
          <w:sz w:val="28"/>
          <w:szCs w:val="28"/>
          <w:lang w:val="uk-UA"/>
        </w:rPr>
        <w:t>их елементів периферичної крові.</w:t>
      </w:r>
      <w:r w:rsidRPr="00D213DA">
        <w:rPr>
          <w:sz w:val="28"/>
          <w:szCs w:val="28"/>
          <w:lang w:val="uk-UA"/>
        </w:rPr>
        <w:t xml:space="preserve"> </w:t>
      </w:r>
    </w:p>
    <w:p w:rsidR="00F3149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Pr>
          <w:sz w:val="28"/>
          <w:szCs w:val="28"/>
          <w:lang w:val="uk-UA"/>
        </w:rPr>
        <w:t xml:space="preserve">2. </w:t>
      </w:r>
      <w:r w:rsidRPr="00D213DA">
        <w:rPr>
          <w:sz w:val="28"/>
          <w:szCs w:val="28"/>
          <w:lang w:val="uk-UA"/>
        </w:rPr>
        <w:t>Встановлено, що в д</w:t>
      </w:r>
      <w:r>
        <w:rPr>
          <w:sz w:val="28"/>
          <w:szCs w:val="28"/>
          <w:lang w:val="uk-UA"/>
        </w:rPr>
        <w:t>инаміці частота показників, які в</w:t>
      </w:r>
      <w:r w:rsidRPr="00D213DA">
        <w:rPr>
          <w:sz w:val="28"/>
          <w:szCs w:val="28"/>
          <w:lang w:val="uk-UA"/>
        </w:rPr>
        <w:t>кладаються в РІ гемогр</w:t>
      </w:r>
      <w:r>
        <w:rPr>
          <w:sz w:val="28"/>
          <w:szCs w:val="28"/>
          <w:lang w:val="uk-UA"/>
        </w:rPr>
        <w:t>ами, склала 67,45-83,16% для еритроцитів</w:t>
      </w:r>
      <w:r w:rsidRPr="00D213DA">
        <w:rPr>
          <w:sz w:val="28"/>
          <w:szCs w:val="28"/>
          <w:lang w:val="uk-UA"/>
        </w:rPr>
        <w:t>, 8</w:t>
      </w:r>
      <w:r>
        <w:rPr>
          <w:sz w:val="28"/>
          <w:szCs w:val="28"/>
          <w:lang w:val="uk-UA"/>
        </w:rPr>
        <w:t>1</w:t>
      </w:r>
      <w:r w:rsidRPr="00D213DA">
        <w:rPr>
          <w:sz w:val="28"/>
          <w:szCs w:val="28"/>
          <w:lang w:val="uk-UA"/>
        </w:rPr>
        <w:t>,0</w:t>
      </w:r>
      <w:r>
        <w:rPr>
          <w:sz w:val="28"/>
          <w:szCs w:val="28"/>
          <w:lang w:val="uk-UA"/>
        </w:rPr>
        <w:t>3-86,24% для гемоглобіну, 72,76-96,21% і 83,69-97,94% для тромбоцитів та лейкоцитів</w:t>
      </w:r>
      <w:r w:rsidRPr="00D213DA">
        <w:rPr>
          <w:sz w:val="28"/>
          <w:szCs w:val="28"/>
          <w:lang w:val="uk-UA"/>
        </w:rPr>
        <w:t xml:space="preserve">, відповідно. </w:t>
      </w:r>
    </w:p>
    <w:p w:rsidR="00F31494" w:rsidRPr="00D213DA"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Pr>
          <w:sz w:val="28"/>
          <w:szCs w:val="28"/>
          <w:lang w:val="uk-UA"/>
        </w:rPr>
        <w:t xml:space="preserve">3. </w:t>
      </w:r>
      <w:r w:rsidRPr="00D213DA">
        <w:rPr>
          <w:sz w:val="28"/>
          <w:szCs w:val="28"/>
          <w:lang w:val="uk-UA"/>
        </w:rPr>
        <w:t>Найчастіш</w:t>
      </w:r>
      <w:r>
        <w:rPr>
          <w:sz w:val="28"/>
          <w:szCs w:val="28"/>
          <w:lang w:val="uk-UA"/>
        </w:rPr>
        <w:t>е зустрічалися зменшення числа тромбоцитів (3,17-26,78%), зниження рівня еритроцитів (2,38-13,02%) та гемоглобіну</w:t>
      </w:r>
      <w:r w:rsidRPr="00D213DA">
        <w:rPr>
          <w:sz w:val="28"/>
          <w:szCs w:val="28"/>
          <w:lang w:val="uk-UA"/>
        </w:rPr>
        <w:t xml:space="preserve"> (0,</w:t>
      </w:r>
      <w:r>
        <w:rPr>
          <w:sz w:val="28"/>
          <w:szCs w:val="28"/>
          <w:lang w:val="uk-UA"/>
        </w:rPr>
        <w:t>63-5,91%).</w:t>
      </w:r>
      <w:r w:rsidRPr="00D213DA">
        <w:rPr>
          <w:sz w:val="28"/>
          <w:szCs w:val="28"/>
          <w:lang w:val="uk-UA"/>
        </w:rPr>
        <w:t xml:space="preserve"> </w:t>
      </w:r>
    </w:p>
    <w:p w:rsidR="00F3149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center"/>
        <w:rPr>
          <w:b/>
          <w:sz w:val="28"/>
          <w:szCs w:val="28"/>
          <w:lang w:val="uk-UA"/>
        </w:rPr>
      </w:pPr>
      <w:r w:rsidRPr="00D213DA">
        <w:rPr>
          <w:sz w:val="28"/>
          <w:szCs w:val="28"/>
          <w:lang w:val="uk-UA"/>
        </w:rPr>
        <w:br w:type="column"/>
      </w:r>
      <w:r w:rsidRPr="00071DD4">
        <w:rPr>
          <w:b/>
          <w:sz w:val="28"/>
          <w:szCs w:val="28"/>
          <w:lang w:val="uk-UA"/>
        </w:rPr>
        <w:lastRenderedPageBreak/>
        <w:t>СПИСОК ЛІТЕРАТУРИ</w:t>
      </w:r>
    </w:p>
    <w:p w:rsidR="00F31494" w:rsidRPr="00071DD4" w:rsidRDefault="00F31494" w:rsidP="00F31494">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284"/>
        <w:jc w:val="center"/>
        <w:rPr>
          <w:b/>
          <w:sz w:val="28"/>
          <w:szCs w:val="28"/>
          <w:lang w:val="uk-UA"/>
        </w:rPr>
      </w:pP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AF42CC">
        <w:rPr>
          <w:sz w:val="28"/>
          <w:szCs w:val="28"/>
        </w:rPr>
        <w:t>Абдулкадыров К. М. Гематология: правочник. / К. М. Абдулкадыров. – М.: ЭКСМО, 2004. – С. 34-42.</w:t>
      </w: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AF42CC">
        <w:rPr>
          <w:sz w:val="28"/>
          <w:szCs w:val="28"/>
        </w:rPr>
        <w:t>Алексеев В. В. Медицинские лабораторные технологии: руководство по клинической лабораторной диагностике. 3-е изд. / В. В. Алексеев, А. И. Карпищенко. – М.: ГЭОТАР-Медиа, 2012. – 266 с.</w:t>
      </w: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AF42CC">
        <w:rPr>
          <w:sz w:val="28"/>
          <w:szCs w:val="28"/>
        </w:rPr>
        <w:t>Ангельські С. Клінічна біохімія / С. Ангельські, М. Г. Домінічак, З. Якубовські. – Варшава: Персей, 2000. – 445 с.</w:t>
      </w:r>
    </w:p>
    <w:p w:rsidR="00F31494" w:rsidRPr="00AF42CC"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AF42CC">
        <w:rPr>
          <w:sz w:val="28"/>
          <w:szCs w:val="28"/>
        </w:rPr>
        <w:t>Андерсон Ш. А. Атлас гематологии / Ш. А. Андерсон. – М.: Логосфера, 2007. – 608 с.</w:t>
      </w: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542F26">
        <w:rPr>
          <w:sz w:val="28"/>
          <w:szCs w:val="28"/>
        </w:rPr>
        <w:t xml:space="preserve">Богданов </w:t>
      </w:r>
      <w:r w:rsidRPr="00AF42CC">
        <w:rPr>
          <w:sz w:val="28"/>
          <w:szCs w:val="28"/>
        </w:rPr>
        <w:t>А. Н. Клиническая гематология: руководство для врачей. / А. Н. Богданова, В. И. Мазуров // Спб.: Фолиант, 2008. – С. 66-71.</w:t>
      </w: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AF42CC">
        <w:rPr>
          <w:sz w:val="28"/>
          <w:szCs w:val="28"/>
        </w:rPr>
        <w:t>Бондарь Т. П. Особенности гемограммы у здоровых лиц, постоянно проживающих в г. Ставрополе. / Т. П. Бондарь, Т. В. Цогоева, Т. П. Запорожцева // Вестник Ставропольского государственного университета. – 2005. – Т. 42. – С. 177-181.</w:t>
      </w:r>
    </w:p>
    <w:p w:rsidR="00F31494" w:rsidRPr="00AF42CC" w:rsidRDefault="00A810D2" w:rsidP="00F31494">
      <w:pPr>
        <w:pStyle w:val="ab"/>
        <w:numPr>
          <w:ilvl w:val="0"/>
          <w:numId w:val="7"/>
        </w:numPr>
        <w:tabs>
          <w:tab w:val="left" w:pos="851"/>
          <w:tab w:val="left" w:pos="993"/>
        </w:tabs>
        <w:spacing w:after="0" w:line="360" w:lineRule="auto"/>
        <w:ind w:left="0" w:firstLine="567"/>
        <w:jc w:val="both"/>
        <w:rPr>
          <w:sz w:val="28"/>
          <w:szCs w:val="28"/>
        </w:rPr>
      </w:pPr>
      <w:hyperlink r:id="rId8" w:tooltip="Пошук за автором" w:history="1">
        <w:r w:rsidR="00F31494" w:rsidRPr="00CC0C80">
          <w:rPr>
            <w:rStyle w:val="ac"/>
            <w:sz w:val="28"/>
            <w:szCs w:val="28"/>
          </w:rPr>
          <w:t>Бубряк А. А.</w:t>
        </w:r>
      </w:hyperlink>
      <w:r w:rsidR="00F31494" w:rsidRPr="00CC0C80">
        <w:rPr>
          <w:sz w:val="28"/>
          <w:szCs w:val="28"/>
          <w:shd w:val="clear" w:color="auto" w:fill="F9F9F9"/>
        </w:rPr>
        <w:t xml:space="preserve"> </w:t>
      </w:r>
      <w:r w:rsidR="00F31494" w:rsidRPr="00CC0C80">
        <w:rPr>
          <w:bCs/>
          <w:sz w:val="28"/>
          <w:szCs w:val="28"/>
        </w:rPr>
        <w:t>Комп'ютерна система автоматичного розпізнавання та аналіз</w:t>
      </w:r>
      <w:r w:rsidR="00F31494" w:rsidRPr="00CC0C80">
        <w:rPr>
          <w:sz w:val="28"/>
          <w:szCs w:val="28"/>
          <w:shd w:val="clear" w:color="auto" w:fill="F9F9F9"/>
        </w:rPr>
        <w:t xml:space="preserve">у </w:t>
      </w:r>
      <w:r w:rsidR="00F31494" w:rsidRPr="00CC0C80">
        <w:rPr>
          <w:sz w:val="28"/>
          <w:szCs w:val="28"/>
        </w:rPr>
        <w:t>клітин крові</w:t>
      </w:r>
      <w:r w:rsidR="00F31494" w:rsidRPr="00CC0C80">
        <w:rPr>
          <w:sz w:val="28"/>
          <w:szCs w:val="28"/>
          <w:shd w:val="clear" w:color="auto" w:fill="F9F9F9"/>
        </w:rPr>
        <w:t xml:space="preserve"> </w:t>
      </w:r>
      <w:r w:rsidR="00F31494" w:rsidRPr="00CC0C80">
        <w:rPr>
          <w:sz w:val="28"/>
          <w:szCs w:val="28"/>
        </w:rPr>
        <w:t xml:space="preserve">/ А. А. Бубряк, С. В. Васильєв, Г. Ю. Хропін </w:t>
      </w:r>
      <w:r w:rsidR="00F31494" w:rsidRPr="00CC0C80">
        <w:rPr>
          <w:sz w:val="28"/>
          <w:szCs w:val="28"/>
          <w:shd w:val="clear" w:color="auto" w:fill="F9F9F9"/>
        </w:rPr>
        <w:t xml:space="preserve">// </w:t>
      </w:r>
      <w:hyperlink r:id="rId9" w:tooltip="Періодичне видання" w:history="1">
        <w:r w:rsidR="00F31494" w:rsidRPr="00CC0C80">
          <w:rPr>
            <w:rStyle w:val="ac"/>
            <w:sz w:val="28"/>
            <w:szCs w:val="28"/>
          </w:rPr>
          <w:t>Науковий вісник Ужгородського університету. Сер.: Фізика</w:t>
        </w:r>
      </w:hyperlink>
      <w:r w:rsidR="00F31494" w:rsidRPr="00CC0C80">
        <w:rPr>
          <w:sz w:val="28"/>
          <w:szCs w:val="28"/>
        </w:rPr>
        <w:t>.</w:t>
      </w:r>
      <w:r w:rsidR="00F31494" w:rsidRPr="00AF42CC">
        <w:rPr>
          <w:sz w:val="28"/>
          <w:szCs w:val="28"/>
        </w:rPr>
        <w:t xml:space="preserve"> – 2011. –</w:t>
      </w:r>
      <w:r w:rsidR="00F31494" w:rsidRPr="00AF42CC">
        <w:rPr>
          <w:sz w:val="28"/>
          <w:szCs w:val="28"/>
          <w:shd w:val="clear" w:color="auto" w:fill="F9F9F9"/>
        </w:rPr>
        <w:t xml:space="preserve"> </w:t>
      </w:r>
      <w:r w:rsidR="00F31494" w:rsidRPr="00AF42CC">
        <w:rPr>
          <w:sz w:val="28"/>
          <w:szCs w:val="28"/>
        </w:rPr>
        <w:t>Вип. 29. – С. 275-282</w:t>
      </w:r>
      <w:r w:rsidR="00F31494" w:rsidRPr="00AF42CC">
        <w:rPr>
          <w:sz w:val="28"/>
          <w:szCs w:val="28"/>
          <w:shd w:val="clear" w:color="auto" w:fill="F9F9F9"/>
        </w:rPr>
        <w:t xml:space="preserve">. </w:t>
      </w:r>
    </w:p>
    <w:p w:rsidR="00F31494" w:rsidRPr="00AF42CC" w:rsidRDefault="00F31494" w:rsidP="00F31494">
      <w:pPr>
        <w:pStyle w:val="ab"/>
        <w:numPr>
          <w:ilvl w:val="0"/>
          <w:numId w:val="7"/>
        </w:numPr>
        <w:tabs>
          <w:tab w:val="left" w:pos="851"/>
        </w:tabs>
        <w:spacing w:after="0" w:line="360" w:lineRule="auto"/>
        <w:ind w:left="0" w:firstLine="567"/>
        <w:jc w:val="both"/>
        <w:rPr>
          <w:sz w:val="28"/>
          <w:szCs w:val="28"/>
        </w:rPr>
      </w:pPr>
      <w:r w:rsidRPr="00AF42CC">
        <w:rPr>
          <w:sz w:val="28"/>
          <w:szCs w:val="28"/>
        </w:rPr>
        <w:t>Бяловский Ю. Ю. Анализ гемограмм: теория и практика. / Ю. Ю. Бяловский, В. И. Глобин, С. А. Шустова // Рязань: Медуниверситет, 1999. – С. 24-31.</w:t>
      </w:r>
    </w:p>
    <w:p w:rsidR="00F31494" w:rsidRPr="00AF42CC"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AF42CC">
        <w:rPr>
          <w:sz w:val="28"/>
          <w:szCs w:val="28"/>
        </w:rPr>
        <w:t>Ватутин Н. Т. Скорость оседания эритроцитов / Н. Т. Ватутин, Н. В. Калинкина, И. А. Перцев</w:t>
      </w:r>
      <w:r>
        <w:rPr>
          <w:sz w:val="28"/>
          <w:szCs w:val="28"/>
        </w:rPr>
        <w:t>а // Кровообіг і гемостаз. – 201</w:t>
      </w:r>
      <w:r w:rsidRPr="00AF42CC">
        <w:rPr>
          <w:sz w:val="28"/>
          <w:szCs w:val="28"/>
        </w:rPr>
        <w:t>9. – № 3-4. – С. 26-31.</w:t>
      </w:r>
    </w:p>
    <w:p w:rsidR="00F31494" w:rsidRPr="00AF42CC" w:rsidRDefault="00F31494" w:rsidP="00F31494">
      <w:pPr>
        <w:pStyle w:val="ab"/>
        <w:numPr>
          <w:ilvl w:val="0"/>
          <w:numId w:val="7"/>
        </w:numPr>
        <w:tabs>
          <w:tab w:val="left" w:pos="851"/>
          <w:tab w:val="left" w:pos="1134"/>
        </w:tabs>
        <w:spacing w:after="0" w:line="360" w:lineRule="auto"/>
        <w:ind w:left="0" w:firstLine="567"/>
        <w:jc w:val="both"/>
        <w:rPr>
          <w:sz w:val="28"/>
          <w:szCs w:val="28"/>
        </w:rPr>
      </w:pPr>
      <w:r w:rsidRPr="00AF42CC">
        <w:rPr>
          <w:sz w:val="28"/>
          <w:szCs w:val="28"/>
        </w:rPr>
        <w:lastRenderedPageBreak/>
        <w:t>Вибрані лекції з лабораторної медицини. Частина 1. Гематологічні дослідження / Л. Є. Лаповець, Г. Б. Лебедь, О. О. Ястремська, Б. Д. Луцик [та ін.]. – Львів: Видавництво Тараса Сороки, 2011. – 338 с.</w:t>
      </w:r>
    </w:p>
    <w:p w:rsidR="00F31494" w:rsidRPr="00AF42CC" w:rsidRDefault="00F31494" w:rsidP="00F31494">
      <w:pPr>
        <w:pStyle w:val="ab"/>
        <w:numPr>
          <w:ilvl w:val="0"/>
          <w:numId w:val="7"/>
        </w:numPr>
        <w:tabs>
          <w:tab w:val="left" w:pos="993"/>
        </w:tabs>
        <w:spacing w:after="0" w:line="360" w:lineRule="auto"/>
        <w:ind w:left="0" w:firstLine="567"/>
        <w:jc w:val="both"/>
        <w:rPr>
          <w:sz w:val="28"/>
          <w:szCs w:val="28"/>
        </w:rPr>
      </w:pPr>
      <w:r w:rsidRPr="00AF42CC">
        <w:rPr>
          <w:sz w:val="28"/>
          <w:szCs w:val="28"/>
        </w:rPr>
        <w:t>Видиборець С. В. Клінічне значення змін показника швидкості зсідання еритроцитів / С. В. Видиборець, О. В. Кучер, О. В. Сергієнко // Здоров’я суспільства – 2013 –№ 2. – 2013 – С. 85-92.</w:t>
      </w:r>
    </w:p>
    <w:p w:rsidR="00F31494" w:rsidRPr="00AF42CC" w:rsidRDefault="00F31494" w:rsidP="00F31494">
      <w:pPr>
        <w:pStyle w:val="ab"/>
        <w:numPr>
          <w:ilvl w:val="0"/>
          <w:numId w:val="7"/>
        </w:numPr>
        <w:tabs>
          <w:tab w:val="left" w:pos="851"/>
          <w:tab w:val="left" w:pos="1134"/>
        </w:tabs>
        <w:spacing w:after="0" w:line="360" w:lineRule="auto"/>
        <w:ind w:left="0" w:firstLine="567"/>
        <w:jc w:val="both"/>
        <w:rPr>
          <w:sz w:val="28"/>
          <w:szCs w:val="28"/>
        </w:rPr>
      </w:pPr>
      <w:r w:rsidRPr="00AF42CC">
        <w:rPr>
          <w:sz w:val="28"/>
          <w:szCs w:val="28"/>
        </w:rPr>
        <w:t xml:space="preserve">Волкова С. А. Показатели гемограммы в популяции взрослого работающего населения. / С. А. Волкова, Н. А. Маянский, Н. Н. Боровков // Гематология и трансфузиология. – </w:t>
      </w:r>
      <w:r>
        <w:rPr>
          <w:sz w:val="28"/>
          <w:szCs w:val="28"/>
        </w:rPr>
        <w:t>200</w:t>
      </w:r>
      <w:r w:rsidRPr="00AF42CC">
        <w:rPr>
          <w:sz w:val="28"/>
          <w:szCs w:val="28"/>
        </w:rPr>
        <w:t xml:space="preserve">8. – Т. 1. – С. 21-27. </w:t>
      </w:r>
    </w:p>
    <w:p w:rsidR="00F31494" w:rsidRPr="00AF42CC" w:rsidRDefault="00F31494" w:rsidP="00F31494">
      <w:pPr>
        <w:pStyle w:val="ab"/>
        <w:numPr>
          <w:ilvl w:val="0"/>
          <w:numId w:val="7"/>
        </w:numPr>
        <w:tabs>
          <w:tab w:val="left" w:pos="851"/>
          <w:tab w:val="left" w:pos="1134"/>
        </w:tabs>
        <w:spacing w:after="0" w:line="360" w:lineRule="auto"/>
        <w:ind w:left="0" w:firstLine="567"/>
        <w:jc w:val="both"/>
        <w:rPr>
          <w:sz w:val="28"/>
          <w:szCs w:val="28"/>
        </w:rPr>
      </w:pPr>
      <w:r w:rsidRPr="00AF42CC">
        <w:rPr>
          <w:sz w:val="28"/>
          <w:szCs w:val="28"/>
        </w:rPr>
        <w:t xml:space="preserve">Воробьев А. И. Клинико-диагностическое значение лабораторных показателей в гематологии. / А. И. Воробьев. – М.: РАМН ГНЦ, 2001. – Т. 10. – С. 16-22. </w:t>
      </w:r>
    </w:p>
    <w:p w:rsidR="00F31494" w:rsidRPr="00AF42CC" w:rsidRDefault="00F31494" w:rsidP="00F31494">
      <w:pPr>
        <w:pStyle w:val="ab"/>
        <w:numPr>
          <w:ilvl w:val="0"/>
          <w:numId w:val="7"/>
        </w:numPr>
        <w:tabs>
          <w:tab w:val="left" w:pos="993"/>
        </w:tabs>
        <w:spacing w:after="0" w:line="360" w:lineRule="auto"/>
        <w:ind w:left="0" w:firstLine="567"/>
        <w:jc w:val="both"/>
        <w:rPr>
          <w:sz w:val="28"/>
          <w:szCs w:val="28"/>
        </w:rPr>
      </w:pPr>
      <w:r w:rsidRPr="00AF42CC">
        <w:rPr>
          <w:sz w:val="28"/>
          <w:szCs w:val="28"/>
        </w:rPr>
        <w:t>Гевзалюк Н. О. Гемограма як показник реактивності організму дітей при гострих респіраторних інфекціях / Н. О. Гевзалюк // Вісник проблем біології і медицини. – 2013. –Т. 1 (98). – Вип. 1. – С. 84-87.</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ГОСТ Р. 53022.3-2008. Технологии лабораторные клинические. Требования к качеству лабораторных исследований. Часть 3. Правила оценки клинической эффективности лабораторных тестов. – М.: Стандартинформ, 2009. – 22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Грачева, В. В. Некоторые аспекты автоматизированного исследования клинико-диагностических параметров в гематологии [Электронный ресурс] / В. В. Грачева // Лаборатория. – 2013. – № 3. – Режим доступа: </w:t>
      </w:r>
      <w:hyperlink r:id="rId10" w:history="1">
        <w:r w:rsidRPr="00993578">
          <w:rPr>
            <w:rStyle w:val="ac"/>
            <w:sz w:val="28"/>
            <w:szCs w:val="28"/>
          </w:rPr>
          <w:t>http://www.labix.ru/publikatsii/38- article2.html</w:t>
        </w:r>
      </w:hyperlink>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Казакова М. С. Референсные значения показателей общего анализа крови взрослого работающего населения. / М. С. Казакова, С. А. Луговская, В. В. Долгов // Клін. лаб. діагностика. – 2012. –Т. 6. – С. 43-49.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lastRenderedPageBreak/>
        <w:t>Казакова М. С. Основные значения параметров клинического анализа крови, полученного на гематологическом анализаторе Mindray BC 6800. / М. С. Казакова, С. А. Луговская // Мат. XVIII форума «Национальные дни лабораторной медицины России», 1-3 октября 2014. – Москва, 2014. – С. 66-73.</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Клінічна лабораторна діагностика: навч. посіб. для мед. ВНЗ ІV рівня акред. / За ред. Б. Д. Луцика. – К.: Медицина, 2011. – 288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Клінічна лабораторна діагностика: підручник / Л. Є. Лаповець, Г. Б. Лебедь, О. О. Ястремська [та ін.]; за ред. Л. Є. Лаповець. – К.: ВСВ «Медицина», 2019. – 472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Козинец Г. И., Погорелов В. М. Клетки крови – современные технологии их анализа. / Г. И. Козинец, В. М. Погорелов. – М.: Триада-фарм, 2002. – 200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Колосков А. В. Реактивный тромбоцитоз. Обзор литературы. / А. В. Колосков, М. В. Сапаркина, О. И. Филлипова // Трансфузиология. – 2012. – № 13. – С. 360-371. </w:t>
      </w:r>
    </w:p>
    <w:p w:rsidR="00F31494" w:rsidRPr="004B4B71" w:rsidRDefault="00F31494" w:rsidP="00F31494">
      <w:pPr>
        <w:pStyle w:val="ab"/>
        <w:numPr>
          <w:ilvl w:val="0"/>
          <w:numId w:val="7"/>
        </w:numPr>
        <w:tabs>
          <w:tab w:val="left" w:pos="993"/>
        </w:tabs>
        <w:spacing w:after="0" w:line="360" w:lineRule="auto"/>
        <w:ind w:left="0" w:firstLine="567"/>
        <w:jc w:val="both"/>
        <w:rPr>
          <w:sz w:val="28"/>
          <w:szCs w:val="28"/>
        </w:rPr>
      </w:pPr>
      <w:r w:rsidRPr="004B4B71">
        <w:rPr>
          <w:sz w:val="28"/>
          <w:szCs w:val="28"/>
        </w:rPr>
        <w:t>Крылов А. А. Принципы оценки общей картины крови / А. А. Крылов, Б. М. Тайц // Новые Санкт-Петербуржские врачебные ведомости. – 2017. – № 3. – С. 42-43.</w:t>
      </w:r>
    </w:p>
    <w:p w:rsidR="00F31494" w:rsidRPr="004B4B71" w:rsidRDefault="00F31494" w:rsidP="00F31494">
      <w:pPr>
        <w:pStyle w:val="ab"/>
        <w:numPr>
          <w:ilvl w:val="0"/>
          <w:numId w:val="7"/>
        </w:numPr>
        <w:tabs>
          <w:tab w:val="left" w:pos="993"/>
        </w:tabs>
        <w:spacing w:after="0" w:line="360" w:lineRule="auto"/>
        <w:ind w:left="0" w:firstLine="567"/>
        <w:jc w:val="both"/>
        <w:rPr>
          <w:sz w:val="28"/>
          <w:szCs w:val="28"/>
        </w:rPr>
      </w:pPr>
      <w:r w:rsidRPr="004B4B71">
        <w:rPr>
          <w:sz w:val="28"/>
          <w:szCs w:val="28"/>
        </w:rPr>
        <w:t xml:space="preserve">Куриляк О. А. Клиническая интерпретация некоторых показателей гематологических анализаторов [Электронный ресурс] / О. А. Куриляк // Газета «Новости А/О Юнимед», 26.05.2009. – Режим доступа: </w:t>
      </w:r>
      <w:hyperlink r:id="rId11" w:history="1">
        <w:r w:rsidRPr="00993578">
          <w:rPr>
            <w:rStyle w:val="ac"/>
            <w:sz w:val="28"/>
            <w:szCs w:val="28"/>
          </w:rPr>
          <w:t>http://unimedao.ru/articles/6826/9671/item/90?print=1</w:t>
        </w:r>
      </w:hyperlink>
    </w:p>
    <w:p w:rsidR="00F31494" w:rsidRPr="004B4B71" w:rsidRDefault="00F31494" w:rsidP="00F31494">
      <w:pPr>
        <w:pStyle w:val="ab"/>
        <w:numPr>
          <w:ilvl w:val="0"/>
          <w:numId w:val="7"/>
        </w:numPr>
        <w:tabs>
          <w:tab w:val="left" w:pos="993"/>
        </w:tabs>
        <w:spacing w:after="0" w:line="360" w:lineRule="auto"/>
        <w:ind w:left="0" w:firstLine="567"/>
        <w:jc w:val="both"/>
        <w:rPr>
          <w:sz w:val="28"/>
          <w:szCs w:val="28"/>
        </w:rPr>
      </w:pPr>
      <w:r w:rsidRPr="004B4B71">
        <w:rPr>
          <w:sz w:val="28"/>
          <w:szCs w:val="28"/>
        </w:rPr>
        <w:t>Лапач С. Н. Статистические методы в медико-биологических исследованиях с использованием Excel. / С. Н. Лапач, А. В. Чубенко, П. Н. Бабич – Киев: Морион, 2000. – 320 с.</w:t>
      </w:r>
    </w:p>
    <w:p w:rsidR="00F31494" w:rsidRPr="004B4B71" w:rsidRDefault="00F31494" w:rsidP="00F31494">
      <w:pPr>
        <w:pStyle w:val="ab"/>
        <w:numPr>
          <w:ilvl w:val="0"/>
          <w:numId w:val="7"/>
        </w:numPr>
        <w:tabs>
          <w:tab w:val="left" w:pos="993"/>
        </w:tabs>
        <w:spacing w:after="0" w:line="360" w:lineRule="auto"/>
        <w:ind w:left="0" w:firstLine="567"/>
        <w:jc w:val="both"/>
        <w:rPr>
          <w:sz w:val="28"/>
          <w:szCs w:val="28"/>
        </w:rPr>
      </w:pPr>
      <w:r w:rsidRPr="004B4B71">
        <w:rPr>
          <w:sz w:val="28"/>
          <w:szCs w:val="28"/>
        </w:rPr>
        <w:lastRenderedPageBreak/>
        <w:t>Лея Ю. Я. Оценка результатов клинических анализов крови и мочи / Ю. Я. Лея. – М.: Медпресс, 2002. – 119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Лившиц В. М. Медицинские лабораторные анализы. / В. М. Лившиц – М.: Триада-Х, 2003. – 312 с.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Лянг О. В. Клиническая лабораторная диагностика – основные понятия. / О. В. Лянг, А. Г. Кочетов. – М.: РУДН, 2019. – 212 с.</w:t>
      </w:r>
    </w:p>
    <w:p w:rsidR="00F31494" w:rsidRPr="004B4B71" w:rsidRDefault="00F31494" w:rsidP="00F31494">
      <w:pPr>
        <w:pStyle w:val="ab"/>
        <w:numPr>
          <w:ilvl w:val="0"/>
          <w:numId w:val="7"/>
        </w:numPr>
        <w:tabs>
          <w:tab w:val="left" w:pos="993"/>
        </w:tabs>
        <w:spacing w:after="0" w:line="360" w:lineRule="auto"/>
        <w:ind w:left="0" w:firstLine="567"/>
        <w:jc w:val="both"/>
        <w:rPr>
          <w:sz w:val="28"/>
          <w:szCs w:val="28"/>
        </w:rPr>
      </w:pPr>
      <w:r w:rsidRPr="004B4B71">
        <w:rPr>
          <w:sz w:val="28"/>
          <w:szCs w:val="28"/>
        </w:rPr>
        <w:t>Матосова Е. В. Морфофункциональная характеристика защитных механизмов нейтрофилов при бактериальных инфекциях и их вклад в патогенез воспалительных реакций / Е. В. Матосова, Б. Г. Андорюков // Гематология и трансфузиология. – 2017. – Т. 62, № 4. – С. 223-229.</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Меньшикова В. В. Клиническое руководство по лабораторным тестам. / В. В. Меньшикова, И. В. Меньшикова. – М.: Юнимед-пресс, 2013. – С. 34-41.</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Методы клинических лабораторных исследований / под. ред. проф. В. С. Камышникова. – 4-е изд. – М.: МЕДпресс-информ, 2011. – 750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Мингачева А. А. Совершенствование преаналитического, аналитического и постаналитического этапов гематологических исследований. / А. А. Мингачева. – Автореф. дис. ... канд. мед. наук. – Саратов, 2011. – 24 </w:t>
      </w:r>
      <w:r w:rsidRPr="004B4B71">
        <w:rPr>
          <w:sz w:val="28"/>
          <w:szCs w:val="28"/>
          <w:lang w:val="en-US"/>
        </w:rPr>
        <w:t>c</w:t>
      </w:r>
      <w:r w:rsidRPr="004B4B71">
        <w:rPr>
          <w:sz w:val="28"/>
          <w:szCs w:val="28"/>
        </w:rPr>
        <w:t>.</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Нейко Є. М. Норми основних клінічних, лабораторних та інструментальних показників у медицині. / Є. М. Нейко, В. І. Боцюрко, М. І. Мізюк. – Вінниця: Нова книга, 2012. – 112 с.</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Островский В. К. Показатели крови и лейкоцитарного индекса интоксикации в оценке тяжести и определении прогноза при воспалительных, гнойных и гнойно-деструктивных заболеваниях. / В. К. Островский, А. В. Мащенко, Д. В. Янголенко [и др.] // Клин. лаб. диагностика. – 2006. – № 6. – С. 50-53.</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lastRenderedPageBreak/>
        <w:t>Про порядок контролю якості медичної допомоги. Наказ МОЗ України від 28.09.2012 р. № 752. Зареєстровано Міністерством юстиції за № 1996/22308 від 28.11.2012 р. / [Електронний ресурс]. – Режим доступу: http://www.moz.gov.ua/ua/portal/dn_20120928_752.html – Назва з екрану.</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Тропская М. С. Референтные значения показателей клинического анализа крови доноров. / М. С. Тропская, С. А. Луговская, Е. М. Данилова // Клиническая лаб. диагностика. – 2011. – Т. 6. – С. 26-32.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 xml:space="preserve">Хальфин Р. А. Гематологические анализаторы. Интерпретация анализа крови: метод. рекомендации, справочник заведующего. / Р. А. Хальфин. – КДЛ, 2008. – С. 8-9.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lang w:val="en-US"/>
        </w:rPr>
        <w:t>Amulic B. Neutrophil function: from mechanisms to disease / B. Amulic, C. Cazalet, G. L. Hayes</w:t>
      </w:r>
      <w:r w:rsidRPr="00F609C9">
        <w:rPr>
          <w:sz w:val="28"/>
          <w:szCs w:val="28"/>
          <w:lang w:val="en-US"/>
        </w:rPr>
        <w:t xml:space="preserve"> </w:t>
      </w:r>
      <w:r w:rsidRPr="004B4B71">
        <w:rPr>
          <w:sz w:val="28"/>
          <w:szCs w:val="28"/>
          <w:lang w:val="en-US"/>
        </w:rPr>
        <w:t xml:space="preserve">// Annu. Rev. Immunol. – 2018. – V. 4, № 30. – P. 459-489. </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Berhaneselassie</w:t>
      </w:r>
      <w:r w:rsidRPr="00F609C9">
        <w:rPr>
          <w:sz w:val="28"/>
          <w:szCs w:val="28"/>
          <w:lang w:val="en-US"/>
        </w:rPr>
        <w:t xml:space="preserve"> </w:t>
      </w:r>
      <w:r w:rsidRPr="004B4B71">
        <w:rPr>
          <w:sz w:val="28"/>
          <w:szCs w:val="28"/>
          <w:lang w:val="en-US"/>
        </w:rPr>
        <w:t>M</w:t>
      </w:r>
      <w:r w:rsidRPr="00F609C9">
        <w:rPr>
          <w:sz w:val="28"/>
          <w:szCs w:val="28"/>
          <w:lang w:val="en-US"/>
        </w:rPr>
        <w:t>.</w:t>
      </w:r>
      <w:r w:rsidRPr="004B4B71">
        <w:rPr>
          <w:sz w:val="28"/>
          <w:szCs w:val="28"/>
          <w:lang w:val="en-US"/>
        </w:rPr>
        <w:t xml:space="preserve"> How useful are complete blood count and reticulocyte reports to clinicians in Addis Ababa hospitals, Ethiopia / M. Berhaneselassie</w:t>
      </w:r>
      <w:r w:rsidRPr="00F609C9">
        <w:rPr>
          <w:sz w:val="28"/>
          <w:szCs w:val="28"/>
          <w:lang w:val="en-US"/>
        </w:rPr>
        <w:t xml:space="preserve">, </w:t>
      </w:r>
      <w:r w:rsidRPr="004B4B71">
        <w:rPr>
          <w:sz w:val="28"/>
          <w:szCs w:val="28"/>
          <w:lang w:val="en-US"/>
        </w:rPr>
        <w:t>A. Birhanu</w:t>
      </w:r>
      <w:r w:rsidRPr="00F609C9">
        <w:rPr>
          <w:sz w:val="28"/>
          <w:szCs w:val="28"/>
          <w:lang w:val="en-US"/>
        </w:rPr>
        <w:t xml:space="preserve">, </w:t>
      </w:r>
      <w:r w:rsidRPr="004B4B71">
        <w:rPr>
          <w:sz w:val="28"/>
          <w:szCs w:val="28"/>
          <w:lang w:val="en-US"/>
        </w:rPr>
        <w:t>A. Gebremedhin</w:t>
      </w:r>
      <w:r w:rsidRPr="00F609C9">
        <w:rPr>
          <w:sz w:val="28"/>
          <w:szCs w:val="28"/>
          <w:lang w:val="en-US"/>
        </w:rPr>
        <w:t xml:space="preserve"> </w:t>
      </w:r>
      <w:r w:rsidRPr="004B4B71">
        <w:rPr>
          <w:sz w:val="28"/>
          <w:szCs w:val="28"/>
          <w:lang w:val="en-US"/>
        </w:rPr>
        <w:t xml:space="preserve">// </w:t>
      </w:r>
      <w:r w:rsidRPr="00F609C9">
        <w:rPr>
          <w:sz w:val="28"/>
          <w:szCs w:val="28"/>
          <w:lang w:val="en-US"/>
        </w:rPr>
        <w:t>Hematol</w:t>
      </w:r>
      <w:r w:rsidRPr="004B4B71">
        <w:rPr>
          <w:sz w:val="28"/>
          <w:szCs w:val="28"/>
          <w:lang w:val="en-US"/>
        </w:rPr>
        <w:t>ogy. –</w:t>
      </w:r>
      <w:r w:rsidRPr="00F609C9">
        <w:rPr>
          <w:sz w:val="28"/>
          <w:szCs w:val="28"/>
          <w:lang w:val="en-US"/>
        </w:rPr>
        <w:t xml:space="preserve"> 2013</w:t>
      </w:r>
      <w:r w:rsidRPr="004B4B71">
        <w:rPr>
          <w:sz w:val="28"/>
          <w:szCs w:val="28"/>
          <w:lang w:val="en-US"/>
        </w:rPr>
        <w:t xml:space="preserve">. – V. </w:t>
      </w:r>
      <w:r w:rsidRPr="00F609C9">
        <w:rPr>
          <w:sz w:val="28"/>
          <w:szCs w:val="28"/>
          <w:lang w:val="en-US"/>
        </w:rPr>
        <w:t>13(11)</w:t>
      </w:r>
      <w:r w:rsidRPr="004B4B71">
        <w:rPr>
          <w:sz w:val="28"/>
          <w:szCs w:val="28"/>
          <w:lang w:val="en-US"/>
        </w:rPr>
        <w:t xml:space="preserve">. – P. </w:t>
      </w:r>
      <w:r w:rsidRPr="00F609C9">
        <w:rPr>
          <w:sz w:val="28"/>
          <w:szCs w:val="28"/>
          <w:lang w:val="en-US"/>
        </w:rPr>
        <w:t xml:space="preserve">1-7. </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 xml:space="preserve">Bleeker J. Thrombocytosis: diagnostic evaluation, thrombotic risk stratification, and risk-based management strategies. / J. Bleeker, W. Hogan // Thrombosis. – 2011. – V. 1. – P. 1-16.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lang w:val="en-US"/>
        </w:rPr>
        <w:t xml:space="preserve">D’Angelo G. Ethnic and genetic causes of neutropenia: clinical and therapeutic implications. / G. D’Angelo // Lab. Hematol. – 2009. – V. 15 (3). – P. 25-29.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F609C9">
        <w:rPr>
          <w:sz w:val="28"/>
          <w:szCs w:val="28"/>
          <w:lang w:val="en-US"/>
        </w:rPr>
        <w:t xml:space="preserve">Fischbach </w:t>
      </w:r>
      <w:r w:rsidRPr="004B4B71">
        <w:rPr>
          <w:sz w:val="28"/>
          <w:szCs w:val="28"/>
          <w:lang w:val="en-US"/>
        </w:rPr>
        <w:t xml:space="preserve">F. </w:t>
      </w:r>
      <w:r w:rsidRPr="00F609C9">
        <w:rPr>
          <w:sz w:val="28"/>
          <w:szCs w:val="28"/>
          <w:lang w:val="en-US"/>
        </w:rPr>
        <w:t>A Manual of Laboratory and Diagnostic</w:t>
      </w:r>
      <w:r w:rsidRPr="004B4B71">
        <w:rPr>
          <w:sz w:val="28"/>
          <w:szCs w:val="28"/>
          <w:lang w:val="en-US"/>
        </w:rPr>
        <w:t>. /</w:t>
      </w:r>
      <w:r w:rsidRPr="00F609C9">
        <w:rPr>
          <w:sz w:val="28"/>
          <w:szCs w:val="28"/>
          <w:lang w:val="en-US"/>
        </w:rPr>
        <w:t xml:space="preserve"> </w:t>
      </w:r>
      <w:r w:rsidRPr="004B4B71">
        <w:rPr>
          <w:sz w:val="28"/>
          <w:szCs w:val="28"/>
          <w:lang w:val="en-US"/>
        </w:rPr>
        <w:t>F. </w:t>
      </w:r>
      <w:r w:rsidRPr="00F609C9">
        <w:rPr>
          <w:sz w:val="28"/>
          <w:szCs w:val="28"/>
          <w:lang w:val="en-US"/>
        </w:rPr>
        <w:t>Fischbach,</w:t>
      </w:r>
      <w:r w:rsidRPr="004B4B71">
        <w:rPr>
          <w:sz w:val="28"/>
          <w:szCs w:val="28"/>
          <w:lang w:val="en-US"/>
        </w:rPr>
        <w:t xml:space="preserve"> B. </w:t>
      </w:r>
      <w:r w:rsidRPr="00F609C9">
        <w:rPr>
          <w:sz w:val="28"/>
          <w:szCs w:val="28"/>
          <w:lang w:val="en-US"/>
        </w:rPr>
        <w:t>Marshall</w:t>
      </w:r>
      <w:r w:rsidRPr="004B4B71">
        <w:rPr>
          <w:sz w:val="28"/>
          <w:szCs w:val="28"/>
          <w:lang w:val="en-US"/>
        </w:rPr>
        <w:t xml:space="preserve">, T. </w:t>
      </w:r>
      <w:r w:rsidRPr="00F609C9">
        <w:rPr>
          <w:sz w:val="28"/>
          <w:szCs w:val="28"/>
          <w:lang w:val="en-US"/>
        </w:rPr>
        <w:t xml:space="preserve">Dunning </w:t>
      </w:r>
      <w:r w:rsidRPr="004B4B71">
        <w:rPr>
          <w:sz w:val="28"/>
          <w:szCs w:val="28"/>
          <w:lang w:val="en-US"/>
        </w:rPr>
        <w:t xml:space="preserve">// </w:t>
      </w:r>
      <w:r w:rsidRPr="00F609C9">
        <w:rPr>
          <w:sz w:val="28"/>
          <w:szCs w:val="28"/>
          <w:lang w:val="en-US"/>
        </w:rPr>
        <w:t>Wolters Kluwer Health</w:t>
      </w:r>
      <w:r w:rsidRPr="004B4B71">
        <w:rPr>
          <w:sz w:val="28"/>
          <w:szCs w:val="28"/>
          <w:lang w:val="en-US"/>
        </w:rPr>
        <w:t>. –</w:t>
      </w:r>
      <w:r w:rsidRPr="00F609C9">
        <w:rPr>
          <w:sz w:val="28"/>
          <w:szCs w:val="28"/>
          <w:lang w:val="en-US"/>
        </w:rPr>
        <w:t xml:space="preserve"> 2015. </w:t>
      </w:r>
      <w:r w:rsidRPr="004B4B71">
        <w:rPr>
          <w:sz w:val="28"/>
          <w:szCs w:val="28"/>
          <w:lang w:val="en-US"/>
        </w:rPr>
        <w:t xml:space="preserve">– P. </w:t>
      </w:r>
      <w:r w:rsidRPr="00F609C9">
        <w:rPr>
          <w:sz w:val="28"/>
          <w:szCs w:val="28"/>
          <w:lang w:val="en-US"/>
        </w:rPr>
        <w:t>55-107</w:t>
      </w:r>
      <w:r w:rsidRPr="004B4B71">
        <w:rPr>
          <w:sz w:val="28"/>
          <w:szCs w:val="28"/>
          <w:lang w:val="en-US"/>
        </w:rPr>
        <w:t>.</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Haddy T. B. Benign ethnic neutropenia: what is a normal absolute neutrophil count? / T. B. Haddy, S. R. Rana, O. Castro // J. Lab. Clin. Med. – 1999. – V. 133. – P. 15-22.</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F609C9">
        <w:rPr>
          <w:sz w:val="28"/>
          <w:szCs w:val="28"/>
          <w:lang w:val="en-US"/>
        </w:rPr>
        <w:lastRenderedPageBreak/>
        <w:t xml:space="preserve">Hatcher M. Medicine to boost microscopy market. </w:t>
      </w:r>
      <w:r w:rsidRPr="004B4B71">
        <w:rPr>
          <w:sz w:val="28"/>
          <w:szCs w:val="28"/>
          <w:lang w:val="en-US"/>
        </w:rPr>
        <w:t xml:space="preserve">/ M. </w:t>
      </w:r>
      <w:r w:rsidRPr="00F609C9">
        <w:rPr>
          <w:sz w:val="28"/>
          <w:szCs w:val="28"/>
          <w:lang w:val="en-US"/>
        </w:rPr>
        <w:t xml:space="preserve">Hatcher </w:t>
      </w:r>
      <w:r w:rsidRPr="004B4B71">
        <w:rPr>
          <w:sz w:val="28"/>
          <w:szCs w:val="28"/>
          <w:lang w:val="en-US"/>
        </w:rPr>
        <w:t xml:space="preserve">// </w:t>
      </w:r>
      <w:r w:rsidRPr="00F609C9">
        <w:rPr>
          <w:sz w:val="28"/>
          <w:szCs w:val="28"/>
          <w:lang w:val="en-US"/>
        </w:rPr>
        <w:t>Opto and Laser Europe magazine.</w:t>
      </w:r>
      <w:r w:rsidRPr="004B4B71">
        <w:rPr>
          <w:sz w:val="28"/>
          <w:szCs w:val="28"/>
          <w:lang w:val="en-US"/>
        </w:rPr>
        <w:t xml:space="preserve"> – </w:t>
      </w:r>
      <w:r w:rsidRPr="00F609C9">
        <w:rPr>
          <w:sz w:val="28"/>
          <w:szCs w:val="28"/>
          <w:lang w:val="en-US"/>
        </w:rPr>
        <w:t>20</w:t>
      </w:r>
      <w:r w:rsidRPr="004B4B71">
        <w:rPr>
          <w:sz w:val="28"/>
          <w:szCs w:val="28"/>
          <w:lang w:val="en-US"/>
        </w:rPr>
        <w:t>1</w:t>
      </w:r>
      <w:r w:rsidRPr="00F609C9">
        <w:rPr>
          <w:sz w:val="28"/>
          <w:szCs w:val="28"/>
          <w:lang w:val="en-US"/>
        </w:rPr>
        <w:t xml:space="preserve">3. </w:t>
      </w:r>
      <w:r w:rsidRPr="004B4B71">
        <w:rPr>
          <w:sz w:val="28"/>
          <w:szCs w:val="28"/>
          <w:lang w:val="en-US"/>
        </w:rPr>
        <w:t>– V. 4. – P. 56-62.</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 xml:space="preserve">Horowitz G. Defining, establishing, and verifying reference intervals in the clinical laboratory. / G. Horowitz, S. Altaie, J. Boyd // </w:t>
      </w:r>
      <w:r w:rsidRPr="00F609C9">
        <w:rPr>
          <w:sz w:val="28"/>
          <w:szCs w:val="28"/>
          <w:lang w:val="en-US"/>
        </w:rPr>
        <w:t>CLSI</w:t>
      </w:r>
      <w:r w:rsidRPr="004B4B71">
        <w:rPr>
          <w:sz w:val="28"/>
          <w:szCs w:val="28"/>
          <w:lang w:val="en-US"/>
        </w:rPr>
        <w:t xml:space="preserve">/ </w:t>
      </w:r>
      <w:r w:rsidRPr="00F609C9">
        <w:rPr>
          <w:sz w:val="28"/>
          <w:szCs w:val="28"/>
          <w:lang w:val="en-US"/>
        </w:rPr>
        <w:t xml:space="preserve">– 2010. </w:t>
      </w:r>
      <w:r w:rsidRPr="004B4B71">
        <w:rPr>
          <w:sz w:val="28"/>
          <w:szCs w:val="28"/>
          <w:lang w:val="en-US"/>
        </w:rPr>
        <w:t>– V. 3(6). – P. 38-44.</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Ike</w:t>
      </w:r>
      <w:r w:rsidRPr="00F609C9">
        <w:rPr>
          <w:sz w:val="28"/>
          <w:szCs w:val="28"/>
          <w:lang w:val="en-US"/>
        </w:rPr>
        <w:t xml:space="preserve"> </w:t>
      </w:r>
      <w:r w:rsidRPr="004B4B71">
        <w:rPr>
          <w:sz w:val="28"/>
          <w:szCs w:val="28"/>
          <w:lang w:val="en-US"/>
        </w:rPr>
        <w:t>S</w:t>
      </w:r>
      <w:r w:rsidRPr="00F609C9">
        <w:rPr>
          <w:sz w:val="28"/>
          <w:szCs w:val="28"/>
          <w:lang w:val="en-US"/>
        </w:rPr>
        <w:t>.</w:t>
      </w:r>
      <w:r w:rsidRPr="004B4B71">
        <w:rPr>
          <w:sz w:val="28"/>
          <w:szCs w:val="28"/>
          <w:lang w:val="en-US"/>
        </w:rPr>
        <w:t xml:space="preserve"> Comparison of haematological parameters determined by the Sysmex KX - 2IN automated haematology analyzer and the manual counts. / S. Ike</w:t>
      </w:r>
      <w:r w:rsidRPr="00F609C9">
        <w:rPr>
          <w:sz w:val="28"/>
          <w:szCs w:val="28"/>
          <w:lang w:val="en-US"/>
        </w:rPr>
        <w:t xml:space="preserve">, </w:t>
      </w:r>
      <w:r w:rsidRPr="004B4B71">
        <w:rPr>
          <w:sz w:val="28"/>
          <w:szCs w:val="28"/>
          <w:lang w:val="en-US"/>
        </w:rPr>
        <w:t>T.</w:t>
      </w:r>
      <w:r w:rsidRPr="00F609C9">
        <w:rPr>
          <w:sz w:val="28"/>
          <w:szCs w:val="28"/>
          <w:lang w:val="en-US"/>
        </w:rPr>
        <w:t> </w:t>
      </w:r>
      <w:r w:rsidRPr="004B4B71">
        <w:rPr>
          <w:sz w:val="28"/>
          <w:szCs w:val="28"/>
          <w:lang w:val="en-US"/>
        </w:rPr>
        <w:t>Nubila</w:t>
      </w:r>
      <w:r w:rsidRPr="00F609C9">
        <w:rPr>
          <w:sz w:val="28"/>
          <w:szCs w:val="28"/>
          <w:lang w:val="en-US"/>
        </w:rPr>
        <w:t xml:space="preserve">, </w:t>
      </w:r>
      <w:r w:rsidRPr="004B4B71">
        <w:rPr>
          <w:sz w:val="28"/>
          <w:szCs w:val="28"/>
          <w:lang w:val="en-US"/>
        </w:rPr>
        <w:t>E. Ukaejiofo</w:t>
      </w:r>
      <w:r w:rsidRPr="00F609C9">
        <w:rPr>
          <w:sz w:val="28"/>
          <w:szCs w:val="28"/>
          <w:lang w:val="en-US"/>
        </w:rPr>
        <w:t xml:space="preserve"> </w:t>
      </w:r>
      <w:r w:rsidRPr="004B4B71">
        <w:rPr>
          <w:sz w:val="28"/>
          <w:szCs w:val="28"/>
          <w:lang w:val="en-US"/>
        </w:rPr>
        <w:t xml:space="preserve">// Clinical Pathology. – 2010. – V. 10(3). – P. 1-5.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rPr>
        <w:t>ISO 15195:2003. Медицина лабораторна. Вимоги до лабораторій, які виконують стандартні вимірювання.</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 xml:space="preserve">Lippi G. Variation of red blood cell distribution width and mean platelet volume after moderate endurance exercise. / G. Lippi, G. Salvagno, E. Danese // Advances in Hematology. –2014. –V. 5. – P. 1-4.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lang w:val="en-US"/>
        </w:rPr>
        <w:t xml:space="preserve">Momani A. Anticoagulant-induced pseudo-thrombocytopenia: a case report. / A. Momani, R. Khasawneh, R. Abed // J. Royal Med. Serv. – 2012. – V. 19 (3). – P. 73-75. </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F609C9">
        <w:rPr>
          <w:sz w:val="28"/>
          <w:szCs w:val="28"/>
          <w:lang w:val="en-US"/>
        </w:rPr>
        <w:t>Richard A</w:t>
      </w:r>
      <w:r w:rsidRPr="004B4B71">
        <w:rPr>
          <w:sz w:val="28"/>
          <w:szCs w:val="28"/>
          <w:lang w:val="en-US"/>
        </w:rPr>
        <w:t>.</w:t>
      </w:r>
      <w:r w:rsidRPr="00F609C9">
        <w:rPr>
          <w:sz w:val="28"/>
          <w:szCs w:val="28"/>
          <w:lang w:val="en-US"/>
        </w:rPr>
        <w:t xml:space="preserve"> Henry's Clinical Diagnosis and Management by Laboratory Methods</w:t>
      </w:r>
      <w:r w:rsidRPr="004B4B71">
        <w:rPr>
          <w:sz w:val="28"/>
          <w:szCs w:val="28"/>
          <w:lang w:val="en-US"/>
        </w:rPr>
        <w:t xml:space="preserve">. / A. </w:t>
      </w:r>
      <w:r w:rsidRPr="00F609C9">
        <w:rPr>
          <w:sz w:val="28"/>
          <w:szCs w:val="28"/>
          <w:lang w:val="en-US"/>
        </w:rPr>
        <w:t>Richard</w:t>
      </w:r>
      <w:r w:rsidRPr="004B4B71">
        <w:rPr>
          <w:sz w:val="28"/>
          <w:szCs w:val="28"/>
          <w:lang w:val="en-US"/>
        </w:rPr>
        <w:t>, M. D.</w:t>
      </w:r>
      <w:r w:rsidRPr="00F609C9">
        <w:rPr>
          <w:sz w:val="28"/>
          <w:szCs w:val="28"/>
          <w:lang w:val="en-US"/>
        </w:rPr>
        <w:t xml:space="preserve"> McPherson,</w:t>
      </w:r>
      <w:r w:rsidRPr="004B4B71">
        <w:rPr>
          <w:sz w:val="28"/>
          <w:szCs w:val="28"/>
          <w:lang w:val="en-US"/>
        </w:rPr>
        <w:t xml:space="preserve"> R. </w:t>
      </w:r>
      <w:r w:rsidRPr="00F609C9">
        <w:rPr>
          <w:sz w:val="28"/>
          <w:szCs w:val="28"/>
          <w:lang w:val="en-US"/>
        </w:rPr>
        <w:t>Matthew</w:t>
      </w:r>
      <w:r w:rsidRPr="004B4B71">
        <w:rPr>
          <w:sz w:val="28"/>
          <w:szCs w:val="28"/>
          <w:lang w:val="en-US"/>
        </w:rPr>
        <w:t xml:space="preserve">, M. </w:t>
      </w:r>
      <w:r w:rsidRPr="00F609C9">
        <w:rPr>
          <w:sz w:val="28"/>
          <w:szCs w:val="28"/>
          <w:lang w:val="en-US"/>
        </w:rPr>
        <w:t>Pincus</w:t>
      </w:r>
      <w:r w:rsidRPr="004B4B71">
        <w:rPr>
          <w:sz w:val="28"/>
          <w:szCs w:val="28"/>
          <w:lang w:val="en-US"/>
        </w:rPr>
        <w:t xml:space="preserve">. – </w:t>
      </w:r>
      <w:r w:rsidRPr="00F609C9">
        <w:rPr>
          <w:sz w:val="28"/>
          <w:szCs w:val="28"/>
          <w:lang w:val="en-US"/>
        </w:rPr>
        <w:t xml:space="preserve">St. Louis, Missouri: Elsevier, 2016. </w:t>
      </w:r>
      <w:r w:rsidRPr="004B4B71">
        <w:rPr>
          <w:sz w:val="28"/>
          <w:szCs w:val="28"/>
          <w:lang w:val="en-US"/>
        </w:rPr>
        <w:t xml:space="preserve">– </w:t>
      </w:r>
      <w:r w:rsidRPr="00F609C9">
        <w:rPr>
          <w:sz w:val="28"/>
          <w:szCs w:val="28"/>
          <w:lang w:val="en-US"/>
        </w:rPr>
        <w:t>P</w:t>
      </w:r>
      <w:r w:rsidRPr="004B4B71">
        <w:rPr>
          <w:sz w:val="28"/>
          <w:szCs w:val="28"/>
          <w:lang w:val="en-US"/>
        </w:rPr>
        <w:t xml:space="preserve">. </w:t>
      </w:r>
      <w:r w:rsidRPr="00F609C9">
        <w:rPr>
          <w:sz w:val="28"/>
          <w:szCs w:val="28"/>
          <w:lang w:val="en-US"/>
        </w:rPr>
        <w:t>510-533.</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 xml:space="preserve">Schafer A. Thrombocytosis. / A. Schafer // N. Engl. J. Med. – 2014. – V. 350. – P. 1211-1219. </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F609C9">
        <w:rPr>
          <w:sz w:val="28"/>
          <w:szCs w:val="28"/>
          <w:lang w:val="en-US"/>
        </w:rPr>
        <w:t xml:space="preserve">Swolin </w:t>
      </w:r>
      <w:r w:rsidRPr="004B4B71">
        <w:rPr>
          <w:sz w:val="28"/>
          <w:szCs w:val="28"/>
        </w:rPr>
        <w:t>С</w:t>
      </w:r>
      <w:r w:rsidRPr="00F609C9">
        <w:rPr>
          <w:sz w:val="28"/>
          <w:szCs w:val="28"/>
          <w:lang w:val="en-US"/>
        </w:rPr>
        <w:t>.</w:t>
      </w:r>
      <w:r w:rsidRPr="004B4B71">
        <w:rPr>
          <w:sz w:val="28"/>
          <w:szCs w:val="28"/>
          <w:lang w:val="en-US"/>
        </w:rPr>
        <w:t xml:space="preserve"> </w:t>
      </w:r>
      <w:r w:rsidRPr="00F609C9">
        <w:rPr>
          <w:sz w:val="28"/>
          <w:szCs w:val="28"/>
          <w:lang w:val="en-US"/>
        </w:rPr>
        <w:t xml:space="preserve">Differential counting of blood leukocytes using automated microscopy and </w:t>
      </w:r>
      <w:r w:rsidRPr="004B4B71">
        <w:rPr>
          <w:sz w:val="28"/>
          <w:szCs w:val="28"/>
        </w:rPr>
        <w:t>а</w:t>
      </w:r>
      <w:r w:rsidRPr="00F609C9">
        <w:rPr>
          <w:sz w:val="28"/>
          <w:szCs w:val="28"/>
          <w:lang w:val="en-US"/>
        </w:rPr>
        <w:t xml:space="preserve"> decision support system based on artificial neural networks – evaluation of DiffMaster Octavia. </w:t>
      </w:r>
      <w:r w:rsidRPr="004B4B71">
        <w:rPr>
          <w:sz w:val="28"/>
          <w:szCs w:val="28"/>
          <w:lang w:val="en-US"/>
        </w:rPr>
        <w:t xml:space="preserve">/ C. </w:t>
      </w:r>
      <w:r w:rsidRPr="00F609C9">
        <w:rPr>
          <w:sz w:val="28"/>
          <w:szCs w:val="28"/>
          <w:lang w:val="en-US"/>
        </w:rPr>
        <w:t xml:space="preserve">Swolin, </w:t>
      </w:r>
      <w:r w:rsidRPr="004B4B71">
        <w:rPr>
          <w:sz w:val="28"/>
          <w:szCs w:val="28"/>
          <w:lang w:val="en-US"/>
        </w:rPr>
        <w:t xml:space="preserve">P. </w:t>
      </w:r>
      <w:r w:rsidRPr="00F609C9">
        <w:rPr>
          <w:sz w:val="28"/>
          <w:szCs w:val="28"/>
          <w:lang w:val="en-US"/>
        </w:rPr>
        <w:t xml:space="preserve">Simonsson </w:t>
      </w:r>
      <w:r w:rsidRPr="004B4B71">
        <w:rPr>
          <w:sz w:val="28"/>
          <w:szCs w:val="28"/>
          <w:lang w:val="en-US"/>
        </w:rPr>
        <w:t>//</w:t>
      </w:r>
      <w:r w:rsidRPr="00F609C9">
        <w:rPr>
          <w:sz w:val="28"/>
          <w:szCs w:val="28"/>
          <w:lang w:val="en-US"/>
        </w:rPr>
        <w:t xml:space="preserve">Clin Lab Haematol. </w:t>
      </w:r>
      <w:r w:rsidRPr="004B4B71">
        <w:rPr>
          <w:sz w:val="28"/>
          <w:szCs w:val="28"/>
          <w:lang w:val="en-US"/>
        </w:rPr>
        <w:t xml:space="preserve">– </w:t>
      </w:r>
      <w:r w:rsidRPr="00F609C9">
        <w:rPr>
          <w:sz w:val="28"/>
          <w:szCs w:val="28"/>
          <w:lang w:val="en-US"/>
        </w:rPr>
        <w:t>20</w:t>
      </w:r>
      <w:r w:rsidRPr="004B4B71">
        <w:rPr>
          <w:sz w:val="28"/>
          <w:szCs w:val="28"/>
          <w:lang w:val="en-US"/>
        </w:rPr>
        <w:t>1</w:t>
      </w:r>
      <w:r w:rsidRPr="00F609C9">
        <w:rPr>
          <w:sz w:val="28"/>
          <w:szCs w:val="28"/>
          <w:lang w:val="en-US"/>
        </w:rPr>
        <w:t>3</w:t>
      </w:r>
      <w:r w:rsidRPr="004B4B71">
        <w:rPr>
          <w:sz w:val="28"/>
          <w:szCs w:val="28"/>
          <w:lang w:val="en-US"/>
        </w:rPr>
        <w:t>.</w:t>
      </w:r>
      <w:r w:rsidRPr="00F609C9">
        <w:rPr>
          <w:sz w:val="28"/>
          <w:szCs w:val="28"/>
          <w:lang w:val="en-US"/>
        </w:rPr>
        <w:t xml:space="preserve"> </w:t>
      </w:r>
      <w:r w:rsidRPr="004B4B71">
        <w:rPr>
          <w:sz w:val="28"/>
          <w:szCs w:val="28"/>
          <w:lang w:val="en-US"/>
        </w:rPr>
        <w:t xml:space="preserve">– V. </w:t>
      </w:r>
      <w:r w:rsidRPr="00F609C9">
        <w:rPr>
          <w:sz w:val="28"/>
          <w:szCs w:val="28"/>
          <w:lang w:val="en-US"/>
        </w:rPr>
        <w:t>25(3)</w:t>
      </w:r>
      <w:r w:rsidRPr="004B4B71">
        <w:rPr>
          <w:sz w:val="28"/>
          <w:szCs w:val="28"/>
          <w:lang w:val="en-US"/>
        </w:rPr>
        <w:t xml:space="preserve">. –P. </w:t>
      </w:r>
      <w:r w:rsidRPr="00F609C9">
        <w:rPr>
          <w:sz w:val="28"/>
          <w:szCs w:val="28"/>
          <w:lang w:val="en-US"/>
        </w:rPr>
        <w:t>139-147.</w:t>
      </w:r>
    </w:p>
    <w:p w:rsidR="00F31494" w:rsidRPr="004B4B71" w:rsidRDefault="00F31494" w:rsidP="00F31494">
      <w:pPr>
        <w:pStyle w:val="ab"/>
        <w:numPr>
          <w:ilvl w:val="0"/>
          <w:numId w:val="7"/>
        </w:numPr>
        <w:tabs>
          <w:tab w:val="left" w:pos="851"/>
          <w:tab w:val="left" w:pos="993"/>
        </w:tabs>
        <w:spacing w:after="0" w:line="360" w:lineRule="auto"/>
        <w:ind w:left="0" w:firstLine="567"/>
        <w:jc w:val="both"/>
        <w:rPr>
          <w:sz w:val="28"/>
          <w:szCs w:val="28"/>
        </w:rPr>
      </w:pPr>
      <w:r w:rsidRPr="004B4B71">
        <w:rPr>
          <w:sz w:val="28"/>
          <w:szCs w:val="28"/>
          <w:lang w:val="en-US"/>
        </w:rPr>
        <w:lastRenderedPageBreak/>
        <w:t xml:space="preserve">Tefferi A. How to interpret and pursue an abnormal complete blood cell count in adults. / A. Tefferi, C. Hanson, D. Inwards // </w:t>
      </w:r>
      <w:r w:rsidRPr="00F609C9">
        <w:rPr>
          <w:sz w:val="28"/>
          <w:szCs w:val="28"/>
          <w:lang w:val="en-US"/>
        </w:rPr>
        <w:t xml:space="preserve">Mayo Clin. </w:t>
      </w:r>
      <w:r w:rsidRPr="004B4B71">
        <w:rPr>
          <w:sz w:val="28"/>
          <w:szCs w:val="28"/>
        </w:rPr>
        <w:t xml:space="preserve">Proc. </w:t>
      </w:r>
      <w:r w:rsidRPr="004B4B71">
        <w:rPr>
          <w:sz w:val="28"/>
          <w:szCs w:val="28"/>
          <w:lang w:val="en-US"/>
        </w:rPr>
        <w:t xml:space="preserve">– </w:t>
      </w:r>
      <w:r w:rsidRPr="004B4B71">
        <w:rPr>
          <w:sz w:val="28"/>
          <w:szCs w:val="28"/>
        </w:rPr>
        <w:t>2005</w:t>
      </w:r>
      <w:r w:rsidRPr="004B4B71">
        <w:rPr>
          <w:sz w:val="28"/>
          <w:szCs w:val="28"/>
          <w:lang w:val="en-US"/>
        </w:rPr>
        <w:t xml:space="preserve">. – V. </w:t>
      </w:r>
      <w:r w:rsidRPr="004B4B71">
        <w:rPr>
          <w:sz w:val="28"/>
          <w:szCs w:val="28"/>
        </w:rPr>
        <w:t>80(7)</w:t>
      </w:r>
      <w:r w:rsidRPr="004B4B71">
        <w:rPr>
          <w:sz w:val="28"/>
          <w:szCs w:val="28"/>
          <w:lang w:val="en-US"/>
        </w:rPr>
        <w:t xml:space="preserve">. – P. </w:t>
      </w:r>
      <w:r w:rsidRPr="004B4B71">
        <w:rPr>
          <w:sz w:val="28"/>
          <w:szCs w:val="28"/>
        </w:rPr>
        <w:t>923-</w:t>
      </w:r>
      <w:r w:rsidRPr="004B4B71">
        <w:rPr>
          <w:sz w:val="28"/>
          <w:szCs w:val="28"/>
          <w:lang w:val="en-US"/>
        </w:rPr>
        <w:t>9</w:t>
      </w:r>
      <w:r w:rsidRPr="004B4B71">
        <w:rPr>
          <w:sz w:val="28"/>
          <w:szCs w:val="28"/>
        </w:rPr>
        <w:t xml:space="preserve">36. </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4B4B71">
        <w:rPr>
          <w:sz w:val="28"/>
          <w:szCs w:val="28"/>
          <w:lang w:val="en-US"/>
        </w:rPr>
        <w:t>Vuong J. Reference intervals of complete blood count constituents are highly correlated to waist circumference: should obese patients have their own «normal values»? / J. Vuong, Y. Qiu, M. La // Am. J. Hematol. – 2014. –V. 89</w:t>
      </w:r>
      <w:r w:rsidRPr="00F609C9">
        <w:rPr>
          <w:sz w:val="28"/>
          <w:szCs w:val="28"/>
          <w:lang w:val="en-US"/>
        </w:rPr>
        <w:t xml:space="preserve"> </w:t>
      </w:r>
      <w:r w:rsidRPr="004B4B71">
        <w:rPr>
          <w:sz w:val="28"/>
          <w:szCs w:val="28"/>
          <w:lang w:val="en-US"/>
        </w:rPr>
        <w:t xml:space="preserve">(7). – P. 671-677. </w:t>
      </w:r>
    </w:p>
    <w:p w:rsidR="00F31494" w:rsidRPr="00F609C9" w:rsidRDefault="00F31494" w:rsidP="00F31494">
      <w:pPr>
        <w:pStyle w:val="ab"/>
        <w:numPr>
          <w:ilvl w:val="0"/>
          <w:numId w:val="7"/>
        </w:numPr>
        <w:tabs>
          <w:tab w:val="left" w:pos="851"/>
          <w:tab w:val="left" w:pos="993"/>
        </w:tabs>
        <w:spacing w:after="0" w:line="360" w:lineRule="auto"/>
        <w:ind w:left="0" w:firstLine="567"/>
        <w:jc w:val="both"/>
        <w:rPr>
          <w:sz w:val="28"/>
          <w:szCs w:val="28"/>
          <w:lang w:val="en-US"/>
        </w:rPr>
      </w:pPr>
      <w:r w:rsidRPr="00F609C9">
        <w:rPr>
          <w:sz w:val="28"/>
          <w:szCs w:val="28"/>
          <w:lang w:val="en-US"/>
        </w:rPr>
        <w:t xml:space="preserve">Welte K. Congenital neitropenias. </w:t>
      </w:r>
      <w:r w:rsidRPr="004B4B71">
        <w:rPr>
          <w:sz w:val="28"/>
          <w:szCs w:val="28"/>
          <w:lang w:val="en-US"/>
        </w:rPr>
        <w:t xml:space="preserve">/ K. </w:t>
      </w:r>
      <w:r w:rsidRPr="00F609C9">
        <w:rPr>
          <w:sz w:val="28"/>
          <w:szCs w:val="28"/>
          <w:lang w:val="en-US"/>
        </w:rPr>
        <w:t>Welte</w:t>
      </w:r>
      <w:r w:rsidRPr="004B4B71">
        <w:rPr>
          <w:sz w:val="28"/>
          <w:szCs w:val="28"/>
          <w:lang w:val="en-US"/>
        </w:rPr>
        <w:t xml:space="preserve">, C. </w:t>
      </w:r>
      <w:r w:rsidRPr="00F609C9">
        <w:rPr>
          <w:sz w:val="28"/>
          <w:szCs w:val="28"/>
          <w:lang w:val="en-US"/>
        </w:rPr>
        <w:t xml:space="preserve">Zeidiated </w:t>
      </w:r>
      <w:r w:rsidRPr="004B4B71">
        <w:rPr>
          <w:sz w:val="28"/>
          <w:szCs w:val="28"/>
          <w:lang w:val="en-US"/>
        </w:rPr>
        <w:t xml:space="preserve">// </w:t>
      </w:r>
      <w:r w:rsidRPr="00F609C9">
        <w:rPr>
          <w:sz w:val="28"/>
          <w:szCs w:val="28"/>
          <w:lang w:val="en-US"/>
        </w:rPr>
        <w:t>J.</w:t>
      </w:r>
      <w:r w:rsidRPr="00E01FEB">
        <w:rPr>
          <w:sz w:val="28"/>
          <w:szCs w:val="28"/>
          <w:lang w:val="en-US"/>
        </w:rPr>
        <w:t> </w:t>
      </w:r>
      <w:r w:rsidRPr="00F609C9">
        <w:rPr>
          <w:sz w:val="28"/>
          <w:szCs w:val="28"/>
          <w:lang w:val="en-US"/>
        </w:rPr>
        <w:t>Haematoloqy</w:t>
      </w:r>
      <w:r w:rsidRPr="004B4B71">
        <w:rPr>
          <w:sz w:val="28"/>
          <w:szCs w:val="28"/>
          <w:lang w:val="en-US"/>
        </w:rPr>
        <w:t>. –</w:t>
      </w:r>
      <w:r w:rsidRPr="00F609C9">
        <w:rPr>
          <w:sz w:val="28"/>
          <w:szCs w:val="28"/>
          <w:lang w:val="en-US"/>
        </w:rPr>
        <w:t xml:space="preserve"> 2003. </w:t>
      </w:r>
      <w:r w:rsidRPr="004B4B71">
        <w:rPr>
          <w:sz w:val="28"/>
          <w:szCs w:val="28"/>
          <w:lang w:val="en-US"/>
        </w:rPr>
        <w:t>– V.</w:t>
      </w:r>
      <w:r w:rsidRPr="00F609C9">
        <w:rPr>
          <w:sz w:val="28"/>
          <w:szCs w:val="28"/>
          <w:lang w:val="en-US"/>
        </w:rPr>
        <w:t xml:space="preserve"> 3. </w:t>
      </w:r>
      <w:r w:rsidRPr="004B4B71">
        <w:rPr>
          <w:sz w:val="28"/>
          <w:szCs w:val="28"/>
          <w:lang w:val="en-US"/>
        </w:rPr>
        <w:t xml:space="preserve">– P. </w:t>
      </w:r>
      <w:r w:rsidRPr="00F609C9">
        <w:rPr>
          <w:sz w:val="28"/>
          <w:szCs w:val="28"/>
          <w:lang w:val="en-US"/>
        </w:rPr>
        <w:t>84-8</w:t>
      </w:r>
      <w:r w:rsidRPr="004B4B71">
        <w:rPr>
          <w:sz w:val="28"/>
          <w:szCs w:val="28"/>
          <w:lang w:val="en-US"/>
        </w:rPr>
        <w:t>8.</w:t>
      </w:r>
    </w:p>
    <w:p w:rsidR="00F31494" w:rsidRPr="00F609C9" w:rsidRDefault="00F31494" w:rsidP="00F31494">
      <w:pPr>
        <w:rPr>
          <w:lang w:val="en-US"/>
        </w:rPr>
      </w:pPr>
    </w:p>
    <w:p w:rsidR="00C53EA4" w:rsidRPr="00F31494" w:rsidRDefault="00A810D2">
      <w:pPr>
        <w:rPr>
          <w:lang w:val="en-US"/>
        </w:rPr>
      </w:pPr>
    </w:p>
    <w:sectPr w:rsidR="00C53EA4" w:rsidRPr="00F31494" w:rsidSect="00636CBF">
      <w:headerReference w:type="default" r:id="rId1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A810D2">
      <w:pPr>
        <w:spacing w:after="0" w:line="240" w:lineRule="auto"/>
      </w:pPr>
      <w:r>
        <w:separator/>
      </w:r>
    </w:p>
  </w:endnote>
  <w:endnote w:type="continuationSeparator" w:id="0">
    <w:p w:rsidR="00000000" w:rsidRDefault="00A810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A810D2">
      <w:pPr>
        <w:spacing w:after="0" w:line="240" w:lineRule="auto"/>
      </w:pPr>
      <w:r>
        <w:separator/>
      </w:r>
    </w:p>
  </w:footnote>
  <w:footnote w:type="continuationSeparator" w:id="0">
    <w:p w:rsidR="00000000" w:rsidRDefault="00A810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61611"/>
      <w:docPartObj>
        <w:docPartGallery w:val="Page Numbers (Top of Page)"/>
        <w:docPartUnique/>
      </w:docPartObj>
    </w:sdtPr>
    <w:sdtEndPr/>
    <w:sdtContent>
      <w:p w:rsidR="00687F04" w:rsidRDefault="00F31494">
        <w:pPr>
          <w:pStyle w:val="a4"/>
          <w:jc w:val="right"/>
        </w:pPr>
        <w:r>
          <w:fldChar w:fldCharType="begin"/>
        </w:r>
        <w:r>
          <w:instrText xml:space="preserve"> PAGE   \* MERGEFORMAT </w:instrText>
        </w:r>
        <w:r>
          <w:fldChar w:fldCharType="separate"/>
        </w:r>
        <w:r w:rsidR="00A810D2">
          <w:rPr>
            <w:noProof/>
          </w:rPr>
          <w:t>16</w:t>
        </w:r>
        <w:r>
          <w:rPr>
            <w:noProof/>
          </w:rPr>
          <w:fldChar w:fldCharType="end"/>
        </w:r>
      </w:p>
    </w:sdtContent>
  </w:sdt>
  <w:p w:rsidR="00687F04" w:rsidRDefault="00A810D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F587B"/>
    <w:multiLevelType w:val="hybridMultilevel"/>
    <w:tmpl w:val="5830BFB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4585124"/>
    <w:multiLevelType w:val="hybridMultilevel"/>
    <w:tmpl w:val="EF0C559E"/>
    <w:lvl w:ilvl="0" w:tplc="3AD45832">
      <w:start w:val="5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192776"/>
    <w:multiLevelType w:val="hybridMultilevel"/>
    <w:tmpl w:val="486A8D8A"/>
    <w:lvl w:ilvl="0" w:tplc="0422000F">
      <w:start w:val="1"/>
      <w:numFmt w:val="decimal"/>
      <w:lvlText w:val="%1."/>
      <w:lvlJc w:val="left"/>
      <w:pPr>
        <w:ind w:left="928"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12AF7353"/>
    <w:multiLevelType w:val="multilevel"/>
    <w:tmpl w:val="EDBA9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51F5614"/>
    <w:multiLevelType w:val="hybridMultilevel"/>
    <w:tmpl w:val="FA2AACE2"/>
    <w:lvl w:ilvl="0" w:tplc="972E3CD4">
      <w:start w:val="5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55C529F9"/>
    <w:multiLevelType w:val="hybridMultilevel"/>
    <w:tmpl w:val="05DC4BF2"/>
    <w:lvl w:ilvl="0" w:tplc="F8765F9A">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CFB58CC"/>
    <w:multiLevelType w:val="hybridMultilevel"/>
    <w:tmpl w:val="9D52E8FC"/>
    <w:lvl w:ilvl="0" w:tplc="0422000F">
      <w:start w:val="1"/>
      <w:numFmt w:val="decimal"/>
      <w:lvlText w:val="%1."/>
      <w:lvlJc w:val="left"/>
      <w:pPr>
        <w:ind w:left="1287" w:hanging="360"/>
      </w:pPr>
      <w:rPr>
        <w:rFont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67A73CEA"/>
    <w:multiLevelType w:val="hybridMultilevel"/>
    <w:tmpl w:val="0E286E76"/>
    <w:lvl w:ilvl="0" w:tplc="38C0B0F4">
      <w:start w:val="1"/>
      <w:numFmt w:val="decimal"/>
      <w:lvlText w:val="%1."/>
      <w:lvlJc w:val="left"/>
      <w:pPr>
        <w:ind w:left="928" w:hanging="360"/>
      </w:pPr>
      <w:rPr>
        <w:color w:val="auto"/>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8">
    <w:nsid w:val="7E6403C7"/>
    <w:multiLevelType w:val="multilevel"/>
    <w:tmpl w:val="181E9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8"/>
  </w:num>
  <w:num w:numId="3">
    <w:abstractNumId w:val="4"/>
  </w:num>
  <w:num w:numId="4">
    <w:abstractNumId w:val="1"/>
  </w:num>
  <w:num w:numId="5">
    <w:abstractNumId w:val="2"/>
  </w:num>
  <w:num w:numId="6">
    <w:abstractNumId w:val="5"/>
  </w:num>
  <w:num w:numId="7">
    <w:abstractNumId w:val="7"/>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429"/>
    <w:rsid w:val="00184FFB"/>
    <w:rsid w:val="00A810D2"/>
    <w:rsid w:val="00CE0429"/>
    <w:rsid w:val="00EC6C0D"/>
    <w:rsid w:val="00F3148F"/>
    <w:rsid w:val="00F314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70DFC5-24C9-4067-A654-3E07BF89E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1494"/>
    <w:pPr>
      <w:spacing w:after="200" w:line="276" w:lineRule="auto"/>
    </w:pPr>
    <w:rPr>
      <w:rFonts w:eastAsiaTheme="minorEastAsia"/>
      <w:lang w:val="uk-UA" w:eastAsia="uk-UA"/>
    </w:rPr>
  </w:style>
  <w:style w:type="paragraph" w:styleId="2">
    <w:name w:val="heading 2"/>
    <w:basedOn w:val="a"/>
    <w:next w:val="a"/>
    <w:link w:val="20"/>
    <w:uiPriority w:val="9"/>
    <w:unhideWhenUsed/>
    <w:qFormat/>
    <w:rsid w:val="00F3149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5">
    <w:name w:val="heading 5"/>
    <w:basedOn w:val="a"/>
    <w:next w:val="a"/>
    <w:link w:val="50"/>
    <w:unhideWhenUsed/>
    <w:qFormat/>
    <w:rsid w:val="00F31494"/>
    <w:pPr>
      <w:spacing w:before="240" w:after="60"/>
      <w:outlineLvl w:val="4"/>
    </w:pPr>
    <w:rPr>
      <w:rFonts w:ascii="Calibri" w:eastAsia="Times New Roman" w:hAnsi="Calibri" w:cs="Times New Roman"/>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F31494"/>
    <w:rPr>
      <w:rFonts w:ascii="Calibri" w:eastAsia="Times New Roman" w:hAnsi="Calibri" w:cs="Times New Roman"/>
      <w:b/>
      <w:bCs/>
      <w:i/>
      <w:iCs/>
      <w:sz w:val="26"/>
      <w:szCs w:val="26"/>
      <w:lang w:eastAsia="ru-RU"/>
    </w:rPr>
  </w:style>
  <w:style w:type="paragraph" w:styleId="HTML">
    <w:name w:val="HTML Preformatted"/>
    <w:basedOn w:val="a"/>
    <w:link w:val="HTML0"/>
    <w:uiPriority w:val="99"/>
    <w:unhideWhenUsed/>
    <w:rsid w:val="00F31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31494"/>
    <w:rPr>
      <w:rFonts w:ascii="Courier New" w:eastAsia="Times New Roman" w:hAnsi="Courier New" w:cs="Courier New"/>
      <w:sz w:val="20"/>
      <w:szCs w:val="20"/>
      <w:lang w:eastAsia="ru-RU"/>
    </w:rPr>
  </w:style>
  <w:style w:type="paragraph" w:styleId="a3">
    <w:name w:val="Normal (Web)"/>
    <w:basedOn w:val="a"/>
    <w:uiPriority w:val="99"/>
    <w:unhideWhenUsed/>
    <w:rsid w:val="00F3149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31494"/>
    <w:rPr>
      <w:rFonts w:asciiTheme="majorHAnsi" w:eastAsiaTheme="majorEastAsia" w:hAnsiTheme="majorHAnsi" w:cstheme="majorBidi"/>
      <w:color w:val="2E74B5" w:themeColor="accent1" w:themeShade="BF"/>
      <w:sz w:val="26"/>
      <w:szCs w:val="26"/>
      <w:lang w:val="uk-UA" w:eastAsia="uk-UA"/>
    </w:rPr>
  </w:style>
  <w:style w:type="paragraph" w:styleId="a4">
    <w:name w:val="header"/>
    <w:basedOn w:val="a"/>
    <w:link w:val="a5"/>
    <w:uiPriority w:val="99"/>
    <w:unhideWhenUsed/>
    <w:rsid w:val="00F31494"/>
    <w:pPr>
      <w:tabs>
        <w:tab w:val="center" w:pos="4819"/>
        <w:tab w:val="right" w:pos="9639"/>
      </w:tabs>
    </w:pPr>
    <w:rPr>
      <w:rFonts w:ascii="Calibri" w:eastAsia="Times New Roman" w:hAnsi="Calibri" w:cs="Times New Roman"/>
      <w:lang w:val="ru-RU" w:eastAsia="ru-RU"/>
    </w:rPr>
  </w:style>
  <w:style w:type="character" w:customStyle="1" w:styleId="a5">
    <w:name w:val="Верхний колонтитул Знак"/>
    <w:basedOn w:val="a0"/>
    <w:link w:val="a4"/>
    <w:uiPriority w:val="99"/>
    <w:rsid w:val="00F31494"/>
    <w:rPr>
      <w:rFonts w:ascii="Calibri" w:eastAsia="Times New Roman" w:hAnsi="Calibri" w:cs="Times New Roman"/>
      <w:lang w:eastAsia="ru-RU"/>
    </w:rPr>
  </w:style>
  <w:style w:type="paragraph" w:styleId="a6">
    <w:name w:val="Balloon Text"/>
    <w:basedOn w:val="a"/>
    <w:link w:val="a7"/>
    <w:uiPriority w:val="99"/>
    <w:semiHidden/>
    <w:unhideWhenUsed/>
    <w:rsid w:val="00F3149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31494"/>
    <w:rPr>
      <w:rFonts w:ascii="Tahoma" w:eastAsiaTheme="minorEastAsia" w:hAnsi="Tahoma" w:cs="Tahoma"/>
      <w:sz w:val="16"/>
      <w:szCs w:val="16"/>
      <w:lang w:val="uk-UA" w:eastAsia="uk-UA"/>
    </w:rPr>
  </w:style>
  <w:style w:type="table" w:styleId="a8">
    <w:name w:val="Table Grid"/>
    <w:basedOn w:val="a1"/>
    <w:uiPriority w:val="59"/>
    <w:rsid w:val="00F31494"/>
    <w:pPr>
      <w:spacing w:after="0" w:line="240" w:lineRule="auto"/>
    </w:pPr>
    <w:rPr>
      <w:rFonts w:eastAsiaTheme="minorEastAsia"/>
      <w:lang w:val="uk-UA" w:eastAsia="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footer"/>
    <w:basedOn w:val="a"/>
    <w:link w:val="aa"/>
    <w:uiPriority w:val="99"/>
    <w:semiHidden/>
    <w:unhideWhenUsed/>
    <w:rsid w:val="00F31494"/>
    <w:pPr>
      <w:tabs>
        <w:tab w:val="center" w:pos="4819"/>
        <w:tab w:val="right" w:pos="9639"/>
      </w:tabs>
      <w:spacing w:after="0" w:line="240" w:lineRule="auto"/>
    </w:pPr>
  </w:style>
  <w:style w:type="character" w:customStyle="1" w:styleId="aa">
    <w:name w:val="Нижний колонтитул Знак"/>
    <w:basedOn w:val="a0"/>
    <w:link w:val="a9"/>
    <w:uiPriority w:val="99"/>
    <w:semiHidden/>
    <w:rsid w:val="00F31494"/>
    <w:rPr>
      <w:rFonts w:eastAsiaTheme="minorEastAsia"/>
      <w:lang w:val="uk-UA" w:eastAsia="uk-UA"/>
    </w:rPr>
  </w:style>
  <w:style w:type="paragraph" w:styleId="ab">
    <w:name w:val="List Paragraph"/>
    <w:basedOn w:val="a"/>
    <w:uiPriority w:val="34"/>
    <w:qFormat/>
    <w:rsid w:val="00F31494"/>
    <w:pPr>
      <w:ind w:left="720"/>
      <w:contextualSpacing/>
    </w:pPr>
  </w:style>
  <w:style w:type="character" w:styleId="ac">
    <w:name w:val="Hyperlink"/>
    <w:basedOn w:val="a0"/>
    <w:uiPriority w:val="99"/>
    <w:unhideWhenUsed/>
    <w:rsid w:val="00F314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3%D0%B1%D1%80%D1%8F%D0%BA%20%D0%9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3%D0%B1%D1%80%D1%8F%D0%BA%20%D0%9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imedao.ru/articles/6826/9671/item/90?print=1" TargetMode="External"/><Relationship Id="rId5" Type="http://schemas.openxmlformats.org/officeDocument/2006/relationships/footnotes" Target="footnotes.xml"/><Relationship Id="rId10" Type="http://schemas.openxmlformats.org/officeDocument/2006/relationships/hyperlink" Target="http://www.labix.ru/publikatsii/38-%20article2.html"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A4%D1%96%D0%B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2812</Words>
  <Characters>16029</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student</cp:lastModifiedBy>
  <cp:revision>2</cp:revision>
  <dcterms:created xsi:type="dcterms:W3CDTF">2023-04-06T10:25:00Z</dcterms:created>
  <dcterms:modified xsi:type="dcterms:W3CDTF">2023-04-06T10:25:00Z</dcterms:modified>
</cp:coreProperties>
</file>