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8A0DE7" w14:textId="77777777" w:rsidR="00255593" w:rsidRDefault="00255593" w:rsidP="00255593">
      <w:pPr>
        <w:autoSpaceDE w:val="0"/>
        <w:autoSpaceDN w:val="0"/>
        <w:snapToGrid w:val="0"/>
        <w:jc w:val="center"/>
        <w:rPr>
          <w:rFonts w:ascii="Times New Roman" w:eastAsia="Times New Roman" w:hAnsi="Times New Roman" w:cs="Times New Roman"/>
          <w:caps/>
          <w:sz w:val="28"/>
          <w:szCs w:val="28"/>
        </w:rPr>
      </w:pPr>
      <w:r>
        <w:rPr>
          <w:rFonts w:ascii="Times New Roman" w:eastAsia="Times New Roman" w:hAnsi="Times New Roman" w:cs="Times New Roman"/>
          <w:caps/>
          <w:sz w:val="28"/>
          <w:szCs w:val="28"/>
        </w:rPr>
        <w:t>ODESA I.I. MECHNIKOV NATIONAL UNIVERSITY</w:t>
      </w:r>
    </w:p>
    <w:p w14:paraId="47442418" w14:textId="77777777" w:rsidR="00255593" w:rsidRDefault="00255593" w:rsidP="00255593">
      <w:pPr>
        <w:autoSpaceDE w:val="0"/>
        <w:autoSpaceDN w:val="0"/>
        <w:snapToGrid w:val="0"/>
        <w:jc w:val="center"/>
        <w:rPr>
          <w:rFonts w:ascii="Times New Roman" w:eastAsia="Times New Roman" w:hAnsi="Times New Roman" w:cs="Times New Roman"/>
          <w:caps/>
          <w:sz w:val="28"/>
          <w:szCs w:val="28"/>
        </w:rPr>
      </w:pPr>
      <w:r>
        <w:rPr>
          <w:rFonts w:ascii="Times New Roman" w:eastAsia="Times New Roman" w:hAnsi="Times New Roman" w:cs="Times New Roman"/>
          <w:caps/>
          <w:sz w:val="28"/>
          <w:szCs w:val="28"/>
        </w:rPr>
        <w:t>FACULTY OF ECONOMICS AND LAW</w:t>
      </w:r>
    </w:p>
    <w:p w14:paraId="1C298A02" w14:textId="77777777" w:rsidR="00255593" w:rsidRDefault="00255593" w:rsidP="00255593">
      <w:pPr>
        <w:autoSpaceDE w:val="0"/>
        <w:autoSpaceDN w:val="0"/>
        <w:snapToGrid w:val="0"/>
        <w:jc w:val="center"/>
        <w:rPr>
          <w:rFonts w:ascii="Times New Roman" w:eastAsia="Times New Roman" w:hAnsi="Times New Roman" w:cs="Times New Roman"/>
          <w:sz w:val="28"/>
          <w:szCs w:val="28"/>
        </w:rPr>
      </w:pPr>
      <w:r>
        <w:rPr>
          <w:rFonts w:ascii="Times New Roman" w:eastAsia="Times New Roman" w:hAnsi="Times New Roman" w:cs="Times New Roman"/>
          <w:caps/>
          <w:sz w:val="28"/>
          <w:szCs w:val="28"/>
        </w:rPr>
        <w:t>DEPARTMENT OF MANAGEMENT AND INNOVATIONS</w:t>
      </w:r>
    </w:p>
    <w:p w14:paraId="00A027AD" w14:textId="77777777" w:rsidR="00255593" w:rsidRDefault="00255593" w:rsidP="00255593">
      <w:pPr>
        <w:autoSpaceDE w:val="0"/>
        <w:autoSpaceDN w:val="0"/>
        <w:snapToGrid w:val="0"/>
        <w:jc w:val="center"/>
        <w:rPr>
          <w:rFonts w:ascii="Times New Roman" w:eastAsia="Times New Roman" w:hAnsi="Times New Roman" w:cs="Times New Roman"/>
          <w:sz w:val="28"/>
          <w:szCs w:val="28"/>
        </w:rPr>
      </w:pPr>
    </w:p>
    <w:p w14:paraId="1B1ECD20" w14:textId="77777777" w:rsidR="00255593" w:rsidRDefault="00255593" w:rsidP="00255593">
      <w:pPr>
        <w:autoSpaceDE w:val="0"/>
        <w:autoSpaceDN w:val="0"/>
        <w:snapToGrid w:val="0"/>
        <w:jc w:val="center"/>
        <w:rPr>
          <w:rFonts w:ascii="Times New Roman" w:eastAsia="Times New Roman" w:hAnsi="Times New Roman" w:cs="Times New Roman"/>
          <w:sz w:val="28"/>
          <w:szCs w:val="28"/>
        </w:rPr>
      </w:pPr>
    </w:p>
    <w:p w14:paraId="07AFFDBA" w14:textId="77777777" w:rsidR="00255593" w:rsidRDefault="00255593" w:rsidP="00255593">
      <w:pPr>
        <w:autoSpaceDE w:val="0"/>
        <w:autoSpaceDN w:val="0"/>
        <w:snapToGrid w:val="0"/>
        <w:jc w:val="center"/>
        <w:rPr>
          <w:rFonts w:ascii="Times New Roman" w:eastAsia="Times New Roman" w:hAnsi="Times New Roman" w:cs="Times New Roman"/>
          <w:sz w:val="28"/>
          <w:szCs w:val="28"/>
        </w:rPr>
      </w:pPr>
    </w:p>
    <w:p w14:paraId="05A570EC" w14:textId="77777777" w:rsidR="00255593" w:rsidRDefault="00255593" w:rsidP="00255593">
      <w:pPr>
        <w:autoSpaceDE w:val="0"/>
        <w:autoSpaceDN w:val="0"/>
        <w:snapToGrid w:val="0"/>
        <w:jc w:val="center"/>
        <w:rPr>
          <w:rFonts w:ascii="Times New Roman" w:eastAsia="Times New Roman" w:hAnsi="Times New Roman" w:cs="Times New Roman"/>
          <w:sz w:val="28"/>
          <w:szCs w:val="28"/>
        </w:rPr>
      </w:pPr>
    </w:p>
    <w:p w14:paraId="36E9CD3D" w14:textId="77777777" w:rsidR="00255593" w:rsidRDefault="00255593" w:rsidP="00255593">
      <w:pPr>
        <w:autoSpaceDE w:val="0"/>
        <w:autoSpaceDN w:val="0"/>
        <w:snapToGrid w:val="0"/>
        <w:jc w:val="left"/>
        <w:rPr>
          <w:rFonts w:ascii="Times New Roman" w:eastAsia="Times New Roman" w:hAnsi="Times New Roman" w:cs="Times New Roman"/>
          <w:b/>
          <w:sz w:val="28"/>
          <w:szCs w:val="28"/>
        </w:rPr>
      </w:pPr>
    </w:p>
    <w:p w14:paraId="42736188" w14:textId="77777777" w:rsidR="00255593" w:rsidRPr="00AF7DAE" w:rsidRDefault="00255593" w:rsidP="00255593">
      <w:pPr>
        <w:autoSpaceDE w:val="0"/>
        <w:autoSpaceDN w:val="0"/>
        <w:snapToGrid w:val="0"/>
        <w:jc w:val="center"/>
        <w:rPr>
          <w:rFonts w:ascii="Times New Roman" w:eastAsia="Times New Roman" w:hAnsi="Times New Roman" w:cs="Times New Roman"/>
          <w:b/>
          <w:sz w:val="28"/>
          <w:szCs w:val="28"/>
        </w:rPr>
      </w:pPr>
      <w:r w:rsidRPr="00AF7DAE">
        <w:rPr>
          <w:rFonts w:ascii="Times New Roman" w:eastAsia="Times New Roman" w:hAnsi="Times New Roman" w:cs="Times New Roman"/>
          <w:b/>
          <w:sz w:val="28"/>
          <w:szCs w:val="28"/>
        </w:rPr>
        <w:t>Qualification project (thesis)</w:t>
      </w:r>
    </w:p>
    <w:p w14:paraId="5F7181C2" w14:textId="77777777" w:rsidR="00255593" w:rsidRPr="00AF7DAE" w:rsidRDefault="00255593" w:rsidP="00255593">
      <w:pPr>
        <w:autoSpaceDE w:val="0"/>
        <w:autoSpaceDN w:val="0"/>
        <w:snapToGrid w:val="0"/>
        <w:jc w:val="center"/>
        <w:rPr>
          <w:rFonts w:ascii="Times New Roman" w:eastAsia="Times New Roman" w:hAnsi="Times New Roman" w:cs="Times New Roman"/>
          <w:sz w:val="28"/>
          <w:szCs w:val="28"/>
        </w:rPr>
      </w:pPr>
      <w:r w:rsidRPr="00AF7DAE">
        <w:rPr>
          <w:rFonts w:ascii="Times New Roman" w:eastAsia="Times New Roman" w:hAnsi="Times New Roman" w:cs="Times New Roman"/>
          <w:sz w:val="28"/>
          <w:szCs w:val="28"/>
        </w:rPr>
        <w:t>for obtaining the degree of higher education "master"</w:t>
      </w:r>
    </w:p>
    <w:p w14:paraId="208BEA23" w14:textId="77777777" w:rsidR="00255593" w:rsidRPr="00AF7DAE" w:rsidRDefault="00255593" w:rsidP="00255593">
      <w:pPr>
        <w:autoSpaceDE w:val="0"/>
        <w:autoSpaceDN w:val="0"/>
        <w:snapToGrid w:val="0"/>
        <w:jc w:val="center"/>
        <w:rPr>
          <w:rFonts w:ascii="Times New Roman" w:eastAsia="Times New Roman" w:hAnsi="Times New Roman" w:cs="Times New Roman"/>
          <w:b/>
          <w:sz w:val="28"/>
          <w:szCs w:val="28"/>
          <w:lang w:val="uk-UA"/>
        </w:rPr>
      </w:pPr>
      <w:r w:rsidRPr="00AF7DAE">
        <w:rPr>
          <w:rFonts w:ascii="Times New Roman" w:eastAsia="Times New Roman" w:hAnsi="Times New Roman" w:cs="Times New Roman"/>
          <w:b/>
          <w:sz w:val="28"/>
          <w:szCs w:val="28"/>
        </w:rPr>
        <w:t>«</w:t>
      </w:r>
      <w:r w:rsidR="00AF7DAE" w:rsidRPr="00AF7DAE">
        <w:rPr>
          <w:rFonts w:ascii="Times New Roman" w:eastAsia="Times New Roman" w:hAnsi="Times New Roman" w:cs="Times New Roman"/>
          <w:b/>
          <w:sz w:val="28"/>
          <w:szCs w:val="28"/>
        </w:rPr>
        <w:t>Managing Organizational Change in Chinese Companies</w:t>
      </w:r>
      <w:r w:rsidRPr="00AF7DAE">
        <w:rPr>
          <w:rFonts w:ascii="Times New Roman" w:eastAsia="Times New Roman" w:hAnsi="Times New Roman" w:cs="Times New Roman"/>
          <w:b/>
          <w:sz w:val="28"/>
          <w:szCs w:val="28"/>
        </w:rPr>
        <w:t xml:space="preserve">» </w:t>
      </w:r>
    </w:p>
    <w:p w14:paraId="32A20174" w14:textId="77777777" w:rsidR="00255593" w:rsidRPr="002F17AA" w:rsidRDefault="00255593" w:rsidP="00255593">
      <w:pPr>
        <w:autoSpaceDE w:val="0"/>
        <w:autoSpaceDN w:val="0"/>
        <w:snapToGrid w:val="0"/>
        <w:jc w:val="center"/>
        <w:rPr>
          <w:rFonts w:ascii="Times New Roman" w:eastAsia="Times New Roman" w:hAnsi="Times New Roman" w:cs="Times New Roman"/>
          <w:sz w:val="28"/>
          <w:szCs w:val="28"/>
          <w:lang w:val="ru-RU"/>
        </w:rPr>
      </w:pPr>
      <w:r w:rsidRPr="00AF7DAE">
        <w:rPr>
          <w:rFonts w:ascii="Times New Roman" w:eastAsia="Times New Roman" w:hAnsi="Times New Roman" w:cs="Times New Roman"/>
          <w:b/>
          <w:sz w:val="28"/>
          <w:szCs w:val="28"/>
          <w:lang w:val="ru-RU"/>
        </w:rPr>
        <w:t>«</w:t>
      </w:r>
      <w:proofErr w:type="spellStart"/>
      <w:r w:rsidR="00AF7DAE" w:rsidRPr="00AF7DAE">
        <w:rPr>
          <w:rFonts w:ascii="Times New Roman" w:eastAsia="Times New Roman" w:hAnsi="Times New Roman" w:cs="Times New Roman"/>
          <w:sz w:val="28"/>
          <w:szCs w:val="28"/>
          <w:lang w:val="ru-RU"/>
        </w:rPr>
        <w:t>Управління</w:t>
      </w:r>
      <w:proofErr w:type="spellEnd"/>
      <w:r w:rsidR="00AF7DAE" w:rsidRPr="00AF7DAE">
        <w:rPr>
          <w:rFonts w:ascii="Times New Roman" w:eastAsia="Times New Roman" w:hAnsi="Times New Roman" w:cs="Times New Roman"/>
          <w:sz w:val="28"/>
          <w:szCs w:val="28"/>
          <w:lang w:val="ru-RU"/>
        </w:rPr>
        <w:t xml:space="preserve"> </w:t>
      </w:r>
      <w:proofErr w:type="spellStart"/>
      <w:r w:rsidR="00AF7DAE" w:rsidRPr="00AF7DAE">
        <w:rPr>
          <w:rFonts w:ascii="Times New Roman" w:eastAsia="Times New Roman" w:hAnsi="Times New Roman" w:cs="Times New Roman"/>
          <w:sz w:val="28"/>
          <w:szCs w:val="28"/>
          <w:lang w:val="ru-RU"/>
        </w:rPr>
        <w:t>організаційними</w:t>
      </w:r>
      <w:proofErr w:type="spellEnd"/>
      <w:r w:rsidR="00AF7DAE" w:rsidRPr="00AF7DAE">
        <w:rPr>
          <w:rFonts w:ascii="Times New Roman" w:eastAsia="Times New Roman" w:hAnsi="Times New Roman" w:cs="Times New Roman"/>
          <w:sz w:val="28"/>
          <w:szCs w:val="28"/>
          <w:lang w:val="ru-RU"/>
        </w:rPr>
        <w:t xml:space="preserve"> </w:t>
      </w:r>
      <w:proofErr w:type="spellStart"/>
      <w:r w:rsidR="00AF7DAE" w:rsidRPr="00AF7DAE">
        <w:rPr>
          <w:rFonts w:ascii="Times New Roman" w:eastAsia="Times New Roman" w:hAnsi="Times New Roman" w:cs="Times New Roman"/>
          <w:sz w:val="28"/>
          <w:szCs w:val="28"/>
          <w:lang w:val="ru-RU"/>
        </w:rPr>
        <w:t>змінами</w:t>
      </w:r>
      <w:proofErr w:type="spellEnd"/>
      <w:r w:rsidR="00AF7DAE" w:rsidRPr="00AF7DAE">
        <w:rPr>
          <w:rFonts w:ascii="Times New Roman" w:eastAsia="Times New Roman" w:hAnsi="Times New Roman" w:cs="Times New Roman"/>
          <w:sz w:val="28"/>
          <w:szCs w:val="28"/>
          <w:lang w:val="ru-RU"/>
        </w:rPr>
        <w:t xml:space="preserve"> у </w:t>
      </w:r>
      <w:proofErr w:type="spellStart"/>
      <w:r w:rsidR="00AF7DAE" w:rsidRPr="00AF7DAE">
        <w:rPr>
          <w:rFonts w:ascii="Times New Roman" w:eastAsia="Times New Roman" w:hAnsi="Times New Roman" w:cs="Times New Roman"/>
          <w:sz w:val="28"/>
          <w:szCs w:val="28"/>
          <w:lang w:val="ru-RU"/>
        </w:rPr>
        <w:t>китайських</w:t>
      </w:r>
      <w:proofErr w:type="spellEnd"/>
      <w:r w:rsidR="00AF7DAE" w:rsidRPr="00AF7DAE">
        <w:rPr>
          <w:rFonts w:ascii="Times New Roman" w:eastAsia="Times New Roman" w:hAnsi="Times New Roman" w:cs="Times New Roman"/>
          <w:sz w:val="28"/>
          <w:szCs w:val="28"/>
          <w:lang w:val="ru-RU"/>
        </w:rPr>
        <w:t xml:space="preserve"> </w:t>
      </w:r>
      <w:proofErr w:type="spellStart"/>
      <w:r w:rsidR="00AF7DAE" w:rsidRPr="00AF7DAE">
        <w:rPr>
          <w:rFonts w:ascii="Times New Roman" w:eastAsia="Times New Roman" w:hAnsi="Times New Roman" w:cs="Times New Roman"/>
          <w:sz w:val="28"/>
          <w:szCs w:val="28"/>
          <w:lang w:val="ru-RU"/>
        </w:rPr>
        <w:t>компаніях</w:t>
      </w:r>
      <w:proofErr w:type="spellEnd"/>
      <w:r w:rsidRPr="00AF7DAE">
        <w:rPr>
          <w:rFonts w:ascii="Times New Roman" w:eastAsia="Times New Roman" w:hAnsi="Times New Roman" w:cs="Times New Roman"/>
          <w:sz w:val="28"/>
          <w:szCs w:val="28"/>
          <w:lang w:val="ru-RU"/>
        </w:rPr>
        <w:t>»</w:t>
      </w:r>
    </w:p>
    <w:p w14:paraId="0C1E9696" w14:textId="77777777" w:rsidR="00255593" w:rsidRPr="002F17AA" w:rsidRDefault="00255593" w:rsidP="00255593">
      <w:pPr>
        <w:autoSpaceDE w:val="0"/>
        <w:autoSpaceDN w:val="0"/>
        <w:snapToGrid w:val="0"/>
        <w:jc w:val="center"/>
        <w:rPr>
          <w:rFonts w:ascii="Times New Roman" w:eastAsia="Times New Roman" w:hAnsi="Times New Roman" w:cs="Times New Roman"/>
          <w:sz w:val="28"/>
          <w:szCs w:val="28"/>
          <w:lang w:val="ru-RU"/>
        </w:rPr>
      </w:pPr>
    </w:p>
    <w:p w14:paraId="0C83AAFF" w14:textId="77777777" w:rsidR="00255593" w:rsidRPr="002F17AA" w:rsidRDefault="00255593" w:rsidP="00255593">
      <w:pPr>
        <w:autoSpaceDE w:val="0"/>
        <w:autoSpaceDN w:val="0"/>
        <w:snapToGrid w:val="0"/>
        <w:jc w:val="left"/>
        <w:rPr>
          <w:rFonts w:ascii="Times New Roman" w:eastAsia="Times New Roman" w:hAnsi="Times New Roman" w:cs="Times New Roman"/>
          <w:b/>
          <w:sz w:val="28"/>
          <w:szCs w:val="28"/>
          <w:lang w:val="ru-RU"/>
        </w:rPr>
      </w:pPr>
    </w:p>
    <w:p w14:paraId="3243BC73" w14:textId="77777777" w:rsidR="00255593" w:rsidRDefault="00255593" w:rsidP="00255593">
      <w:pPr>
        <w:autoSpaceDE w:val="0"/>
        <w:autoSpaceDN w:val="0"/>
        <w:snapToGrid w:val="0"/>
        <w:ind w:firstLine="3544"/>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Performed by: full-time student</w:t>
      </w:r>
    </w:p>
    <w:p w14:paraId="6BA14A03" w14:textId="77777777" w:rsidR="00255593" w:rsidRDefault="00255593" w:rsidP="00255593">
      <w:pPr>
        <w:autoSpaceDE w:val="0"/>
        <w:autoSpaceDN w:val="0"/>
        <w:snapToGrid w:val="0"/>
        <w:ind w:firstLine="3544"/>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specialty 073 Management</w:t>
      </w:r>
    </w:p>
    <w:p w14:paraId="25A144CF" w14:textId="77777777" w:rsidR="00255593" w:rsidRDefault="00255593" w:rsidP="00255593">
      <w:pPr>
        <w:autoSpaceDE w:val="0"/>
        <w:autoSpaceDN w:val="0"/>
        <w:snapToGrid w:val="0"/>
        <w:ind w:firstLine="3544"/>
        <w:jc w:val="left"/>
        <w:rPr>
          <w:rFonts w:ascii="Times New Roman" w:hAnsi="Times New Roman" w:cs="Times New Roman"/>
          <w:bCs/>
          <w:sz w:val="28"/>
          <w:szCs w:val="28"/>
        </w:rPr>
      </w:pPr>
      <w:r>
        <w:rPr>
          <w:rFonts w:ascii="Times New Roman" w:hAnsi="Times New Roman" w:cs="Times New Roman"/>
          <w:bCs/>
          <w:sz w:val="28"/>
          <w:szCs w:val="28"/>
        </w:rPr>
        <w:t>Educational and professional program "Management"</w:t>
      </w:r>
    </w:p>
    <w:p w14:paraId="36D98C72" w14:textId="77777777" w:rsidR="00255593" w:rsidRPr="00773039" w:rsidRDefault="00255593" w:rsidP="00255593">
      <w:pPr>
        <w:autoSpaceDE w:val="0"/>
        <w:autoSpaceDN w:val="0"/>
        <w:snapToGrid w:val="0"/>
        <w:ind w:firstLine="3544"/>
        <w:jc w:val="left"/>
        <w:rPr>
          <w:rFonts w:ascii="Times New Roman" w:eastAsia="Times New Roman" w:hAnsi="Times New Roman" w:cs="Times New Roman"/>
          <w:b/>
          <w:sz w:val="28"/>
          <w:szCs w:val="28"/>
        </w:rPr>
      </w:pPr>
      <w:r w:rsidRPr="00255593">
        <w:rPr>
          <w:rFonts w:ascii="Times New Roman" w:eastAsia="SimSun" w:hAnsi="Times New Roman" w:cs="Times New Roman"/>
          <w:b/>
          <w:sz w:val="28"/>
          <w:szCs w:val="28"/>
        </w:rPr>
        <w:t>Yan Na</w:t>
      </w:r>
      <w:r>
        <w:rPr>
          <w:rFonts w:ascii="Times New Roman" w:eastAsia="SimSun" w:hAnsi="Times New Roman" w:cs="Times New Roman"/>
          <w:b/>
          <w:sz w:val="28"/>
          <w:szCs w:val="28"/>
          <w:lang w:val="uk-UA"/>
        </w:rPr>
        <w:t xml:space="preserve"> </w:t>
      </w:r>
      <w:r w:rsidRPr="00773039">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b/>
          <w:sz w:val="28"/>
          <w:szCs w:val="28"/>
          <w:lang w:val="uk-UA"/>
        </w:rPr>
        <w:t>Янь</w:t>
      </w:r>
      <w:proofErr w:type="spellEnd"/>
      <w:r>
        <w:rPr>
          <w:rFonts w:ascii="Times New Roman" w:eastAsia="Times New Roman" w:hAnsi="Times New Roman" w:cs="Times New Roman"/>
          <w:b/>
          <w:sz w:val="28"/>
          <w:szCs w:val="28"/>
          <w:lang w:val="uk-UA"/>
        </w:rPr>
        <w:t xml:space="preserve"> На</w:t>
      </w:r>
    </w:p>
    <w:p w14:paraId="52EDC3AF" w14:textId="77777777" w:rsidR="00255593" w:rsidRPr="00773039" w:rsidRDefault="00255593" w:rsidP="00255593">
      <w:pPr>
        <w:autoSpaceDE w:val="0"/>
        <w:autoSpaceDN w:val="0"/>
        <w:snapToGrid w:val="0"/>
        <w:ind w:firstLine="3544"/>
        <w:jc w:val="left"/>
        <w:rPr>
          <w:rFonts w:ascii="Times New Roman" w:eastAsia="Times New Roman" w:hAnsi="Times New Roman" w:cs="Times New Roman"/>
          <w:b/>
          <w:sz w:val="28"/>
          <w:szCs w:val="28"/>
        </w:rPr>
      </w:pPr>
    </w:p>
    <w:p w14:paraId="0678FB5A" w14:textId="77777777" w:rsidR="00255593" w:rsidRPr="00773039" w:rsidRDefault="00255593" w:rsidP="00255593">
      <w:pPr>
        <w:autoSpaceDE w:val="0"/>
        <w:autoSpaceDN w:val="0"/>
        <w:snapToGrid w:val="0"/>
        <w:ind w:firstLine="3544"/>
        <w:jc w:val="left"/>
        <w:rPr>
          <w:rFonts w:ascii="Times New Roman" w:eastAsia="Times New Roman" w:hAnsi="Times New Roman" w:cs="Times New Roman"/>
          <w:sz w:val="28"/>
          <w:szCs w:val="28"/>
        </w:rPr>
      </w:pPr>
    </w:p>
    <w:p w14:paraId="6A4F58F3" w14:textId="77777777" w:rsidR="00255593" w:rsidRDefault="00255593" w:rsidP="00255593">
      <w:pPr>
        <w:autoSpaceDE w:val="0"/>
        <w:autoSpaceDN w:val="0"/>
        <w:snapToGrid w:val="0"/>
        <w:ind w:left="3544"/>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Scientistic supervisor: Doctor </w:t>
      </w:r>
      <w:proofErr w:type="gramStart"/>
      <w:r>
        <w:rPr>
          <w:rFonts w:ascii="Times New Roman" w:eastAsia="Times New Roman" w:hAnsi="Times New Roman" w:cs="Times New Roman"/>
          <w:sz w:val="28"/>
          <w:szCs w:val="28"/>
        </w:rPr>
        <w:t>of  Economics</w:t>
      </w:r>
      <w:proofErr w:type="gramEnd"/>
      <w:r>
        <w:rPr>
          <w:rFonts w:ascii="Times New Roman" w:eastAsia="Times New Roman" w:hAnsi="Times New Roman" w:cs="Times New Roman"/>
          <w:sz w:val="28"/>
          <w:szCs w:val="28"/>
        </w:rPr>
        <w:t xml:space="preserve">, </w:t>
      </w:r>
    </w:p>
    <w:p w14:paraId="01145765" w14:textId="77777777" w:rsidR="00255593" w:rsidRDefault="00255593" w:rsidP="00255593">
      <w:pPr>
        <w:autoSpaceDE w:val="0"/>
        <w:autoSpaceDN w:val="0"/>
        <w:snapToGrid w:val="0"/>
        <w:ind w:left="3544"/>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Prof. Olga POBEREZHETS</w:t>
      </w:r>
    </w:p>
    <w:p w14:paraId="2C6BFB94" w14:textId="3CAB697E" w:rsidR="00000700" w:rsidRDefault="00B14A1E" w:rsidP="00255593">
      <w:pPr>
        <w:snapToGrid w:val="0"/>
        <w:ind w:firstLineChars="1200" w:firstLine="3360"/>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 </w:t>
      </w:r>
      <w:r w:rsidR="00000700">
        <w:rPr>
          <w:rFonts w:ascii="Times New Roman" w:eastAsia="Times New Roman" w:hAnsi="Times New Roman" w:cs="Times New Roman"/>
          <w:sz w:val="28"/>
          <w:szCs w:val="28"/>
        </w:rPr>
        <w:t xml:space="preserve"> </w:t>
      </w:r>
      <w:r w:rsidR="00255593">
        <w:rPr>
          <w:rFonts w:ascii="Times New Roman" w:eastAsia="Times New Roman" w:hAnsi="Times New Roman" w:cs="Times New Roman"/>
          <w:sz w:val="28"/>
          <w:szCs w:val="28"/>
        </w:rPr>
        <w:t xml:space="preserve">Reviewer: Doctor </w:t>
      </w:r>
      <w:proofErr w:type="gramStart"/>
      <w:r w:rsidR="00255593">
        <w:rPr>
          <w:rFonts w:ascii="Times New Roman" w:eastAsia="Times New Roman" w:hAnsi="Times New Roman" w:cs="Times New Roman"/>
          <w:sz w:val="28"/>
          <w:szCs w:val="28"/>
        </w:rPr>
        <w:t>of  Economics</w:t>
      </w:r>
      <w:proofErr w:type="gramEnd"/>
      <w:r w:rsidR="00255593">
        <w:rPr>
          <w:rFonts w:ascii="Times New Roman" w:eastAsia="Times New Roman" w:hAnsi="Times New Roman" w:cs="Times New Roman"/>
          <w:sz w:val="28"/>
          <w:szCs w:val="28"/>
        </w:rPr>
        <w:t>,</w:t>
      </w:r>
      <w:r w:rsidR="00255593">
        <w:rPr>
          <w:rFonts w:ascii="Times New Roman" w:eastAsia="Times New Roman" w:hAnsi="Times New Roman" w:cs="Times New Roman"/>
          <w:sz w:val="28"/>
          <w:szCs w:val="28"/>
          <w:lang w:val="uk-UA"/>
        </w:rPr>
        <w:t xml:space="preserve"> </w:t>
      </w:r>
    </w:p>
    <w:p w14:paraId="5B9A76A1" w14:textId="6DEF7E44" w:rsidR="00255593" w:rsidRPr="00B14A1E" w:rsidRDefault="00000700" w:rsidP="00255593">
      <w:pPr>
        <w:snapToGrid w:val="0"/>
        <w:ind w:firstLineChars="1200" w:firstLine="3360"/>
        <w:rPr>
          <w:rFonts w:ascii="Times New Roman" w:eastAsia="TimesNewRomanPS-BoldMT" w:hAnsi="Times New Roman" w:cs="Times New Roman"/>
          <w:kern w:val="0"/>
          <w:sz w:val="28"/>
          <w:szCs w:val="28"/>
          <w:lang w:bidi="ar"/>
        </w:rPr>
      </w:pPr>
      <w:r>
        <w:rPr>
          <w:rFonts w:ascii="Times New Roman" w:hAnsi="Times New Roman" w:cs="Times New Roman"/>
          <w:sz w:val="28"/>
          <w:szCs w:val="36"/>
        </w:rPr>
        <w:t xml:space="preserve"> </w:t>
      </w:r>
      <w:r w:rsidR="00255593" w:rsidRPr="00B14A1E">
        <w:rPr>
          <w:rFonts w:ascii="Times New Roman" w:hAnsi="Times New Roman" w:cs="Times New Roman"/>
          <w:sz w:val="28"/>
          <w:szCs w:val="36"/>
        </w:rPr>
        <w:t xml:space="preserve">Prof. </w:t>
      </w:r>
      <w:r>
        <w:rPr>
          <w:rFonts w:ascii="Times New Roman" w:hAnsi="Times New Roman" w:cs="Times New Roman"/>
          <w:sz w:val="28"/>
          <w:szCs w:val="36"/>
        </w:rPr>
        <w:t xml:space="preserve">Yu. </w:t>
      </w:r>
      <w:r>
        <w:rPr>
          <w:rFonts w:ascii="Times New Roman" w:eastAsia="TimesNewRomanPS-BoldMT" w:hAnsi="Times New Roman" w:cs="Times New Roman"/>
          <w:kern w:val="0"/>
          <w:sz w:val="28"/>
          <w:szCs w:val="28"/>
          <w:lang w:bidi="ar"/>
        </w:rPr>
        <w:t>Melnyk</w:t>
      </w:r>
      <w:r w:rsidR="00255593" w:rsidRPr="00B14A1E">
        <w:rPr>
          <w:rFonts w:ascii="Times New Roman" w:eastAsia="TimesNewRomanPS-BoldMT" w:hAnsi="Times New Roman" w:cs="Times New Roman"/>
          <w:kern w:val="0"/>
          <w:sz w:val="28"/>
          <w:szCs w:val="28"/>
          <w:lang w:bidi="ar"/>
        </w:rPr>
        <w:t xml:space="preserve"> </w:t>
      </w:r>
    </w:p>
    <w:p w14:paraId="4FC5ED7D" w14:textId="77777777" w:rsidR="00255593" w:rsidRDefault="00255593" w:rsidP="00255593">
      <w:pPr>
        <w:autoSpaceDE w:val="0"/>
        <w:autoSpaceDN w:val="0"/>
        <w:snapToGrid w:val="0"/>
        <w:ind w:firstLine="3544"/>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7734BDAE" w14:textId="77777777" w:rsidR="00255593" w:rsidRDefault="00255593" w:rsidP="00255593">
      <w:pPr>
        <w:autoSpaceDE w:val="0"/>
        <w:autoSpaceDN w:val="0"/>
        <w:snapToGrid w:val="0"/>
        <w:rPr>
          <w:rFonts w:ascii="Times New Roman" w:eastAsia="Times New Roman" w:hAnsi="Times New Roman" w:cs="Times New Roman"/>
          <w:b/>
          <w:sz w:val="28"/>
          <w:szCs w:val="28"/>
        </w:rPr>
      </w:pPr>
    </w:p>
    <w:p w14:paraId="3D5DC448" w14:textId="77777777" w:rsidR="00255593" w:rsidRDefault="00255593" w:rsidP="00255593">
      <w:pPr>
        <w:autoSpaceDE w:val="0"/>
        <w:autoSpaceDN w:val="0"/>
        <w:snapToGrid w:val="0"/>
        <w:rPr>
          <w:rFonts w:ascii="Times New Roman" w:eastAsia="Times New Roman" w:hAnsi="Times New Roman" w:cs="Times New Roman"/>
          <w:b/>
          <w:sz w:val="28"/>
          <w:szCs w:val="28"/>
        </w:rPr>
      </w:pPr>
    </w:p>
    <w:tbl>
      <w:tblPr>
        <w:tblW w:w="5155" w:type="pct"/>
        <w:jc w:val="center"/>
        <w:tblLook w:val="04A0" w:firstRow="1" w:lastRow="0" w:firstColumn="1" w:lastColumn="0" w:noHBand="0" w:noVBand="1"/>
      </w:tblPr>
      <w:tblGrid>
        <w:gridCol w:w="5268"/>
        <w:gridCol w:w="4962"/>
      </w:tblGrid>
      <w:tr w:rsidR="00255593" w14:paraId="685D568A" w14:textId="77777777" w:rsidTr="00EA26FE">
        <w:trPr>
          <w:jc w:val="center"/>
        </w:trPr>
        <w:tc>
          <w:tcPr>
            <w:tcW w:w="4967" w:type="dxa"/>
          </w:tcPr>
          <w:p w14:paraId="513FD29A" w14:textId="77777777" w:rsidR="00255593" w:rsidRDefault="00255593" w:rsidP="00EA26FE">
            <w:pPr>
              <w:autoSpaceDE w:val="0"/>
              <w:autoSpaceDN w:val="0"/>
              <w:snapToGrid w:val="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Recommended for defense: </w:t>
            </w:r>
          </w:p>
          <w:p w14:paraId="187F2C9F" w14:textId="77777777" w:rsidR="00255593" w:rsidRDefault="00255593" w:rsidP="00EA26FE">
            <w:pPr>
              <w:autoSpaceDE w:val="0"/>
              <w:autoSpaceDN w:val="0"/>
              <w:snapToGrid w:val="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protocol of the department meeting </w:t>
            </w:r>
          </w:p>
          <w:p w14:paraId="61DF9EF6" w14:textId="77777777" w:rsidR="00255593" w:rsidRDefault="00255593" w:rsidP="00EA26FE">
            <w:pPr>
              <w:autoSpaceDE w:val="0"/>
              <w:autoSpaceDN w:val="0"/>
              <w:snapToGrid w:val="0"/>
              <w:jc w:val="left"/>
              <w:rPr>
                <w:rFonts w:ascii="Times New Roman" w:eastAsia="SimSun" w:hAnsi="Times New Roman" w:cs="Times New Roman"/>
                <w:sz w:val="28"/>
                <w:szCs w:val="28"/>
              </w:rPr>
            </w:pPr>
            <w:r>
              <w:rPr>
                <w:rFonts w:ascii="Times New Roman" w:eastAsia="Times New Roman" w:hAnsi="Times New Roman" w:cs="Times New Roman"/>
                <w:sz w:val="28"/>
                <w:szCs w:val="28"/>
              </w:rPr>
              <w:t>No. ___ dated ____.____. 202</w:t>
            </w:r>
            <w:r>
              <w:rPr>
                <w:rFonts w:ascii="Times New Roman" w:eastAsia="SimSun" w:hAnsi="Times New Roman" w:cs="Times New Roman" w:hint="eastAsia"/>
                <w:sz w:val="28"/>
                <w:szCs w:val="28"/>
              </w:rPr>
              <w:t>4</w:t>
            </w:r>
          </w:p>
          <w:p w14:paraId="5AE21CFB" w14:textId="77777777" w:rsidR="00255593" w:rsidRDefault="00255593" w:rsidP="00EA26FE">
            <w:pPr>
              <w:autoSpaceDE w:val="0"/>
              <w:autoSpaceDN w:val="0"/>
              <w:snapToGrid w:val="0"/>
              <w:jc w:val="left"/>
              <w:rPr>
                <w:rFonts w:ascii="Times New Roman" w:eastAsia="Times New Roman" w:hAnsi="Times New Roman" w:cs="Times New Roman"/>
                <w:sz w:val="28"/>
                <w:szCs w:val="28"/>
              </w:rPr>
            </w:pPr>
          </w:p>
          <w:p w14:paraId="2F7EAC51" w14:textId="77777777" w:rsidR="00255593" w:rsidRDefault="00255593" w:rsidP="00EA26FE">
            <w:pPr>
              <w:autoSpaceDE w:val="0"/>
              <w:autoSpaceDN w:val="0"/>
              <w:snapToGrid w:val="0"/>
              <w:jc w:val="left"/>
              <w:rPr>
                <w:rFonts w:ascii="Times New Roman" w:eastAsia="Times New Roman" w:hAnsi="Times New Roman" w:cs="Times New Roman"/>
                <w:sz w:val="28"/>
                <w:szCs w:val="28"/>
              </w:rPr>
            </w:pPr>
          </w:p>
          <w:p w14:paraId="29A55ED1" w14:textId="77777777" w:rsidR="00255593" w:rsidRDefault="00255593" w:rsidP="00EA26FE">
            <w:pPr>
              <w:tabs>
                <w:tab w:val="left" w:pos="1168"/>
                <w:tab w:val="left" w:pos="3861"/>
              </w:tabs>
              <w:autoSpaceDE w:val="0"/>
              <w:autoSpaceDN w:val="0"/>
              <w:snapToGrid w:val="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Head of Department</w:t>
            </w:r>
          </w:p>
          <w:p w14:paraId="48334507" w14:textId="77777777" w:rsidR="00255593" w:rsidRDefault="00255593" w:rsidP="00EA26FE">
            <w:pPr>
              <w:tabs>
                <w:tab w:val="left" w:pos="284"/>
                <w:tab w:val="left" w:pos="1767"/>
              </w:tabs>
              <w:autoSpaceDE w:val="0"/>
              <w:autoSpaceDN w:val="0"/>
              <w:snapToGrid w:val="0"/>
              <w:jc w:val="left"/>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Prof. Eduard KUZNETSOV</w:t>
            </w:r>
          </w:p>
          <w:p w14:paraId="71EBF3DC" w14:textId="77777777" w:rsidR="00255593" w:rsidRDefault="00255593" w:rsidP="00EA26FE">
            <w:pPr>
              <w:tabs>
                <w:tab w:val="left" w:pos="284"/>
                <w:tab w:val="left" w:pos="1767"/>
              </w:tabs>
              <w:autoSpaceDE w:val="0"/>
              <w:autoSpaceDN w:val="0"/>
              <w:snapToGrid w:val="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ab/>
              <w:t>(signature)</w:t>
            </w:r>
            <w:r>
              <w:rPr>
                <w:rFonts w:ascii="Times New Roman" w:eastAsia="Times New Roman" w:hAnsi="Times New Roman" w:cs="Times New Roman"/>
                <w:sz w:val="28"/>
                <w:szCs w:val="28"/>
              </w:rPr>
              <w:tab/>
            </w:r>
          </w:p>
        </w:tc>
        <w:tc>
          <w:tcPr>
            <w:tcW w:w="4678" w:type="dxa"/>
          </w:tcPr>
          <w:p w14:paraId="03F7225B" w14:textId="77777777" w:rsidR="00255593" w:rsidRDefault="00255593" w:rsidP="00EA26FE">
            <w:pPr>
              <w:tabs>
                <w:tab w:val="right" w:pos="4462"/>
              </w:tabs>
              <w:autoSpaceDE w:val="0"/>
              <w:autoSpaceDN w:val="0"/>
              <w:snapToGrid w:val="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Defended at the EC meeting No. ___</w:t>
            </w:r>
          </w:p>
          <w:p w14:paraId="3AEDB209" w14:textId="77777777" w:rsidR="00255593" w:rsidRDefault="00255593" w:rsidP="00EA26FE">
            <w:pPr>
              <w:tabs>
                <w:tab w:val="right" w:pos="4462"/>
              </w:tabs>
              <w:autoSpaceDE w:val="0"/>
              <w:autoSpaceDN w:val="0"/>
              <w:snapToGrid w:val="0"/>
              <w:jc w:val="left"/>
              <w:rPr>
                <w:rFonts w:ascii="Times New Roman" w:eastAsia="SimSun" w:hAnsi="Times New Roman" w:cs="Times New Roman"/>
                <w:sz w:val="28"/>
                <w:szCs w:val="28"/>
              </w:rPr>
            </w:pPr>
            <w:r>
              <w:rPr>
                <w:rFonts w:ascii="Times New Roman" w:eastAsia="Times New Roman" w:hAnsi="Times New Roman" w:cs="Times New Roman"/>
                <w:sz w:val="28"/>
                <w:szCs w:val="28"/>
              </w:rPr>
              <w:t>protocol No. __from ____.12.202</w:t>
            </w:r>
            <w:r>
              <w:rPr>
                <w:rFonts w:ascii="Times New Roman" w:eastAsia="SimSun" w:hAnsi="Times New Roman" w:cs="Times New Roman" w:hint="eastAsia"/>
                <w:sz w:val="28"/>
                <w:szCs w:val="28"/>
              </w:rPr>
              <w:t>4</w:t>
            </w:r>
          </w:p>
          <w:p w14:paraId="4BD3C6DB" w14:textId="77777777" w:rsidR="00255593" w:rsidRDefault="00255593" w:rsidP="00EA26FE">
            <w:pPr>
              <w:tabs>
                <w:tab w:val="right" w:pos="4462"/>
              </w:tabs>
              <w:autoSpaceDE w:val="0"/>
              <w:autoSpaceDN w:val="0"/>
              <w:snapToGrid w:val="0"/>
              <w:jc w:val="left"/>
              <w:rPr>
                <w:rFonts w:ascii="Times New Roman" w:eastAsia="Times New Roman" w:hAnsi="Times New Roman" w:cs="Times New Roman"/>
                <w:sz w:val="28"/>
                <w:szCs w:val="28"/>
              </w:rPr>
            </w:pPr>
          </w:p>
          <w:p w14:paraId="16809342" w14:textId="77777777" w:rsidR="00255593" w:rsidRDefault="00255593" w:rsidP="00EA26FE">
            <w:pPr>
              <w:tabs>
                <w:tab w:val="right" w:pos="4462"/>
              </w:tabs>
              <w:autoSpaceDE w:val="0"/>
              <w:autoSpaceDN w:val="0"/>
              <w:snapToGrid w:val="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Assessment ______________/___</w:t>
            </w:r>
            <w:r>
              <w:rPr>
                <w:rFonts w:ascii="Times New Roman" w:eastAsia="Times New Roman" w:hAnsi="Times New Roman" w:cs="Times New Roman"/>
                <w:sz w:val="28"/>
                <w:szCs w:val="28"/>
              </w:rPr>
              <w:tab/>
            </w:r>
          </w:p>
          <w:p w14:paraId="5D9DFA54" w14:textId="77777777" w:rsidR="00255593" w:rsidRDefault="00255593" w:rsidP="00EA26FE">
            <w:pPr>
              <w:autoSpaceDE w:val="0"/>
              <w:autoSpaceDN w:val="0"/>
              <w:snapToGrid w:val="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(according to the national scale/ESTS scale/points)</w:t>
            </w:r>
          </w:p>
          <w:p w14:paraId="109960EE" w14:textId="77777777" w:rsidR="00255593" w:rsidRDefault="00255593" w:rsidP="00EA26FE">
            <w:pPr>
              <w:autoSpaceDE w:val="0"/>
              <w:autoSpaceDN w:val="0"/>
              <w:snapToGrid w:val="0"/>
              <w:jc w:val="left"/>
              <w:rPr>
                <w:rFonts w:ascii="Times New Roman" w:eastAsia="Times New Roman" w:hAnsi="Times New Roman" w:cs="Times New Roman"/>
                <w:sz w:val="28"/>
                <w:szCs w:val="28"/>
              </w:rPr>
            </w:pPr>
          </w:p>
          <w:p w14:paraId="672839F7" w14:textId="77777777" w:rsidR="00255593" w:rsidRDefault="00255593" w:rsidP="00EA26FE">
            <w:pPr>
              <w:autoSpaceDE w:val="0"/>
              <w:autoSpaceDN w:val="0"/>
              <w:snapToGrid w:val="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Head of the EC</w:t>
            </w:r>
          </w:p>
          <w:p w14:paraId="0D4498B8" w14:textId="77777777" w:rsidR="00255593" w:rsidRDefault="00255593" w:rsidP="00EA26FE">
            <w:pPr>
              <w:autoSpaceDE w:val="0"/>
              <w:autoSpaceDN w:val="0"/>
              <w:snapToGrid w:val="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_______ Prof. </w:t>
            </w:r>
            <w:r w:rsidR="00B14A1E">
              <w:rPr>
                <w:rFonts w:ascii="Times New Roman" w:eastAsia="Times New Roman" w:hAnsi="Times New Roman" w:cs="Times New Roman"/>
                <w:sz w:val="28"/>
                <w:szCs w:val="28"/>
              </w:rPr>
              <w:t>Eduard KUZNETSOV</w:t>
            </w:r>
          </w:p>
          <w:p w14:paraId="1BA3721C" w14:textId="77777777" w:rsidR="00255593" w:rsidRDefault="00255593" w:rsidP="00EA26FE">
            <w:pPr>
              <w:tabs>
                <w:tab w:val="left" w:pos="454"/>
                <w:tab w:val="left" w:pos="2155"/>
              </w:tabs>
              <w:autoSpaceDE w:val="0"/>
              <w:autoSpaceDN w:val="0"/>
              <w:snapToGrid w:val="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ab/>
              <w:t>(signature)</w:t>
            </w:r>
            <w:r>
              <w:rPr>
                <w:rFonts w:ascii="Times New Roman" w:eastAsia="Times New Roman" w:hAnsi="Times New Roman" w:cs="Times New Roman"/>
                <w:sz w:val="28"/>
                <w:szCs w:val="28"/>
              </w:rPr>
              <w:tab/>
            </w:r>
          </w:p>
        </w:tc>
      </w:tr>
      <w:tr w:rsidR="00255593" w14:paraId="63784C7F" w14:textId="77777777" w:rsidTr="00EA26FE">
        <w:trPr>
          <w:jc w:val="center"/>
        </w:trPr>
        <w:tc>
          <w:tcPr>
            <w:tcW w:w="4967" w:type="dxa"/>
          </w:tcPr>
          <w:p w14:paraId="5FCDD914" w14:textId="77777777" w:rsidR="00255593" w:rsidRDefault="00255593" w:rsidP="00EA26FE">
            <w:pPr>
              <w:autoSpaceDE w:val="0"/>
              <w:autoSpaceDN w:val="0"/>
              <w:snapToGrid w:val="0"/>
              <w:jc w:val="left"/>
              <w:rPr>
                <w:rFonts w:ascii="Times New Roman" w:eastAsia="Times New Roman" w:hAnsi="Times New Roman" w:cs="Times New Roman"/>
                <w:sz w:val="28"/>
                <w:szCs w:val="28"/>
                <w:lang w:val="uk-UA"/>
              </w:rPr>
            </w:pPr>
          </w:p>
        </w:tc>
        <w:tc>
          <w:tcPr>
            <w:tcW w:w="4678" w:type="dxa"/>
          </w:tcPr>
          <w:p w14:paraId="770DB226" w14:textId="77777777" w:rsidR="00255593" w:rsidRDefault="00255593" w:rsidP="00EA26FE">
            <w:pPr>
              <w:autoSpaceDE w:val="0"/>
              <w:autoSpaceDN w:val="0"/>
              <w:snapToGrid w:val="0"/>
              <w:jc w:val="left"/>
              <w:rPr>
                <w:rFonts w:ascii="Times New Roman" w:eastAsia="Times New Roman" w:hAnsi="Times New Roman" w:cs="Times New Roman"/>
                <w:sz w:val="28"/>
                <w:szCs w:val="28"/>
                <w:lang w:val="uk-UA"/>
              </w:rPr>
            </w:pPr>
          </w:p>
        </w:tc>
      </w:tr>
    </w:tbl>
    <w:p w14:paraId="191B852C" w14:textId="77777777" w:rsidR="00255593" w:rsidRDefault="00255593" w:rsidP="00255593">
      <w:pPr>
        <w:autoSpaceDE w:val="0"/>
        <w:autoSpaceDN w:val="0"/>
        <w:snapToGrid w:val="0"/>
        <w:jc w:val="center"/>
        <w:rPr>
          <w:rFonts w:ascii="Times New Roman" w:eastAsia="Times New Roman" w:hAnsi="Times New Roman" w:cs="Times New Roman"/>
          <w:b/>
          <w:sz w:val="28"/>
          <w:szCs w:val="28"/>
          <w:lang w:val="ru-RU"/>
        </w:rPr>
      </w:pPr>
    </w:p>
    <w:p w14:paraId="4FD0A514" w14:textId="77777777" w:rsidR="00255593" w:rsidRDefault="00255593" w:rsidP="00255593">
      <w:pPr>
        <w:autoSpaceDE w:val="0"/>
        <w:autoSpaceDN w:val="0"/>
        <w:snapToGrid w:val="0"/>
        <w:jc w:val="center"/>
        <w:rPr>
          <w:rFonts w:ascii="Times New Roman" w:eastAsia="Times New Roman" w:hAnsi="Times New Roman" w:cs="Times New Roman"/>
          <w:b/>
          <w:sz w:val="28"/>
          <w:szCs w:val="28"/>
          <w:lang w:val="ru-RU"/>
        </w:rPr>
      </w:pPr>
    </w:p>
    <w:p w14:paraId="1259BDAB" w14:textId="77777777" w:rsidR="00255593" w:rsidRDefault="00255593" w:rsidP="00255593">
      <w:pPr>
        <w:autoSpaceDE w:val="0"/>
        <w:autoSpaceDN w:val="0"/>
        <w:snapToGrid w:val="0"/>
        <w:jc w:val="center"/>
        <w:rPr>
          <w:rFonts w:ascii="Times New Roman" w:eastAsia="Times New Roman" w:hAnsi="Times New Roman" w:cs="Times New Roman"/>
          <w:b/>
          <w:sz w:val="28"/>
          <w:szCs w:val="28"/>
          <w:lang w:val="uk-UA"/>
        </w:rPr>
      </w:pPr>
    </w:p>
    <w:p w14:paraId="17CE14F4" w14:textId="77777777" w:rsidR="00255593" w:rsidRDefault="00255593" w:rsidP="00255593">
      <w:pPr>
        <w:autoSpaceDE w:val="0"/>
        <w:autoSpaceDN w:val="0"/>
        <w:snapToGrid w:val="0"/>
        <w:rPr>
          <w:rFonts w:ascii="Times New Roman" w:eastAsia="Times New Roman" w:hAnsi="Times New Roman" w:cs="Times New Roman"/>
          <w:b/>
          <w:sz w:val="28"/>
          <w:szCs w:val="28"/>
          <w:lang w:val="uk-UA"/>
        </w:rPr>
      </w:pPr>
    </w:p>
    <w:p w14:paraId="58068139" w14:textId="77777777" w:rsidR="00255593" w:rsidRDefault="00255593" w:rsidP="00255593">
      <w:pPr>
        <w:autoSpaceDE w:val="0"/>
        <w:autoSpaceDN w:val="0"/>
        <w:snapToGrid w:val="0"/>
        <w:jc w:val="center"/>
        <w:rPr>
          <w:rFonts w:ascii="Times New Roman" w:eastAsia="Times New Roman" w:hAnsi="Times New Roman" w:cs="Times New Roman"/>
          <w:b/>
          <w:sz w:val="28"/>
          <w:szCs w:val="28"/>
          <w:lang w:val="uk-UA"/>
        </w:rPr>
      </w:pPr>
    </w:p>
    <w:p w14:paraId="0C984479" w14:textId="77777777" w:rsidR="00255593" w:rsidRDefault="00255593" w:rsidP="00255593">
      <w:pPr>
        <w:autoSpaceDE w:val="0"/>
        <w:autoSpaceDN w:val="0"/>
        <w:snapToGrid w:val="0"/>
        <w:jc w:val="center"/>
        <w:rPr>
          <w:rFonts w:ascii="Times New Roman" w:eastAsia="Times New Roman" w:hAnsi="Times New Roman" w:cs="Times New Roman"/>
          <w:b/>
          <w:sz w:val="28"/>
          <w:szCs w:val="28"/>
          <w:lang w:val="uk-UA"/>
        </w:rPr>
      </w:pPr>
    </w:p>
    <w:p w14:paraId="4887847D" w14:textId="77777777" w:rsidR="00255593" w:rsidRDefault="00255593" w:rsidP="00255593">
      <w:pPr>
        <w:autoSpaceDE w:val="0"/>
        <w:autoSpaceDN w:val="0"/>
        <w:snapToGrid w:val="0"/>
        <w:jc w:val="center"/>
        <w:rPr>
          <w:rFonts w:ascii="Times New Roman" w:eastAsia="SimSun" w:hAnsi="Times New Roman" w:cs="Times New Roman"/>
          <w:b/>
          <w:sz w:val="28"/>
          <w:szCs w:val="28"/>
          <w:lang w:val="uk-UA"/>
        </w:rPr>
      </w:pPr>
      <w:r>
        <w:rPr>
          <w:rFonts w:ascii="Times New Roman" w:eastAsia="Times New Roman" w:hAnsi="Times New Roman" w:cs="Times New Roman"/>
          <w:b/>
          <w:sz w:val="28"/>
          <w:szCs w:val="28"/>
          <w:lang w:val="uk-UA"/>
        </w:rPr>
        <w:t>О</w:t>
      </w:r>
      <w:proofErr w:type="spellStart"/>
      <w:r>
        <w:rPr>
          <w:rFonts w:ascii="Times New Roman" w:eastAsia="Times New Roman" w:hAnsi="Times New Roman" w:cs="Times New Roman"/>
          <w:b/>
          <w:sz w:val="28"/>
          <w:szCs w:val="28"/>
        </w:rPr>
        <w:t>desa</w:t>
      </w:r>
      <w:proofErr w:type="spellEnd"/>
      <w:r>
        <w:rPr>
          <w:rFonts w:ascii="Times New Roman" w:eastAsia="Times New Roman" w:hAnsi="Times New Roman" w:cs="Times New Roman"/>
          <w:b/>
          <w:sz w:val="28"/>
          <w:szCs w:val="28"/>
          <w:lang w:val="uk-UA"/>
        </w:rPr>
        <w:t xml:space="preserve"> 202</w:t>
      </w:r>
      <w:r>
        <w:rPr>
          <w:rFonts w:ascii="Times New Roman" w:eastAsia="SimSun" w:hAnsi="Times New Roman" w:cs="Times New Roman" w:hint="eastAsia"/>
          <w:b/>
          <w:sz w:val="28"/>
          <w:szCs w:val="28"/>
        </w:rPr>
        <w:t>4</w:t>
      </w:r>
    </w:p>
    <w:sdt>
      <w:sdtPr>
        <w:rPr>
          <w:rFonts w:ascii="SimSun" w:eastAsia="SimSun" w:hAnsi="SimSun"/>
        </w:rPr>
        <w:id w:val="147471147"/>
        <w:docPartObj>
          <w:docPartGallery w:val="Table of Contents"/>
          <w:docPartUnique/>
        </w:docPartObj>
      </w:sdtPr>
      <w:sdtContent>
        <w:p w14:paraId="11F28189" w14:textId="77777777" w:rsidR="00CB0142" w:rsidRDefault="00AF7DAE">
          <w:pPr>
            <w:snapToGrid w:val="0"/>
            <w:jc w:val="center"/>
            <w:rPr>
              <w:rFonts w:ascii="Times New Roman" w:hAnsi="Times New Roman" w:cs="Times New Roman"/>
              <w:sz w:val="28"/>
              <w:szCs w:val="28"/>
            </w:rPr>
          </w:pPr>
          <w:r>
            <w:rPr>
              <w:rFonts w:ascii="Times New Roman" w:hAnsi="Times New Roman" w:cs="Times New Roman"/>
              <w:sz w:val="28"/>
              <w:szCs w:val="28"/>
            </w:rPr>
            <w:t>CONTENT</w:t>
          </w:r>
        </w:p>
        <w:p w14:paraId="1F601B3F" w14:textId="77777777" w:rsidR="00CB0142" w:rsidRDefault="00CB0142">
          <w:pPr>
            <w:jc w:val="center"/>
          </w:pPr>
        </w:p>
        <w:p w14:paraId="4501F563" w14:textId="77777777" w:rsidR="00CB0142" w:rsidRDefault="00AF7DAE">
          <w:pPr>
            <w:pStyle w:val="1"/>
            <w:tabs>
              <w:tab w:val="right" w:leader="dot" w:pos="9922"/>
            </w:tabs>
            <w:snapToGrid w:val="0"/>
            <w:spacing w:line="360" w:lineRule="auto"/>
            <w:rPr>
              <w:rFonts w:ascii="Times New Roman" w:eastAsia="方正大黑体_GBK" w:hAnsi="Times New Roman" w:cs="Times New Roman"/>
              <w:sz w:val="28"/>
              <w:szCs w:val="28"/>
            </w:rPr>
          </w:pPr>
          <w:r>
            <w:rPr>
              <w:rFonts w:ascii="Times New Roman" w:eastAsia="方正大黑体_GBK" w:hAnsi="Times New Roman" w:cs="Times New Roman"/>
              <w:sz w:val="28"/>
              <w:szCs w:val="28"/>
            </w:rPr>
            <w:fldChar w:fldCharType="begin"/>
          </w:r>
          <w:r>
            <w:rPr>
              <w:rFonts w:ascii="Times New Roman" w:eastAsia="方正大黑体_GBK" w:hAnsi="Times New Roman" w:cs="Times New Roman"/>
              <w:sz w:val="28"/>
              <w:szCs w:val="28"/>
            </w:rPr>
            <w:instrText xml:space="preserve">TOC \o "1-3" \h \u </w:instrText>
          </w:r>
          <w:r>
            <w:rPr>
              <w:rFonts w:ascii="Times New Roman" w:eastAsia="方正大黑体_GBK" w:hAnsi="Times New Roman" w:cs="Times New Roman"/>
              <w:sz w:val="28"/>
              <w:szCs w:val="28"/>
            </w:rPr>
            <w:fldChar w:fldCharType="separate"/>
          </w:r>
          <w:hyperlink w:anchor="_Toc12839" w:history="1">
            <w:r>
              <w:rPr>
                <w:rFonts w:ascii="Times New Roman" w:eastAsia="方正大黑体_GBK" w:hAnsi="Times New Roman" w:cs="Times New Roman"/>
                <w:bCs/>
                <w:sz w:val="28"/>
                <w:szCs w:val="28"/>
              </w:rPr>
              <w:t>INTRODUCTION</w:t>
            </w:r>
            <w:r>
              <w:rPr>
                <w:rFonts w:ascii="Times New Roman" w:eastAsia="方正大黑体_GBK" w:hAnsi="Times New Roman" w:cs="Times New Roman"/>
                <w:sz w:val="28"/>
                <w:szCs w:val="28"/>
              </w:rPr>
              <w:tab/>
            </w:r>
            <w:r>
              <w:rPr>
                <w:rFonts w:ascii="Times New Roman" w:eastAsia="方正大黑体_GBK" w:hAnsi="Times New Roman" w:cs="Times New Roman"/>
                <w:sz w:val="28"/>
                <w:szCs w:val="28"/>
              </w:rPr>
              <w:fldChar w:fldCharType="begin"/>
            </w:r>
            <w:r>
              <w:rPr>
                <w:rFonts w:ascii="Times New Roman" w:eastAsia="方正大黑体_GBK" w:hAnsi="Times New Roman" w:cs="Times New Roman"/>
                <w:sz w:val="28"/>
                <w:szCs w:val="28"/>
              </w:rPr>
              <w:instrText xml:space="preserve"> PAGEREF _Toc12839 \h </w:instrText>
            </w:r>
            <w:r>
              <w:rPr>
                <w:rFonts w:ascii="Times New Roman" w:eastAsia="方正大黑体_GBK" w:hAnsi="Times New Roman" w:cs="Times New Roman"/>
                <w:sz w:val="28"/>
                <w:szCs w:val="28"/>
              </w:rPr>
            </w:r>
            <w:r>
              <w:rPr>
                <w:rFonts w:ascii="Times New Roman" w:eastAsia="方正大黑体_GBK" w:hAnsi="Times New Roman" w:cs="Times New Roman"/>
                <w:sz w:val="28"/>
                <w:szCs w:val="28"/>
              </w:rPr>
              <w:fldChar w:fldCharType="separate"/>
            </w:r>
            <w:r>
              <w:rPr>
                <w:rFonts w:ascii="Times New Roman" w:eastAsia="方正大黑体_GBK" w:hAnsi="Times New Roman" w:cs="Times New Roman"/>
                <w:sz w:val="28"/>
                <w:szCs w:val="28"/>
              </w:rPr>
              <w:t>3</w:t>
            </w:r>
            <w:r>
              <w:rPr>
                <w:rFonts w:ascii="Times New Roman" w:eastAsia="方正大黑体_GBK" w:hAnsi="Times New Roman" w:cs="Times New Roman"/>
                <w:sz w:val="28"/>
                <w:szCs w:val="28"/>
              </w:rPr>
              <w:fldChar w:fldCharType="end"/>
            </w:r>
          </w:hyperlink>
        </w:p>
        <w:p w14:paraId="772FA4F6" w14:textId="77777777" w:rsidR="00CB0142" w:rsidRDefault="00AF7DAE">
          <w:pPr>
            <w:pStyle w:val="1"/>
            <w:tabs>
              <w:tab w:val="right" w:leader="dot" w:pos="9922"/>
            </w:tabs>
            <w:snapToGrid w:val="0"/>
            <w:spacing w:line="360" w:lineRule="auto"/>
            <w:rPr>
              <w:rFonts w:ascii="Times New Roman" w:eastAsia="方正大黑体_GBK" w:hAnsi="Times New Roman" w:cs="Times New Roman"/>
              <w:sz w:val="28"/>
              <w:szCs w:val="28"/>
            </w:rPr>
          </w:pPr>
          <w:hyperlink w:anchor="_Toc18194" w:history="1">
            <w:r>
              <w:rPr>
                <w:rFonts w:ascii="Times New Roman" w:eastAsia="方正大黑体_GBK" w:hAnsi="Times New Roman" w:cs="Times New Roman"/>
                <w:bCs/>
                <w:sz w:val="28"/>
                <w:szCs w:val="28"/>
              </w:rPr>
              <w:t xml:space="preserve">CHAPTER 1 </w:t>
            </w:r>
          </w:hyperlink>
          <w:hyperlink w:anchor="_Toc28674" w:history="1">
            <w:r>
              <w:rPr>
                <w:rFonts w:ascii="Times New Roman" w:eastAsia="方正大黑体_GBK" w:hAnsi="Times New Roman" w:cs="Times New Roman"/>
                <w:bCs/>
                <w:sz w:val="28"/>
                <w:szCs w:val="28"/>
              </w:rPr>
              <w:t>THEORETICAL FOUNDATIONS OF ORGANIZATIONAL CHANGE MANAGEMENT</w:t>
            </w:r>
            <w:r>
              <w:rPr>
                <w:rFonts w:ascii="Times New Roman" w:eastAsia="方正大黑体_GBK" w:hAnsi="Times New Roman" w:cs="Times New Roman"/>
                <w:sz w:val="28"/>
                <w:szCs w:val="28"/>
              </w:rPr>
              <w:tab/>
            </w:r>
            <w:r>
              <w:rPr>
                <w:rFonts w:ascii="Times New Roman" w:eastAsia="方正大黑体_GBK" w:hAnsi="Times New Roman" w:cs="Times New Roman"/>
                <w:sz w:val="28"/>
                <w:szCs w:val="28"/>
              </w:rPr>
              <w:fldChar w:fldCharType="begin"/>
            </w:r>
            <w:r>
              <w:rPr>
                <w:rFonts w:ascii="Times New Roman" w:eastAsia="方正大黑体_GBK" w:hAnsi="Times New Roman" w:cs="Times New Roman"/>
                <w:sz w:val="28"/>
                <w:szCs w:val="28"/>
              </w:rPr>
              <w:instrText xml:space="preserve"> PAGEREF _Toc28674 \h </w:instrText>
            </w:r>
            <w:r>
              <w:rPr>
                <w:rFonts w:ascii="Times New Roman" w:eastAsia="方正大黑体_GBK" w:hAnsi="Times New Roman" w:cs="Times New Roman"/>
                <w:sz w:val="28"/>
                <w:szCs w:val="28"/>
              </w:rPr>
            </w:r>
            <w:r>
              <w:rPr>
                <w:rFonts w:ascii="Times New Roman" w:eastAsia="方正大黑体_GBK" w:hAnsi="Times New Roman" w:cs="Times New Roman"/>
                <w:sz w:val="28"/>
                <w:szCs w:val="28"/>
              </w:rPr>
              <w:fldChar w:fldCharType="separate"/>
            </w:r>
            <w:r>
              <w:rPr>
                <w:rFonts w:ascii="Times New Roman" w:eastAsia="方正大黑体_GBK" w:hAnsi="Times New Roman" w:cs="Times New Roman"/>
                <w:sz w:val="28"/>
                <w:szCs w:val="28"/>
              </w:rPr>
              <w:t>6</w:t>
            </w:r>
            <w:r>
              <w:rPr>
                <w:rFonts w:ascii="Times New Roman" w:eastAsia="方正大黑体_GBK" w:hAnsi="Times New Roman" w:cs="Times New Roman"/>
                <w:sz w:val="28"/>
                <w:szCs w:val="28"/>
              </w:rPr>
              <w:fldChar w:fldCharType="end"/>
            </w:r>
          </w:hyperlink>
        </w:p>
        <w:p w14:paraId="79D874F0" w14:textId="77777777" w:rsidR="00CB0142" w:rsidRDefault="00AF7DAE">
          <w:pPr>
            <w:pStyle w:val="2"/>
            <w:tabs>
              <w:tab w:val="right" w:leader="dot" w:pos="9922"/>
            </w:tabs>
            <w:snapToGrid w:val="0"/>
            <w:spacing w:line="360" w:lineRule="auto"/>
            <w:ind w:leftChars="0" w:left="0"/>
            <w:rPr>
              <w:rFonts w:ascii="Times New Roman" w:eastAsia="方正大黑体_GBK" w:hAnsi="Times New Roman" w:cs="Times New Roman"/>
              <w:sz w:val="28"/>
              <w:szCs w:val="28"/>
            </w:rPr>
          </w:pPr>
          <w:hyperlink w:anchor="_Toc11595" w:history="1">
            <w:r>
              <w:rPr>
                <w:rFonts w:ascii="Times New Roman" w:eastAsia="方正大黑体_GBK" w:hAnsi="Times New Roman" w:cs="Times New Roman"/>
                <w:bCs/>
                <w:sz w:val="28"/>
                <w:szCs w:val="28"/>
              </w:rPr>
              <w:t>1.1. Concept and research of organizational change theories</w:t>
            </w:r>
            <w:r>
              <w:rPr>
                <w:rFonts w:ascii="Times New Roman" w:eastAsia="方正大黑体_GBK" w:hAnsi="Times New Roman" w:cs="Times New Roman"/>
                <w:sz w:val="28"/>
                <w:szCs w:val="28"/>
              </w:rPr>
              <w:tab/>
            </w:r>
            <w:r>
              <w:rPr>
                <w:rFonts w:ascii="Times New Roman" w:eastAsia="方正大黑体_GBK" w:hAnsi="Times New Roman" w:cs="Times New Roman"/>
                <w:sz w:val="28"/>
                <w:szCs w:val="28"/>
              </w:rPr>
              <w:fldChar w:fldCharType="begin"/>
            </w:r>
            <w:r>
              <w:rPr>
                <w:rFonts w:ascii="Times New Roman" w:eastAsia="方正大黑体_GBK" w:hAnsi="Times New Roman" w:cs="Times New Roman"/>
                <w:sz w:val="28"/>
                <w:szCs w:val="28"/>
              </w:rPr>
              <w:instrText xml:space="preserve"> PAGEREF _Toc11595 \h </w:instrText>
            </w:r>
            <w:r>
              <w:rPr>
                <w:rFonts w:ascii="Times New Roman" w:eastAsia="方正大黑体_GBK" w:hAnsi="Times New Roman" w:cs="Times New Roman"/>
                <w:sz w:val="28"/>
                <w:szCs w:val="28"/>
              </w:rPr>
            </w:r>
            <w:r>
              <w:rPr>
                <w:rFonts w:ascii="Times New Roman" w:eastAsia="方正大黑体_GBK" w:hAnsi="Times New Roman" w:cs="Times New Roman"/>
                <w:sz w:val="28"/>
                <w:szCs w:val="28"/>
              </w:rPr>
              <w:fldChar w:fldCharType="separate"/>
            </w:r>
            <w:r>
              <w:rPr>
                <w:rFonts w:ascii="Times New Roman" w:eastAsia="方正大黑体_GBK" w:hAnsi="Times New Roman" w:cs="Times New Roman"/>
                <w:sz w:val="28"/>
                <w:szCs w:val="28"/>
              </w:rPr>
              <w:t>6</w:t>
            </w:r>
            <w:r>
              <w:rPr>
                <w:rFonts w:ascii="Times New Roman" w:eastAsia="方正大黑体_GBK" w:hAnsi="Times New Roman" w:cs="Times New Roman"/>
                <w:sz w:val="28"/>
                <w:szCs w:val="28"/>
              </w:rPr>
              <w:fldChar w:fldCharType="end"/>
            </w:r>
          </w:hyperlink>
        </w:p>
        <w:p w14:paraId="000B19E5" w14:textId="77777777" w:rsidR="00CB0142" w:rsidRDefault="00AF7DAE">
          <w:pPr>
            <w:pStyle w:val="2"/>
            <w:tabs>
              <w:tab w:val="right" w:leader="dot" w:pos="9922"/>
            </w:tabs>
            <w:snapToGrid w:val="0"/>
            <w:spacing w:line="360" w:lineRule="auto"/>
            <w:ind w:leftChars="0" w:left="0"/>
            <w:rPr>
              <w:rFonts w:ascii="Times New Roman" w:eastAsia="方正大黑体_GBK" w:hAnsi="Times New Roman" w:cs="Times New Roman"/>
              <w:sz w:val="28"/>
              <w:szCs w:val="28"/>
            </w:rPr>
          </w:pPr>
          <w:hyperlink w:anchor="_Toc16274" w:history="1">
            <w:r>
              <w:rPr>
                <w:rFonts w:ascii="Times New Roman" w:eastAsia="方正大黑体_GBK" w:hAnsi="Times New Roman" w:cs="Times New Roman"/>
                <w:bCs/>
                <w:sz w:val="28"/>
                <w:szCs w:val="28"/>
              </w:rPr>
              <w:t>1.2. Concepts and types of organizational changes in Chinese companies</w:t>
            </w:r>
            <w:r>
              <w:rPr>
                <w:rFonts w:ascii="Times New Roman" w:eastAsia="方正大黑体_GBK" w:hAnsi="Times New Roman" w:cs="Times New Roman"/>
                <w:sz w:val="28"/>
                <w:szCs w:val="28"/>
              </w:rPr>
              <w:tab/>
            </w:r>
            <w:r>
              <w:rPr>
                <w:rFonts w:ascii="Times New Roman" w:eastAsia="方正大黑体_GBK" w:hAnsi="Times New Roman" w:cs="Times New Roman"/>
                <w:sz w:val="28"/>
                <w:szCs w:val="28"/>
              </w:rPr>
              <w:fldChar w:fldCharType="begin"/>
            </w:r>
            <w:r>
              <w:rPr>
                <w:rFonts w:ascii="Times New Roman" w:eastAsia="方正大黑体_GBK" w:hAnsi="Times New Roman" w:cs="Times New Roman"/>
                <w:sz w:val="28"/>
                <w:szCs w:val="28"/>
              </w:rPr>
              <w:instrText xml:space="preserve"> PAGEREF _Toc16274 \h </w:instrText>
            </w:r>
            <w:r>
              <w:rPr>
                <w:rFonts w:ascii="Times New Roman" w:eastAsia="方正大黑体_GBK" w:hAnsi="Times New Roman" w:cs="Times New Roman"/>
                <w:sz w:val="28"/>
                <w:szCs w:val="28"/>
              </w:rPr>
            </w:r>
            <w:r>
              <w:rPr>
                <w:rFonts w:ascii="Times New Roman" w:eastAsia="方正大黑体_GBK" w:hAnsi="Times New Roman" w:cs="Times New Roman"/>
                <w:sz w:val="28"/>
                <w:szCs w:val="28"/>
              </w:rPr>
              <w:fldChar w:fldCharType="separate"/>
            </w:r>
            <w:r>
              <w:rPr>
                <w:rFonts w:ascii="Times New Roman" w:eastAsia="方正大黑体_GBK" w:hAnsi="Times New Roman" w:cs="Times New Roman"/>
                <w:sz w:val="28"/>
                <w:szCs w:val="28"/>
              </w:rPr>
              <w:t>16</w:t>
            </w:r>
            <w:r>
              <w:rPr>
                <w:rFonts w:ascii="Times New Roman" w:eastAsia="方正大黑体_GBK" w:hAnsi="Times New Roman" w:cs="Times New Roman"/>
                <w:sz w:val="28"/>
                <w:szCs w:val="28"/>
              </w:rPr>
              <w:fldChar w:fldCharType="end"/>
            </w:r>
          </w:hyperlink>
        </w:p>
        <w:p w14:paraId="44ED1FA9" w14:textId="77777777" w:rsidR="00CB0142" w:rsidRDefault="00AF7DAE">
          <w:pPr>
            <w:pStyle w:val="2"/>
            <w:tabs>
              <w:tab w:val="right" w:leader="dot" w:pos="9922"/>
            </w:tabs>
            <w:snapToGrid w:val="0"/>
            <w:spacing w:line="360" w:lineRule="auto"/>
            <w:ind w:leftChars="0" w:left="0"/>
            <w:rPr>
              <w:rFonts w:ascii="Times New Roman" w:eastAsia="方正大黑体_GBK" w:hAnsi="Times New Roman" w:cs="Times New Roman"/>
              <w:sz w:val="28"/>
              <w:szCs w:val="28"/>
            </w:rPr>
          </w:pPr>
          <w:hyperlink w:anchor="_Toc4872" w:history="1">
            <w:r>
              <w:rPr>
                <w:rFonts w:ascii="Times New Roman" w:eastAsia="方正大黑体_GBK" w:hAnsi="Times New Roman" w:cs="Times New Roman"/>
                <w:bCs/>
                <w:sz w:val="28"/>
                <w:szCs w:val="28"/>
                <w:lang w:val="en"/>
              </w:rPr>
              <w:t>1.3. Models and methods of organizational change management in Chinese companies</w:t>
            </w:r>
            <w:r>
              <w:rPr>
                <w:rFonts w:ascii="Times New Roman" w:eastAsia="方正大黑体_GBK" w:hAnsi="Times New Roman" w:cs="Times New Roman"/>
                <w:sz w:val="28"/>
                <w:szCs w:val="28"/>
              </w:rPr>
              <w:tab/>
            </w:r>
            <w:r>
              <w:rPr>
                <w:rFonts w:ascii="Times New Roman" w:eastAsia="方正大黑体_GBK" w:hAnsi="Times New Roman" w:cs="Times New Roman"/>
                <w:sz w:val="28"/>
                <w:szCs w:val="28"/>
              </w:rPr>
              <w:fldChar w:fldCharType="begin"/>
            </w:r>
            <w:r>
              <w:rPr>
                <w:rFonts w:ascii="Times New Roman" w:eastAsia="方正大黑体_GBK" w:hAnsi="Times New Roman" w:cs="Times New Roman"/>
                <w:sz w:val="28"/>
                <w:szCs w:val="28"/>
              </w:rPr>
              <w:instrText xml:space="preserve"> PAGEREF _Toc4872 \h </w:instrText>
            </w:r>
            <w:r>
              <w:rPr>
                <w:rFonts w:ascii="Times New Roman" w:eastAsia="方正大黑体_GBK" w:hAnsi="Times New Roman" w:cs="Times New Roman"/>
                <w:sz w:val="28"/>
                <w:szCs w:val="28"/>
              </w:rPr>
            </w:r>
            <w:r>
              <w:rPr>
                <w:rFonts w:ascii="Times New Roman" w:eastAsia="方正大黑体_GBK" w:hAnsi="Times New Roman" w:cs="Times New Roman"/>
                <w:sz w:val="28"/>
                <w:szCs w:val="28"/>
              </w:rPr>
              <w:fldChar w:fldCharType="separate"/>
            </w:r>
            <w:r>
              <w:rPr>
                <w:rFonts w:ascii="Times New Roman" w:eastAsia="方正大黑体_GBK" w:hAnsi="Times New Roman" w:cs="Times New Roman"/>
                <w:sz w:val="28"/>
                <w:szCs w:val="28"/>
              </w:rPr>
              <w:t>23</w:t>
            </w:r>
            <w:r>
              <w:rPr>
                <w:rFonts w:ascii="Times New Roman" w:eastAsia="方正大黑体_GBK" w:hAnsi="Times New Roman" w:cs="Times New Roman"/>
                <w:sz w:val="28"/>
                <w:szCs w:val="28"/>
              </w:rPr>
              <w:fldChar w:fldCharType="end"/>
            </w:r>
          </w:hyperlink>
        </w:p>
        <w:p w14:paraId="57E47C72" w14:textId="77777777" w:rsidR="00CB0142" w:rsidRDefault="00AF7DAE">
          <w:pPr>
            <w:pStyle w:val="1"/>
            <w:tabs>
              <w:tab w:val="right" w:leader="dot" w:pos="9922"/>
            </w:tabs>
            <w:snapToGrid w:val="0"/>
            <w:spacing w:line="360" w:lineRule="auto"/>
            <w:rPr>
              <w:rFonts w:ascii="Times New Roman" w:eastAsia="方正大黑体_GBK" w:hAnsi="Times New Roman" w:cs="Times New Roman"/>
              <w:sz w:val="28"/>
              <w:szCs w:val="28"/>
            </w:rPr>
          </w:pPr>
          <w:hyperlink w:anchor="_Toc32699" w:history="1">
            <w:r>
              <w:rPr>
                <w:rFonts w:ascii="Times New Roman" w:eastAsia="方正大黑体_GBK" w:hAnsi="Times New Roman" w:cs="Times New Roman"/>
                <w:bCs/>
                <w:sz w:val="28"/>
                <w:szCs w:val="28"/>
              </w:rPr>
              <w:t xml:space="preserve">CHAPTER 2 </w:t>
            </w:r>
          </w:hyperlink>
          <w:hyperlink w:anchor="_Toc12945" w:history="1">
            <w:r>
              <w:rPr>
                <w:rFonts w:ascii="Times New Roman" w:eastAsia="方正大黑体_GBK" w:hAnsi="Times New Roman" w:cs="Times New Roman"/>
                <w:bCs/>
                <w:sz w:val="28"/>
                <w:szCs w:val="28"/>
              </w:rPr>
              <w:t>SECTION ANALYSIS OF THE CURRENT STATE OF ORGANIZATIONAL CHANGES IN CHINESE COMPANIES</w:t>
            </w:r>
            <w:r>
              <w:rPr>
                <w:rFonts w:ascii="Times New Roman" w:eastAsia="方正大黑体_GBK" w:hAnsi="Times New Roman" w:cs="Times New Roman"/>
                <w:sz w:val="28"/>
                <w:szCs w:val="28"/>
              </w:rPr>
              <w:tab/>
            </w:r>
            <w:r>
              <w:rPr>
                <w:rFonts w:ascii="Times New Roman" w:eastAsia="方正大黑体_GBK" w:hAnsi="Times New Roman" w:cs="Times New Roman"/>
                <w:sz w:val="28"/>
                <w:szCs w:val="28"/>
              </w:rPr>
              <w:fldChar w:fldCharType="begin"/>
            </w:r>
            <w:r>
              <w:rPr>
                <w:rFonts w:ascii="Times New Roman" w:eastAsia="方正大黑体_GBK" w:hAnsi="Times New Roman" w:cs="Times New Roman"/>
                <w:sz w:val="28"/>
                <w:szCs w:val="28"/>
              </w:rPr>
              <w:instrText xml:space="preserve"> PAGEREF _Toc12945 \h </w:instrText>
            </w:r>
            <w:r>
              <w:rPr>
                <w:rFonts w:ascii="Times New Roman" w:eastAsia="方正大黑体_GBK" w:hAnsi="Times New Roman" w:cs="Times New Roman"/>
                <w:sz w:val="28"/>
                <w:szCs w:val="28"/>
              </w:rPr>
            </w:r>
            <w:r>
              <w:rPr>
                <w:rFonts w:ascii="Times New Roman" w:eastAsia="方正大黑体_GBK" w:hAnsi="Times New Roman" w:cs="Times New Roman"/>
                <w:sz w:val="28"/>
                <w:szCs w:val="28"/>
              </w:rPr>
              <w:fldChar w:fldCharType="separate"/>
            </w:r>
            <w:r>
              <w:rPr>
                <w:rFonts w:ascii="Times New Roman" w:eastAsia="方正大黑体_GBK" w:hAnsi="Times New Roman" w:cs="Times New Roman"/>
                <w:sz w:val="28"/>
                <w:szCs w:val="28"/>
              </w:rPr>
              <w:t>29</w:t>
            </w:r>
            <w:r>
              <w:rPr>
                <w:rFonts w:ascii="Times New Roman" w:eastAsia="方正大黑体_GBK" w:hAnsi="Times New Roman" w:cs="Times New Roman"/>
                <w:sz w:val="28"/>
                <w:szCs w:val="28"/>
              </w:rPr>
              <w:fldChar w:fldCharType="end"/>
            </w:r>
          </w:hyperlink>
        </w:p>
        <w:p w14:paraId="73871806" w14:textId="77777777" w:rsidR="00CB0142" w:rsidRDefault="00AF7DAE">
          <w:pPr>
            <w:pStyle w:val="2"/>
            <w:tabs>
              <w:tab w:val="right" w:leader="dot" w:pos="9922"/>
            </w:tabs>
            <w:snapToGrid w:val="0"/>
            <w:spacing w:line="360" w:lineRule="auto"/>
            <w:ind w:leftChars="0" w:left="0"/>
            <w:rPr>
              <w:rFonts w:ascii="Times New Roman" w:eastAsia="方正大黑体_GBK" w:hAnsi="Times New Roman" w:cs="Times New Roman"/>
              <w:sz w:val="28"/>
              <w:szCs w:val="28"/>
            </w:rPr>
          </w:pPr>
          <w:hyperlink w:anchor="_Toc25779" w:history="1">
            <w:r>
              <w:rPr>
                <w:rFonts w:ascii="Times New Roman" w:eastAsia="方正大黑体_GBK" w:hAnsi="Times New Roman" w:cs="Times New Roman"/>
                <w:bCs/>
                <w:sz w:val="28"/>
                <w:szCs w:val="28"/>
              </w:rPr>
              <w:t>2.1. Organizational and economic characteristics of the Chinese company</w:t>
            </w:r>
            <w:r>
              <w:rPr>
                <w:rFonts w:ascii="Times New Roman" w:eastAsia="方正大黑体_GBK" w:hAnsi="Times New Roman" w:cs="Times New Roman"/>
                <w:sz w:val="28"/>
                <w:szCs w:val="28"/>
              </w:rPr>
              <w:tab/>
            </w:r>
            <w:r>
              <w:rPr>
                <w:rFonts w:ascii="Times New Roman" w:eastAsia="方正大黑体_GBK" w:hAnsi="Times New Roman" w:cs="Times New Roman"/>
                <w:sz w:val="28"/>
                <w:szCs w:val="28"/>
              </w:rPr>
              <w:fldChar w:fldCharType="begin"/>
            </w:r>
            <w:r>
              <w:rPr>
                <w:rFonts w:ascii="Times New Roman" w:eastAsia="方正大黑体_GBK" w:hAnsi="Times New Roman" w:cs="Times New Roman"/>
                <w:sz w:val="28"/>
                <w:szCs w:val="28"/>
              </w:rPr>
              <w:instrText xml:space="preserve"> PAGEREF _Toc25779 \h </w:instrText>
            </w:r>
            <w:r>
              <w:rPr>
                <w:rFonts w:ascii="Times New Roman" w:eastAsia="方正大黑体_GBK" w:hAnsi="Times New Roman" w:cs="Times New Roman"/>
                <w:sz w:val="28"/>
                <w:szCs w:val="28"/>
              </w:rPr>
            </w:r>
            <w:r>
              <w:rPr>
                <w:rFonts w:ascii="Times New Roman" w:eastAsia="方正大黑体_GBK" w:hAnsi="Times New Roman" w:cs="Times New Roman"/>
                <w:sz w:val="28"/>
                <w:szCs w:val="28"/>
              </w:rPr>
              <w:fldChar w:fldCharType="separate"/>
            </w:r>
            <w:r>
              <w:rPr>
                <w:rFonts w:ascii="Times New Roman" w:eastAsia="方正大黑体_GBK" w:hAnsi="Times New Roman" w:cs="Times New Roman"/>
                <w:sz w:val="28"/>
                <w:szCs w:val="28"/>
              </w:rPr>
              <w:t>29</w:t>
            </w:r>
            <w:r>
              <w:rPr>
                <w:rFonts w:ascii="Times New Roman" w:eastAsia="方正大黑体_GBK" w:hAnsi="Times New Roman" w:cs="Times New Roman"/>
                <w:sz w:val="28"/>
                <w:szCs w:val="28"/>
              </w:rPr>
              <w:fldChar w:fldCharType="end"/>
            </w:r>
          </w:hyperlink>
        </w:p>
        <w:p w14:paraId="20B18CA0" w14:textId="77777777" w:rsidR="00CB0142" w:rsidRDefault="00AF7DAE">
          <w:pPr>
            <w:pStyle w:val="2"/>
            <w:tabs>
              <w:tab w:val="right" w:leader="dot" w:pos="9922"/>
            </w:tabs>
            <w:snapToGrid w:val="0"/>
            <w:spacing w:line="360" w:lineRule="auto"/>
            <w:ind w:leftChars="0" w:left="0"/>
            <w:rPr>
              <w:rFonts w:ascii="Times New Roman" w:eastAsia="方正大黑体_GBK" w:hAnsi="Times New Roman" w:cs="Times New Roman"/>
              <w:sz w:val="28"/>
              <w:szCs w:val="28"/>
            </w:rPr>
          </w:pPr>
          <w:hyperlink w:anchor="_Toc3601" w:history="1">
            <w:r>
              <w:rPr>
                <w:rFonts w:ascii="Times New Roman" w:eastAsia="方正大黑体_GBK" w:hAnsi="Times New Roman" w:cs="Times New Roman"/>
                <w:bCs/>
                <w:sz w:val="28"/>
                <w:szCs w:val="28"/>
              </w:rPr>
              <w:t>2.2. Indicators and trends of organizational changes in Chinese companies</w:t>
            </w:r>
            <w:r>
              <w:rPr>
                <w:rFonts w:ascii="Times New Roman" w:eastAsia="方正大黑体_GBK" w:hAnsi="Times New Roman" w:cs="Times New Roman"/>
                <w:sz w:val="28"/>
                <w:szCs w:val="28"/>
              </w:rPr>
              <w:tab/>
            </w:r>
            <w:r>
              <w:rPr>
                <w:rFonts w:ascii="Times New Roman" w:eastAsia="方正大黑体_GBK" w:hAnsi="Times New Roman" w:cs="Times New Roman"/>
                <w:sz w:val="28"/>
                <w:szCs w:val="28"/>
              </w:rPr>
              <w:fldChar w:fldCharType="begin"/>
            </w:r>
            <w:r>
              <w:rPr>
                <w:rFonts w:ascii="Times New Roman" w:eastAsia="方正大黑体_GBK" w:hAnsi="Times New Roman" w:cs="Times New Roman"/>
                <w:sz w:val="28"/>
                <w:szCs w:val="28"/>
              </w:rPr>
              <w:instrText xml:space="preserve"> PAGEREF _Toc3601 \h </w:instrText>
            </w:r>
            <w:r>
              <w:rPr>
                <w:rFonts w:ascii="Times New Roman" w:eastAsia="方正大黑体_GBK" w:hAnsi="Times New Roman" w:cs="Times New Roman"/>
                <w:sz w:val="28"/>
                <w:szCs w:val="28"/>
              </w:rPr>
            </w:r>
            <w:r>
              <w:rPr>
                <w:rFonts w:ascii="Times New Roman" w:eastAsia="方正大黑体_GBK" w:hAnsi="Times New Roman" w:cs="Times New Roman"/>
                <w:sz w:val="28"/>
                <w:szCs w:val="28"/>
              </w:rPr>
              <w:fldChar w:fldCharType="separate"/>
            </w:r>
            <w:r>
              <w:rPr>
                <w:rFonts w:ascii="Times New Roman" w:eastAsia="方正大黑体_GBK" w:hAnsi="Times New Roman" w:cs="Times New Roman"/>
                <w:sz w:val="28"/>
                <w:szCs w:val="28"/>
              </w:rPr>
              <w:t>35</w:t>
            </w:r>
            <w:r>
              <w:rPr>
                <w:rFonts w:ascii="Times New Roman" w:eastAsia="方正大黑体_GBK" w:hAnsi="Times New Roman" w:cs="Times New Roman"/>
                <w:sz w:val="28"/>
                <w:szCs w:val="28"/>
              </w:rPr>
              <w:fldChar w:fldCharType="end"/>
            </w:r>
          </w:hyperlink>
        </w:p>
        <w:p w14:paraId="566CA613" w14:textId="77777777" w:rsidR="00CB0142" w:rsidRDefault="00AF7DAE">
          <w:pPr>
            <w:pStyle w:val="2"/>
            <w:tabs>
              <w:tab w:val="right" w:leader="dot" w:pos="9922"/>
            </w:tabs>
            <w:snapToGrid w:val="0"/>
            <w:spacing w:line="360" w:lineRule="auto"/>
            <w:ind w:leftChars="0" w:left="0"/>
            <w:rPr>
              <w:rFonts w:ascii="Times New Roman" w:eastAsia="方正大黑体_GBK" w:hAnsi="Times New Roman" w:cs="Times New Roman"/>
              <w:sz w:val="28"/>
              <w:szCs w:val="28"/>
            </w:rPr>
          </w:pPr>
          <w:hyperlink w:anchor="_Toc13212" w:history="1">
            <w:r>
              <w:rPr>
                <w:rFonts w:ascii="Times New Roman" w:eastAsia="方正大黑体_GBK" w:hAnsi="Times New Roman" w:cs="Times New Roman"/>
                <w:bCs/>
                <w:sz w:val="28"/>
                <w:szCs w:val="28"/>
              </w:rPr>
              <w:t>2.3. Evaluation of the effectiveness of organizational transformations in Chinese companies</w:t>
            </w:r>
            <w:r>
              <w:rPr>
                <w:rFonts w:ascii="Times New Roman" w:eastAsia="方正大黑体_GBK" w:hAnsi="Times New Roman" w:cs="Times New Roman"/>
                <w:sz w:val="28"/>
                <w:szCs w:val="28"/>
              </w:rPr>
              <w:tab/>
            </w:r>
            <w:r>
              <w:rPr>
                <w:rFonts w:ascii="Times New Roman" w:eastAsia="方正大黑体_GBK" w:hAnsi="Times New Roman" w:cs="Times New Roman"/>
                <w:sz w:val="28"/>
                <w:szCs w:val="28"/>
              </w:rPr>
              <w:fldChar w:fldCharType="begin"/>
            </w:r>
            <w:r>
              <w:rPr>
                <w:rFonts w:ascii="Times New Roman" w:eastAsia="方正大黑体_GBK" w:hAnsi="Times New Roman" w:cs="Times New Roman"/>
                <w:sz w:val="28"/>
                <w:szCs w:val="28"/>
              </w:rPr>
              <w:instrText xml:space="preserve"> PAGEREF _Toc13212 \h </w:instrText>
            </w:r>
            <w:r>
              <w:rPr>
                <w:rFonts w:ascii="Times New Roman" w:eastAsia="方正大黑体_GBK" w:hAnsi="Times New Roman" w:cs="Times New Roman"/>
                <w:sz w:val="28"/>
                <w:szCs w:val="28"/>
              </w:rPr>
            </w:r>
            <w:r>
              <w:rPr>
                <w:rFonts w:ascii="Times New Roman" w:eastAsia="方正大黑体_GBK" w:hAnsi="Times New Roman" w:cs="Times New Roman"/>
                <w:sz w:val="28"/>
                <w:szCs w:val="28"/>
              </w:rPr>
              <w:fldChar w:fldCharType="separate"/>
            </w:r>
            <w:r>
              <w:rPr>
                <w:rFonts w:ascii="Times New Roman" w:eastAsia="方正大黑体_GBK" w:hAnsi="Times New Roman" w:cs="Times New Roman"/>
                <w:sz w:val="28"/>
                <w:szCs w:val="28"/>
              </w:rPr>
              <w:t>38</w:t>
            </w:r>
            <w:r>
              <w:rPr>
                <w:rFonts w:ascii="Times New Roman" w:eastAsia="方正大黑体_GBK" w:hAnsi="Times New Roman" w:cs="Times New Roman"/>
                <w:sz w:val="28"/>
                <w:szCs w:val="28"/>
              </w:rPr>
              <w:fldChar w:fldCharType="end"/>
            </w:r>
          </w:hyperlink>
        </w:p>
        <w:p w14:paraId="212BF97A" w14:textId="77777777" w:rsidR="00CB0142" w:rsidRDefault="00AF7DAE">
          <w:pPr>
            <w:pStyle w:val="1"/>
            <w:tabs>
              <w:tab w:val="right" w:leader="dot" w:pos="9922"/>
            </w:tabs>
            <w:snapToGrid w:val="0"/>
            <w:spacing w:line="360" w:lineRule="auto"/>
            <w:rPr>
              <w:rFonts w:ascii="Times New Roman" w:eastAsia="方正大黑体_GBK" w:hAnsi="Times New Roman" w:cs="Times New Roman"/>
              <w:sz w:val="28"/>
              <w:szCs w:val="28"/>
            </w:rPr>
          </w:pPr>
          <w:hyperlink w:anchor="_Toc31546" w:history="1">
            <w:r>
              <w:rPr>
                <w:rFonts w:ascii="Times New Roman" w:eastAsia="方正大黑体_GBK" w:hAnsi="Times New Roman" w:cs="Times New Roman"/>
                <w:bCs/>
                <w:sz w:val="28"/>
                <w:szCs w:val="28"/>
              </w:rPr>
              <w:t>CHAPTER 3</w:t>
            </w:r>
            <w:r>
              <w:rPr>
                <w:rFonts w:ascii="Times New Roman" w:eastAsia="方正大黑体_GBK" w:hAnsi="Times New Roman" w:cs="Times New Roman" w:hint="eastAsia"/>
                <w:bCs/>
                <w:sz w:val="28"/>
                <w:szCs w:val="28"/>
              </w:rPr>
              <w:t xml:space="preserve"> </w:t>
            </w:r>
          </w:hyperlink>
          <w:hyperlink w:anchor="_Toc25617" w:history="1">
            <w:r>
              <w:rPr>
                <w:rFonts w:ascii="Times New Roman" w:eastAsia="方正大黑体_GBK" w:hAnsi="Times New Roman" w:cs="Times New Roman"/>
                <w:bCs/>
                <w:sz w:val="28"/>
                <w:szCs w:val="28"/>
              </w:rPr>
              <w:t>STRATEGIES AND PROSPECTS FOR STRENGTHENING ORGANIZATIONAL CHANGE IN CHINESE COMPANIES</w:t>
            </w:r>
            <w:r>
              <w:rPr>
                <w:rFonts w:ascii="Times New Roman" w:eastAsia="方正大黑体_GBK" w:hAnsi="Times New Roman" w:cs="Times New Roman"/>
                <w:sz w:val="28"/>
                <w:szCs w:val="28"/>
              </w:rPr>
              <w:tab/>
            </w:r>
            <w:r>
              <w:rPr>
                <w:rFonts w:ascii="Times New Roman" w:eastAsia="方正大黑体_GBK" w:hAnsi="Times New Roman" w:cs="Times New Roman"/>
                <w:sz w:val="28"/>
                <w:szCs w:val="28"/>
              </w:rPr>
              <w:fldChar w:fldCharType="begin"/>
            </w:r>
            <w:r>
              <w:rPr>
                <w:rFonts w:ascii="Times New Roman" w:eastAsia="方正大黑体_GBK" w:hAnsi="Times New Roman" w:cs="Times New Roman"/>
                <w:sz w:val="28"/>
                <w:szCs w:val="28"/>
              </w:rPr>
              <w:instrText xml:space="preserve"> PAGEREF _Toc25617 \h </w:instrText>
            </w:r>
            <w:r>
              <w:rPr>
                <w:rFonts w:ascii="Times New Roman" w:eastAsia="方正大黑体_GBK" w:hAnsi="Times New Roman" w:cs="Times New Roman"/>
                <w:sz w:val="28"/>
                <w:szCs w:val="28"/>
              </w:rPr>
            </w:r>
            <w:r>
              <w:rPr>
                <w:rFonts w:ascii="Times New Roman" w:eastAsia="方正大黑体_GBK" w:hAnsi="Times New Roman" w:cs="Times New Roman"/>
                <w:sz w:val="28"/>
                <w:szCs w:val="28"/>
              </w:rPr>
              <w:fldChar w:fldCharType="separate"/>
            </w:r>
            <w:r>
              <w:rPr>
                <w:rFonts w:ascii="Times New Roman" w:eastAsia="方正大黑体_GBK" w:hAnsi="Times New Roman" w:cs="Times New Roman"/>
                <w:sz w:val="28"/>
                <w:szCs w:val="28"/>
              </w:rPr>
              <w:t>55</w:t>
            </w:r>
            <w:r>
              <w:rPr>
                <w:rFonts w:ascii="Times New Roman" w:eastAsia="方正大黑体_GBK" w:hAnsi="Times New Roman" w:cs="Times New Roman"/>
                <w:sz w:val="28"/>
                <w:szCs w:val="28"/>
              </w:rPr>
              <w:fldChar w:fldCharType="end"/>
            </w:r>
          </w:hyperlink>
        </w:p>
        <w:p w14:paraId="2F0E773E" w14:textId="77777777" w:rsidR="00CB0142" w:rsidRDefault="00AF7DAE">
          <w:pPr>
            <w:pStyle w:val="2"/>
            <w:tabs>
              <w:tab w:val="right" w:leader="dot" w:pos="9922"/>
            </w:tabs>
            <w:snapToGrid w:val="0"/>
            <w:spacing w:line="360" w:lineRule="auto"/>
            <w:ind w:leftChars="0" w:left="0"/>
            <w:rPr>
              <w:rFonts w:ascii="Times New Roman" w:eastAsia="方正大黑体_GBK" w:hAnsi="Times New Roman" w:cs="Times New Roman"/>
              <w:sz w:val="28"/>
              <w:szCs w:val="28"/>
            </w:rPr>
          </w:pPr>
          <w:hyperlink w:anchor="_Toc28968" w:history="1">
            <w:r>
              <w:rPr>
                <w:rFonts w:ascii="Times New Roman" w:eastAsia="方正大黑体_GBK" w:hAnsi="Times New Roman" w:cs="Times New Roman"/>
                <w:bCs/>
                <w:sz w:val="28"/>
                <w:szCs w:val="28"/>
              </w:rPr>
              <w:t>3.1. Key factors for successful implementation of changes in the management system</w:t>
            </w:r>
            <w:r>
              <w:rPr>
                <w:rFonts w:ascii="Times New Roman" w:eastAsia="方正大黑体_GBK" w:hAnsi="Times New Roman" w:cs="Times New Roman"/>
                <w:sz w:val="28"/>
                <w:szCs w:val="28"/>
              </w:rPr>
              <w:tab/>
            </w:r>
            <w:r>
              <w:rPr>
                <w:rFonts w:ascii="Times New Roman" w:eastAsia="方正大黑体_GBK" w:hAnsi="Times New Roman" w:cs="Times New Roman"/>
                <w:sz w:val="28"/>
                <w:szCs w:val="28"/>
              </w:rPr>
              <w:fldChar w:fldCharType="begin"/>
            </w:r>
            <w:r>
              <w:rPr>
                <w:rFonts w:ascii="Times New Roman" w:eastAsia="方正大黑体_GBK" w:hAnsi="Times New Roman" w:cs="Times New Roman"/>
                <w:sz w:val="28"/>
                <w:szCs w:val="28"/>
              </w:rPr>
              <w:instrText xml:space="preserve"> PAGEREF _Toc28968 \h </w:instrText>
            </w:r>
            <w:r>
              <w:rPr>
                <w:rFonts w:ascii="Times New Roman" w:eastAsia="方正大黑体_GBK" w:hAnsi="Times New Roman" w:cs="Times New Roman"/>
                <w:sz w:val="28"/>
                <w:szCs w:val="28"/>
              </w:rPr>
            </w:r>
            <w:r>
              <w:rPr>
                <w:rFonts w:ascii="Times New Roman" w:eastAsia="方正大黑体_GBK" w:hAnsi="Times New Roman" w:cs="Times New Roman"/>
                <w:sz w:val="28"/>
                <w:szCs w:val="28"/>
              </w:rPr>
              <w:fldChar w:fldCharType="separate"/>
            </w:r>
            <w:r>
              <w:rPr>
                <w:rFonts w:ascii="Times New Roman" w:eastAsia="方正大黑体_GBK" w:hAnsi="Times New Roman" w:cs="Times New Roman"/>
                <w:sz w:val="28"/>
                <w:szCs w:val="28"/>
              </w:rPr>
              <w:t>55</w:t>
            </w:r>
            <w:r>
              <w:rPr>
                <w:rFonts w:ascii="Times New Roman" w:eastAsia="方正大黑体_GBK" w:hAnsi="Times New Roman" w:cs="Times New Roman"/>
                <w:sz w:val="28"/>
                <w:szCs w:val="28"/>
              </w:rPr>
              <w:fldChar w:fldCharType="end"/>
            </w:r>
          </w:hyperlink>
        </w:p>
        <w:p w14:paraId="590148A8" w14:textId="77777777" w:rsidR="00CB0142" w:rsidRDefault="00AF7DAE">
          <w:pPr>
            <w:pStyle w:val="2"/>
            <w:tabs>
              <w:tab w:val="right" w:leader="dot" w:pos="9922"/>
            </w:tabs>
            <w:snapToGrid w:val="0"/>
            <w:spacing w:line="360" w:lineRule="auto"/>
            <w:ind w:leftChars="0" w:left="0"/>
            <w:rPr>
              <w:rFonts w:ascii="Times New Roman" w:eastAsia="方正大黑体_GBK" w:hAnsi="Times New Roman" w:cs="Times New Roman"/>
              <w:sz w:val="28"/>
              <w:szCs w:val="28"/>
            </w:rPr>
          </w:pPr>
          <w:hyperlink w:anchor="_Toc7939" w:history="1">
            <w:r>
              <w:rPr>
                <w:rFonts w:ascii="Times New Roman" w:eastAsia="方正大黑体_GBK" w:hAnsi="Times New Roman" w:cs="Times New Roman"/>
                <w:bCs/>
                <w:sz w:val="28"/>
                <w:szCs w:val="28"/>
              </w:rPr>
              <w:t>3.2. Digital and innovation-oriented strategies of organizational changes</w:t>
            </w:r>
            <w:r>
              <w:rPr>
                <w:rFonts w:ascii="Times New Roman" w:eastAsia="方正大黑体_GBK" w:hAnsi="Times New Roman" w:cs="Times New Roman"/>
                <w:sz w:val="28"/>
                <w:szCs w:val="28"/>
              </w:rPr>
              <w:tab/>
            </w:r>
            <w:r>
              <w:rPr>
                <w:rFonts w:ascii="Times New Roman" w:eastAsia="方正大黑体_GBK" w:hAnsi="Times New Roman" w:cs="Times New Roman"/>
                <w:sz w:val="28"/>
                <w:szCs w:val="28"/>
              </w:rPr>
              <w:fldChar w:fldCharType="begin"/>
            </w:r>
            <w:r>
              <w:rPr>
                <w:rFonts w:ascii="Times New Roman" w:eastAsia="方正大黑体_GBK" w:hAnsi="Times New Roman" w:cs="Times New Roman"/>
                <w:sz w:val="28"/>
                <w:szCs w:val="28"/>
              </w:rPr>
              <w:instrText xml:space="preserve"> PAGEREF _Toc7939 \h </w:instrText>
            </w:r>
            <w:r>
              <w:rPr>
                <w:rFonts w:ascii="Times New Roman" w:eastAsia="方正大黑体_GBK" w:hAnsi="Times New Roman" w:cs="Times New Roman"/>
                <w:sz w:val="28"/>
                <w:szCs w:val="28"/>
              </w:rPr>
            </w:r>
            <w:r>
              <w:rPr>
                <w:rFonts w:ascii="Times New Roman" w:eastAsia="方正大黑体_GBK" w:hAnsi="Times New Roman" w:cs="Times New Roman"/>
                <w:sz w:val="28"/>
                <w:szCs w:val="28"/>
              </w:rPr>
              <w:fldChar w:fldCharType="separate"/>
            </w:r>
            <w:r>
              <w:rPr>
                <w:rFonts w:ascii="Times New Roman" w:eastAsia="方正大黑体_GBK" w:hAnsi="Times New Roman" w:cs="Times New Roman"/>
                <w:sz w:val="28"/>
                <w:szCs w:val="28"/>
              </w:rPr>
              <w:t>59</w:t>
            </w:r>
            <w:r>
              <w:rPr>
                <w:rFonts w:ascii="Times New Roman" w:eastAsia="方正大黑体_GBK" w:hAnsi="Times New Roman" w:cs="Times New Roman"/>
                <w:sz w:val="28"/>
                <w:szCs w:val="28"/>
              </w:rPr>
              <w:fldChar w:fldCharType="end"/>
            </w:r>
          </w:hyperlink>
        </w:p>
        <w:p w14:paraId="214D4BA5" w14:textId="77777777" w:rsidR="00CB0142" w:rsidRDefault="00AF7DAE">
          <w:pPr>
            <w:pStyle w:val="2"/>
            <w:tabs>
              <w:tab w:val="right" w:leader="dot" w:pos="9922"/>
            </w:tabs>
            <w:snapToGrid w:val="0"/>
            <w:spacing w:line="360" w:lineRule="auto"/>
            <w:ind w:leftChars="0" w:left="0"/>
            <w:rPr>
              <w:rFonts w:ascii="Times New Roman" w:eastAsia="方正大黑体_GBK" w:hAnsi="Times New Roman" w:cs="Times New Roman"/>
              <w:sz w:val="28"/>
              <w:szCs w:val="28"/>
            </w:rPr>
          </w:pPr>
          <w:hyperlink w:anchor="_Toc21054" w:history="1">
            <w:r>
              <w:rPr>
                <w:rFonts w:ascii="Times New Roman" w:eastAsia="方正大黑体_GBK" w:hAnsi="Times New Roman" w:cs="Times New Roman"/>
                <w:bCs/>
                <w:sz w:val="28"/>
                <w:szCs w:val="28"/>
              </w:rPr>
              <w:t>3.3 Building a mechanism for managing organizational changes in Chinese companies</w:t>
            </w:r>
            <w:r>
              <w:rPr>
                <w:rFonts w:ascii="Times New Roman" w:eastAsia="方正大黑体_GBK" w:hAnsi="Times New Roman" w:cs="Times New Roman"/>
                <w:sz w:val="28"/>
                <w:szCs w:val="28"/>
              </w:rPr>
              <w:tab/>
            </w:r>
            <w:r>
              <w:rPr>
                <w:rFonts w:ascii="Times New Roman" w:eastAsia="方正大黑体_GBK" w:hAnsi="Times New Roman" w:cs="Times New Roman"/>
                <w:sz w:val="28"/>
                <w:szCs w:val="28"/>
              </w:rPr>
              <w:fldChar w:fldCharType="begin"/>
            </w:r>
            <w:r>
              <w:rPr>
                <w:rFonts w:ascii="Times New Roman" w:eastAsia="方正大黑体_GBK" w:hAnsi="Times New Roman" w:cs="Times New Roman"/>
                <w:sz w:val="28"/>
                <w:szCs w:val="28"/>
              </w:rPr>
              <w:instrText xml:space="preserve"> PAGEREF _Toc21054 \h </w:instrText>
            </w:r>
            <w:r>
              <w:rPr>
                <w:rFonts w:ascii="Times New Roman" w:eastAsia="方正大黑体_GBK" w:hAnsi="Times New Roman" w:cs="Times New Roman"/>
                <w:sz w:val="28"/>
                <w:szCs w:val="28"/>
              </w:rPr>
            </w:r>
            <w:r>
              <w:rPr>
                <w:rFonts w:ascii="Times New Roman" w:eastAsia="方正大黑体_GBK" w:hAnsi="Times New Roman" w:cs="Times New Roman"/>
                <w:sz w:val="28"/>
                <w:szCs w:val="28"/>
              </w:rPr>
              <w:fldChar w:fldCharType="separate"/>
            </w:r>
            <w:r>
              <w:rPr>
                <w:rFonts w:ascii="Times New Roman" w:eastAsia="方正大黑体_GBK" w:hAnsi="Times New Roman" w:cs="Times New Roman"/>
                <w:sz w:val="28"/>
                <w:szCs w:val="28"/>
              </w:rPr>
              <w:t>69</w:t>
            </w:r>
            <w:r>
              <w:rPr>
                <w:rFonts w:ascii="Times New Roman" w:eastAsia="方正大黑体_GBK" w:hAnsi="Times New Roman" w:cs="Times New Roman"/>
                <w:sz w:val="28"/>
                <w:szCs w:val="28"/>
              </w:rPr>
              <w:fldChar w:fldCharType="end"/>
            </w:r>
          </w:hyperlink>
        </w:p>
        <w:p w14:paraId="2D5BC106" w14:textId="77777777" w:rsidR="00CB0142" w:rsidRDefault="00AF7DAE">
          <w:pPr>
            <w:pStyle w:val="1"/>
            <w:tabs>
              <w:tab w:val="right" w:leader="dot" w:pos="9922"/>
            </w:tabs>
            <w:snapToGrid w:val="0"/>
            <w:spacing w:line="360" w:lineRule="auto"/>
            <w:rPr>
              <w:rFonts w:ascii="Times New Roman" w:eastAsia="方正大黑体_GBK" w:hAnsi="Times New Roman" w:cs="Times New Roman"/>
              <w:sz w:val="28"/>
              <w:szCs w:val="28"/>
            </w:rPr>
          </w:pPr>
          <w:hyperlink w:anchor="_Toc3482" w:history="1">
            <w:r>
              <w:rPr>
                <w:rFonts w:ascii="Times New Roman" w:eastAsia="方正大黑体_GBK" w:hAnsi="Times New Roman" w:cs="Times New Roman"/>
                <w:bCs/>
                <w:sz w:val="28"/>
                <w:szCs w:val="28"/>
              </w:rPr>
              <w:t>CONCLUSIONS</w:t>
            </w:r>
            <w:r>
              <w:rPr>
                <w:rFonts w:ascii="Times New Roman" w:eastAsia="方正大黑体_GBK" w:hAnsi="Times New Roman" w:cs="Times New Roman"/>
                <w:sz w:val="28"/>
                <w:szCs w:val="28"/>
              </w:rPr>
              <w:tab/>
            </w:r>
            <w:r>
              <w:rPr>
                <w:rFonts w:ascii="Times New Roman" w:eastAsia="方正大黑体_GBK" w:hAnsi="Times New Roman" w:cs="Times New Roman"/>
                <w:sz w:val="28"/>
                <w:szCs w:val="28"/>
              </w:rPr>
              <w:fldChar w:fldCharType="begin"/>
            </w:r>
            <w:r>
              <w:rPr>
                <w:rFonts w:ascii="Times New Roman" w:eastAsia="方正大黑体_GBK" w:hAnsi="Times New Roman" w:cs="Times New Roman"/>
                <w:sz w:val="28"/>
                <w:szCs w:val="28"/>
              </w:rPr>
              <w:instrText xml:space="preserve"> PAGEREF _Toc3482 \h </w:instrText>
            </w:r>
            <w:r>
              <w:rPr>
                <w:rFonts w:ascii="Times New Roman" w:eastAsia="方正大黑体_GBK" w:hAnsi="Times New Roman" w:cs="Times New Roman"/>
                <w:sz w:val="28"/>
                <w:szCs w:val="28"/>
              </w:rPr>
            </w:r>
            <w:r>
              <w:rPr>
                <w:rFonts w:ascii="Times New Roman" w:eastAsia="方正大黑体_GBK" w:hAnsi="Times New Roman" w:cs="Times New Roman"/>
                <w:sz w:val="28"/>
                <w:szCs w:val="28"/>
              </w:rPr>
              <w:fldChar w:fldCharType="separate"/>
            </w:r>
            <w:r>
              <w:rPr>
                <w:rFonts w:ascii="Times New Roman" w:eastAsia="方正大黑体_GBK" w:hAnsi="Times New Roman" w:cs="Times New Roman"/>
                <w:sz w:val="28"/>
                <w:szCs w:val="28"/>
              </w:rPr>
              <w:t>83</w:t>
            </w:r>
            <w:r>
              <w:rPr>
                <w:rFonts w:ascii="Times New Roman" w:eastAsia="方正大黑体_GBK" w:hAnsi="Times New Roman" w:cs="Times New Roman"/>
                <w:sz w:val="28"/>
                <w:szCs w:val="28"/>
              </w:rPr>
              <w:fldChar w:fldCharType="end"/>
            </w:r>
          </w:hyperlink>
        </w:p>
        <w:p w14:paraId="3408D2FB" w14:textId="77777777" w:rsidR="00CB0142" w:rsidRDefault="00AF7DAE">
          <w:pPr>
            <w:pStyle w:val="1"/>
            <w:tabs>
              <w:tab w:val="right" w:leader="dot" w:pos="9922"/>
            </w:tabs>
            <w:snapToGrid w:val="0"/>
            <w:spacing w:line="360" w:lineRule="auto"/>
            <w:rPr>
              <w:rFonts w:ascii="Times New Roman" w:eastAsia="方正大黑体_GBK" w:hAnsi="Times New Roman" w:cs="Times New Roman"/>
              <w:sz w:val="28"/>
              <w:szCs w:val="28"/>
            </w:rPr>
          </w:pPr>
          <w:hyperlink w:anchor="_Toc31251" w:history="1">
            <w:r>
              <w:rPr>
                <w:rFonts w:ascii="Times New Roman" w:eastAsia="方正大黑体_GBK" w:hAnsi="Times New Roman" w:cs="Times New Roman"/>
                <w:bCs/>
                <w:sz w:val="28"/>
                <w:szCs w:val="28"/>
              </w:rPr>
              <w:t>REFERENCES</w:t>
            </w:r>
            <w:r>
              <w:rPr>
                <w:rFonts w:ascii="Times New Roman" w:eastAsia="方正大黑体_GBK" w:hAnsi="Times New Roman" w:cs="Times New Roman"/>
                <w:sz w:val="28"/>
                <w:szCs w:val="28"/>
              </w:rPr>
              <w:tab/>
            </w:r>
            <w:r>
              <w:rPr>
                <w:rFonts w:ascii="Times New Roman" w:eastAsia="方正大黑体_GBK" w:hAnsi="Times New Roman" w:cs="Times New Roman"/>
                <w:sz w:val="28"/>
                <w:szCs w:val="28"/>
              </w:rPr>
              <w:fldChar w:fldCharType="begin"/>
            </w:r>
            <w:r>
              <w:rPr>
                <w:rFonts w:ascii="Times New Roman" w:eastAsia="方正大黑体_GBK" w:hAnsi="Times New Roman" w:cs="Times New Roman"/>
                <w:sz w:val="28"/>
                <w:szCs w:val="28"/>
              </w:rPr>
              <w:instrText xml:space="preserve"> PAGEREF _Toc31251 \h </w:instrText>
            </w:r>
            <w:r>
              <w:rPr>
                <w:rFonts w:ascii="Times New Roman" w:eastAsia="方正大黑体_GBK" w:hAnsi="Times New Roman" w:cs="Times New Roman"/>
                <w:sz w:val="28"/>
                <w:szCs w:val="28"/>
              </w:rPr>
            </w:r>
            <w:r>
              <w:rPr>
                <w:rFonts w:ascii="Times New Roman" w:eastAsia="方正大黑体_GBK" w:hAnsi="Times New Roman" w:cs="Times New Roman"/>
                <w:sz w:val="28"/>
                <w:szCs w:val="28"/>
              </w:rPr>
              <w:fldChar w:fldCharType="separate"/>
            </w:r>
            <w:r>
              <w:rPr>
                <w:rFonts w:ascii="Times New Roman" w:eastAsia="方正大黑体_GBK" w:hAnsi="Times New Roman" w:cs="Times New Roman"/>
                <w:sz w:val="28"/>
                <w:szCs w:val="28"/>
              </w:rPr>
              <w:t>87</w:t>
            </w:r>
            <w:r>
              <w:rPr>
                <w:rFonts w:ascii="Times New Roman" w:eastAsia="方正大黑体_GBK" w:hAnsi="Times New Roman" w:cs="Times New Roman"/>
                <w:sz w:val="28"/>
                <w:szCs w:val="28"/>
              </w:rPr>
              <w:fldChar w:fldCharType="end"/>
            </w:r>
          </w:hyperlink>
        </w:p>
        <w:p w14:paraId="5192ABD1" w14:textId="77777777" w:rsidR="00CB0142" w:rsidRDefault="00AF7DAE">
          <w:pPr>
            <w:snapToGrid w:val="0"/>
            <w:spacing w:line="360" w:lineRule="auto"/>
          </w:pPr>
          <w:r>
            <w:rPr>
              <w:rFonts w:ascii="Times New Roman" w:eastAsia="方正大黑体_GBK" w:hAnsi="Times New Roman" w:cs="Times New Roman"/>
              <w:sz w:val="28"/>
              <w:szCs w:val="28"/>
            </w:rPr>
            <w:fldChar w:fldCharType="end"/>
          </w:r>
        </w:p>
      </w:sdtContent>
    </w:sdt>
    <w:p w14:paraId="02D65974" w14:textId="77777777" w:rsidR="00CB0142" w:rsidRDefault="00CB0142"/>
    <w:p w14:paraId="74327986" w14:textId="77777777" w:rsidR="00CB0142" w:rsidRDefault="00AF7DAE">
      <w:pPr>
        <w:rPr>
          <w:rFonts w:ascii="Times New Roman" w:hAnsi="Times New Roman" w:cs="Times New Roman"/>
          <w:b/>
          <w:bCs/>
          <w:sz w:val="28"/>
          <w:szCs w:val="28"/>
        </w:rPr>
      </w:pPr>
      <w:bookmarkStart w:id="0" w:name="_Toc12839"/>
      <w:r>
        <w:rPr>
          <w:rFonts w:ascii="Times New Roman" w:hAnsi="Times New Roman" w:cs="Times New Roman"/>
          <w:b/>
          <w:bCs/>
          <w:sz w:val="28"/>
          <w:szCs w:val="28"/>
        </w:rPr>
        <w:br w:type="page"/>
      </w:r>
    </w:p>
    <w:p w14:paraId="4F6D0756" w14:textId="77777777" w:rsidR="00CB0142" w:rsidRDefault="00AF7DAE">
      <w:pPr>
        <w:snapToGrid w:val="0"/>
        <w:jc w:val="center"/>
        <w:outlineLvl w:val="0"/>
        <w:rPr>
          <w:rFonts w:ascii="Times New Roman" w:hAnsi="Times New Roman" w:cs="Times New Roman"/>
          <w:b/>
          <w:bCs/>
          <w:sz w:val="28"/>
          <w:szCs w:val="28"/>
        </w:rPr>
      </w:pPr>
      <w:r>
        <w:rPr>
          <w:rFonts w:ascii="Times New Roman" w:hAnsi="Times New Roman" w:cs="Times New Roman"/>
          <w:b/>
          <w:bCs/>
          <w:sz w:val="28"/>
          <w:szCs w:val="28"/>
        </w:rPr>
        <w:lastRenderedPageBreak/>
        <w:t>INTRODUCTION</w:t>
      </w:r>
      <w:bookmarkEnd w:id="0"/>
    </w:p>
    <w:p w14:paraId="24BF502D" w14:textId="77777777" w:rsidR="00CB0142" w:rsidRDefault="00CB0142">
      <w:pPr>
        <w:snapToGrid w:val="0"/>
        <w:outlineLvl w:val="0"/>
        <w:rPr>
          <w:rFonts w:ascii="Times New Roman" w:hAnsi="Times New Roman" w:cs="Times New Roman"/>
          <w:b/>
          <w:bCs/>
          <w:sz w:val="32"/>
          <w:szCs w:val="32"/>
        </w:rPr>
      </w:pPr>
      <w:bookmarkStart w:id="1" w:name="_Toc18194"/>
    </w:p>
    <w:p w14:paraId="5A739155" w14:textId="77777777" w:rsidR="00CB0142" w:rsidRDefault="00AF7DAE">
      <w:pPr>
        <w:snapToGrid w:val="0"/>
        <w:spacing w:line="360" w:lineRule="auto"/>
        <w:ind w:firstLineChars="200" w:firstLine="562"/>
        <w:rPr>
          <w:rFonts w:ascii="Times New Roman" w:hAnsi="Times New Roman" w:cs="Times New Roman"/>
          <w:sz w:val="28"/>
          <w:szCs w:val="28"/>
        </w:rPr>
      </w:pPr>
      <w:r>
        <w:rPr>
          <w:rFonts w:ascii="Times New Roman" w:hAnsi="Times New Roman" w:cs="Times New Roman"/>
          <w:b/>
          <w:bCs/>
          <w:sz w:val="28"/>
          <w:szCs w:val="28"/>
        </w:rPr>
        <w:t>Relevance</w:t>
      </w:r>
      <w:r>
        <w:rPr>
          <w:rFonts w:ascii="Times New Roman" w:hAnsi="Times New Roman" w:cs="Times New Roman"/>
          <w:sz w:val="28"/>
          <w:szCs w:val="28"/>
        </w:rPr>
        <w:t>. Organizational change is a crucial driving force for the development of modern enterprises. Against the backdrop of increasing globalization, digitalization, and uncertainty, the importance of organizational change has become even more pronounced. Effective organizational change not only enhances an enterprise's core competitiveness, reshapes its development model, and optimizes resource allocation efficiency, but also injects strong momentum into the stable operation and high-quality development of the overall economy. At this critical stage of economic transformation and upgrading in China, organizational change is particularly significant. On the one hand, with the deepening of a new round of technological revolution and industrial transformation, traditional organizational structures and management models can no longer meet the developmental demands of the digital economy era. Enterprises must undergo profound changes to rebuild their core competitiveness. On the other hand, facing profound changes in both domestic and international economic environments, Chinese enterprises must strengthen organizational change to ensure optimal resource allocation, enhance innovation capacity, and improve management efficiency, thus promoting industrial transformation and upgrading and successfully completing the key tasks of economic restructuring. At the same time, organizational change is also an essential path for enterprises to adapt to the new development pattern and achieve high-quality growth. Through organizational change, enterprises can build more flexible structures, develop more innovative management mechanisms, and cultivate greater organizational resilience, which are of strategic importance for enhancing competitiveness, ensuring national economic security, and promoting sustainable economic and social development.</w:t>
      </w:r>
    </w:p>
    <w:p w14:paraId="1E9B528E" w14:textId="77777777" w:rsidR="00CB0142" w:rsidRDefault="00AF7DAE">
      <w:pPr>
        <w:snapToGrid w:val="0"/>
        <w:spacing w:line="360" w:lineRule="auto"/>
        <w:ind w:firstLineChars="200" w:firstLine="562"/>
        <w:rPr>
          <w:rFonts w:ascii="Times New Roman" w:hAnsi="Times New Roman" w:cs="Times New Roman"/>
          <w:sz w:val="28"/>
          <w:szCs w:val="28"/>
        </w:rPr>
      </w:pPr>
      <w:r>
        <w:rPr>
          <w:rFonts w:ascii="Times New Roman" w:hAnsi="Times New Roman" w:cs="Times New Roman"/>
          <w:b/>
          <w:bCs/>
          <w:sz w:val="28"/>
          <w:szCs w:val="28"/>
        </w:rPr>
        <w:t>Analysis of Recent Research and Publications.</w:t>
      </w:r>
      <w:r>
        <w:rPr>
          <w:rFonts w:ascii="Times New Roman" w:hAnsi="Times New Roman" w:cs="Times New Roman"/>
          <w:sz w:val="28"/>
          <w:szCs w:val="28"/>
        </w:rPr>
        <w:t xml:space="preserve"> In recent years, research on organizational change in enterprises has made significant progress in academia. Kurt Lewin's "Unfreeze-Change-Refreeze" three-step change theory provides a fundamental framework for organizational change. John Kotter (2012) systematically elaborated on the "Eight-Step Process" for organizational change, providing important guidance for change practices in enterprises. Chinese scholar Li </w:t>
      </w:r>
      <w:proofErr w:type="spellStart"/>
      <w:r>
        <w:rPr>
          <w:rFonts w:ascii="Times New Roman" w:hAnsi="Times New Roman" w:cs="Times New Roman"/>
          <w:sz w:val="28"/>
          <w:szCs w:val="28"/>
        </w:rPr>
        <w:t>Wenzhong</w:t>
      </w:r>
      <w:proofErr w:type="spellEnd"/>
      <w:r>
        <w:rPr>
          <w:rFonts w:ascii="Times New Roman" w:hAnsi="Times New Roman" w:cs="Times New Roman"/>
          <w:sz w:val="28"/>
          <w:szCs w:val="28"/>
        </w:rPr>
        <w:t xml:space="preserve"> (2018) highlighted issues </w:t>
      </w:r>
      <w:r>
        <w:rPr>
          <w:rFonts w:ascii="Times New Roman" w:hAnsi="Times New Roman" w:cs="Times New Roman"/>
          <w:sz w:val="28"/>
          <w:szCs w:val="28"/>
        </w:rPr>
        <w:lastRenderedPageBreak/>
        <w:t xml:space="preserve">such as structural adjustments and governance mechanisms faced by Chinese enterprises during organizational change. Zhang </w:t>
      </w:r>
      <w:proofErr w:type="spellStart"/>
      <w:r>
        <w:rPr>
          <w:rFonts w:ascii="Times New Roman" w:hAnsi="Times New Roman" w:cs="Times New Roman"/>
          <w:sz w:val="28"/>
          <w:szCs w:val="28"/>
        </w:rPr>
        <w:t>Ruimin</w:t>
      </w:r>
      <w:proofErr w:type="spellEnd"/>
      <w:r>
        <w:rPr>
          <w:rFonts w:ascii="Times New Roman" w:hAnsi="Times New Roman" w:cs="Times New Roman"/>
          <w:sz w:val="28"/>
          <w:szCs w:val="28"/>
        </w:rPr>
        <w:t xml:space="preserve"> (2022) emphasized the significance of digital transformation in organizational change and proposed innovative practices, such as the "</w:t>
      </w:r>
      <w:proofErr w:type="spellStart"/>
      <w:r>
        <w:rPr>
          <w:rFonts w:ascii="Times New Roman" w:hAnsi="Times New Roman" w:cs="Times New Roman"/>
          <w:sz w:val="28"/>
          <w:szCs w:val="28"/>
        </w:rPr>
        <w:t>RenDanHeYi</w:t>
      </w:r>
      <w:proofErr w:type="spellEnd"/>
      <w:r>
        <w:rPr>
          <w:rFonts w:ascii="Times New Roman" w:hAnsi="Times New Roman" w:cs="Times New Roman"/>
          <w:sz w:val="28"/>
          <w:szCs w:val="28"/>
        </w:rPr>
        <w:t>" model.</w:t>
      </w:r>
    </w:p>
    <w:p w14:paraId="47BAE1E9" w14:textId="77777777" w:rsidR="00CB0142" w:rsidRDefault="00AF7DAE">
      <w:pPr>
        <w:snapToGrid w:val="0"/>
        <w:spacing w:line="360" w:lineRule="auto"/>
        <w:ind w:firstLineChars="200" w:firstLine="562"/>
        <w:rPr>
          <w:rFonts w:ascii="Times New Roman" w:hAnsi="Times New Roman" w:cs="Times New Roman"/>
          <w:sz w:val="28"/>
          <w:szCs w:val="28"/>
        </w:rPr>
      </w:pPr>
      <w:r>
        <w:rPr>
          <w:rFonts w:ascii="Times New Roman" w:hAnsi="Times New Roman" w:cs="Times New Roman"/>
          <w:b/>
          <w:bCs/>
          <w:sz w:val="28"/>
          <w:szCs w:val="28"/>
        </w:rPr>
        <w:t xml:space="preserve">Connection of the Qualification Project with Scientific Projects, Plans, and Topics. </w:t>
      </w:r>
      <w:r>
        <w:rPr>
          <w:rFonts w:ascii="Times New Roman" w:hAnsi="Times New Roman" w:cs="Times New Roman"/>
          <w:sz w:val="28"/>
          <w:szCs w:val="28"/>
        </w:rPr>
        <w:t xml:space="preserve">This study is part of the national budget research project titled "Conceptual Framework of Organizational Change in Chinese Enterprises" (2021-2025) conducted by the Department of Management and Innovation at Odessa I. I. </w:t>
      </w:r>
      <w:proofErr w:type="spellStart"/>
      <w:r>
        <w:rPr>
          <w:rFonts w:ascii="Times New Roman" w:hAnsi="Times New Roman" w:cs="Times New Roman"/>
          <w:sz w:val="28"/>
          <w:szCs w:val="28"/>
        </w:rPr>
        <w:t>Mechnikov</w:t>
      </w:r>
      <w:proofErr w:type="spellEnd"/>
      <w:r>
        <w:rPr>
          <w:rFonts w:ascii="Times New Roman" w:hAnsi="Times New Roman" w:cs="Times New Roman"/>
          <w:sz w:val="28"/>
          <w:szCs w:val="28"/>
        </w:rPr>
        <w:t xml:space="preserve"> National University. The research aims to contribute to a deeper understanding of the strategic development of organizational change in Chinese enterprises.</w:t>
      </w:r>
    </w:p>
    <w:p w14:paraId="677976B1" w14:textId="77777777" w:rsidR="00CB0142" w:rsidRDefault="00AF7DAE">
      <w:pPr>
        <w:snapToGrid w:val="0"/>
        <w:spacing w:line="360" w:lineRule="auto"/>
        <w:ind w:firstLineChars="200" w:firstLine="562"/>
        <w:rPr>
          <w:rFonts w:ascii="Times New Roman" w:hAnsi="Times New Roman" w:cs="Times New Roman"/>
          <w:sz w:val="28"/>
          <w:szCs w:val="28"/>
        </w:rPr>
      </w:pPr>
      <w:r>
        <w:rPr>
          <w:rFonts w:ascii="Times New Roman" w:hAnsi="Times New Roman" w:cs="Times New Roman"/>
          <w:b/>
          <w:bCs/>
          <w:sz w:val="28"/>
          <w:szCs w:val="28"/>
        </w:rPr>
        <w:t>Goal and Tasks</w:t>
      </w:r>
      <w:r>
        <w:rPr>
          <w:rFonts w:ascii="Times New Roman" w:hAnsi="Times New Roman" w:cs="Times New Roman"/>
          <w:sz w:val="28"/>
          <w:szCs w:val="28"/>
        </w:rPr>
        <w:t xml:space="preserve">. The primary goal of this study is to systematically review the current status of organizational change in Chinese enterprises, analyze prominent issues, and provide suggestions for improvement. Specific research </w:t>
      </w:r>
      <w:r>
        <w:rPr>
          <w:rFonts w:ascii="Times New Roman" w:hAnsi="Times New Roman" w:cs="Times New Roman"/>
          <w:b/>
          <w:bCs/>
          <w:sz w:val="28"/>
          <w:szCs w:val="28"/>
        </w:rPr>
        <w:t>tasks</w:t>
      </w:r>
      <w:r>
        <w:rPr>
          <w:rFonts w:ascii="Times New Roman" w:hAnsi="Times New Roman" w:cs="Times New Roman"/>
          <w:sz w:val="28"/>
          <w:szCs w:val="28"/>
        </w:rPr>
        <w:t xml:space="preserve"> include:</w:t>
      </w:r>
    </w:p>
    <w:p w14:paraId="39CB5658" w14:textId="77777777" w:rsidR="00CB0142" w:rsidRDefault="00AF7DAE">
      <w:pPr>
        <w:numPr>
          <w:ilvl w:val="0"/>
          <w:numId w:val="1"/>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Summarizing new characteristics and trends of organizational change in enterprises at the new stage of development.</w:t>
      </w:r>
    </w:p>
    <w:p w14:paraId="48BC32FA" w14:textId="77777777" w:rsidR="00CB0142" w:rsidRDefault="00AF7DAE">
      <w:pPr>
        <w:numPr>
          <w:ilvl w:val="0"/>
          <w:numId w:val="1"/>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Analyzing key issues and underlying causes in critical areas such as organizational structure, digital transformation, and talent management.</w:t>
      </w:r>
    </w:p>
    <w:p w14:paraId="76FC85D2" w14:textId="77777777" w:rsidR="00CB0142" w:rsidRDefault="00AF7DAE">
      <w:pPr>
        <w:numPr>
          <w:ilvl w:val="0"/>
          <w:numId w:val="1"/>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Proposing recommendations for establishing an organizational change system that meets the requirements of high-quality development.</w:t>
      </w:r>
    </w:p>
    <w:p w14:paraId="50A6C3CC" w14:textId="77777777" w:rsidR="00CB0142" w:rsidRDefault="00AF7DAE">
      <w:pPr>
        <w:snapToGrid w:val="0"/>
        <w:spacing w:line="360" w:lineRule="auto"/>
        <w:ind w:firstLineChars="200" w:firstLine="562"/>
        <w:rPr>
          <w:rFonts w:ascii="Times New Roman" w:hAnsi="Times New Roman" w:cs="Times New Roman"/>
          <w:sz w:val="28"/>
          <w:szCs w:val="28"/>
        </w:rPr>
      </w:pPr>
      <w:r>
        <w:rPr>
          <w:rFonts w:ascii="Times New Roman" w:hAnsi="Times New Roman" w:cs="Times New Roman"/>
          <w:b/>
          <w:bCs/>
          <w:sz w:val="28"/>
          <w:szCs w:val="28"/>
        </w:rPr>
        <w:t>Object and Subject of Research.</w:t>
      </w:r>
      <w:r>
        <w:rPr>
          <w:rFonts w:ascii="Times New Roman" w:hAnsi="Times New Roman" w:cs="Times New Roman"/>
          <w:sz w:val="28"/>
          <w:szCs w:val="28"/>
        </w:rPr>
        <w:t xml:space="preserve"> The object of this study is the practice of organizational change in Chinese enterprises. The research subject includes the theoretical basis, methodological approaches, and practical implementation of organizational change.</w:t>
      </w:r>
    </w:p>
    <w:p w14:paraId="28B2425A" w14:textId="77777777" w:rsidR="00CB0142" w:rsidRDefault="00AF7DAE">
      <w:pPr>
        <w:snapToGrid w:val="0"/>
        <w:spacing w:line="360" w:lineRule="auto"/>
        <w:ind w:firstLineChars="200" w:firstLine="562"/>
        <w:rPr>
          <w:rFonts w:ascii="Times New Roman" w:hAnsi="Times New Roman" w:cs="Times New Roman"/>
          <w:sz w:val="28"/>
          <w:szCs w:val="28"/>
        </w:rPr>
      </w:pPr>
      <w:r>
        <w:rPr>
          <w:rFonts w:ascii="Times New Roman" w:hAnsi="Times New Roman" w:cs="Times New Roman"/>
          <w:b/>
          <w:bCs/>
          <w:sz w:val="28"/>
          <w:szCs w:val="28"/>
        </w:rPr>
        <w:t xml:space="preserve">Research Methods. </w:t>
      </w:r>
      <w:r>
        <w:rPr>
          <w:rFonts w:ascii="Times New Roman" w:hAnsi="Times New Roman" w:cs="Times New Roman"/>
          <w:sz w:val="28"/>
          <w:szCs w:val="28"/>
        </w:rPr>
        <w:t>This study combines normative research with empirical research, including:</w:t>
      </w:r>
    </w:p>
    <w:p w14:paraId="59A836FC"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rPr>
        <w:t>．</w:t>
      </w:r>
      <w:r>
        <w:rPr>
          <w:rFonts w:ascii="Times New Roman" w:hAnsi="Times New Roman" w:cs="Times New Roman"/>
          <w:sz w:val="28"/>
          <w:szCs w:val="28"/>
        </w:rPr>
        <w:t>Normative research using the basic principles of economic theory.</w:t>
      </w:r>
    </w:p>
    <w:p w14:paraId="2552358B"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w:t>
      </w:r>
      <w:r>
        <w:rPr>
          <w:rFonts w:ascii="Times New Roman" w:hAnsi="Times New Roman" w:cs="Times New Roman"/>
          <w:sz w:val="28"/>
          <w:szCs w:val="28"/>
        </w:rPr>
        <w:t>．</w:t>
      </w:r>
      <w:r>
        <w:rPr>
          <w:rFonts w:ascii="Times New Roman" w:hAnsi="Times New Roman" w:cs="Times New Roman"/>
          <w:sz w:val="28"/>
          <w:szCs w:val="28"/>
        </w:rPr>
        <w:t>Case studies of successful enterprises such as Huawei, Haier, and Alibaba.</w:t>
      </w:r>
    </w:p>
    <w:p w14:paraId="5DDCE0B9"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3</w:t>
      </w:r>
      <w:r>
        <w:rPr>
          <w:rFonts w:ascii="Times New Roman" w:hAnsi="Times New Roman" w:cs="Times New Roman"/>
          <w:sz w:val="28"/>
          <w:szCs w:val="28"/>
        </w:rPr>
        <w:t>．</w:t>
      </w:r>
      <w:r>
        <w:rPr>
          <w:rFonts w:ascii="Times New Roman" w:hAnsi="Times New Roman" w:cs="Times New Roman"/>
          <w:sz w:val="28"/>
          <w:szCs w:val="28"/>
        </w:rPr>
        <w:t>Benchmark comparison with leading international enterprises.</w:t>
      </w:r>
    </w:p>
    <w:p w14:paraId="7DA60121"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4</w:t>
      </w:r>
      <w:r>
        <w:rPr>
          <w:rFonts w:ascii="Times New Roman" w:hAnsi="Times New Roman" w:cs="Times New Roman"/>
          <w:sz w:val="28"/>
          <w:szCs w:val="28"/>
        </w:rPr>
        <w:t>．</w:t>
      </w:r>
      <w:r>
        <w:rPr>
          <w:rFonts w:ascii="Times New Roman" w:hAnsi="Times New Roman" w:cs="Times New Roman"/>
          <w:sz w:val="28"/>
          <w:szCs w:val="28"/>
        </w:rPr>
        <w:t>Qualitative and quantitative analysis of organizational change practices.</w:t>
      </w:r>
    </w:p>
    <w:p w14:paraId="64864CB7" w14:textId="77777777" w:rsidR="00CB0142" w:rsidRDefault="00CB0142">
      <w:pPr>
        <w:snapToGrid w:val="0"/>
        <w:spacing w:line="360" w:lineRule="auto"/>
        <w:ind w:firstLineChars="200" w:firstLine="560"/>
        <w:rPr>
          <w:rFonts w:ascii="Times New Roman" w:hAnsi="Times New Roman" w:cs="Times New Roman"/>
          <w:sz w:val="28"/>
          <w:szCs w:val="28"/>
        </w:rPr>
      </w:pPr>
    </w:p>
    <w:p w14:paraId="0F3A00E5" w14:textId="77777777" w:rsidR="00CB0142" w:rsidRDefault="00AF7DAE">
      <w:pPr>
        <w:snapToGrid w:val="0"/>
        <w:spacing w:line="360" w:lineRule="auto"/>
        <w:ind w:firstLineChars="200" w:firstLine="562"/>
        <w:rPr>
          <w:rFonts w:ascii="Times New Roman" w:hAnsi="Times New Roman" w:cs="Times New Roman"/>
          <w:sz w:val="28"/>
          <w:szCs w:val="28"/>
        </w:rPr>
      </w:pPr>
      <w:r>
        <w:rPr>
          <w:rFonts w:ascii="Times New Roman" w:hAnsi="Times New Roman" w:cs="Times New Roman"/>
          <w:b/>
          <w:bCs/>
          <w:sz w:val="28"/>
          <w:szCs w:val="28"/>
        </w:rPr>
        <w:t>Information Base.</w:t>
      </w:r>
      <w:r>
        <w:rPr>
          <w:rFonts w:ascii="Times New Roman" w:hAnsi="Times New Roman" w:cs="Times New Roman"/>
          <w:sz w:val="28"/>
          <w:szCs w:val="28"/>
        </w:rPr>
        <w:t xml:space="preserve"> The research utilizes multiple data sources:</w:t>
      </w:r>
    </w:p>
    <w:p w14:paraId="3F4100B2"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1.Public data from statistical yearbooks and company reports.</w:t>
      </w:r>
    </w:p>
    <w:p w14:paraId="3BC48CA6"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2.Internal data collected through enterprise surveys.</w:t>
      </w:r>
    </w:p>
    <w:p w14:paraId="7E5489ED"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3.Authoritative databases from the National Bureau of Statistics.</w:t>
      </w:r>
    </w:p>
    <w:p w14:paraId="0C3C5032" w14:textId="77777777" w:rsidR="00CB0142" w:rsidRDefault="00AF7DAE" w:rsidP="00B14A1E">
      <w:pPr>
        <w:snapToGrid w:val="0"/>
        <w:spacing w:line="360" w:lineRule="auto"/>
        <w:ind w:firstLineChars="200" w:firstLine="562"/>
        <w:jc w:val="center"/>
        <w:rPr>
          <w:rFonts w:ascii="Times New Roman" w:hAnsi="Times New Roman" w:cs="Times New Roman"/>
          <w:b/>
          <w:bCs/>
          <w:sz w:val="32"/>
          <w:szCs w:val="32"/>
        </w:rPr>
      </w:pPr>
      <w:r>
        <w:rPr>
          <w:rFonts w:ascii="Times New Roman" w:hAnsi="Times New Roman" w:cs="Times New Roman"/>
          <w:b/>
          <w:bCs/>
          <w:sz w:val="28"/>
          <w:szCs w:val="28"/>
        </w:rPr>
        <w:t xml:space="preserve">Structure and Scope of Work. </w:t>
      </w:r>
      <w:r>
        <w:rPr>
          <w:rFonts w:ascii="Times New Roman" w:hAnsi="Times New Roman" w:cs="Times New Roman"/>
          <w:sz w:val="28"/>
          <w:szCs w:val="28"/>
        </w:rPr>
        <w:t>The thesis consists of an introduction, three main chapters, a conclusion, and references (</w:t>
      </w:r>
      <w:r>
        <w:rPr>
          <w:rFonts w:ascii="Times New Roman" w:hAnsi="Times New Roman" w:cs="Times New Roman" w:hint="eastAsia"/>
          <w:sz w:val="28"/>
          <w:szCs w:val="28"/>
        </w:rPr>
        <w:t>69</w:t>
      </w:r>
      <w:r>
        <w:rPr>
          <w:rFonts w:ascii="Times New Roman" w:hAnsi="Times New Roman" w:cs="Times New Roman"/>
          <w:sz w:val="28"/>
          <w:szCs w:val="28"/>
        </w:rPr>
        <w:t xml:space="preserve"> in total). The thesis is </w:t>
      </w:r>
      <w:r>
        <w:rPr>
          <w:rFonts w:ascii="Times New Roman" w:hAnsi="Times New Roman" w:cs="Times New Roman" w:hint="eastAsia"/>
          <w:sz w:val="28"/>
          <w:szCs w:val="28"/>
        </w:rPr>
        <w:t>92</w:t>
      </w:r>
      <w:r>
        <w:rPr>
          <w:rFonts w:ascii="Times New Roman" w:hAnsi="Times New Roman" w:cs="Times New Roman"/>
          <w:sz w:val="28"/>
          <w:szCs w:val="28"/>
        </w:rPr>
        <w:t xml:space="preserve"> pages long, including 4 tables and 14 figures. It is divided into three chapters: Chapter 1 reviews the progress of organizational change research and constructs an analytical framework, Chapter 2 analyzes the current status of organizational change in Chinese enterprises, and Chapter 3 explores optimization paths and provides policy recommendations.</w:t>
      </w:r>
      <w:r>
        <w:rPr>
          <w:rFonts w:ascii="Times New Roman" w:hAnsi="Times New Roman" w:cs="Times New Roman"/>
          <w:b/>
          <w:bCs/>
          <w:sz w:val="32"/>
          <w:szCs w:val="32"/>
        </w:rPr>
        <w:br w:type="column"/>
      </w:r>
      <w:r>
        <w:rPr>
          <w:rFonts w:ascii="Times New Roman" w:hAnsi="Times New Roman" w:cs="Times New Roman"/>
          <w:b/>
          <w:bCs/>
          <w:sz w:val="32"/>
          <w:szCs w:val="32"/>
        </w:rPr>
        <w:lastRenderedPageBreak/>
        <w:t>CHAPTER 1</w:t>
      </w:r>
      <w:bookmarkEnd w:id="1"/>
    </w:p>
    <w:p w14:paraId="00DD54D3" w14:textId="77777777" w:rsidR="00CB0142" w:rsidRDefault="00AF7DAE" w:rsidP="00B14A1E">
      <w:pPr>
        <w:snapToGrid w:val="0"/>
        <w:jc w:val="center"/>
        <w:outlineLvl w:val="0"/>
        <w:rPr>
          <w:rFonts w:ascii="Times New Roman" w:hAnsi="Times New Roman" w:cs="Times New Roman"/>
          <w:b/>
          <w:bCs/>
          <w:sz w:val="32"/>
          <w:szCs w:val="32"/>
        </w:rPr>
      </w:pPr>
      <w:bookmarkStart w:id="2" w:name="_Toc28674"/>
      <w:r>
        <w:rPr>
          <w:rFonts w:ascii="Times New Roman" w:hAnsi="Times New Roman" w:cs="Times New Roman"/>
          <w:b/>
          <w:bCs/>
          <w:sz w:val="32"/>
          <w:szCs w:val="32"/>
        </w:rPr>
        <w:t>THEORETICAL FOUNDATIONS OF ORGANIZATIONAL CHANGE MANAGEMENT</w:t>
      </w:r>
      <w:bookmarkEnd w:id="2"/>
    </w:p>
    <w:p w14:paraId="460BE124" w14:textId="77777777" w:rsidR="00CB0142" w:rsidRDefault="00CB0142" w:rsidP="00B14A1E">
      <w:pPr>
        <w:snapToGrid w:val="0"/>
        <w:jc w:val="center"/>
        <w:outlineLvl w:val="0"/>
        <w:rPr>
          <w:rFonts w:ascii="Times New Roman" w:hAnsi="Times New Roman" w:cs="Times New Roman"/>
          <w:b/>
          <w:bCs/>
          <w:sz w:val="32"/>
          <w:szCs w:val="32"/>
        </w:rPr>
      </w:pPr>
    </w:p>
    <w:p w14:paraId="50C90EA6" w14:textId="77777777" w:rsidR="00CB0142" w:rsidRDefault="00AF7DAE">
      <w:pPr>
        <w:numPr>
          <w:ilvl w:val="1"/>
          <w:numId w:val="0"/>
        </w:numPr>
        <w:snapToGrid w:val="0"/>
        <w:jc w:val="center"/>
        <w:outlineLvl w:val="1"/>
        <w:rPr>
          <w:rFonts w:ascii="Times New Roman" w:hAnsi="Times New Roman" w:cs="Times New Roman"/>
          <w:b/>
          <w:bCs/>
          <w:sz w:val="28"/>
          <w:szCs w:val="28"/>
        </w:rPr>
      </w:pPr>
      <w:bookmarkStart w:id="3" w:name="_Toc11595"/>
      <w:r>
        <w:rPr>
          <w:rFonts w:ascii="Times New Roman" w:hAnsi="Times New Roman" w:cs="Times New Roman"/>
          <w:b/>
          <w:bCs/>
          <w:sz w:val="28"/>
          <w:szCs w:val="28"/>
        </w:rPr>
        <w:t>1.1. Concept and research of organizational change theories</w:t>
      </w:r>
      <w:bookmarkEnd w:id="3"/>
    </w:p>
    <w:p w14:paraId="4C43E32D" w14:textId="77777777" w:rsidR="00CB0142" w:rsidRDefault="00CB0142">
      <w:pPr>
        <w:rPr>
          <w:rFonts w:ascii="Times New Roman" w:hAnsi="Times New Roman" w:cs="Times New Roman"/>
          <w:sz w:val="28"/>
          <w:szCs w:val="28"/>
        </w:rPr>
      </w:pPr>
    </w:p>
    <w:p w14:paraId="636F0C43"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Organizational change theory is one of the core research directions in the field of modern management and organizational behavior. Its development process reflects the evolution of management ideas and the deepening of human organizational practice cognition. In the context of globalization and digitalization, organizational change has become a key driving force for enterprises to maintain competitive advantages and achieve sustainable development. This section will systematically sort out and deeply explore the essential connotation and cutting-edge trends of organizational change theory from three dimensions: theoretical development context, core concept system, and research methodology.</w:t>
      </w:r>
    </w:p>
    <w:p w14:paraId="36365B27" w14:textId="77777777" w:rsidR="00CB0142" w:rsidRDefault="00AF7DAE">
      <w:pPr>
        <w:snapToGrid w:val="0"/>
        <w:spacing w:line="360" w:lineRule="auto"/>
        <w:ind w:firstLineChars="200" w:firstLine="562"/>
        <w:rPr>
          <w:rFonts w:ascii="Times New Roman" w:hAnsi="Times New Roman" w:cs="Times New Roman"/>
          <w:b/>
          <w:bCs/>
          <w:sz w:val="28"/>
          <w:szCs w:val="28"/>
        </w:rPr>
      </w:pPr>
      <w:r>
        <w:rPr>
          <w:rFonts w:ascii="Times New Roman" w:hAnsi="Times New Roman" w:cs="Times New Roman"/>
          <w:b/>
          <w:bCs/>
          <w:sz w:val="28"/>
          <w:szCs w:val="28"/>
        </w:rPr>
        <w:t>Conceptual Definition and Theoretical Evolution of Organizational Change</w:t>
      </w:r>
    </w:p>
    <w:p w14:paraId="5E53C7D3"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The concept of organizational change has undergone a long process of development and continuous enrichment. Early researchers mostly defined organizational change as "planned changes to organizational structure, processes or culture in order to improve organizational performance and effectiveness" [1]. This definition highlights the purposefulness and planning of change, but relatively ignores the contextual dependence and dynamic complexity of change. With the deepening of research, scholars have gradually realized that organizational change is a systematic project involving all aspects of the organization, which requires comprehensive consideration of multiple factors such as internal and external environment, stakeholders, and resource conditions. For example, Pettigrew and Whipp defined organizational change as "a systematic transformation process in structure, strategy, and culture in order for an organization to adapt to internal and external pressures in a specific environment" [2]. This definition enriches the connotation of organizational change, emphasizes the openness, systematicity, and contextual dependence of change, and lays an important theoretical foundation for subsequent research.</w:t>
      </w:r>
    </w:p>
    <w:p w14:paraId="4F25CFA1"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lastRenderedPageBreak/>
        <w:t>In the development of organizational change theory, the contribution of social psychologist Kurt Lewin is groundbreaking and milestone-making. He took group dynamics as the theoretical starting point and creatively proposed the "three-step change model" (also known as "thaw-change-refreeze") and the "force field analysis" theory. These two theoretical frameworks are interrelated and still have important guiding value for organizational change practice [3].</w:t>
      </w:r>
    </w:p>
    <w:p w14:paraId="789B357E"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theory of "force field analysis" takes a dynamic balance perspective and proposes that any organizational system is in a field where multiple forces are growing and declining. These forces can be divided into two categories: driving forces that promote change and restraining forces that hinder change. </w:t>
      </w:r>
    </w:p>
    <w:p w14:paraId="75601317" w14:textId="77777777" w:rsidR="00CB0142" w:rsidRDefault="00AF7DAE">
      <w:pPr>
        <w:snapToGrid w:val="0"/>
        <w:spacing w:line="360" w:lineRule="auto"/>
        <w:ind w:firstLineChars="200" w:firstLine="562"/>
        <w:jc w:val="center"/>
        <w:rPr>
          <w:rFonts w:ascii="Times New Roman" w:hAnsi="Times New Roman" w:cs="Times New Roman"/>
          <w:b/>
          <w:bCs/>
          <w:sz w:val="28"/>
          <w:szCs w:val="28"/>
        </w:rPr>
      </w:pPr>
      <w:r>
        <w:rPr>
          <w:rFonts w:ascii="Times New Roman" w:hAnsi="Times New Roman" w:cs="Times New Roman" w:hint="eastAsia"/>
          <w:b/>
          <w:bCs/>
          <w:noProof/>
          <w:sz w:val="28"/>
          <w:szCs w:val="28"/>
          <w:lang w:val="uk-UA" w:eastAsia="uk-UA"/>
        </w:rPr>
        <w:drawing>
          <wp:anchor distT="0" distB="0" distL="114300" distR="114300" simplePos="0" relativeHeight="251661312" behindDoc="0" locked="0" layoutInCell="1" allowOverlap="1" wp14:anchorId="19EC6AD3" wp14:editId="1DCAD9FA">
            <wp:simplePos x="0" y="0"/>
            <wp:positionH relativeFrom="column">
              <wp:posOffset>-101600</wp:posOffset>
            </wp:positionH>
            <wp:positionV relativeFrom="paragraph">
              <wp:posOffset>635</wp:posOffset>
            </wp:positionV>
            <wp:extent cx="5939790" cy="3001645"/>
            <wp:effectExtent l="0" t="0" r="3810" b="635"/>
            <wp:wrapTopAndBottom/>
            <wp:docPr id="6" name="图片 6" descr="1731520829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1731520829547"/>
                    <pic:cNvPicPr>
                      <a:picLocks noChangeAspect="1"/>
                    </pic:cNvPicPr>
                  </pic:nvPicPr>
                  <pic:blipFill>
                    <a:blip r:embed="rId5"/>
                    <a:stretch>
                      <a:fillRect/>
                    </a:stretch>
                  </pic:blipFill>
                  <pic:spPr>
                    <a:xfrm>
                      <a:off x="0" y="0"/>
                      <a:ext cx="5939790" cy="3001645"/>
                    </a:xfrm>
                    <a:prstGeom prst="rect">
                      <a:avLst/>
                    </a:prstGeom>
                  </pic:spPr>
                </pic:pic>
              </a:graphicData>
            </a:graphic>
          </wp:anchor>
        </w:drawing>
      </w:r>
      <w:r>
        <w:rPr>
          <w:rFonts w:ascii="Times New Roman" w:hAnsi="Times New Roman" w:cs="Times New Roman" w:hint="eastAsia"/>
          <w:b/>
          <w:bCs/>
          <w:sz w:val="28"/>
          <w:szCs w:val="28"/>
        </w:rPr>
        <w:t xml:space="preserve">Figure </w:t>
      </w:r>
      <w:proofErr w:type="gramStart"/>
      <w:r>
        <w:rPr>
          <w:rFonts w:ascii="Times New Roman" w:hAnsi="Times New Roman" w:cs="Times New Roman" w:hint="eastAsia"/>
          <w:b/>
          <w:bCs/>
          <w:sz w:val="28"/>
          <w:szCs w:val="28"/>
        </w:rPr>
        <w:t>1.Force</w:t>
      </w:r>
      <w:proofErr w:type="gramEnd"/>
      <w:r>
        <w:rPr>
          <w:rFonts w:ascii="Times New Roman" w:hAnsi="Times New Roman" w:cs="Times New Roman" w:hint="eastAsia"/>
          <w:b/>
          <w:bCs/>
          <w:sz w:val="28"/>
          <w:szCs w:val="28"/>
        </w:rPr>
        <w:t xml:space="preserve"> Field Analysis in Organizational Change(Source: Adapted from Lewin, K. (1951). Field Theory in Social)</w:t>
      </w:r>
    </w:p>
    <w:p w14:paraId="01C93DFD" w14:textId="77777777" w:rsidR="00CB0142" w:rsidRDefault="00CB0142">
      <w:pPr>
        <w:snapToGrid w:val="0"/>
        <w:spacing w:line="360" w:lineRule="auto"/>
        <w:ind w:firstLineChars="200" w:firstLine="560"/>
        <w:rPr>
          <w:rFonts w:ascii="Times New Roman" w:hAnsi="Times New Roman" w:cs="Times New Roman"/>
          <w:sz w:val="28"/>
          <w:szCs w:val="28"/>
        </w:rPr>
      </w:pPr>
    </w:p>
    <w:p w14:paraId="205BC44A" w14:textId="77777777" w:rsidR="00CB0142" w:rsidRDefault="00CB0142">
      <w:pPr>
        <w:snapToGrid w:val="0"/>
        <w:spacing w:line="360" w:lineRule="auto"/>
        <w:ind w:firstLineChars="200" w:firstLine="560"/>
        <w:jc w:val="center"/>
        <w:rPr>
          <w:rFonts w:ascii="Times New Roman" w:hAnsi="Times New Roman" w:cs="Times New Roman"/>
          <w:sz w:val="28"/>
          <w:szCs w:val="28"/>
        </w:rPr>
      </w:pPr>
    </w:p>
    <w:p w14:paraId="7B861942"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hint="eastAsia"/>
          <w:sz w:val="28"/>
          <w:szCs w:val="28"/>
        </w:rPr>
        <w:t>This figure illustrates the dynamic equilibrium between driving forces and restraining forces in organizational change, as conceptualized by Kurt Lewin. Driving forces (left) push for change while restraining forces (right) resist change. Successful organizational change requires either strengthening driving forces, reducing restraining forces, or both.</w:t>
      </w:r>
    </w:p>
    <w:p w14:paraId="6283E9AB" w14:textId="77777777" w:rsidR="00CB0142" w:rsidRDefault="00CB0142">
      <w:pPr>
        <w:snapToGrid w:val="0"/>
        <w:spacing w:line="360" w:lineRule="auto"/>
        <w:ind w:firstLineChars="200" w:firstLine="560"/>
        <w:rPr>
          <w:rFonts w:ascii="Times New Roman" w:hAnsi="Times New Roman" w:cs="Times New Roman"/>
          <w:sz w:val="28"/>
          <w:szCs w:val="28"/>
        </w:rPr>
      </w:pPr>
    </w:p>
    <w:p w14:paraId="79A82626"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lastRenderedPageBreak/>
        <w:t>Driving forces mainly come from changes in the external environment (such as market pressure, technological innovation, policy adjustments, etc.) and internal development needs (such as management vision, performance improvement goals, etc.); while restraining forces mostly come from within the organization, such as organizational inertia, employee resistance, resource constraints, cultural conflicts, etc. The essence of organizational change is to break the balance of the original force field so that the driving force overcomes the restraining force, thereby achieving organizational transformation and upgrading. In this process, systematically identifying and evaluating different types of change forces and optimizing the force field pattern have become important focuses of change management. Specifically, managers should actively create and strengthen the driving force for change on the one hand, and focus on analyzing and resolving the main restraining forces on the other. Especially for the latter, reducing resistance can often achieve twice the result with half the effort compared to simply enhancing the driving force. This is because reducing resistance not only reduces the difficulty of change, but also significantly improves the organizational atmosphere, reduces the psychological burden of employees, and creates a benign change ecology [3]. Therefore, organizational managers need to use force field analysis tools to systematically sort out the distribution of forces in the context of change, and prioritize focusing on how to resolve key resistance to create favorable conditions for change.</w:t>
      </w:r>
    </w:p>
    <w:p w14:paraId="42CC88A0"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Based on the "force field analysis" framework, Lewin further proposed the classic "three-step change model", which clearly defined the basic path and key links for promoting organizational change [4]. The core task of the "unfreeze" stage is to break the existing balance and inertia of the organization, mainly including: revealing the current problems through data analysis and creating a sense of urgency for change; appropriately adjusting the rules and regulations that maintain the status quo to clear obstacles for change; eliminating employees' sense of insecurity and creating an atmosphere of psychological support. The "change" stage is the actual promotion period of organizational change, which requires clearly defining the ideal target state, formulating a thorough action plan, establishing a multi-faceted communication </w:t>
      </w:r>
      <w:r>
        <w:rPr>
          <w:rFonts w:ascii="Times New Roman" w:hAnsi="Times New Roman" w:cs="Times New Roman"/>
          <w:sz w:val="28"/>
          <w:szCs w:val="28"/>
        </w:rPr>
        <w:lastRenderedPageBreak/>
        <w:t>mechanism, and providing employees with sufficient learning, training and support guarantees. Finally, the "refreeze" stage aims to consolidate the results of the change, solidify the new behavior pattern into organizational norms and culture, and prevent the organization from reversing. Its main measures include: improving the supporting organizational system and improving the incentive and constraint mechanism; strengthening the monitoring and evaluation of the change effect, and optimizing and adjusting in a timely manner; continuously promoting the concept of change and deepening cultural construction. In general, the "three-step change model" extracts the general rules of organizational change from a macro perspective, emphasizing the systematic nature of change strategy formulation, process management, and consolidation and improvement, but it still appears to be relatively rough when dealing with an increasingly complex organizational environment.</w:t>
      </w:r>
    </w:p>
    <w:p w14:paraId="3BA22FAD"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response to the higher requirements of modern organizational change practice for refinement and operability, Harvard University professor John P. Kotter proposed the influential "Eight-Step Change Model" based on a solid study of a large number of organizational change cases [5]. This model is essentially a rich and detailed version of Lewin's "Three-Step Method", further clarifying the key nodes in the promotion of change and its specific goals and implementation points. Among them, the first three steps correspond to the "unfreezing" stage, including "establishing a sense of urgency" (delivering crisis awareness through data analysis), "forming a change alliance" (establishing a cross-level and cross-departmental leadership team) and "designing a vision and strategy" (outlining a blueprint for change and formulating a roadmap). The middle part of the model focuses on the implementation of change initiatives, covering "effectively communicating the vision" (multi-channel continuous communication), "extensively empowering employees" (eliminating obstacles and providing support) and "creating short-term victories" (setting benchmarks and building confidence). The last two steps focus on consolidating results and reshaping culture, including "continuously deepening change" (giving full play to first-mover advantages and preventing premature abandonment) and "solidifying corporate culture" (implanting new behavior patterns into the blood of the organization). Compared with Lewin's model, Kotter's "Eight-Step </w:t>
      </w:r>
      <w:r>
        <w:rPr>
          <w:rFonts w:ascii="Times New Roman" w:hAnsi="Times New Roman" w:cs="Times New Roman"/>
          <w:sz w:val="28"/>
          <w:szCs w:val="28"/>
        </w:rPr>
        <w:lastRenderedPageBreak/>
        <w:t>Method" further refines the operational framework for change implementation, and provides managers with clearer and more feasible guidance for action, and is therefore widely praised by academia and industry.</w:t>
      </w:r>
    </w:p>
    <w:p w14:paraId="580BD99C"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Another important theoretical contribution in the research focusing on the organizational change process is the "Congruence Model" by Nadler and Tushman [6]. Starting from the perspective of system theory, this model regards the organization as an organic system composed of key elements that interact and depend on each other. Its core idea is that the level of organizational performance depends on the matching degree of key elements. The key elements here include work tasks, individual employees, formal organizational arrangements and informal organizations. The Congruence Model points out that the essence of organizational change is the reconstruction and rebalancing of the internal elements of the system, and any change in a single element will affect other elements through the "domino effect" and then affect the entire system. Therefore, organizational change must adhere to the overall perspective and system thinking, pay attention to the dynamic connection between different elements, and strike a balance between local change and overall optimization. For example, the introduction of new technologies often requires matching organizational structure adjustments and employee skills training, while the implementation of new strategies is inseparable from the renewal of cultural concepts. Only by promoting the synchronous optimization and dynamic coordination of organizational elements can organizational change achieve the expected performance goals. The unique value of this model lies in that it provides a systematic framework for change planning based on the coupling relationship between elements, which helps managers to coordinate resource allocation and internal operations from a holistic perspective and maximize change performance.</w:t>
      </w:r>
    </w:p>
    <w:p w14:paraId="59A826BD" w14:textId="77777777" w:rsidR="00CB0142" w:rsidRDefault="00AF7DAE">
      <w:pPr>
        <w:snapToGrid w:val="0"/>
        <w:spacing w:line="360" w:lineRule="auto"/>
        <w:ind w:firstLineChars="200" w:firstLine="562"/>
        <w:rPr>
          <w:rFonts w:ascii="Times New Roman" w:hAnsi="Times New Roman" w:cs="Times New Roman"/>
          <w:b/>
          <w:bCs/>
          <w:sz w:val="28"/>
          <w:szCs w:val="28"/>
        </w:rPr>
      </w:pPr>
      <w:r>
        <w:rPr>
          <w:rFonts w:ascii="Times New Roman" w:hAnsi="Times New Roman" w:cs="Times New Roman"/>
          <w:b/>
          <w:bCs/>
          <w:sz w:val="28"/>
          <w:szCs w:val="28"/>
        </w:rPr>
        <w:t>Exploring the drivers of change: From the perspectives of institutional theory and resource dependence theory</w:t>
      </w:r>
    </w:p>
    <w:p w14:paraId="22E2FE2C"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terms of the motivation mechanism of organizational change, institutional theory and resource dependence theory provide us with a unique analytical perspective </w:t>
      </w:r>
      <w:r>
        <w:rPr>
          <w:rFonts w:ascii="Times New Roman" w:hAnsi="Times New Roman" w:cs="Times New Roman" w:hint="eastAsia"/>
          <w:sz w:val="28"/>
          <w:szCs w:val="28"/>
        </w:rPr>
        <w:t>[</w:t>
      </w:r>
      <w:r>
        <w:rPr>
          <w:rFonts w:ascii="Times New Roman" w:hAnsi="Times New Roman" w:cs="Times New Roman"/>
          <w:sz w:val="28"/>
          <w:szCs w:val="28"/>
        </w:rPr>
        <w:t>6</w:t>
      </w:r>
      <w:r>
        <w:rPr>
          <w:rFonts w:ascii="Times New Roman" w:hAnsi="Times New Roman" w:cs="Times New Roman" w:hint="eastAsia"/>
          <w:sz w:val="28"/>
          <w:szCs w:val="28"/>
        </w:rPr>
        <w:t>]</w:t>
      </w:r>
      <w:r>
        <w:rPr>
          <w:rFonts w:ascii="Times New Roman" w:hAnsi="Times New Roman" w:cs="Times New Roman"/>
          <w:sz w:val="28"/>
          <w:szCs w:val="28"/>
        </w:rPr>
        <w:t xml:space="preserve">. The two theories reveal the deep logic that drives organizational change from both </w:t>
      </w:r>
      <w:r>
        <w:rPr>
          <w:rFonts w:ascii="Times New Roman" w:hAnsi="Times New Roman" w:cs="Times New Roman"/>
          <w:sz w:val="28"/>
          <w:szCs w:val="28"/>
        </w:rPr>
        <w:lastRenderedPageBreak/>
        <w:t>internal and external dimensions.</w:t>
      </w:r>
    </w:p>
    <w:p w14:paraId="793DABD5"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Institutional theory focuses on the interactive relationship between organizations and their institutional environment. The so-called institutional environment covers the formal and informal "rules of the game" such as social and cultural norms, laws and regulations, and industry standards on which organizations rely for survival. The core view of institutional theory is that organizational change is largely due to the pressure of the institutional environment. In order to gain recognition and support from external stakeholders and maintain organizational legitimacy, organizations must continuously adjust their internal structure and operations to meet or even shape the requirements of the institutional environment. In this process, organizations often show convergence characteristics, which may come from mandatory pressure (such as regulatory constraints), or from imitative pressure (imitating benchmark practices) and normative pressure (following industry norms). In general, the perspective of institutional theory helps managers go beyond the internal vision of the organization, fully understand the social and cultural logic in the organizational context, and then choose a change path that fits the overall environment. However, it is necessary to be vigilant that blind convergence may cause organizations to lose their differentiated advantages. The key to organizational change is to balance external expectations with internal needs and achieve a dynamic balance between "legitimacy" and "efficiency".</w:t>
      </w:r>
    </w:p>
    <w:p w14:paraId="4DF60004"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Resource dependence theory explains the motivation for change from the perspective of organizational power and resource acquisition </w:t>
      </w:r>
      <w:r>
        <w:rPr>
          <w:rFonts w:ascii="Times New Roman" w:hAnsi="Times New Roman" w:cs="Times New Roman" w:hint="eastAsia"/>
          <w:sz w:val="28"/>
          <w:szCs w:val="28"/>
        </w:rPr>
        <w:t>[</w:t>
      </w:r>
      <w:r>
        <w:rPr>
          <w:rFonts w:ascii="Times New Roman" w:hAnsi="Times New Roman" w:cs="Times New Roman"/>
          <w:sz w:val="28"/>
          <w:szCs w:val="28"/>
        </w:rPr>
        <w:t>7</w:t>
      </w:r>
      <w:r>
        <w:rPr>
          <w:rFonts w:ascii="Times New Roman" w:hAnsi="Times New Roman" w:cs="Times New Roman" w:hint="eastAsia"/>
          <w:sz w:val="28"/>
          <w:szCs w:val="28"/>
        </w:rPr>
        <w:t>]</w:t>
      </w:r>
      <w:r>
        <w:rPr>
          <w:rFonts w:ascii="Times New Roman" w:hAnsi="Times New Roman" w:cs="Times New Roman"/>
          <w:sz w:val="28"/>
          <w:szCs w:val="28"/>
        </w:rPr>
        <w:t xml:space="preserve">. The starting point of this theory is that the survival and development of any organization depends on the continuous acquisition of key resources (capital, talent, technology, information, etc.), and modern organizations are generally in an open environment system, and key resources are often in the hands of other organizations. In order to obtain external resources and reduce environmental uncertainty, organizations must strengthen their control over resources through internal structural adjustments and power reorganization and strive to take the initiative in interactions with external stakeholders. For example, organizations can achieve resource sharing and complementarity through mergers and strategic alliances, thereby strengthening their bargaining power and voice. It should be </w:t>
      </w:r>
      <w:r>
        <w:rPr>
          <w:rFonts w:ascii="Times New Roman" w:hAnsi="Times New Roman" w:cs="Times New Roman"/>
          <w:sz w:val="28"/>
          <w:szCs w:val="28"/>
        </w:rPr>
        <w:lastRenderedPageBreak/>
        <w:t>emphasized that organizational change should not be subject to external resources, but should be aimed at improving the overall capabilities of the organization. Strategic "dependency management" and the internalization of key resources when necessary are important aspects of organizational change that need to be considered. Therefore, resource dependence theory rings a wake-up call for organizational managers: the key to organizational change is not only change, but also the emergence of core competitiveness, sustainable control of resources, and future-oriented plasticity and evolvability. Only in this way can an organization seize its own strategic initiative in the complex network of interests.</w:t>
      </w:r>
    </w:p>
    <w:p w14:paraId="716B7A2F" w14:textId="77777777" w:rsidR="00CB0142" w:rsidRDefault="00AF7DAE">
      <w:pPr>
        <w:snapToGrid w:val="0"/>
        <w:spacing w:line="360" w:lineRule="auto"/>
        <w:ind w:firstLineChars="200" w:firstLine="562"/>
        <w:rPr>
          <w:rFonts w:ascii="Times New Roman" w:hAnsi="Times New Roman" w:cs="Times New Roman"/>
          <w:b/>
          <w:bCs/>
          <w:sz w:val="28"/>
          <w:szCs w:val="28"/>
        </w:rPr>
      </w:pPr>
      <w:r>
        <w:rPr>
          <w:rFonts w:ascii="Times New Roman" w:hAnsi="Times New Roman" w:cs="Times New Roman"/>
          <w:b/>
          <w:bCs/>
          <w:sz w:val="28"/>
          <w:szCs w:val="28"/>
        </w:rPr>
        <w:t>Focus on organizational learning: learning organizations and continuous improvement</w:t>
      </w:r>
    </w:p>
    <w:p w14:paraId="433B4A05"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the methodological research of organizational change, the learning organization theory provides us with a unique and forward-looking perspective. In his classic book The Fifth Discipline, Peter Senge proposed that if an organization wants to maintain its competitive advantage in an ever-changing environment, the key is to become a "learning organization" that is good at learning </w:t>
      </w:r>
      <w:r>
        <w:rPr>
          <w:rFonts w:ascii="Times New Roman" w:hAnsi="Times New Roman" w:cs="Times New Roman" w:hint="eastAsia"/>
          <w:sz w:val="28"/>
          <w:szCs w:val="28"/>
        </w:rPr>
        <w:t>[</w:t>
      </w:r>
      <w:r>
        <w:rPr>
          <w:rFonts w:ascii="Times New Roman" w:hAnsi="Times New Roman" w:cs="Times New Roman"/>
          <w:sz w:val="28"/>
          <w:szCs w:val="28"/>
        </w:rPr>
        <w:t>8</w:t>
      </w:r>
      <w:r>
        <w:rPr>
          <w:rFonts w:ascii="Times New Roman" w:hAnsi="Times New Roman" w:cs="Times New Roman" w:hint="eastAsia"/>
          <w:sz w:val="28"/>
          <w:szCs w:val="28"/>
        </w:rPr>
        <w:t>]</w:t>
      </w:r>
      <w:r>
        <w:rPr>
          <w:rFonts w:ascii="Times New Roman" w:hAnsi="Times New Roman" w:cs="Times New Roman"/>
          <w:sz w:val="28"/>
          <w:szCs w:val="28"/>
        </w:rPr>
        <w:t>. A learning organization is an organization that can continuously transcend itself, challenge stereotypes, and accumulate systematic wisdom. It takes learning as its core capability, and through continuous learning, innovation, and improvement, it constantly breaks through the "growth limit" to better cope with the challenges of change.</w:t>
      </w:r>
    </w:p>
    <w:p w14:paraId="54937FDA"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Senge further proposed the "five practices" for building a learning organization, namely, system thinking, self-transcendence, improving mental models, establishing a common vision and team learning. Among them, system thinking is the core essence, emphasizing the insight into the internal connection of things from a holistic perspective, grasping the feedback loop, and seeking fundamental solutions to problems. This macro thinking helps organizations to grasp the overall situation of change through appearances and achieve dynamic balance in seemingly contradictory local interests. Self-transcendence and mental model improvement at the individual level emphasize that employees should have the courage to break through the mindset and examine themselves with an open and humble attitude, thereby stimulating a continuous source </w:t>
      </w:r>
      <w:r>
        <w:rPr>
          <w:rFonts w:ascii="Times New Roman" w:hAnsi="Times New Roman" w:cs="Times New Roman"/>
          <w:sz w:val="28"/>
          <w:szCs w:val="28"/>
        </w:rPr>
        <w:lastRenderedPageBreak/>
        <w:t>of enterprising motivation. Common vision and team learning inject value guidance and collective wisdom into organizational change. Only when managers and employees form a common ideal picture can the organization gather consensus on change and stimulate unlimited innovation vitality.</w:t>
      </w:r>
    </w:p>
    <w:p w14:paraId="399CA676"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The learning organization theory provides us with a new way of thinking to understand the mechanism of organizational change. It reveals that the fundamental way to deal with uncertainty is to enhance the learning ability of the organization, to drive innovation through learning, and to drive the continuous progress and self-transcendence of the organization. This requires that organizational change cannot stop at the level of structural adjustment and process reengineering, but needs to focus on the design of long-term mechanisms for organizational learning. For example, improve the employee re-education and training system, create a cultural atmosphere that encourages innovation and tolerates failure, establish an organizational system for knowledge sharing and teamwork, and so on. Only by externalizing change into visible organizational performance and internalizing it into a learning gene that is integrated into the blood can an organization achieve long-term success in a dynamically changing environment.</w:t>
      </w:r>
    </w:p>
    <w:p w14:paraId="49AAD5A8" w14:textId="77777777" w:rsidR="00CB0142" w:rsidRDefault="00AF7DAE">
      <w:pPr>
        <w:snapToGrid w:val="0"/>
        <w:spacing w:line="360" w:lineRule="auto"/>
        <w:ind w:firstLineChars="200" w:firstLine="562"/>
        <w:rPr>
          <w:rFonts w:ascii="Times New Roman" w:hAnsi="Times New Roman" w:cs="Times New Roman"/>
          <w:b/>
          <w:bCs/>
          <w:sz w:val="28"/>
          <w:szCs w:val="28"/>
        </w:rPr>
      </w:pPr>
      <w:r>
        <w:rPr>
          <w:rFonts w:ascii="Times New Roman" w:hAnsi="Times New Roman" w:cs="Times New Roman"/>
          <w:b/>
          <w:bCs/>
          <w:sz w:val="28"/>
          <w:szCs w:val="28"/>
        </w:rPr>
        <w:t>Dealing with resistance to change: ways to understand and resolve it</w:t>
      </w:r>
    </w:p>
    <w:p w14:paraId="39D3713D"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issue of resistance to organizational change has always been a hot topic in both theoretical and practical circles. Any change will inevitably touch the sensitive nerves of different stakeholders. Coupled with the influence of factors such as organizational inertia and path dependence, resistance to change is inevitable. It can be said that effectively dealing with resistance is the key to the success or failure of change. In this regard, scholar </w:t>
      </w:r>
      <w:proofErr w:type="spellStart"/>
      <w:r>
        <w:rPr>
          <w:rFonts w:ascii="Times New Roman" w:hAnsi="Times New Roman" w:cs="Times New Roman"/>
          <w:sz w:val="28"/>
          <w:szCs w:val="28"/>
        </w:rPr>
        <w:t>Piderit</w:t>
      </w:r>
      <w:proofErr w:type="spellEnd"/>
      <w:r>
        <w:rPr>
          <w:rFonts w:ascii="Times New Roman" w:hAnsi="Times New Roman" w:cs="Times New Roman"/>
          <w:sz w:val="28"/>
          <w:szCs w:val="28"/>
        </w:rPr>
        <w:t xml:space="preserve"> proposed a multi-dimensional framework for analyzing resistance, namely cognitive resistance, emotional resistance and behavioral resistance </w:t>
      </w:r>
      <w:r>
        <w:rPr>
          <w:rFonts w:ascii="Times New Roman" w:hAnsi="Times New Roman" w:cs="Times New Roman" w:hint="eastAsia"/>
          <w:sz w:val="28"/>
          <w:szCs w:val="28"/>
        </w:rPr>
        <w:t>[</w:t>
      </w:r>
      <w:r>
        <w:rPr>
          <w:rFonts w:ascii="Times New Roman" w:hAnsi="Times New Roman" w:cs="Times New Roman"/>
          <w:sz w:val="28"/>
          <w:szCs w:val="28"/>
        </w:rPr>
        <w:t>9</w:t>
      </w:r>
      <w:r>
        <w:rPr>
          <w:rFonts w:ascii="Times New Roman" w:hAnsi="Times New Roman" w:cs="Times New Roman" w:hint="eastAsia"/>
          <w:sz w:val="28"/>
          <w:szCs w:val="28"/>
        </w:rPr>
        <w:t>]</w:t>
      </w:r>
      <w:r>
        <w:rPr>
          <w:rFonts w:ascii="Times New Roman" w:hAnsi="Times New Roman" w:cs="Times New Roman"/>
          <w:sz w:val="28"/>
          <w:szCs w:val="28"/>
        </w:rPr>
        <w:t>.</w:t>
      </w:r>
    </w:p>
    <w:p w14:paraId="7FABF784"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Cognitive resistance stems from employees' doubts about the necessity and feasibility of change, which is often seen in situations of information asymmetry and inadequate communication. In response to cognitive resistance, managers need to help employees understand the value and significance of change and see the development opportunities brought about by change through education, persuasion, and full </w:t>
      </w:r>
      <w:r>
        <w:rPr>
          <w:rFonts w:ascii="Times New Roman" w:hAnsi="Times New Roman" w:cs="Times New Roman"/>
          <w:sz w:val="28"/>
          <w:szCs w:val="28"/>
        </w:rPr>
        <w:lastRenderedPageBreak/>
        <w:t>empowerment.</w:t>
      </w:r>
    </w:p>
    <w:p w14:paraId="0343724D"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The root of emotional resistance lies in the uncertainty and sense of risk brought about by change. Employees often worry that change will threaten their own interests, thus generating negative emotions such as anxiety and fear. The key to resolving emotional resistance is to understand the psychological demands of employees from their own perspective, resolve doubts through open communication, create a sense of psychological security with sincerity and care, and, if necessary, slow down the pace of change appropriately to give employees time and space to adapt.</w:t>
      </w:r>
    </w:p>
    <w:p w14:paraId="4D84A473"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Behavioral resistance is directly manifested in specific actions of resisting change, such as passive sabotage and open resistance. Behavioral resistance reflects the externalization of cognitive and emotional resistance, but sometimes it can also be a bargaining strategy of employees to gain more benefits. In this regard, managers need to take advantage of the situation. On the one hand, they must be determined to change and set an example. On the other hand, they must also take into account the demands of employees and form a positive force for change through interest coordination and incentive reshaping.</w:t>
      </w:r>
    </w:p>
    <w:p w14:paraId="74A5BD9F" w14:textId="77777777" w:rsidR="00CB0142" w:rsidRDefault="00AF7DAE">
      <w:pPr>
        <w:snapToGrid w:val="0"/>
        <w:spacing w:line="360" w:lineRule="auto"/>
        <w:ind w:firstLineChars="200" w:firstLine="562"/>
        <w:rPr>
          <w:rFonts w:ascii="Times New Roman" w:hAnsi="Times New Roman" w:cs="Times New Roman"/>
          <w:b/>
          <w:bCs/>
          <w:sz w:val="28"/>
          <w:szCs w:val="28"/>
        </w:rPr>
      </w:pPr>
      <w:r>
        <w:rPr>
          <w:rFonts w:ascii="Times New Roman" w:hAnsi="Times New Roman" w:cs="Times New Roman"/>
          <w:b/>
          <w:bCs/>
          <w:sz w:val="28"/>
          <w:szCs w:val="28"/>
        </w:rPr>
        <w:t>Embracing digitalization: leading a new wave of organizational change</w:t>
      </w:r>
    </w:p>
    <w:p w14:paraId="1568788C"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Since the beginning of the 21st century, the digital wave represented by information technology is profoundly reshaping organizational forms and operating methods. The deep integration of digital technology and business is giving rise to revolutionary changes in management paradigms. In this context, digital transformation has become the only way for traditional enterprises to break through development bottlenecks. This has raised new contemporary issues for organizational change theory and practice.</w:t>
      </w:r>
    </w:p>
    <w:p w14:paraId="63E54908"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Organizational change in the digital age presents distinct characteristics: technology-driven, experience-oriented, platform-enabled, and ecologically aggregated. Under this trend, the focus of organizational change is shifting from factor adjustment to process reengineering, and from structural optimization to digital operations. For example, big data analysis provides unprecedented and accurate insights for organizational decision-making, artificial intelligence is empowering the entire value </w:t>
      </w:r>
      <w:r>
        <w:rPr>
          <w:rFonts w:ascii="Times New Roman" w:hAnsi="Times New Roman" w:cs="Times New Roman"/>
          <w:sz w:val="28"/>
          <w:szCs w:val="28"/>
        </w:rPr>
        <w:lastRenderedPageBreak/>
        <w:t>chain of organizations, and cutting-edge technologies such as blockchain and the Internet of Things are also catalyzing the flexibility of organizational boundaries and the elasticity of organizational relationships.</w:t>
      </w:r>
    </w:p>
    <w:p w14:paraId="6E2F9E41"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the face of the digital wave, organizational change needs to establish a "digital mindset", that is, driven by data, centered on experience, based on platforms, and based on open collaboration. This requires organizational change to break out of the traditional shackles of "structure-process" and enable the intelligent operation of organizations, the flattening of organizational forms, and the spillover of organizational boundaries through digital technology. Specifically, organizations need to use digital tools to reshape business processes and optimize customer journeys, use platform mechanisms to gather internal and external resources, reconstruct the industrial value chain, and use agile methods to create flexible and efficient innovation mechanisms. Only in this way can organizations overtake others in the digital torrent and achieve overtaking and gorgeous transformation.</w:t>
      </w:r>
    </w:p>
    <w:p w14:paraId="33D72876"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Of course, promoting digital transformation is by no means easy. Organizations need to make systematic plans in terms of strategic guidance, organizational support, and talent empowerment, and coordinate the relationship between technological transformation, process reengineering, and cultural shaping. It is particularly important to closely integrate digital transformation with the strategic mission of the organization, cultivate both internally and externally, and integrate knowledge and action, and avoid technology for the sake of technology. Only by attaching great importance to leadership shaping, organizational culture transformation, and employee quality improvement, and accelerating the formation of adaptive and self-evolving digital momentum, can traditional organizations achieve rebirth in the intelligent era and continue to write a new chapter of development.</w:t>
      </w:r>
    </w:p>
    <w:p w14:paraId="603812A7"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Looking at the evolution of organizational change theory, we can clearly see a development from static to dynamic, from local to overall, from research to practice, from foreign experience to local experience. This theoretical system has moved from "beginning" to "development", but it is still far from perfect. In the era of globalization and digitalization, organizational change will undoubtedly be one of the most dynamic </w:t>
      </w:r>
      <w:r>
        <w:rPr>
          <w:rFonts w:ascii="Times New Roman" w:hAnsi="Times New Roman" w:cs="Times New Roman"/>
          <w:sz w:val="28"/>
          <w:szCs w:val="28"/>
        </w:rPr>
        <w:lastRenderedPageBreak/>
        <w:t>research topics in the field of management.</w:t>
      </w:r>
    </w:p>
    <w:p w14:paraId="62307E10" w14:textId="77777777" w:rsidR="00CB0142" w:rsidRDefault="00CB0142">
      <w:pPr>
        <w:snapToGrid w:val="0"/>
        <w:spacing w:line="360" w:lineRule="auto"/>
        <w:ind w:firstLineChars="200" w:firstLine="560"/>
        <w:rPr>
          <w:rFonts w:ascii="Times New Roman" w:hAnsi="Times New Roman" w:cs="Times New Roman"/>
          <w:sz w:val="28"/>
          <w:szCs w:val="28"/>
        </w:rPr>
      </w:pPr>
    </w:p>
    <w:p w14:paraId="79610D24" w14:textId="77777777" w:rsidR="00CB0142" w:rsidRDefault="00AF7DAE">
      <w:pPr>
        <w:snapToGrid w:val="0"/>
        <w:spacing w:line="360" w:lineRule="auto"/>
        <w:ind w:firstLineChars="200" w:firstLine="562"/>
        <w:outlineLvl w:val="1"/>
        <w:rPr>
          <w:rFonts w:ascii="Times New Roman" w:hAnsi="Times New Roman" w:cs="Times New Roman"/>
          <w:b/>
          <w:bCs/>
          <w:sz w:val="28"/>
          <w:szCs w:val="28"/>
        </w:rPr>
      </w:pPr>
      <w:bookmarkStart w:id="4" w:name="_Toc16274"/>
      <w:r>
        <w:rPr>
          <w:rFonts w:ascii="Times New Roman" w:hAnsi="Times New Roman" w:cs="Times New Roman"/>
          <w:b/>
          <w:bCs/>
          <w:sz w:val="28"/>
          <w:szCs w:val="28"/>
        </w:rPr>
        <w:t>1.2. Concepts and types of organizational changes in Chinese companies</w:t>
      </w:r>
      <w:bookmarkEnd w:id="4"/>
    </w:p>
    <w:p w14:paraId="1B421C69" w14:textId="77777777" w:rsidR="00CB0142" w:rsidRDefault="00CB0142">
      <w:pPr>
        <w:snapToGrid w:val="0"/>
        <w:spacing w:line="360" w:lineRule="auto"/>
        <w:ind w:firstLineChars="200" w:firstLine="562"/>
        <w:rPr>
          <w:rFonts w:ascii="Times New Roman" w:hAnsi="Times New Roman" w:cs="Times New Roman"/>
          <w:b/>
          <w:bCs/>
          <w:sz w:val="28"/>
          <w:szCs w:val="28"/>
        </w:rPr>
      </w:pPr>
    </w:p>
    <w:p w14:paraId="5248A536"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previous section systematically sorted out the development context and cutting-edge trends of organizational change theory, revealing the general laws of change motivation, process mechanism and method path. However, the vitality of theory lies in practice. In the micro-context of enterprise growth, organizational change presents unique connotations, characteristics and practice patterns. Therefore, this section will focus on the Chinese context and take management practice as the foothold to explore the connotation, characteristics and main types of organizational change in Chinese enterprises, and analyze </w:t>
      </w:r>
      <w:proofErr w:type="gramStart"/>
      <w:r>
        <w:rPr>
          <w:rFonts w:ascii="Times New Roman" w:hAnsi="Times New Roman" w:cs="Times New Roman"/>
          <w:sz w:val="28"/>
          <w:szCs w:val="28"/>
        </w:rPr>
        <w:t>The</w:t>
      </w:r>
      <w:proofErr w:type="gramEnd"/>
      <w:r>
        <w:rPr>
          <w:rFonts w:ascii="Times New Roman" w:hAnsi="Times New Roman" w:cs="Times New Roman"/>
          <w:sz w:val="28"/>
          <w:szCs w:val="28"/>
        </w:rPr>
        <w:t xml:space="preserve"> key factors driving change seek to enrich organizational change theory from a practical perspective.</w:t>
      </w:r>
    </w:p>
    <w:p w14:paraId="47F6E3E1" w14:textId="77777777" w:rsidR="00CB0142" w:rsidRDefault="00AF7DAE">
      <w:pPr>
        <w:snapToGrid w:val="0"/>
        <w:spacing w:line="360" w:lineRule="auto"/>
        <w:ind w:firstLineChars="200" w:firstLine="562"/>
        <w:rPr>
          <w:rFonts w:ascii="Times New Roman" w:hAnsi="Times New Roman" w:cs="Times New Roman"/>
          <w:b/>
          <w:bCs/>
          <w:sz w:val="28"/>
          <w:szCs w:val="28"/>
        </w:rPr>
      </w:pPr>
      <w:r>
        <w:rPr>
          <w:rFonts w:ascii="Times New Roman" w:hAnsi="Times New Roman" w:cs="Times New Roman"/>
          <w:b/>
          <w:bCs/>
          <w:sz w:val="28"/>
          <w:szCs w:val="28"/>
        </w:rPr>
        <w:t>The connotation and characteristics of organizational reform in Chinese enterprises</w:t>
      </w:r>
    </w:p>
    <w:p w14:paraId="659111B7"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the context of Chinese enterprises, organizational change refers to the process by which enterprises adapt to changes in the internal and external environment by adjusting organizational structure, optimizing business processes, changing management methods, and other measures to achieve organizational performance improvement and sustainable development [1 0</w:t>
      </w:r>
      <w:r>
        <w:rPr>
          <w:rFonts w:ascii="Times New Roman" w:hAnsi="Times New Roman" w:cs="Times New Roman" w:hint="eastAsia"/>
          <w:sz w:val="28"/>
          <w:szCs w:val="28"/>
        </w:rPr>
        <w:t>]</w:t>
      </w:r>
      <w:r>
        <w:rPr>
          <w:rFonts w:ascii="Times New Roman" w:hAnsi="Times New Roman" w:cs="Times New Roman"/>
          <w:sz w:val="28"/>
          <w:szCs w:val="28"/>
        </w:rPr>
        <w:t>. Compared with Western enterprises, organizational change in Chinese enterprises presents some unique characteristics:</w:t>
      </w:r>
    </w:p>
    <w:p w14:paraId="096197AA"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First, the organizational changes of Chinese enterprises are deeply influenced by the system transformation. Since the reform and opening up, China has undergone a major transformation from a planned economy to a socialist market economy. During this transformation, state-owned enterprises, as an important pillar of the economy, took the lead in strategic restructuring to adapt to the new market environment. At the same time, private enterprises have sprung up like mushrooms after rain, and foreign-funded enterprises have also entered the Chinese market on a large scale, together forming a diversified development pattern of China's economy.</w:t>
      </w:r>
    </w:p>
    <w:p w14:paraId="000403BE"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However, due to the differences in the institutional environment faced by </w:t>
      </w:r>
      <w:r>
        <w:rPr>
          <w:rFonts w:ascii="Times New Roman" w:hAnsi="Times New Roman" w:cs="Times New Roman"/>
          <w:sz w:val="28"/>
          <w:szCs w:val="28"/>
        </w:rPr>
        <w:lastRenderedPageBreak/>
        <w:t>enterprises of different ownership structures, they naturally show significant differences in the motivation for change, path selection and implementation methods. Specifically, due to historical reasons and institutional characteristics, the transformation of state-owned enterprises is often driven by both policy guidance and marketization. Under the pressure of the marketization process, state-owned enterprises have to make "ice-breaking" structural adjustments, such as clarifying the boundaries between government and enterprises and improving corporate governance, in order to better adapt to market competition.</w:t>
      </w:r>
    </w:p>
    <w:p w14:paraId="35103F3B"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contrast, private and foreign-funded enterprises are more driven by the logic of market competition. Without too much historical baggage and institutional constraints, they are more flexible in responding to market changes and focus on optimizing business models and management processes. These enterprises improve their competitiveness and market position through continuous innovation and refined management.</w:t>
      </w:r>
    </w:p>
    <w:p w14:paraId="4B567E8B"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Secondly, a notable feature of organizational change in Chinese enterprises is the close combination of top-down promotion and bottom-up innovation. In the context of Chinese society attaching great importance to authority and hierarchy, the decision-making and will of the top management of enterprises play a decisive role in promoting change. This top-down promotion method ensures the smooth implementation of systematic changes at the organizational level through strategies such as leaders' vision incentives and institutional design. At the same time, the initiative and innovative spirit of grassroots employees are also an indispensable force for the transformation of Chinese enterprises. Frontline employees are often more sensitive to the needs and opportunities of change because they are directly facing the market and customers, thereby promoting bottom-up "micro-innovation" changes. This driving force for change is released through employee suggestions, process reengineering, etc., and collides and merges with top-down change designs to jointly promote the process of organizational change in enterprises.</w:t>
      </w:r>
    </w:p>
    <w:p w14:paraId="5041866E"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Thirdly, the organizational reform of Chinese enterprises also presents the unique characteristics of both task orientation and relationship orientation. On the one hand, </w:t>
      </w:r>
      <w:r>
        <w:rPr>
          <w:rFonts w:ascii="Times New Roman" w:hAnsi="Times New Roman" w:cs="Times New Roman"/>
          <w:sz w:val="28"/>
          <w:szCs w:val="28"/>
        </w:rPr>
        <w:lastRenderedPageBreak/>
        <w:t>improving enterprise organizational performance and achieving strategic goals are the core motivations for the reform of Chinese enterprises. This determines that the reform process must be carried out around specific tasks such as productivity improvement, process optimization, and cost control, and has a distinct task orientation. Managers need to play the role of "baton" in this process, and ensure the rigidity and effectiveness of the implementation of the reform through means such as goal decomposition and performance evaluation. On the other hand, the unique "relationship" and "human relationship" culture of Chinese society also has a profound impact on enterprise reform. When promoting reform, managers must pay attention to communication, coordination and interest balance to create harmonious organizational relationships, resolve interpersonal resistance, and win broad support for reform.</w:t>
      </w:r>
    </w:p>
    <w:p w14:paraId="7CCF09B7" w14:textId="77777777" w:rsidR="00CB0142" w:rsidRDefault="00AF7DAE">
      <w:pPr>
        <w:snapToGrid w:val="0"/>
        <w:spacing w:line="360" w:lineRule="auto"/>
        <w:ind w:firstLineChars="200" w:firstLine="562"/>
        <w:rPr>
          <w:rFonts w:ascii="Times New Roman" w:hAnsi="Times New Roman" w:cs="Times New Roman"/>
          <w:b/>
          <w:bCs/>
          <w:sz w:val="28"/>
          <w:szCs w:val="28"/>
        </w:rPr>
      </w:pPr>
      <w:r>
        <w:rPr>
          <w:rFonts w:ascii="Times New Roman" w:hAnsi="Times New Roman" w:cs="Times New Roman"/>
          <w:b/>
          <w:bCs/>
          <w:sz w:val="28"/>
          <w:szCs w:val="28"/>
        </w:rPr>
        <w:t>The main types of organizational changes in Chinese enterprises</w:t>
      </w:r>
    </w:p>
    <w:p w14:paraId="2DB4B6EE"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Combined with the unique national conditions and development practices of Chinese enterprises, organizational changes in Chinese enterprises can be roughly divided into the following main types:</w:t>
      </w:r>
    </w:p>
    <w:p w14:paraId="08DA8F46"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first is strategic change. Chinese enterprises are in a critical period of economic restructuring and industrial upgrading, and strategic transformation has become the theme of the times. More and more enterprises have begun to actively plan strategic changes, from traditional manufacturing to service-oriented manufacturing, from extensive management to intensive development, and from local markets to global layout </w:t>
      </w:r>
      <w:r>
        <w:rPr>
          <w:rFonts w:ascii="Times New Roman" w:hAnsi="Times New Roman" w:cs="Times New Roman" w:hint="eastAsia"/>
          <w:sz w:val="28"/>
          <w:szCs w:val="28"/>
        </w:rPr>
        <w:t>[</w:t>
      </w:r>
      <w:r>
        <w:rPr>
          <w:rFonts w:ascii="Times New Roman" w:hAnsi="Times New Roman" w:cs="Times New Roman"/>
          <w:sz w:val="28"/>
          <w:szCs w:val="28"/>
        </w:rPr>
        <w:t>11</w:t>
      </w:r>
      <w:r>
        <w:rPr>
          <w:rFonts w:ascii="Times New Roman" w:hAnsi="Times New Roman" w:cs="Times New Roman" w:hint="eastAsia"/>
          <w:sz w:val="28"/>
          <w:szCs w:val="28"/>
        </w:rPr>
        <w:t>]</w:t>
      </w:r>
      <w:r>
        <w:rPr>
          <w:rFonts w:ascii="Times New Roman" w:hAnsi="Times New Roman" w:cs="Times New Roman"/>
          <w:sz w:val="28"/>
          <w:szCs w:val="28"/>
        </w:rPr>
        <w:t>. Strategic change is a profound change involving the future development direction of the enterprise. It requires the overall planning and systematic deployment of the top management of the enterprise, and its implementation in all aspects such as organizational structure, business layout, and resource allocation. This places high demands on the strategic insight, overall control, and overall coordination capabilities of enterprise leaders.</w:t>
      </w:r>
    </w:p>
    <w:p w14:paraId="43B7167E"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second is organizational structure change. Chinese companies are generally faced with the problem of "big enterprise disease", which is manifested in problems such as too long management chain, departmental fragmentation, and low operational efficiency </w:t>
      </w:r>
      <w:r>
        <w:rPr>
          <w:rFonts w:ascii="Times New Roman" w:hAnsi="Times New Roman" w:cs="Times New Roman" w:hint="eastAsia"/>
          <w:sz w:val="28"/>
          <w:szCs w:val="28"/>
        </w:rPr>
        <w:t>[</w:t>
      </w:r>
      <w:r>
        <w:rPr>
          <w:rFonts w:ascii="Times New Roman" w:hAnsi="Times New Roman" w:cs="Times New Roman"/>
          <w:sz w:val="28"/>
          <w:szCs w:val="28"/>
        </w:rPr>
        <w:t>12</w:t>
      </w:r>
      <w:r>
        <w:rPr>
          <w:rFonts w:ascii="Times New Roman" w:hAnsi="Times New Roman" w:cs="Times New Roman" w:hint="eastAsia"/>
          <w:sz w:val="28"/>
          <w:szCs w:val="28"/>
        </w:rPr>
        <w:t>]</w:t>
      </w:r>
      <w:r>
        <w:rPr>
          <w:rFonts w:ascii="Times New Roman" w:hAnsi="Times New Roman" w:cs="Times New Roman"/>
          <w:sz w:val="28"/>
          <w:szCs w:val="28"/>
        </w:rPr>
        <w:t xml:space="preserve">. In response to these problems, Chinese companies have implemented </w:t>
      </w:r>
      <w:r>
        <w:rPr>
          <w:rFonts w:ascii="Times New Roman" w:hAnsi="Times New Roman" w:cs="Times New Roman"/>
          <w:sz w:val="28"/>
          <w:szCs w:val="28"/>
        </w:rPr>
        <w:lastRenderedPageBreak/>
        <w:t xml:space="preserve">flat management, optimized organizational structure, and created efficient business processes. Some companies have also learned from advanced Western experience and introduced advanced models such as business unit system and matrix structure to promote the flexible and modular transformation of organizational forms. JD Group's organizational structure change is a typical case. By implementing the business group system, JD broke down departmental barriers, established a market-oriented operating mechanism, and greatly improved organizational efficiency and innovation vitality </w:t>
      </w:r>
      <w:r>
        <w:rPr>
          <w:rFonts w:ascii="Times New Roman" w:hAnsi="Times New Roman" w:cs="Times New Roman" w:hint="eastAsia"/>
          <w:sz w:val="28"/>
          <w:szCs w:val="28"/>
        </w:rPr>
        <w:t>[</w:t>
      </w:r>
      <w:r>
        <w:rPr>
          <w:rFonts w:ascii="Times New Roman" w:hAnsi="Times New Roman" w:cs="Times New Roman"/>
          <w:sz w:val="28"/>
          <w:szCs w:val="28"/>
        </w:rPr>
        <w:t>13</w:t>
      </w:r>
      <w:r>
        <w:rPr>
          <w:rFonts w:ascii="Times New Roman" w:hAnsi="Times New Roman" w:cs="Times New Roman" w:hint="eastAsia"/>
          <w:sz w:val="28"/>
          <w:szCs w:val="28"/>
        </w:rPr>
        <w:t>]</w:t>
      </w:r>
      <w:r>
        <w:rPr>
          <w:rFonts w:ascii="Times New Roman" w:hAnsi="Times New Roman" w:cs="Times New Roman"/>
          <w:sz w:val="28"/>
          <w:szCs w:val="28"/>
        </w:rPr>
        <w:t>. It can be foreseen that the continuous optimization of organizational structure will be one of the important directions for the transformation of Chinese enterprises.</w:t>
      </w:r>
    </w:p>
    <w:p w14:paraId="61E6C41A"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third is process reengineering. In essence, organizational change is a systematic project centered on process optimization. Chinese companies generally have problems such as weak process awareness and poor departmental coordination, which leads to low operational efficiency. Process reengineering can improve organizational operational efficiency by streamlining, simplifying, and integrating business processes, optimizing departmental coordination, and improving organizational operational </w:t>
      </w:r>
      <w:proofErr w:type="gramStart"/>
      <w:r>
        <w:rPr>
          <w:rFonts w:ascii="Times New Roman" w:hAnsi="Times New Roman" w:cs="Times New Roman"/>
          <w:sz w:val="28"/>
          <w:szCs w:val="28"/>
        </w:rPr>
        <w:t>efficiency</w:t>
      </w:r>
      <w:r>
        <w:rPr>
          <w:rFonts w:ascii="Times New Roman" w:hAnsi="Times New Roman" w:cs="Times New Roman" w:hint="eastAsia"/>
          <w:sz w:val="28"/>
          <w:szCs w:val="28"/>
        </w:rPr>
        <w:t>[</w:t>
      </w:r>
      <w:proofErr w:type="gramEnd"/>
      <w:r>
        <w:rPr>
          <w:rFonts w:ascii="Times New Roman" w:hAnsi="Times New Roman" w:cs="Times New Roman"/>
          <w:sz w:val="28"/>
          <w:szCs w:val="28"/>
        </w:rPr>
        <w:t>14</w:t>
      </w:r>
      <w:r>
        <w:rPr>
          <w:rFonts w:ascii="Times New Roman" w:hAnsi="Times New Roman" w:cs="Times New Roman" w:hint="eastAsia"/>
          <w:sz w:val="28"/>
          <w:szCs w:val="28"/>
        </w:rPr>
        <w:t>]</w:t>
      </w:r>
      <w:r>
        <w:rPr>
          <w:rFonts w:ascii="Times New Roman" w:hAnsi="Times New Roman" w:cs="Times New Roman"/>
          <w:sz w:val="28"/>
          <w:szCs w:val="28"/>
        </w:rPr>
        <w:t xml:space="preserve">. The "people-oriented" model promoted by Haier Group has established a process mechanism oriented towards user value, opened up the entire process chain from customer demand to production and manufacturing and after-sales service, and formed a flexible operation system that can quickly respond to the </w:t>
      </w:r>
      <w:proofErr w:type="gramStart"/>
      <w:r>
        <w:rPr>
          <w:rFonts w:ascii="Times New Roman" w:hAnsi="Times New Roman" w:cs="Times New Roman"/>
          <w:sz w:val="28"/>
          <w:szCs w:val="28"/>
        </w:rPr>
        <w:t>market</w:t>
      </w:r>
      <w:r>
        <w:rPr>
          <w:rFonts w:ascii="Times New Roman" w:hAnsi="Times New Roman" w:cs="Times New Roman" w:hint="eastAsia"/>
          <w:sz w:val="28"/>
          <w:szCs w:val="28"/>
        </w:rPr>
        <w:t>[</w:t>
      </w:r>
      <w:proofErr w:type="gramEnd"/>
      <w:r>
        <w:rPr>
          <w:rFonts w:ascii="Times New Roman" w:hAnsi="Times New Roman" w:cs="Times New Roman"/>
          <w:sz w:val="28"/>
          <w:szCs w:val="28"/>
        </w:rPr>
        <w:t>15</w:t>
      </w:r>
      <w:r>
        <w:rPr>
          <w:rFonts w:ascii="Times New Roman" w:hAnsi="Times New Roman" w:cs="Times New Roman" w:hint="eastAsia"/>
          <w:sz w:val="28"/>
          <w:szCs w:val="28"/>
        </w:rPr>
        <w:t>]</w:t>
      </w:r>
      <w:r>
        <w:rPr>
          <w:rFonts w:ascii="Times New Roman" w:hAnsi="Times New Roman" w:cs="Times New Roman"/>
          <w:sz w:val="28"/>
          <w:szCs w:val="28"/>
        </w:rPr>
        <w:t>.</w:t>
      </w:r>
    </w:p>
    <w:p w14:paraId="6CFDFB99"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Fourth, cultural change. Corporate culture is the soul of an organization and has a profound impact on corporate development. Since the reform and opening up, China's social values have undergone profound changes, and traditional culture has intertwined with modern civilization. The transformation of Chinese corporate culture presents the dual characteristics of nationality and worldliness, tradition and modernity [1 6</w:t>
      </w:r>
      <w:r>
        <w:rPr>
          <w:rFonts w:ascii="Times New Roman" w:hAnsi="Times New Roman" w:cs="Times New Roman" w:hint="eastAsia"/>
          <w:sz w:val="28"/>
          <w:szCs w:val="28"/>
        </w:rPr>
        <w:t>]</w:t>
      </w:r>
      <w:r>
        <w:rPr>
          <w:rFonts w:ascii="Times New Roman" w:hAnsi="Times New Roman" w:cs="Times New Roman"/>
          <w:sz w:val="28"/>
          <w:szCs w:val="28"/>
        </w:rPr>
        <w:t xml:space="preserve">. Huawei advocates the cultural concept of "customer-centricity", combining the spirit of struggle with wolf culture, which has become the spiritual pillar that guides employees to keep making progress. Alibaba has put forward the corporate mission of "making business easy in the world", promoting the values of "customer first, teamwork, and embracing change", and shaping a unique culture of innovation and entrepreneurship. The successful shaping of these corporate cultures has injected inexhaustible power into </w:t>
      </w:r>
      <w:r>
        <w:rPr>
          <w:rFonts w:ascii="Times New Roman" w:hAnsi="Times New Roman" w:cs="Times New Roman"/>
          <w:sz w:val="28"/>
          <w:szCs w:val="28"/>
        </w:rPr>
        <w:lastRenderedPageBreak/>
        <w:t>the transformation and development of Chinese enterprises.</w:t>
      </w:r>
    </w:p>
    <w:p w14:paraId="66AA1AD6"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Fifth, digital transformation. In the new wave of technological revolution, digital technology and the real economy are accelerating their integration, and the digital economy is booming. Faced with this trend, Chinese companies have launched a wave of digital transformation, using digital technology to reshape business models, optimize management processes, and promote the transformation of organizational operations from experience-driven to data-driven, and from factor input to innovation-driven [1 7</w:t>
      </w:r>
      <w:r>
        <w:rPr>
          <w:rFonts w:ascii="Times New Roman" w:hAnsi="Times New Roman" w:cs="Times New Roman" w:hint="eastAsia"/>
          <w:sz w:val="28"/>
          <w:szCs w:val="28"/>
        </w:rPr>
        <w:t>]</w:t>
      </w:r>
      <w:r>
        <w:rPr>
          <w:rFonts w:ascii="Times New Roman" w:hAnsi="Times New Roman" w:cs="Times New Roman"/>
          <w:sz w:val="28"/>
          <w:szCs w:val="28"/>
        </w:rPr>
        <w:t>. For example, Midea Group has built a digital management platform covering R&amp;D, manufacturing, marketing, and service by promoting digital transformation, realizing supply chain collaboration and flexible manufacturing, and effectively enhancing corporate competitiveness. For another example, Vanke Group has relied on digital means such as BIM (Building Information Modeling) to promote the transformation of real estate development from extensive to refined, and established a precise and efficient management and control system [1 8</w:t>
      </w:r>
      <w:r>
        <w:rPr>
          <w:rFonts w:ascii="Times New Roman" w:hAnsi="Times New Roman" w:cs="Times New Roman" w:hint="eastAsia"/>
          <w:sz w:val="28"/>
          <w:szCs w:val="28"/>
        </w:rPr>
        <w:t>]</w:t>
      </w:r>
      <w:r>
        <w:rPr>
          <w:rFonts w:ascii="Times New Roman" w:hAnsi="Times New Roman" w:cs="Times New Roman"/>
          <w:sz w:val="28"/>
          <w:szCs w:val="28"/>
        </w:rPr>
        <w:t>.</w:t>
      </w:r>
    </w:p>
    <w:p w14:paraId="26D46021" w14:textId="77777777" w:rsidR="00CB0142" w:rsidRDefault="00AF7DAE">
      <w:pPr>
        <w:snapToGrid w:val="0"/>
        <w:spacing w:line="360" w:lineRule="auto"/>
        <w:ind w:firstLineChars="200" w:firstLine="562"/>
        <w:rPr>
          <w:rFonts w:ascii="Times New Roman" w:hAnsi="Times New Roman" w:cs="Times New Roman"/>
          <w:b/>
          <w:bCs/>
          <w:sz w:val="28"/>
          <w:szCs w:val="28"/>
        </w:rPr>
      </w:pPr>
      <w:r>
        <w:rPr>
          <w:rFonts w:ascii="Times New Roman" w:hAnsi="Times New Roman" w:cs="Times New Roman"/>
          <w:b/>
          <w:bCs/>
          <w:sz w:val="28"/>
          <w:szCs w:val="28"/>
        </w:rPr>
        <w:t>Analysis of the driving factors of China's enterprise transformation</w:t>
      </w:r>
    </w:p>
    <w:p w14:paraId="3C78AA67"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Looking at the vivid practice of Chinese enterprise transformation, we can see that the driving force for transformation mainly comes from three aspects:</w:t>
      </w:r>
      <w:r>
        <w:rPr>
          <w:rFonts w:ascii="Times New Roman" w:hAnsi="Times New Roman" w:cs="Times New Roman" w:hint="eastAsia"/>
          <w:noProof/>
          <w:sz w:val="28"/>
          <w:szCs w:val="28"/>
          <w:lang w:val="uk-UA" w:eastAsia="uk-UA"/>
        </w:rPr>
        <w:drawing>
          <wp:inline distT="0" distB="0" distL="114300" distR="114300" wp14:anchorId="0A18FD94" wp14:editId="7BC4BB41">
            <wp:extent cx="5939155" cy="3852545"/>
            <wp:effectExtent l="0" t="0" r="4445" b="3175"/>
            <wp:docPr id="7" name="图片 7" descr="2371f07d92816ce7c82c9faa65e1f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2371f07d92816ce7c82c9faa65e1fa1"/>
                    <pic:cNvPicPr>
                      <a:picLocks noChangeAspect="1"/>
                    </pic:cNvPicPr>
                  </pic:nvPicPr>
                  <pic:blipFill>
                    <a:blip r:embed="rId6"/>
                    <a:stretch>
                      <a:fillRect/>
                    </a:stretch>
                  </pic:blipFill>
                  <pic:spPr>
                    <a:xfrm>
                      <a:off x="0" y="0"/>
                      <a:ext cx="5939155" cy="3852545"/>
                    </a:xfrm>
                    <a:prstGeom prst="rect">
                      <a:avLst/>
                    </a:prstGeom>
                  </pic:spPr>
                </pic:pic>
              </a:graphicData>
            </a:graphic>
          </wp:inline>
        </w:drawing>
      </w:r>
    </w:p>
    <w:p w14:paraId="7C2E1824" w14:textId="77777777" w:rsidR="00CB0142" w:rsidRDefault="00AF7DAE">
      <w:pPr>
        <w:snapToGrid w:val="0"/>
        <w:spacing w:line="360" w:lineRule="auto"/>
        <w:ind w:firstLineChars="200" w:firstLine="562"/>
        <w:jc w:val="center"/>
        <w:rPr>
          <w:rFonts w:ascii="Times New Roman" w:hAnsi="Times New Roman" w:cs="Times New Roman"/>
          <w:b/>
          <w:bCs/>
          <w:sz w:val="28"/>
          <w:szCs w:val="28"/>
        </w:rPr>
      </w:pPr>
      <w:r>
        <w:rPr>
          <w:rFonts w:ascii="Times New Roman" w:hAnsi="Times New Roman" w:cs="Times New Roman"/>
          <w:b/>
          <w:bCs/>
          <w:sz w:val="28"/>
          <w:szCs w:val="28"/>
        </w:rPr>
        <w:lastRenderedPageBreak/>
        <w:t>Figure 2</w:t>
      </w:r>
      <w:r>
        <w:rPr>
          <w:rFonts w:ascii="Times New Roman" w:hAnsi="Times New Roman" w:cs="Times New Roman" w:hint="eastAsia"/>
          <w:b/>
          <w:bCs/>
          <w:sz w:val="28"/>
          <w:szCs w:val="28"/>
        </w:rPr>
        <w:t>.</w:t>
      </w:r>
      <w:r>
        <w:rPr>
          <w:rFonts w:ascii="Times New Roman" w:hAnsi="Times New Roman" w:cs="Times New Roman"/>
          <w:b/>
          <w:bCs/>
          <w:sz w:val="28"/>
          <w:szCs w:val="28"/>
        </w:rPr>
        <w:t>Drivers of Organizational Change in Chinese Companies</w:t>
      </w:r>
      <w:r>
        <w:rPr>
          <w:rFonts w:ascii="Times New Roman" w:hAnsi="Times New Roman" w:cs="Times New Roman" w:hint="eastAsia"/>
          <w:b/>
          <w:bCs/>
          <w:sz w:val="28"/>
          <w:szCs w:val="28"/>
        </w:rPr>
        <w:t>（</w:t>
      </w:r>
      <w:r>
        <w:rPr>
          <w:rFonts w:ascii="Times New Roman" w:hAnsi="Times New Roman" w:cs="Times New Roman" w:hint="eastAsia"/>
          <w:b/>
          <w:bCs/>
          <w:sz w:val="28"/>
          <w:szCs w:val="28"/>
        </w:rPr>
        <w:t>Source: Author's analysis based on contemporary Chinese business environment research.</w:t>
      </w:r>
      <w:r>
        <w:rPr>
          <w:rFonts w:ascii="Times New Roman" w:hAnsi="Times New Roman" w:cs="Times New Roman" w:hint="eastAsia"/>
          <w:b/>
          <w:bCs/>
          <w:sz w:val="28"/>
          <w:szCs w:val="28"/>
        </w:rPr>
        <w:t>）</w:t>
      </w:r>
    </w:p>
    <w:p w14:paraId="0F611E68"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hint="eastAsia"/>
          <w:sz w:val="28"/>
          <w:szCs w:val="28"/>
        </w:rPr>
        <w:t>This figure depicts the three major forces driving organizational change in Chinese companies - market forces, technology, and institutional factors. The overlapping circles represent how these forces interact and jointly promote organizational transformation in the Chinese context. Market forces reflect competitive pressures and consumer demands; technology represents the impact of digital innovation and smart operations; institutional factors encompass policy reforms and regulatory changes.</w:t>
      </w:r>
    </w:p>
    <w:p w14:paraId="1BD8430A"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First, it is market-driven. As China's economy enters a new normal, market competition is becoming increasingly fierce, and consumer demand is constantly upgrading, forcing companies to accelerate their transformation. On the one hand, the intensified market competition has led to a sharp increase in the survival pressure of companies. Only by achieving differentiated development through strategic innovation, model change, etc., can companies break out of the fierce competition in the red ocean. On the other hand, the upgrading of consumer demand has put forward higher requirements for the quality of products and services of companies. Meeting and leading consumer demand has become a touchstone for testing the core competitiveness of companies [1 9</w:t>
      </w:r>
      <w:r>
        <w:rPr>
          <w:rFonts w:ascii="Times New Roman" w:hAnsi="Times New Roman" w:cs="Times New Roman" w:hint="eastAsia"/>
          <w:sz w:val="28"/>
          <w:szCs w:val="28"/>
        </w:rPr>
        <w:t>]</w:t>
      </w:r>
      <w:r>
        <w:rPr>
          <w:rFonts w:ascii="Times New Roman" w:hAnsi="Times New Roman" w:cs="Times New Roman"/>
          <w:sz w:val="28"/>
          <w:szCs w:val="28"/>
        </w:rPr>
        <w:t>. For example, in the face of the rise of consumer demand for "quality consumption", Chinese home appliance companies have restructured the industry's competitive landscape by transforming product strength and accelerating the pace of "</w:t>
      </w:r>
      <w:proofErr w:type="spellStart"/>
      <w:r>
        <w:rPr>
          <w:rFonts w:ascii="Times New Roman" w:hAnsi="Times New Roman" w:cs="Times New Roman"/>
          <w:sz w:val="28"/>
          <w:szCs w:val="28"/>
        </w:rPr>
        <w:t>smartization</w:t>
      </w:r>
      <w:proofErr w:type="spellEnd"/>
      <w:r>
        <w:rPr>
          <w:rFonts w:ascii="Times New Roman" w:hAnsi="Times New Roman" w:cs="Times New Roman"/>
          <w:sz w:val="28"/>
          <w:szCs w:val="28"/>
        </w:rPr>
        <w:t>".</w:t>
      </w:r>
    </w:p>
    <w:p w14:paraId="5290A681"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second is technology-driven. New generation information technologies represented by artificial intelligence, big data, cloud computing, and blockchain are reshaping the layout of productivity and promoting changes in management models. New technologies have provided important support for the intelligent, platform-based, and flexible development of Chinese enterprises, and have become a "catalyst" for organizational </w:t>
      </w:r>
      <w:proofErr w:type="gramStart"/>
      <w:r>
        <w:rPr>
          <w:rFonts w:ascii="Times New Roman" w:hAnsi="Times New Roman" w:cs="Times New Roman"/>
          <w:sz w:val="28"/>
          <w:szCs w:val="28"/>
        </w:rPr>
        <w:t>change</w:t>
      </w:r>
      <w:r>
        <w:rPr>
          <w:rFonts w:ascii="Times New Roman" w:hAnsi="Times New Roman" w:cs="Times New Roman" w:hint="eastAsia"/>
          <w:sz w:val="28"/>
          <w:szCs w:val="28"/>
        </w:rPr>
        <w:t>[</w:t>
      </w:r>
      <w:proofErr w:type="gramEnd"/>
      <w:r>
        <w:rPr>
          <w:rFonts w:ascii="Times New Roman" w:hAnsi="Times New Roman" w:cs="Times New Roman"/>
          <w:sz w:val="28"/>
          <w:szCs w:val="28"/>
        </w:rPr>
        <w:t>20</w:t>
      </w:r>
      <w:r>
        <w:rPr>
          <w:rFonts w:ascii="Times New Roman" w:hAnsi="Times New Roman" w:cs="Times New Roman" w:hint="eastAsia"/>
          <w:sz w:val="28"/>
          <w:szCs w:val="28"/>
        </w:rPr>
        <w:t>]</w:t>
      </w:r>
      <w:r>
        <w:rPr>
          <w:rFonts w:ascii="Times New Roman" w:hAnsi="Times New Roman" w:cs="Times New Roman"/>
          <w:sz w:val="28"/>
          <w:szCs w:val="28"/>
        </w:rPr>
        <w:t xml:space="preserve">. For example, Dongfeng Motor Group has made full use of new technologies to build a digital marketing platform, achieve supply chain collaboration, and promote the transformation of corporate management from experience-oriented to data-oriented. Another example is that Country Garden Group </w:t>
      </w:r>
      <w:r>
        <w:rPr>
          <w:rFonts w:ascii="Times New Roman" w:hAnsi="Times New Roman" w:cs="Times New Roman"/>
          <w:sz w:val="28"/>
          <w:szCs w:val="28"/>
        </w:rPr>
        <w:lastRenderedPageBreak/>
        <w:t>has used new technologies such as big data and artificial intelligence to establish a digital management system covering design, construction, and delivery, effectively improving operational efficiency and product quality.</w:t>
      </w:r>
    </w:p>
    <w:p w14:paraId="125094D5"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third is institutional drive. Since the 18th CPC National Congress, China has deepened its reform in an all-round way, and a series of favorable policies have been introduced intensively, injecting strong impetus into the development of enterprises. A series of measures such as state-owned enterprise reform, "delegation, regulation and service" reform, and supply-side structural reform have greatly optimized the development environment of enterprises and cleared obstacles for organizational change </w:t>
      </w:r>
      <w:r>
        <w:rPr>
          <w:rFonts w:ascii="Times New Roman" w:hAnsi="Times New Roman" w:cs="Times New Roman" w:hint="eastAsia"/>
          <w:sz w:val="28"/>
          <w:szCs w:val="28"/>
        </w:rPr>
        <w:t>[</w:t>
      </w:r>
      <w:r>
        <w:rPr>
          <w:rFonts w:ascii="Times New Roman" w:hAnsi="Times New Roman" w:cs="Times New Roman"/>
          <w:sz w:val="28"/>
          <w:szCs w:val="28"/>
        </w:rPr>
        <w:t>21</w:t>
      </w:r>
      <w:r>
        <w:rPr>
          <w:rFonts w:ascii="Times New Roman" w:hAnsi="Times New Roman" w:cs="Times New Roman" w:hint="eastAsia"/>
          <w:sz w:val="28"/>
          <w:szCs w:val="28"/>
        </w:rPr>
        <w:t>]</w:t>
      </w:r>
      <w:r>
        <w:rPr>
          <w:rFonts w:ascii="Times New Roman" w:hAnsi="Times New Roman" w:cs="Times New Roman"/>
          <w:sz w:val="28"/>
          <w:szCs w:val="28"/>
        </w:rPr>
        <w:t>. Under the guidance of the innovation-driven development strategy, a vivid situation of "mass entrepreneurship and innovation" is taking shape, and the status of enterprises as the main body of innovation is becoming increasingly prominent.</w:t>
      </w:r>
    </w:p>
    <w:p w14:paraId="386A6D6C"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general, looking at the vivid practice of organizational change in Chinese enterprises, we can find that it presents distinct characteristics of the times and Chinese characteristics. Under the background of market-oriented transformation, enterprises of different ownership have promoted various forms of organizational change in accordance with the dimensions of strategic adjustment, organizational optimization, process reengineering, cultural shaping, digital transformation, etc., which has effectively promoted the improvement of management efficiency. This practice not only highlights the unique path of Chinese enterprise change, but also provides invaluable Chinese experience for organizational change around the world.</w:t>
      </w:r>
    </w:p>
    <w:p w14:paraId="65F48AFE" w14:textId="77777777" w:rsidR="00CB0142" w:rsidRDefault="00CB0142">
      <w:pPr>
        <w:snapToGrid w:val="0"/>
        <w:spacing w:line="360" w:lineRule="auto"/>
        <w:ind w:firstLineChars="200" w:firstLine="560"/>
        <w:rPr>
          <w:rFonts w:ascii="Times New Roman" w:hAnsi="Times New Roman" w:cs="Times New Roman"/>
          <w:sz w:val="28"/>
          <w:szCs w:val="28"/>
        </w:rPr>
      </w:pPr>
    </w:p>
    <w:p w14:paraId="71852C67" w14:textId="77777777" w:rsidR="00CB0142" w:rsidRDefault="00AF7DAE">
      <w:pPr>
        <w:snapToGrid w:val="0"/>
        <w:jc w:val="center"/>
        <w:outlineLvl w:val="1"/>
        <w:rPr>
          <w:rFonts w:ascii="Times New Roman" w:hAnsi="Times New Roman" w:cs="Times New Roman"/>
          <w:b/>
          <w:bCs/>
          <w:sz w:val="28"/>
          <w:szCs w:val="28"/>
          <w:lang w:val="en"/>
        </w:rPr>
      </w:pPr>
      <w:bookmarkStart w:id="5" w:name="_Toc4872"/>
      <w:r>
        <w:rPr>
          <w:rFonts w:ascii="Times New Roman" w:hAnsi="Times New Roman" w:cs="Times New Roman"/>
          <w:b/>
          <w:bCs/>
          <w:sz w:val="28"/>
          <w:szCs w:val="28"/>
          <w:lang w:val="en"/>
        </w:rPr>
        <w:t>1.3. Models and methods of organizational change management in Chinese companies</w:t>
      </w:r>
      <w:bookmarkEnd w:id="5"/>
    </w:p>
    <w:p w14:paraId="1D056E78" w14:textId="77777777" w:rsidR="00CB0142" w:rsidRDefault="00CB0142">
      <w:pPr>
        <w:snapToGrid w:val="0"/>
        <w:spacing w:line="360" w:lineRule="auto"/>
        <w:ind w:firstLineChars="200" w:firstLine="560"/>
        <w:rPr>
          <w:rFonts w:ascii="Times New Roman" w:hAnsi="Times New Roman" w:cs="Times New Roman"/>
          <w:sz w:val="28"/>
          <w:szCs w:val="28"/>
        </w:rPr>
      </w:pPr>
    </w:p>
    <w:p w14:paraId="746BBF97"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With the acceleration of globalization and the booming digital economy, Chinese companies have accumulated rich practical experience in organizational change management and formed a change management theory system with local characteristics. , systematically explores the model types, method innovations and practical paths of change management in Chinese enterprises, in order to provide Chinese wisdom for the development of organizational change theory.</w:t>
      </w:r>
    </w:p>
    <w:p w14:paraId="64A2076D"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lastRenderedPageBreak/>
        <w:t xml:space="preserve">In order to fully grasp the systematic framework of organizational change management in Chinese enterprises and deeply understand their unique change practices, we have constructed a multi-dimensional analysis model, as shown in Figure </w:t>
      </w:r>
      <w:r>
        <w:rPr>
          <w:rFonts w:ascii="Times New Roman" w:hAnsi="Times New Roman" w:cs="Times New Roman" w:hint="eastAsia"/>
          <w:sz w:val="28"/>
          <w:szCs w:val="28"/>
        </w:rPr>
        <w:t>3</w:t>
      </w:r>
      <w:r>
        <w:rPr>
          <w:rFonts w:ascii="Times New Roman" w:hAnsi="Times New Roman" w:cs="Times New Roman"/>
          <w:sz w:val="28"/>
          <w:szCs w:val="28"/>
        </w:rPr>
        <w:t>. This model is based on the change practices of Chinese enterprises and combines the organizational change theory discussed above. The analysis is carried out from three dimensions: change model type, change method innovation and digital change trend, revealing the core elements and development direction of change management in Chinese enterprises.</w:t>
      </w:r>
    </w:p>
    <w:p w14:paraId="3703DF4D"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660288" behindDoc="0" locked="0" layoutInCell="1" allowOverlap="1" wp14:anchorId="4550980F" wp14:editId="3FE66392">
            <wp:simplePos x="0" y="0"/>
            <wp:positionH relativeFrom="column">
              <wp:posOffset>1823720</wp:posOffset>
            </wp:positionH>
            <wp:positionV relativeFrom="page">
              <wp:posOffset>2944495</wp:posOffset>
            </wp:positionV>
            <wp:extent cx="2482850" cy="2422525"/>
            <wp:effectExtent l="0" t="0" r="1270" b="635"/>
            <wp:wrapTopAndBottom/>
            <wp:docPr id="1" name="图片 1" descr="672933a539dac4d8279176407e33b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672933a539dac4d8279176407e33bdb"/>
                    <pic:cNvPicPr>
                      <a:picLocks noChangeAspect="1"/>
                    </pic:cNvPicPr>
                  </pic:nvPicPr>
                  <pic:blipFill>
                    <a:blip r:embed="rId7"/>
                    <a:stretch>
                      <a:fillRect/>
                    </a:stretch>
                  </pic:blipFill>
                  <pic:spPr>
                    <a:xfrm>
                      <a:off x="0" y="0"/>
                      <a:ext cx="2482850" cy="2422525"/>
                    </a:xfrm>
                    <a:prstGeom prst="rect">
                      <a:avLst/>
                    </a:prstGeom>
                  </pic:spPr>
                </pic:pic>
              </a:graphicData>
            </a:graphic>
          </wp:anchor>
        </w:drawing>
      </w:r>
    </w:p>
    <w:p w14:paraId="2A9A6CBC" w14:textId="77777777" w:rsidR="00CB0142" w:rsidRDefault="00AF7DAE">
      <w:pPr>
        <w:snapToGrid w:val="0"/>
        <w:spacing w:line="360" w:lineRule="auto"/>
        <w:ind w:firstLineChars="200" w:firstLine="562"/>
        <w:jc w:val="center"/>
        <w:rPr>
          <w:rFonts w:ascii="Times New Roman" w:hAnsi="Times New Roman" w:cs="Times New Roman"/>
          <w:b/>
          <w:bCs/>
          <w:sz w:val="28"/>
          <w:szCs w:val="28"/>
        </w:rPr>
      </w:pPr>
      <w:r>
        <w:rPr>
          <w:rFonts w:ascii="Times New Roman" w:hAnsi="Times New Roman" w:cs="Times New Roman"/>
          <w:b/>
          <w:bCs/>
          <w:sz w:val="28"/>
          <w:szCs w:val="28"/>
        </w:rPr>
        <w:t xml:space="preserve">Figure </w:t>
      </w:r>
      <w:r>
        <w:rPr>
          <w:rFonts w:ascii="Times New Roman" w:hAnsi="Times New Roman" w:cs="Times New Roman" w:hint="eastAsia"/>
          <w:b/>
          <w:bCs/>
          <w:sz w:val="28"/>
          <w:szCs w:val="28"/>
        </w:rPr>
        <w:t>3.</w:t>
      </w:r>
      <w:r>
        <w:rPr>
          <w:rFonts w:ascii="Times New Roman" w:hAnsi="Times New Roman" w:cs="Times New Roman"/>
          <w:b/>
          <w:bCs/>
          <w:sz w:val="28"/>
          <w:szCs w:val="28"/>
        </w:rPr>
        <w:t xml:space="preserve"> Organizational change management framework analysis model</w:t>
      </w:r>
      <w:r>
        <w:rPr>
          <w:rFonts w:ascii="Times New Roman" w:hAnsi="Times New Roman" w:cs="Times New Roman" w:hint="eastAsia"/>
          <w:b/>
          <w:bCs/>
          <w:sz w:val="28"/>
          <w:szCs w:val="28"/>
        </w:rPr>
        <w:t>（</w:t>
      </w:r>
      <w:r>
        <w:rPr>
          <w:rFonts w:ascii="Times New Roman" w:hAnsi="Times New Roman" w:cs="Times New Roman"/>
          <w:b/>
          <w:bCs/>
          <w:sz w:val="28"/>
          <w:szCs w:val="28"/>
        </w:rPr>
        <w:t>Source: Hypothetical data and conceptual model examples.</w:t>
      </w:r>
      <w:r>
        <w:rPr>
          <w:rFonts w:ascii="Times New Roman" w:hAnsi="Times New Roman" w:cs="Times New Roman" w:hint="eastAsia"/>
          <w:b/>
          <w:bCs/>
          <w:sz w:val="28"/>
          <w:szCs w:val="28"/>
        </w:rPr>
        <w:t>）</w:t>
      </w:r>
    </w:p>
    <w:p w14:paraId="014A2106" w14:textId="77777777" w:rsidR="00CB0142" w:rsidRDefault="00CB0142">
      <w:pPr>
        <w:snapToGrid w:val="0"/>
        <w:spacing w:line="360" w:lineRule="auto"/>
        <w:ind w:firstLineChars="200" w:firstLine="562"/>
        <w:jc w:val="center"/>
        <w:rPr>
          <w:rFonts w:ascii="Times New Roman" w:hAnsi="Times New Roman" w:cs="Times New Roman"/>
          <w:b/>
          <w:bCs/>
          <w:sz w:val="28"/>
          <w:szCs w:val="28"/>
        </w:rPr>
      </w:pPr>
    </w:p>
    <w:p w14:paraId="13E1838D"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From the picture, we can see that the model shows the core dimensions of organizational change through three interrelated circles. First, in the dimension of change mode type, the model covers the basic change paths of gradual, breakthrough and hybrid, which echoes the change strategies adopted by Chinese companies at different stages of development mentioned in the previous article. Secondly, the dimension of innovation in change methods summarizes the key methods formed by Chinese companies in practice, including labor design, cultural construction and differentiated projects, highlighting the uniqueness of Chinese companies in change practice. Finally, the dimension of digital change trend reflects the new characteristics of enterprise change in the digital age, emphasizing the importance of digital technology </w:t>
      </w:r>
      <w:r>
        <w:rPr>
          <w:rFonts w:ascii="Times New Roman" w:hAnsi="Times New Roman" w:cs="Times New Roman"/>
          <w:sz w:val="28"/>
          <w:szCs w:val="28"/>
        </w:rPr>
        <w:lastRenderedPageBreak/>
        <w:t>application, agile transformation of modern organizations and ecosystem construction in enterprise change.</w:t>
      </w:r>
    </w:p>
    <w:p w14:paraId="4D807DAF"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The three dimensions in the model are interconnected and linked to each other through connecting lines and an external unified circular framework. This design highlights the systematic characteristics of change management, that is, the dimensions do not exist in isolation, but support each other. For example, the application of digital technology provides new tools for innovation in change methods, and different types of change models will affect the choice of enterprises in the path of digital transformation. This systematic thinking is of great significance to understanding the change practices of Chinese enterprises.</w:t>
      </w:r>
    </w:p>
    <w:p w14:paraId="55627029"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the transformation practices of Chinese enterprises, the change management models can be roughly divided into three types: incremental, breakthrough, and </w:t>
      </w:r>
      <w:proofErr w:type="gramStart"/>
      <w:r>
        <w:rPr>
          <w:rFonts w:ascii="Times New Roman" w:hAnsi="Times New Roman" w:cs="Times New Roman"/>
          <w:sz w:val="28"/>
          <w:szCs w:val="28"/>
        </w:rPr>
        <w:t>hybrid .</w:t>
      </w:r>
      <w:proofErr w:type="gramEnd"/>
      <w:r>
        <w:rPr>
          <w:rFonts w:ascii="Times New Roman" w:hAnsi="Times New Roman" w:cs="Times New Roman"/>
          <w:sz w:val="28"/>
          <w:szCs w:val="28"/>
        </w:rPr>
        <w:t xml:space="preserve"> [22] This classification not only reflects the strategic choices of enterprises in the transformation process, but also reflects the organizational characteristics and capabilities of different enterprises in responding to environmental changes.</w:t>
      </w:r>
    </w:p>
    <w:p w14:paraId="3C75C54A"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The incremental change model emphasizes achieving organizational transformation through continuous improvement and steady progress, and is suitable for enterprises with a relatively stable external environment and a good internal foundation. Under this model, enterprises usually adopt methods such as lean management and total quality management to improve organizational capabilities through gradual innovation [23</w:t>
      </w:r>
      <w:proofErr w:type="gramStart"/>
      <w:r>
        <w:rPr>
          <w:rFonts w:ascii="Times New Roman" w:hAnsi="Times New Roman" w:cs="Times New Roman"/>
          <w:sz w:val="28"/>
          <w:szCs w:val="28"/>
        </w:rPr>
        <w:t>] .</w:t>
      </w:r>
      <w:proofErr w:type="gramEnd"/>
      <w:r>
        <w:rPr>
          <w:rFonts w:ascii="Times New Roman" w:hAnsi="Times New Roman" w:cs="Times New Roman"/>
          <w:sz w:val="28"/>
          <w:szCs w:val="28"/>
        </w:rPr>
        <w:t xml:space="preserve"> For example, </w:t>
      </w:r>
      <w:proofErr w:type="spellStart"/>
      <w:r>
        <w:rPr>
          <w:rFonts w:ascii="Times New Roman" w:hAnsi="Times New Roman" w:cs="Times New Roman"/>
          <w:sz w:val="28"/>
          <w:szCs w:val="28"/>
        </w:rPr>
        <w:t>Gree</w:t>
      </w:r>
      <w:proofErr w:type="spellEnd"/>
      <w:r>
        <w:rPr>
          <w:rFonts w:ascii="Times New Roman" w:hAnsi="Times New Roman" w:cs="Times New Roman"/>
          <w:sz w:val="28"/>
          <w:szCs w:val="28"/>
        </w:rPr>
        <w:t xml:space="preserve"> Electric has achieved significant advantages in manufacturing efficiency and product quality by continuously promoting lean production and quality management; Midea Group has established a complete continuous improvement system by comprehensively promoting lean six sigma management. These practices show that although incremental change is relatively slow, it ensures the stability and sustainability of change.</w:t>
      </w:r>
    </w:p>
    <w:p w14:paraId="0D1E6D0C"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breakthrough change model emphasizes achieving organizational leaps through disruptive innovation and major adjustments, and is suitable for companies facing major strategic opportunities or severe challenges. Under this model, companies usually need to make fundamental changes in organizational structure, business model, </w:t>
      </w:r>
      <w:r>
        <w:rPr>
          <w:rFonts w:ascii="Times New Roman" w:hAnsi="Times New Roman" w:cs="Times New Roman"/>
          <w:sz w:val="28"/>
          <w:szCs w:val="28"/>
        </w:rPr>
        <w:lastRenderedPageBreak/>
        <w:t>and management system. Haier Group is one of the typical cases. By promoting the "people-oriented" model, it has completely reformed the traditional bureaucratic organizational structure and established a market-oriented micro-business system; after acquiring IBM's PC business, Lenovo Group successfully achieved the transformation from a regional enterprise to a global enterprise through large-scale integration and reorganization. Although the risk of breakthrough changes is high, it can help companies quickly break through development bottlenecks and seize market opportunities.</w:t>
      </w:r>
    </w:p>
    <w:p w14:paraId="634A0B92"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noProof/>
          <w:sz w:val="28"/>
          <w:szCs w:val="28"/>
          <w:lang w:val="uk-UA" w:eastAsia="uk-UA"/>
        </w:rPr>
        <w:drawing>
          <wp:anchor distT="0" distB="0" distL="114300" distR="114300" simplePos="0" relativeHeight="251659264" behindDoc="0" locked="0" layoutInCell="1" allowOverlap="1" wp14:anchorId="0486B601" wp14:editId="3F00EF4C">
            <wp:simplePos x="0" y="0"/>
            <wp:positionH relativeFrom="column">
              <wp:posOffset>1656080</wp:posOffset>
            </wp:positionH>
            <wp:positionV relativeFrom="page">
              <wp:posOffset>6194425</wp:posOffset>
            </wp:positionV>
            <wp:extent cx="2785110" cy="2193925"/>
            <wp:effectExtent l="0" t="0" r="3810" b="635"/>
            <wp:wrapTopAndBottom/>
            <wp:docPr id="2" name="图片 2" descr="1731054685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731054685151"/>
                    <pic:cNvPicPr>
                      <a:picLocks noChangeAspect="1"/>
                    </pic:cNvPicPr>
                  </pic:nvPicPr>
                  <pic:blipFill>
                    <a:blip r:embed="rId8"/>
                    <a:stretch>
                      <a:fillRect/>
                    </a:stretch>
                  </pic:blipFill>
                  <pic:spPr>
                    <a:xfrm>
                      <a:off x="0" y="0"/>
                      <a:ext cx="2785110" cy="2193925"/>
                    </a:xfrm>
                    <a:prstGeom prst="rect">
                      <a:avLst/>
                    </a:prstGeom>
                  </pic:spPr>
                </pic:pic>
              </a:graphicData>
            </a:graphic>
          </wp:anchor>
        </w:drawing>
      </w:r>
      <w:r>
        <w:rPr>
          <w:rFonts w:ascii="Times New Roman" w:hAnsi="Times New Roman" w:cs="Times New Roman"/>
          <w:sz w:val="28"/>
          <w:szCs w:val="28"/>
        </w:rPr>
        <w:t xml:space="preserve">The hybrid transformation model combines the incremental and breakthrough approaches, and adopts differentiated transformation strategies according to the characteristics of different business areas. This model is more common in large Chinese companies. However, to effectively implement hybrid transformation, companies need to comprehensively consider and balance various management elements. To this end, this study proposes a strategic hexagonal analysis model to systematically grasp the core elements of enterprise change management and their interrelationships, as shown in Figure </w:t>
      </w:r>
      <w:r>
        <w:rPr>
          <w:rFonts w:ascii="Times New Roman" w:hAnsi="Times New Roman" w:cs="Times New Roman" w:hint="eastAsia"/>
          <w:sz w:val="28"/>
          <w:szCs w:val="28"/>
        </w:rPr>
        <w:t>4</w:t>
      </w:r>
      <w:r>
        <w:rPr>
          <w:rFonts w:ascii="Times New Roman" w:hAnsi="Times New Roman" w:cs="Times New Roman"/>
          <w:sz w:val="28"/>
          <w:szCs w:val="28"/>
        </w:rPr>
        <w:t>.</w:t>
      </w:r>
    </w:p>
    <w:p w14:paraId="2AAAD24E" w14:textId="77777777" w:rsidR="00CB0142" w:rsidRDefault="00CB0142">
      <w:pPr>
        <w:snapToGrid w:val="0"/>
        <w:spacing w:line="360" w:lineRule="auto"/>
        <w:ind w:firstLineChars="200" w:firstLine="560"/>
        <w:rPr>
          <w:rFonts w:ascii="Times New Roman" w:hAnsi="Times New Roman" w:cs="Times New Roman"/>
          <w:sz w:val="28"/>
          <w:szCs w:val="28"/>
        </w:rPr>
      </w:pPr>
    </w:p>
    <w:p w14:paraId="7652D43F" w14:textId="77777777" w:rsidR="00CB0142" w:rsidRDefault="00AF7DAE">
      <w:pPr>
        <w:snapToGrid w:val="0"/>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Figure </w:t>
      </w:r>
      <w:r>
        <w:rPr>
          <w:rFonts w:ascii="Times New Roman" w:hAnsi="Times New Roman" w:cs="Times New Roman" w:hint="eastAsia"/>
          <w:b/>
          <w:bCs/>
          <w:sz w:val="28"/>
          <w:szCs w:val="28"/>
        </w:rPr>
        <w:t>4.</w:t>
      </w:r>
      <w:r>
        <w:rPr>
          <w:rFonts w:ascii="Times New Roman" w:hAnsi="Times New Roman" w:cs="Times New Roman"/>
          <w:b/>
          <w:bCs/>
          <w:sz w:val="28"/>
          <w:szCs w:val="28"/>
        </w:rPr>
        <w:t xml:space="preserve"> Hexagonal model of enterprise change management strategy</w:t>
      </w:r>
    </w:p>
    <w:p w14:paraId="62A573E3" w14:textId="77777777" w:rsidR="00CB0142" w:rsidRDefault="00CB0142">
      <w:pPr>
        <w:snapToGrid w:val="0"/>
        <w:spacing w:line="360" w:lineRule="auto"/>
        <w:jc w:val="center"/>
        <w:rPr>
          <w:rFonts w:ascii="Times New Roman" w:hAnsi="Times New Roman" w:cs="Times New Roman"/>
          <w:b/>
          <w:bCs/>
          <w:sz w:val="28"/>
          <w:szCs w:val="28"/>
        </w:rPr>
      </w:pPr>
    </w:p>
    <w:p w14:paraId="005BC72D"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model illustrates the cyclical interactive relationship among the six core elements of enterprise transformation. Each element corresponds to a specific transformation goal, and together they constitute a complete transformation </w:t>
      </w:r>
      <w:r>
        <w:rPr>
          <w:rFonts w:ascii="Times New Roman" w:hAnsi="Times New Roman" w:cs="Times New Roman"/>
          <w:sz w:val="28"/>
          <w:szCs w:val="28"/>
        </w:rPr>
        <w:lastRenderedPageBreak/>
        <w:t>management system.</w:t>
      </w:r>
    </w:p>
    <w:p w14:paraId="5BF4B88D"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terms of innovation in reform methods, Chinese enterprises have shown distinct local characteristics and formed a series of unique reform methods. For example, Li Qiang proposed a two-way interactive method of "top-level design + grassroots innovation". This method not only reflects the hierarchical concept in traditional Chinese culture, but also stimulates the creative vitality of the grassroots, forming a benign interaction from top to bottom and from bottom to top. The top management of the enterprise ensures the direction of reform by formulating reform strategies and designing institutional mechanisms, while giving full play to the innovation potential of grassroots employees. Alibaba's "small front desk, large middle desk" strategy is a typical case. The company's top management sets the platform strategic direction, while the specific business innovation is led by the front-line team. This not only ensures the unity of the strategy, but also releases the vitality of innovation [24]. In addition, the reform method of "taking culture as the soul and taking system as the form" has also played an important role in the reform process of Chinese enterprises. Chinese scholar Xu Bin pointed out that corporate culture is a "soft factor" that promotes reform and has an important impact on enhancing employees' sense of identity and promoting reform </w:t>
      </w:r>
      <w:r>
        <w:rPr>
          <w:rFonts w:ascii="Times New Roman" w:hAnsi="Times New Roman" w:cs="Times New Roman" w:hint="eastAsia"/>
          <w:sz w:val="28"/>
          <w:szCs w:val="28"/>
        </w:rPr>
        <w:t>[25</w:t>
      </w:r>
      <w:proofErr w:type="gramStart"/>
      <w:r>
        <w:rPr>
          <w:rFonts w:ascii="Times New Roman" w:hAnsi="Times New Roman" w:cs="Times New Roman" w:hint="eastAsia"/>
          <w:sz w:val="28"/>
          <w:szCs w:val="28"/>
        </w:rPr>
        <w:t xml:space="preserve">] </w:t>
      </w:r>
      <w:r>
        <w:rPr>
          <w:rFonts w:ascii="Times New Roman" w:hAnsi="Times New Roman" w:cs="Times New Roman"/>
          <w:sz w:val="28"/>
          <w:szCs w:val="28"/>
        </w:rPr>
        <w:t>.</w:t>
      </w:r>
      <w:proofErr w:type="gramEnd"/>
      <w:r>
        <w:rPr>
          <w:rFonts w:ascii="Times New Roman" w:hAnsi="Times New Roman" w:cs="Times New Roman"/>
          <w:sz w:val="28"/>
          <w:szCs w:val="28"/>
        </w:rPr>
        <w:t xml:space="preserve"> In the process of its internationalization, Huawei not only promoted the "wolf culture", but also established a complete project management system and assessment mechanism. By unifying cultural identity and institutional constraints, it achieved a virtuous interaction between cultural identity and institutional implementation </w:t>
      </w:r>
      <w:r>
        <w:rPr>
          <w:rFonts w:ascii="Times New Roman" w:hAnsi="Times New Roman" w:cs="Times New Roman" w:hint="eastAsia"/>
          <w:sz w:val="28"/>
          <w:szCs w:val="28"/>
        </w:rPr>
        <w:t>[26</w:t>
      </w:r>
      <w:proofErr w:type="gramStart"/>
      <w:r>
        <w:rPr>
          <w:rFonts w:ascii="Times New Roman" w:hAnsi="Times New Roman" w:cs="Times New Roman" w:hint="eastAsia"/>
          <w:sz w:val="28"/>
          <w:szCs w:val="28"/>
        </w:rPr>
        <w:t xml:space="preserve">] </w:t>
      </w:r>
      <w:r>
        <w:rPr>
          <w:rFonts w:ascii="Times New Roman" w:hAnsi="Times New Roman" w:cs="Times New Roman"/>
          <w:sz w:val="28"/>
          <w:szCs w:val="28"/>
        </w:rPr>
        <w:t>.</w:t>
      </w:r>
      <w:proofErr w:type="gramEnd"/>
    </w:p>
    <w:p w14:paraId="5658E3B2"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With the advent of the digital age, the trend of digital transformation has also become an important aspect of corporate organizational change that cannot be ignored. The development of a new generation of information technology has provided new tools and methods for corporate organizational change, making change management more scientific and accurate. Huang Xiaodong proposed that the application of digital technology not only provides new tools for corporate change, but also makes the process of organizational change more scientific and efficient. Many Chinese companies have widely applied new technologies such as big data analysis and artificial intelligence in practice to optimize business processes and improve management </w:t>
      </w:r>
      <w:r>
        <w:rPr>
          <w:rFonts w:ascii="Times New Roman" w:hAnsi="Times New Roman" w:cs="Times New Roman"/>
          <w:sz w:val="28"/>
          <w:szCs w:val="28"/>
        </w:rPr>
        <w:lastRenderedPageBreak/>
        <w:t xml:space="preserve">efficiency. For example, Ping </w:t>
      </w:r>
      <w:proofErr w:type="gramStart"/>
      <w:r>
        <w:rPr>
          <w:rFonts w:ascii="Times New Roman" w:hAnsi="Times New Roman" w:cs="Times New Roman"/>
          <w:sz w:val="28"/>
          <w:szCs w:val="28"/>
        </w:rPr>
        <w:t>An</w:t>
      </w:r>
      <w:proofErr w:type="gramEnd"/>
      <w:r>
        <w:rPr>
          <w:rFonts w:ascii="Times New Roman" w:hAnsi="Times New Roman" w:cs="Times New Roman"/>
          <w:sz w:val="28"/>
          <w:szCs w:val="28"/>
        </w:rPr>
        <w:t xml:space="preserve"> Group has built a digital twin system covering multiple dimensions of organizational operations and business management, realizing real-time monitoring and dynamic optimization of the change process. ByteDance has formed an efficient innovation mechanism by promoting the OKR management system and agile development methods, providing support for the rapid change and innovation of enterprises </w:t>
      </w:r>
      <w:r>
        <w:rPr>
          <w:rFonts w:ascii="Times New Roman" w:hAnsi="Times New Roman" w:cs="Times New Roman" w:hint="eastAsia"/>
          <w:sz w:val="28"/>
          <w:szCs w:val="28"/>
        </w:rPr>
        <w:t>[27</w:t>
      </w:r>
      <w:proofErr w:type="gramStart"/>
      <w:r>
        <w:rPr>
          <w:rFonts w:ascii="Times New Roman" w:hAnsi="Times New Roman" w:cs="Times New Roman" w:hint="eastAsia"/>
          <w:sz w:val="28"/>
          <w:szCs w:val="28"/>
        </w:rPr>
        <w:t xml:space="preserve">] </w:t>
      </w:r>
      <w:r>
        <w:rPr>
          <w:rFonts w:ascii="Times New Roman" w:hAnsi="Times New Roman" w:cs="Times New Roman"/>
          <w:sz w:val="28"/>
          <w:szCs w:val="28"/>
        </w:rPr>
        <w:t>.</w:t>
      </w:r>
      <w:proofErr w:type="gramEnd"/>
    </w:p>
    <w:p w14:paraId="2B241029"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interrelationship of the three dimensions in the model is reflected in the connecting lines between them and the external unified circular framework. This design highlights the systematic characteristics of change management, that is, the dimensions do not exist in isolation, but support and influence each other. For example, the application of digital technology provides new tools for innovation in change methods, and different types of change models will affect the choice of enterprises in the path of digital transformation. This systematic thinking is of great significance for understanding the change practices of Chinese enterprises. </w:t>
      </w:r>
      <w:r>
        <w:rPr>
          <w:rFonts w:ascii="Times New Roman" w:hAnsi="Times New Roman" w:cs="Times New Roman" w:hint="eastAsia"/>
          <w:sz w:val="28"/>
          <w:szCs w:val="28"/>
        </w:rPr>
        <w:t xml:space="preserve">As scholar </w:t>
      </w:r>
      <w:r>
        <w:rPr>
          <w:rFonts w:ascii="Times New Roman" w:hAnsi="Times New Roman" w:cs="Times New Roman"/>
          <w:sz w:val="28"/>
          <w:szCs w:val="28"/>
        </w:rPr>
        <w:t xml:space="preserve">Li </w:t>
      </w:r>
      <w:proofErr w:type="spellStart"/>
      <w:r>
        <w:rPr>
          <w:rFonts w:ascii="Times New Roman" w:hAnsi="Times New Roman" w:cs="Times New Roman"/>
          <w:sz w:val="28"/>
          <w:szCs w:val="28"/>
        </w:rPr>
        <w:t>Wenzhong</w:t>
      </w:r>
      <w:proofErr w:type="spellEnd"/>
      <w:r>
        <w:rPr>
          <w:rFonts w:ascii="Times New Roman" w:hAnsi="Times New Roman" w:cs="Times New Roman"/>
          <w:sz w:val="28"/>
          <w:szCs w:val="28"/>
        </w:rPr>
        <w:t xml:space="preserve"> </w:t>
      </w:r>
      <w:proofErr w:type="gramStart"/>
      <w:r>
        <w:rPr>
          <w:rFonts w:ascii="Times New Roman" w:hAnsi="Times New Roman" w:cs="Times New Roman" w:hint="eastAsia"/>
          <w:sz w:val="28"/>
          <w:szCs w:val="28"/>
        </w:rPr>
        <w:t xml:space="preserve">said </w:t>
      </w:r>
      <w:r>
        <w:rPr>
          <w:rFonts w:ascii="Times New Roman" w:hAnsi="Times New Roman" w:cs="Times New Roman"/>
          <w:sz w:val="28"/>
          <w:szCs w:val="28"/>
        </w:rPr>
        <w:t>,</w:t>
      </w:r>
      <w:proofErr w:type="gramEnd"/>
      <w:r>
        <w:rPr>
          <w:rFonts w:ascii="Times New Roman" w:hAnsi="Times New Roman" w:cs="Times New Roman"/>
          <w:sz w:val="28"/>
          <w:szCs w:val="28"/>
        </w:rPr>
        <w:t xml:space="preserve"> systematic thinking is particularly critical for organizational change in a complex environment, which helps enterprises to flexibly respond to changes in the external environment and implement effective change management </w:t>
      </w:r>
      <w:r>
        <w:rPr>
          <w:rFonts w:ascii="Times New Roman" w:hAnsi="Times New Roman" w:cs="Times New Roman" w:hint="eastAsia"/>
          <w:sz w:val="28"/>
          <w:szCs w:val="28"/>
        </w:rPr>
        <w:t xml:space="preserve">[28] </w:t>
      </w:r>
      <w:r>
        <w:rPr>
          <w:rFonts w:ascii="Times New Roman" w:hAnsi="Times New Roman" w:cs="Times New Roman"/>
          <w:sz w:val="28"/>
          <w:szCs w:val="28"/>
        </w:rPr>
        <w:t>.</w:t>
      </w:r>
    </w:p>
    <w:p w14:paraId="218CCF56"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general, Chinese companies have demonstrated diversified model selection and innovative methods in organizational change management, which not only meets the rapidly changing market demands but also reflects the local characteristics of Chinese companies.</w:t>
      </w:r>
    </w:p>
    <w:p w14:paraId="31FAD2EF" w14:textId="77777777" w:rsidR="00CB0142" w:rsidRDefault="00AF7DAE">
      <w:pPr>
        <w:snapToGrid w:val="0"/>
        <w:spacing w:line="360" w:lineRule="auto"/>
      </w:pPr>
      <w:r>
        <w:rPr>
          <w:rFonts w:hint="eastAsia"/>
        </w:rPr>
        <w:br w:type="page"/>
      </w:r>
    </w:p>
    <w:p w14:paraId="7E7AF99B" w14:textId="77777777" w:rsidR="00CB0142" w:rsidRDefault="00CB0142">
      <w:pPr>
        <w:snapToGrid w:val="0"/>
        <w:spacing w:line="360" w:lineRule="auto"/>
      </w:pPr>
    </w:p>
    <w:p w14:paraId="4EC6A6E5" w14:textId="77777777" w:rsidR="00CB0142" w:rsidRDefault="00AF7DAE">
      <w:pPr>
        <w:snapToGrid w:val="0"/>
        <w:spacing w:line="360" w:lineRule="auto"/>
        <w:jc w:val="center"/>
        <w:outlineLvl w:val="0"/>
        <w:rPr>
          <w:rFonts w:ascii="Times New Roman" w:hAnsi="Times New Roman" w:cs="Times New Roman"/>
          <w:b/>
          <w:bCs/>
          <w:sz w:val="32"/>
          <w:szCs w:val="32"/>
        </w:rPr>
      </w:pPr>
      <w:bookmarkStart w:id="6" w:name="_Toc32699"/>
      <w:r>
        <w:rPr>
          <w:rFonts w:ascii="Times New Roman" w:hAnsi="Times New Roman" w:cs="Times New Roman"/>
          <w:b/>
          <w:bCs/>
          <w:sz w:val="32"/>
          <w:szCs w:val="32"/>
        </w:rPr>
        <w:t>CHAPTER 2</w:t>
      </w:r>
      <w:bookmarkEnd w:id="6"/>
    </w:p>
    <w:p w14:paraId="35FD7523" w14:textId="77777777" w:rsidR="00CB0142" w:rsidRDefault="00AF7DAE">
      <w:pPr>
        <w:snapToGrid w:val="0"/>
        <w:spacing w:line="360" w:lineRule="auto"/>
        <w:jc w:val="center"/>
        <w:outlineLvl w:val="0"/>
        <w:rPr>
          <w:rFonts w:ascii="Times New Roman" w:hAnsi="Times New Roman" w:cs="Times New Roman"/>
          <w:b/>
          <w:bCs/>
          <w:sz w:val="32"/>
          <w:szCs w:val="32"/>
        </w:rPr>
      </w:pPr>
      <w:bookmarkStart w:id="7" w:name="_Toc12945"/>
      <w:r>
        <w:rPr>
          <w:rFonts w:ascii="Times New Roman" w:hAnsi="Times New Roman" w:cs="Times New Roman"/>
          <w:b/>
          <w:bCs/>
          <w:sz w:val="32"/>
          <w:szCs w:val="32"/>
        </w:rPr>
        <w:t>SECTION ANALYSIS OF THE CURRENT STATE OF ORGANIZATIONAL CHANGES IN CHINESE COMPANIES</w:t>
      </w:r>
      <w:bookmarkEnd w:id="7"/>
    </w:p>
    <w:p w14:paraId="5783804D" w14:textId="77777777" w:rsidR="00CB0142" w:rsidRDefault="00CB0142">
      <w:pPr>
        <w:snapToGrid w:val="0"/>
        <w:spacing w:line="360" w:lineRule="auto"/>
        <w:jc w:val="center"/>
        <w:outlineLvl w:val="0"/>
        <w:rPr>
          <w:rFonts w:ascii="Times New Roman" w:hAnsi="Times New Roman" w:cs="Times New Roman"/>
          <w:b/>
          <w:bCs/>
          <w:sz w:val="32"/>
          <w:szCs w:val="32"/>
        </w:rPr>
      </w:pPr>
    </w:p>
    <w:p w14:paraId="6ADDF9D7" w14:textId="77777777" w:rsidR="00CB0142" w:rsidRDefault="00AF7DAE">
      <w:pPr>
        <w:snapToGrid w:val="0"/>
        <w:spacing w:line="360" w:lineRule="auto"/>
        <w:jc w:val="center"/>
        <w:outlineLvl w:val="1"/>
        <w:rPr>
          <w:rFonts w:ascii="Times New Roman" w:hAnsi="Times New Roman" w:cs="Times New Roman"/>
          <w:b/>
          <w:bCs/>
          <w:sz w:val="28"/>
          <w:szCs w:val="28"/>
        </w:rPr>
      </w:pPr>
      <w:bookmarkStart w:id="8" w:name="_Toc25779"/>
      <w:r>
        <w:rPr>
          <w:rFonts w:ascii="Times New Roman" w:hAnsi="Times New Roman" w:cs="Times New Roman"/>
          <w:b/>
          <w:bCs/>
          <w:sz w:val="28"/>
          <w:szCs w:val="28"/>
        </w:rPr>
        <w:t>2.1. Organizational and economic characteristics of the Chinese company</w:t>
      </w:r>
      <w:bookmarkEnd w:id="8"/>
    </w:p>
    <w:p w14:paraId="60C68E36" w14:textId="77777777" w:rsidR="00CB0142" w:rsidRDefault="00CB0142">
      <w:pPr>
        <w:snapToGrid w:val="0"/>
        <w:spacing w:line="360" w:lineRule="auto"/>
        <w:jc w:val="center"/>
        <w:rPr>
          <w:rFonts w:ascii="Times New Roman" w:hAnsi="Times New Roman" w:cs="Times New Roman"/>
          <w:sz w:val="28"/>
          <w:szCs w:val="28"/>
        </w:rPr>
      </w:pPr>
    </w:p>
    <w:p w14:paraId="3C4A970B"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This chapter aims to comprehensively analyze the current situation of organizational change in Chinese enterprises. First, the first section will focus on the organizational and economic characteristics of Chinese enterprises, analyze the differences in organizational structure and management model between different types of enterprises, and the profound impact of digital transformation on organizational form. By sorting out multiple factors such as enterprise scale, industry characteristics, and policy environment, it presents a complex picture of organizational change in Chinese enterprises, laying the foundation for the analysis in subsequent chapters.</w:t>
      </w:r>
    </w:p>
    <w:p w14:paraId="14914A47"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With the rapid development of China's economy, the external environment and internal management needs faced by enterprises have undergone profound changes, and organizational structure has gradually become a key factor in determining the ability of enterprises to cope with market challenges. The organizational structure of Chinese enterprises has evolved from a strict bureaucracy under the planned economic system to a flexible and diversified structure under the market economic system. In order to adapt to the needs of the era of globalization and digital economy, many Chinese companies have taken organizational change measures to enhance their market adaptability and innovation.</w:t>
      </w:r>
    </w:p>
    <w:p w14:paraId="24DB51FF"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scale and organizational form of Chinese enterprises show remarkable diversity. With the deepening of reform and opening up and the development of the market economy, enterprises of different sizes have formed unique development paths in terms of organizational structure and management model. As the backbone of China's economy, large state-owned enterprises have distinct organizational forms. Studies have shown that state-owned enterprises generally adopt a relatively complete bureaucratic </w:t>
      </w:r>
      <w:r>
        <w:rPr>
          <w:rFonts w:ascii="Times New Roman" w:hAnsi="Times New Roman" w:cs="Times New Roman"/>
          <w:sz w:val="28"/>
          <w:szCs w:val="28"/>
        </w:rPr>
        <w:lastRenderedPageBreak/>
        <w:t xml:space="preserve">structure system, usually including 3-7 management levels, with standardized departmental divisions and clear responsibilities </w:t>
      </w:r>
      <w:r>
        <w:rPr>
          <w:rFonts w:ascii="Times New Roman" w:hAnsi="Times New Roman" w:cs="Times New Roman" w:hint="eastAsia"/>
          <w:sz w:val="28"/>
          <w:szCs w:val="28"/>
        </w:rPr>
        <w:t>[30]</w:t>
      </w:r>
      <w:r>
        <w:rPr>
          <w:rFonts w:ascii="Times New Roman" w:hAnsi="Times New Roman" w:cs="Times New Roman"/>
          <w:sz w:val="28"/>
          <w:szCs w:val="28"/>
        </w:rPr>
        <w:t xml:space="preserve">. The formation of this organizational structure is closely related to the historical background and mission of state-owned enterprises. As an important pillar of the national economy, state-owned enterprises need to ensure the stability and controllability of operations through a strict system and standardized management processes. It is worth noting that the management model of state-owned enterprises presents a unique dual-line operation feature, that is, party organization and enterprise management are in parallel. This feature requires the decision-making process of state-owned enterprises to consider both operational benefits and social responsibilities </w:t>
      </w:r>
      <w:r>
        <w:rPr>
          <w:rFonts w:ascii="Times New Roman" w:hAnsi="Times New Roman" w:cs="Times New Roman" w:hint="eastAsia"/>
          <w:sz w:val="28"/>
          <w:szCs w:val="28"/>
        </w:rPr>
        <w:t>[31]</w:t>
      </w:r>
      <w:r>
        <w:rPr>
          <w:rFonts w:ascii="Times New Roman" w:hAnsi="Times New Roman" w:cs="Times New Roman"/>
          <w:sz w:val="28"/>
          <w:szCs w:val="28"/>
        </w:rPr>
        <w:t>.</w:t>
      </w:r>
    </w:p>
    <w:p w14:paraId="0CE57310"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recent years, faced with the pressure of intensified market competition and efficiency improvement, large state-owned enterprises have actively explored organizational changes. These changes are mainly reflected in three aspects: organizational flattening reform, mixed ownership reform and digital transformation. Taking Sinopec as an example, through the implementation of the "three system reforms", a more market-oriented mechanism has been established in personnel, labor, distribution and other aspects; China Mobile has reconstructed the traditional bureaucratic organizational structure by promoting the "networking, digitalization and intelligence" transformation </w:t>
      </w:r>
      <w:r>
        <w:rPr>
          <w:rFonts w:ascii="Times New Roman" w:hAnsi="Times New Roman" w:cs="Times New Roman" w:hint="eastAsia"/>
          <w:sz w:val="28"/>
          <w:szCs w:val="28"/>
        </w:rPr>
        <w:t>[32]</w:t>
      </w:r>
      <w:r>
        <w:rPr>
          <w:rFonts w:ascii="Times New Roman" w:hAnsi="Times New Roman" w:cs="Times New Roman"/>
          <w:sz w:val="28"/>
          <w:szCs w:val="28"/>
        </w:rPr>
        <w:t>. These practices show that state-owned enterprises are striving to break the shackles of the traditional system and explore more flexible and efficient organizational forms.</w:t>
      </w:r>
    </w:p>
    <w:p w14:paraId="597BF4F8"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contrast, large private enterprises show stronger innovation and flexibility in their organizational forms. Empirical research has found that such enterprises generally adopt a flat management hierarchy, generally no more than four layers, and widely adopt matrix or project-based organizational forms </w:t>
      </w:r>
      <w:r>
        <w:rPr>
          <w:rFonts w:ascii="Times New Roman" w:hAnsi="Times New Roman" w:cs="Times New Roman" w:hint="eastAsia"/>
          <w:sz w:val="28"/>
          <w:szCs w:val="28"/>
        </w:rPr>
        <w:t>[33]</w:t>
      </w:r>
      <w:r>
        <w:rPr>
          <w:rFonts w:ascii="Times New Roman" w:hAnsi="Times New Roman" w:cs="Times New Roman"/>
          <w:sz w:val="28"/>
          <w:szCs w:val="28"/>
        </w:rPr>
        <w:t xml:space="preserve">. In terms of management mechanisms, private enterprises pay more attention to market-oriented incentive and constraint mechanisms, emphasize innovation-oriented assessment and evaluation systems, and give full play to entrepreneurial spirit. Especially in emerging Internet companies, innovative organizational forms such as the "small front desk, large middle desk" architecture, OKR management system, and agile team mechanism have been </w:t>
      </w:r>
      <w:r>
        <w:rPr>
          <w:rFonts w:ascii="Times New Roman" w:hAnsi="Times New Roman" w:cs="Times New Roman"/>
          <w:sz w:val="28"/>
          <w:szCs w:val="28"/>
        </w:rPr>
        <w:lastRenderedPageBreak/>
        <w:t xml:space="preserve">widely used. Alibaba's organizational innovation practice fully reflects this feature. By building a flexible organizational structure and innovative management mechanism, it has achieved rapid market response and continuous innovative development </w:t>
      </w:r>
      <w:r>
        <w:rPr>
          <w:rFonts w:ascii="Times New Roman" w:hAnsi="Times New Roman" w:cs="Times New Roman" w:hint="eastAsia"/>
          <w:sz w:val="28"/>
          <w:szCs w:val="28"/>
        </w:rPr>
        <w:t>[34]</w:t>
      </w:r>
      <w:r>
        <w:rPr>
          <w:rFonts w:ascii="Times New Roman" w:hAnsi="Times New Roman" w:cs="Times New Roman"/>
          <w:sz w:val="28"/>
          <w:szCs w:val="28"/>
        </w:rPr>
        <w:t>.</w:t>
      </w:r>
    </w:p>
    <w:p w14:paraId="0371A4DD"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As an important part of China's economy, small and medium-sized enterprises also have unique organizational forms. Studies have found that small and medium-sized enterprises generally adopt a simple hierarchical structure, usually 2-3 layers, with a family-style or entrepreneur-led management model as the main model </w:t>
      </w:r>
      <w:r>
        <w:rPr>
          <w:rFonts w:ascii="Times New Roman" w:hAnsi="Times New Roman" w:cs="Times New Roman" w:hint="eastAsia"/>
          <w:sz w:val="28"/>
          <w:szCs w:val="28"/>
        </w:rPr>
        <w:t>[35]</w:t>
      </w:r>
      <w:r>
        <w:rPr>
          <w:rFonts w:ascii="Times New Roman" w:hAnsi="Times New Roman" w:cs="Times New Roman"/>
          <w:sz w:val="28"/>
          <w:szCs w:val="28"/>
        </w:rPr>
        <w:t xml:space="preserve">. The advantages of this organizational form are short decision-making chains, fast response speed, and the ability to flexibly respond to market changes. However, small and medium-sized enterprises also face challenges such as a lack of professional management talents, imperfect management systems, and limited innovation capabilities. Faced with the requirements of digital transformation and high-quality development, more and more small and medium-sized enterprises have begun to introduce modern management concepts and tools, establish standardized management systems, and cultivate professional management teams </w:t>
      </w:r>
      <w:r>
        <w:rPr>
          <w:rFonts w:ascii="Times New Roman" w:hAnsi="Times New Roman" w:cs="Times New Roman" w:hint="eastAsia"/>
          <w:sz w:val="28"/>
          <w:szCs w:val="28"/>
        </w:rPr>
        <w:t>[36]</w:t>
      </w:r>
      <w:r>
        <w:rPr>
          <w:rFonts w:ascii="Times New Roman" w:hAnsi="Times New Roman" w:cs="Times New Roman"/>
          <w:sz w:val="28"/>
          <w:szCs w:val="28"/>
        </w:rPr>
        <w:t>.</w:t>
      </w:r>
    </w:p>
    <w:p w14:paraId="39CE72CD"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With the development of the digital economy, the relationship between enterprise scale and organizational form is undergoing profound changes. The application of digital technology has broken the traditional organizational boundaries, enabling enterprises to organize production and operation activities in a more flexible and networked way. Research shows that both large enterprises and small and medium-sized enterprises are actively exploring organizational innovation in the context of digital transformation, such as new organizational forms such as platform organizations, agile organizations, and ecological organizations </w:t>
      </w:r>
      <w:r>
        <w:rPr>
          <w:rFonts w:ascii="Times New Roman" w:hAnsi="Times New Roman" w:cs="Times New Roman" w:hint="eastAsia"/>
          <w:sz w:val="28"/>
          <w:szCs w:val="28"/>
        </w:rPr>
        <w:t>[37]</w:t>
      </w:r>
      <w:r>
        <w:rPr>
          <w:rFonts w:ascii="Times New Roman" w:hAnsi="Times New Roman" w:cs="Times New Roman"/>
          <w:sz w:val="28"/>
          <w:szCs w:val="28"/>
        </w:rPr>
        <w:t>. This trend shows that the competitive advantage of enterprises in the future will increasingly rely on organizational flexibility and innovation capabilities, rather than just scale advantages.</w:t>
      </w:r>
    </w:p>
    <w:p w14:paraId="4016E502"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market environment and technological characteristics of different industries have put forward different requirements for the organizational structure of enterprises. As a pillar industry of China's economy, the manufacturing industry is undergoing a profound transformation from traditional manufacturing to intelligent manufacturing. Research shows that the organizational changes of manufacturing enterprises are mainly </w:t>
      </w:r>
      <w:r>
        <w:rPr>
          <w:rFonts w:ascii="Times New Roman" w:hAnsi="Times New Roman" w:cs="Times New Roman"/>
          <w:sz w:val="28"/>
          <w:szCs w:val="28"/>
        </w:rPr>
        <w:lastRenderedPageBreak/>
        <w:t xml:space="preserve">driven by the three major trends of Industry 4.0, intelligent manufacturing and digital transformation. In this context, the organizational changes of manufacturing enterprises have shown distinct characteristics: first, the transformation of production organization mode, from traditional mass standardized production to flexible and personalized customization. Haier Group has restructured the traditional bureaucratic organization into a small and micro-enterprise autonomous operation entity in the Internet era by promoting the "people-oriented" model, achieving the flexibility of the production system and the agility of market response. Secondly, the reconstruction of organizational boundaries. Manufacturing enterprises connect suppliers, customers and partners through the industrial Internet platform to form a more open and collaborative organizational network. The </w:t>
      </w:r>
      <w:proofErr w:type="spellStart"/>
      <w:r>
        <w:rPr>
          <w:rFonts w:ascii="Times New Roman" w:hAnsi="Times New Roman" w:cs="Times New Roman"/>
          <w:sz w:val="28"/>
          <w:szCs w:val="28"/>
        </w:rPr>
        <w:t>M.IoT</w:t>
      </w:r>
      <w:proofErr w:type="spellEnd"/>
      <w:r>
        <w:rPr>
          <w:rFonts w:ascii="Times New Roman" w:hAnsi="Times New Roman" w:cs="Times New Roman"/>
          <w:sz w:val="28"/>
          <w:szCs w:val="28"/>
        </w:rPr>
        <w:t xml:space="preserve"> industrial Internet platform built by Midea Group not only realizes the intelligent collaboration of internal production links, but also opens up the integration of resources in the upstream and downstream of the industrial chain </w:t>
      </w:r>
      <w:r>
        <w:rPr>
          <w:rFonts w:ascii="Times New Roman" w:hAnsi="Times New Roman" w:cs="Times New Roman" w:hint="eastAsia"/>
          <w:sz w:val="28"/>
          <w:szCs w:val="28"/>
        </w:rPr>
        <w:t>[38]</w:t>
      </w:r>
      <w:r>
        <w:rPr>
          <w:rFonts w:ascii="Times New Roman" w:hAnsi="Times New Roman" w:cs="Times New Roman"/>
          <w:sz w:val="28"/>
          <w:szCs w:val="28"/>
        </w:rPr>
        <w:t>. The third is the innovation of management methods. By introducing digital tools and intelligent systems, enterprises have achieved real-time monitoring and accurate decision-making of the production process. The intelligent manufacturing system established by XCMG Group optimizes production scheduling and quality control processes through data analysis and artificial intelligence technology.</w:t>
      </w:r>
    </w:p>
    <w:p w14:paraId="495C62F4"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financial industry is facing disruptive changes brought about by financial technology. Research has found that the organizational change needs of financial institutions are mainly reflected in three aspects: technological innovation, risk management and customer service. China Construction Bank has established a "technology + business" dual-wheel driven innovation mechanism by establishing a financial technology subsidiary, accelerating the digital transformation while maintaining the stable operation of traditional businesses. Ping </w:t>
      </w:r>
      <w:proofErr w:type="gramStart"/>
      <w:r>
        <w:rPr>
          <w:rFonts w:ascii="Times New Roman" w:hAnsi="Times New Roman" w:cs="Times New Roman"/>
          <w:sz w:val="28"/>
          <w:szCs w:val="28"/>
        </w:rPr>
        <w:t>An</w:t>
      </w:r>
      <w:proofErr w:type="gramEnd"/>
      <w:r>
        <w:rPr>
          <w:rFonts w:ascii="Times New Roman" w:hAnsi="Times New Roman" w:cs="Times New Roman"/>
          <w:sz w:val="28"/>
          <w:szCs w:val="28"/>
        </w:rPr>
        <w:t xml:space="preserve"> Group has innovatively proposed the "finance + technology" strategy, and has cultivated strong technological innovation capabilities by establishing a technology research and development center and an innovation laboratory. In addition, financial institutions also pay special attention to the construction of risk management systems, and ensure the balance between innovation and risk control by establishing special risk management </w:t>
      </w:r>
      <w:r>
        <w:rPr>
          <w:rFonts w:ascii="Times New Roman" w:hAnsi="Times New Roman" w:cs="Times New Roman"/>
          <w:sz w:val="28"/>
          <w:szCs w:val="28"/>
        </w:rPr>
        <w:lastRenderedPageBreak/>
        <w:t>departments and compliance departments. It is worth noting that with the development of regulatory technology, financial institutions have begun to apply artificial intelligence and big data technologies to risk control and compliance management, forming a more intelligent and efficient risk management system.</w:t>
      </w:r>
      <w:r>
        <w:rPr>
          <w:rFonts w:ascii="Times New Roman" w:hAnsi="Times New Roman" w:cs="Times New Roman" w:hint="eastAsia"/>
          <w:sz w:val="28"/>
          <w:szCs w:val="28"/>
        </w:rPr>
        <w:t xml:space="preserve"> [39]</w:t>
      </w:r>
      <w:r>
        <w:rPr>
          <w:rFonts w:ascii="Times New Roman" w:hAnsi="Times New Roman" w:cs="Times New Roman"/>
          <w:sz w:val="28"/>
          <w:szCs w:val="28"/>
        </w:rPr>
        <w:t>.</w:t>
      </w:r>
    </w:p>
    <w:p w14:paraId="784D13B0"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The Internet and technology industries have the most radical and innovative organizational changes. Research shows that companies in this field generally adopt flat, networked organizational structures to support rapid innovation and agile development. Alibaba's "big middle platform, small front desk" model has achieved efficient resource allocation and rapid business innovation by building a shared service platform. ByteDance has established an efficient product innovation mechanism by implementing the OKR management system and agile development methods. It is particularly noteworthy that these companies widely adopt data-driven management models, and support teams to make accurate decisions and continuous optimization by establishing a complete data analysis system. Tencent has improved the overall operational efficiency of the organization by building the "Tencent Big Data Platform" to provide data support for various business lines.</w:t>
      </w:r>
    </w:p>
    <w:p w14:paraId="3FF93A1A"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industry characteristics of organizational change are also reflected in talent management. The manufacturing industry pays more attention to the cultivation of compound talents, requiring employees to master both traditional manufacturing skills and new knowledge in the fields of digitalization and intelligence. The financial industry emphasizes the combination of professional talents and innovative talents. While maintaining traditional financial professional capabilities, it vigorously introduces financial technology talents. The Internet industry attaches the most importance to innovative talents, and attracts and retains high-end technical talents by establishing a flexible incentive mechanism and an open cultural atmosphere </w:t>
      </w:r>
      <w:r>
        <w:rPr>
          <w:rFonts w:ascii="Times New Roman" w:hAnsi="Times New Roman" w:cs="Times New Roman" w:hint="eastAsia"/>
          <w:sz w:val="28"/>
          <w:szCs w:val="28"/>
        </w:rPr>
        <w:t>[40]</w:t>
      </w:r>
      <w:r>
        <w:rPr>
          <w:rFonts w:ascii="Times New Roman" w:hAnsi="Times New Roman" w:cs="Times New Roman"/>
          <w:sz w:val="28"/>
          <w:szCs w:val="28"/>
        </w:rPr>
        <w:t>.</w:t>
      </w:r>
    </w:p>
    <w:p w14:paraId="5736D854"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organizational structure change of Chinese enterprises is not only driven by market demand and industry development, but also affected by government policies and the macroeconomic environment. In recent years, the country has introduced a number of policies to support innovation-driven development and industrial upgrading, which has provided a good policy environment for the organizational structure change of </w:t>
      </w:r>
      <w:r>
        <w:rPr>
          <w:rFonts w:ascii="Times New Roman" w:hAnsi="Times New Roman" w:cs="Times New Roman"/>
          <w:sz w:val="28"/>
          <w:szCs w:val="28"/>
        </w:rPr>
        <w:lastRenderedPageBreak/>
        <w:t>enterprises. First, the country's "14th Five-Year Plan" clearly proposes to promote high-quality development and support scientific and technological innovation and industrial upgrading. Policies encourage enterprises to innovate in emerging fields such as the digital economy and the green economy, which also prompts enterprises to adjust their organizational structures to better adapt to policy guidance. For example, in response to the "carbon neutrality" goal, many energy companies and heavy industrial enterprises have added sustainable development departments or green energy divisions to their organizational structures to support their exploration in the field of green development.</w:t>
      </w:r>
    </w:p>
    <w:p w14:paraId="6E15E308"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Secondly, the government promotes enterprises to participate in international competition through various economic policies, requiring enterprises to have a global vision and organizational adaptability. Since China joined the WTO, more and more enterprises have entered the international market, and transnational operations have become a trend. This trend requires enterprises to have diversity and global adaptability in their organizational structure. To this end, large enterprises such as Huawei have gradually established a matrix organizational structure based on regional markets to adapt to the market needs of different countries and regions. At the same time, under the background of the "Belt and Road" initiative, more and more enterprises are promoting the development of enterprises in the direction of internationalization in terms of organizational structure by establishing overseas branches or acquiring overseas enterprises.</w:t>
      </w:r>
    </w:p>
    <w:p w14:paraId="58B3A5E9"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Finally, with the opening of the Chinese market and the acceleration of consumption upgrades, consumer demands are becoming increasingly diversified and personalized. This places higher demands on the organizational structure of enterprises. Enterprises must enhance flexibility and market sensitivity to better meet consumer needs. For example, the rise of e-commerce allows consumers to shop online, which requires enterprises to have the ability to respond quickly to consumer needs. To this end, many companies have adjusted their organizational structures and added customer experience departments or customer data analysis teams to collect and analyze consumer feedback in real time and optimize products and services.</w:t>
      </w:r>
    </w:p>
    <w:p w14:paraId="7EF0CD28" w14:textId="77777777" w:rsidR="00CB0142" w:rsidRDefault="00AF7DAE">
      <w:pPr>
        <w:snapToGrid w:val="0"/>
        <w:spacing w:line="360" w:lineRule="auto"/>
        <w:ind w:firstLineChars="200" w:firstLine="560"/>
      </w:pPr>
      <w:r>
        <w:rPr>
          <w:rFonts w:ascii="Times New Roman" w:hAnsi="Times New Roman" w:cs="Times New Roman"/>
          <w:sz w:val="28"/>
          <w:szCs w:val="28"/>
        </w:rPr>
        <w:lastRenderedPageBreak/>
        <w:t>In summary, the organizational structure of Chinese enterprises is undergoing profound changes, which are influenced by multiple factors such as enterprise scale, industry characteristics, and policy and market environment. In future development, Chinese enterprises need to further enhance their awareness and ability of organizational change and build a more flexible, open and innovative organizational form to adapt to the increasingly complex market environment and competitive landscape. Only by continuously promoting organizational change can Chinese enterprises seize opportunities in the wave of globalization and achieve sustainable development.</w:t>
      </w:r>
    </w:p>
    <w:p w14:paraId="76FB7ED9" w14:textId="77777777" w:rsidR="00CB0142" w:rsidRDefault="00CB0142">
      <w:pPr>
        <w:snapToGrid w:val="0"/>
        <w:spacing w:line="360" w:lineRule="auto"/>
      </w:pPr>
    </w:p>
    <w:p w14:paraId="293E4CD6" w14:textId="77777777" w:rsidR="00CB0142" w:rsidRDefault="00AF7DAE">
      <w:pPr>
        <w:snapToGrid w:val="0"/>
        <w:spacing w:line="360" w:lineRule="auto"/>
        <w:jc w:val="center"/>
        <w:outlineLvl w:val="1"/>
        <w:rPr>
          <w:rFonts w:ascii="Times New Roman" w:hAnsi="Times New Roman" w:cs="Times New Roman"/>
          <w:b/>
          <w:bCs/>
          <w:sz w:val="28"/>
          <w:szCs w:val="28"/>
        </w:rPr>
      </w:pPr>
      <w:bookmarkStart w:id="9" w:name="_Toc3601"/>
      <w:r>
        <w:rPr>
          <w:rFonts w:ascii="Times New Roman" w:hAnsi="Times New Roman" w:cs="Times New Roman"/>
          <w:b/>
          <w:bCs/>
          <w:sz w:val="28"/>
          <w:szCs w:val="28"/>
        </w:rPr>
        <w:t>2.2. Indicators and trends of organizational changes in Chinese companies</w:t>
      </w:r>
      <w:bookmarkEnd w:id="9"/>
    </w:p>
    <w:p w14:paraId="561666E9" w14:textId="77777777" w:rsidR="00CB0142" w:rsidRDefault="00CB0142">
      <w:pPr>
        <w:snapToGrid w:val="0"/>
        <w:spacing w:line="360" w:lineRule="auto"/>
        <w:jc w:val="center"/>
        <w:outlineLvl w:val="1"/>
        <w:rPr>
          <w:b/>
          <w:bCs/>
          <w:sz w:val="28"/>
          <w:szCs w:val="28"/>
        </w:rPr>
      </w:pPr>
    </w:p>
    <w:p w14:paraId="3476E930"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On the basis of clarifying the organizational characteristics of Chinese enterprises, this section will further explore the new trends and characteristics of organizational change in Chinese enterprises. By combing through a series of reform measures such as organizational flattening, business process reengineering, cultural reshaping, digital transformation, and agility, this section analyzes the motivations and path choices of organizational change in Chinese enterprises, demonstrates the richness and diversity of reform practices, and provides useful inspiration for organizational innovation in Chinese enterprises.</w:t>
      </w:r>
    </w:p>
    <w:p w14:paraId="50DCA988"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With the rapid development of China's economy and the increasingly complex market environment, enterprises are facing unprecedented pressure for change. In order to adapt to the new competitive situation, Chinese enterprises have launched a series of reform initiatives such as organizational structure adjustment, process optimization, and cultural reshaping. These reform activities have shown some new characteristics and trends, which are worthy of our in-depth analysis and summary.</w:t>
      </w:r>
    </w:p>
    <w:p w14:paraId="3C60B11B"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First, flattening of organizational structure has become an important direction for organizational change in Chinese enterprises. The traditional bureaucratic organizational structure is increasingly not adapted to the requirements of the current market environment due to its drawbacks such as slow information transmission and low </w:t>
      </w:r>
      <w:r>
        <w:rPr>
          <w:rFonts w:ascii="Times New Roman" w:hAnsi="Times New Roman" w:cs="Times New Roman"/>
          <w:sz w:val="28"/>
          <w:szCs w:val="28"/>
        </w:rPr>
        <w:lastRenderedPageBreak/>
        <w:t xml:space="preserve">decision-making efficiency. In order to improve organizational flexibility and responsiveness, many companies have begun to try flattening organizational forms. The "big middle office, small front office" model promoted by Alibaba is a typical example. By integrating shared services and infrastructure into the middle office, front-office business departments can focus more on market and customer needs, thereby greatly improving the agility of the organization. JD Group's organizational change also reflects the trend of flattening. By streamlining management levels and delegating decision-making authority, front-line employees can respond to market changes more quickly </w:t>
      </w:r>
      <w:r>
        <w:rPr>
          <w:rFonts w:ascii="Times New Roman" w:hAnsi="Times New Roman" w:cs="Times New Roman" w:hint="eastAsia"/>
          <w:sz w:val="28"/>
          <w:szCs w:val="28"/>
        </w:rPr>
        <w:t>[41]</w:t>
      </w:r>
      <w:r>
        <w:rPr>
          <w:rFonts w:ascii="Times New Roman" w:hAnsi="Times New Roman" w:cs="Times New Roman"/>
          <w:sz w:val="28"/>
          <w:szCs w:val="28"/>
        </w:rPr>
        <w:t>.</w:t>
      </w:r>
    </w:p>
    <w:p w14:paraId="64772575"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Secondly, business process reengineering (BPR) has become an important means of organizational change for Chinese enterprises. In the context of digital transformation, enterprises need to re-examine and optimize existing business processes to improve operational efficiency and customer satisfaction. The "people-oriented" model promoted by Haier Group is a successful practice of business process reengineering. By breaking down departmental barriers and organizing employees into self-managed micro-enterprises oriented to user needs, Haier has achieved transformation and upgrading from traditional manufacturing to the Internet era. Similarly, Huawei has built a highly automated and intelligent business operation system through continuous process optimization and IT system construction, which has greatly improved operational efficiency and quality </w:t>
      </w:r>
      <w:r>
        <w:rPr>
          <w:rFonts w:ascii="Times New Roman" w:hAnsi="Times New Roman" w:cs="Times New Roman" w:hint="eastAsia"/>
          <w:sz w:val="28"/>
          <w:szCs w:val="28"/>
        </w:rPr>
        <w:t>[42]</w:t>
      </w:r>
      <w:r>
        <w:rPr>
          <w:rFonts w:ascii="Times New Roman" w:hAnsi="Times New Roman" w:cs="Times New Roman"/>
          <w:sz w:val="28"/>
          <w:szCs w:val="28"/>
        </w:rPr>
        <w:t>.</w:t>
      </w:r>
    </w:p>
    <w:p w14:paraId="49E4F2BD"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Third, organizational culture reshaping has become an important part of organizational change in Chinese enterprises. In the fierce market competition, corporate culture has increasingly become a unique competitive advantage. Many enterprises have realized that in order to promote in-depth organizational change, they must start from the cultural level and create an innovative, open and collaborative organizational atmosphere. The "Internet+" strategy proposed by Tencent is a successful organizational culture reshaping. By advocating the Internet culture of "openness, equality, collaboration and innovation", Tencent has stimulated the entrepreneurial enthusiasm and innovative vitality of all employees and brought new vitality to the entire organization. Similarly, Xiaomi adheres to the values of "focus, extreme, word of </w:t>
      </w:r>
      <w:r>
        <w:rPr>
          <w:rFonts w:ascii="Times New Roman" w:hAnsi="Times New Roman" w:cs="Times New Roman"/>
          <w:sz w:val="28"/>
          <w:szCs w:val="28"/>
        </w:rPr>
        <w:lastRenderedPageBreak/>
        <w:t xml:space="preserve">mouth, and speed" and has created a geek-style working atmosphere, attracted a large number of outstanding technical talents, and promoted the rapid growth of the company </w:t>
      </w:r>
      <w:r>
        <w:rPr>
          <w:rFonts w:ascii="Times New Roman" w:hAnsi="Times New Roman" w:cs="Times New Roman" w:hint="eastAsia"/>
          <w:sz w:val="28"/>
          <w:szCs w:val="28"/>
        </w:rPr>
        <w:t>[43]</w:t>
      </w:r>
      <w:r>
        <w:rPr>
          <w:rFonts w:ascii="Times New Roman" w:hAnsi="Times New Roman" w:cs="Times New Roman"/>
          <w:sz w:val="28"/>
          <w:szCs w:val="28"/>
        </w:rPr>
        <w:t>.</w:t>
      </w:r>
    </w:p>
    <w:p w14:paraId="6F411273"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Fourth, digital transformation has become the core driving force for organizational change in Chinese enterprises. With the rapid development of new-generation information technologies such as mobile Internet, cloud computing, and big data, digitalization has become the only way for enterprises to survive and develop. More and more Chinese companies have begun to regard digitalization as an important tool for organizational change, reshaping business models, optimizing management processes, and improving customer experience through digital means. For example, Ping </w:t>
      </w:r>
      <w:proofErr w:type="gramStart"/>
      <w:r>
        <w:rPr>
          <w:rFonts w:ascii="Times New Roman" w:hAnsi="Times New Roman" w:cs="Times New Roman"/>
          <w:sz w:val="28"/>
          <w:szCs w:val="28"/>
        </w:rPr>
        <w:t>An</w:t>
      </w:r>
      <w:proofErr w:type="gramEnd"/>
      <w:r>
        <w:rPr>
          <w:rFonts w:ascii="Times New Roman" w:hAnsi="Times New Roman" w:cs="Times New Roman"/>
          <w:sz w:val="28"/>
          <w:szCs w:val="28"/>
        </w:rPr>
        <w:t xml:space="preserve"> Group of China has proposed a development strategy of "technology leading finance", using cutting-edge technologies such as artificial intelligence and blockchain to promote the digital transformation of traditional financial business and create a series of innovative financial products and services. Another example is that Haidilao uses digital means to carry out refined management of store operations, realizing the digitalization of the entire process from raw material procurement to table service, greatly improving operational efficiency and customer satisfaction </w:t>
      </w:r>
      <w:r>
        <w:rPr>
          <w:rFonts w:ascii="Times New Roman" w:hAnsi="Times New Roman" w:cs="Times New Roman" w:hint="eastAsia"/>
          <w:sz w:val="28"/>
          <w:szCs w:val="28"/>
        </w:rPr>
        <w:t>[44]</w:t>
      </w:r>
      <w:r>
        <w:rPr>
          <w:rFonts w:ascii="Times New Roman" w:hAnsi="Times New Roman" w:cs="Times New Roman"/>
          <w:sz w:val="28"/>
          <w:szCs w:val="28"/>
        </w:rPr>
        <w:t>.</w:t>
      </w:r>
    </w:p>
    <w:p w14:paraId="2E6DC528"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Fifth, agile organizations have become a new trend in organizational change for Chinese enterprises. In a market environment with increasing uncertainty, enterprises need to have the ability to quickly adapt and respond to changes. Agile organizations focus on flexibility and adaptability, and emphasize principles such as rapid iteration, continuous delivery, and teamwork, which can help enterprises better respond to market changes and technological innovation. Huawei was the first to introduce agile methods in the field of software development. Through small steps and iterative development, it has greatly shortened the product launch cycle and improved customer satisfaction. Tencent has widely adopted agile concepts in organizational management and promoted cross-departmental collaboration and rapid innovation by establishing agile teams and agile project management mechanisms </w:t>
      </w:r>
      <w:r>
        <w:rPr>
          <w:rFonts w:ascii="Times New Roman" w:hAnsi="Times New Roman" w:cs="Times New Roman" w:hint="eastAsia"/>
          <w:sz w:val="28"/>
          <w:szCs w:val="28"/>
        </w:rPr>
        <w:t>[45]</w:t>
      </w:r>
      <w:r>
        <w:rPr>
          <w:rFonts w:ascii="Times New Roman" w:hAnsi="Times New Roman" w:cs="Times New Roman"/>
          <w:sz w:val="28"/>
          <w:szCs w:val="28"/>
        </w:rPr>
        <w:t>.</w:t>
      </w:r>
    </w:p>
    <w:p w14:paraId="44316147"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It should be pointed out that the practice of organizational change in Chinese enterprises shows obvious industry characteristics. In the Internet and high-tech </w:t>
      </w:r>
      <w:r>
        <w:rPr>
          <w:rFonts w:ascii="Times New Roman" w:hAnsi="Times New Roman" w:cs="Times New Roman"/>
          <w:sz w:val="28"/>
          <w:szCs w:val="28"/>
        </w:rPr>
        <w:lastRenderedPageBreak/>
        <w:t>industries, the pace of organizational change has accelerated significantly, showing the distinctive characteristics of flattening and agility. In traditional manufacturing and state-owned enterprises, organizational change shows gradual and systematic characteristics, with more emphasis on optimizing organizational structure and reengineering management processes. These differences reflect the significant differences between different industries in terms of technical characteristics, market environment, etc., and also provide an important perspective for us to understand and grasp the diversity of organizational change in Chinese enterprises.</w:t>
      </w:r>
    </w:p>
    <w:p w14:paraId="356DC127"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As China's economy enters a stage of high-quality development, the trend of corporate organizational change is also evolving. On the one hand, digital transformation will become a continuous driving force for organizational change, driving companies to accelerate their development in the direction of intelligence, </w:t>
      </w:r>
      <w:proofErr w:type="spellStart"/>
      <w:r>
        <w:rPr>
          <w:rFonts w:ascii="Times New Roman" w:hAnsi="Times New Roman" w:cs="Times New Roman"/>
          <w:sz w:val="28"/>
          <w:szCs w:val="28"/>
        </w:rPr>
        <w:t>platformization</w:t>
      </w:r>
      <w:proofErr w:type="spellEnd"/>
      <w:r>
        <w:rPr>
          <w:rFonts w:ascii="Times New Roman" w:hAnsi="Times New Roman" w:cs="Times New Roman"/>
          <w:sz w:val="28"/>
          <w:szCs w:val="28"/>
        </w:rPr>
        <w:t>, and ecology. On the other hand, organizational change will pay more attention to human factors, including employee empowerment and organizational culture shaping, in order to fully stimulate the initiative and creativity of employees. At the same time, organizational change will also pay more attention to social responsibility and sustainable development, and promote companies to better fulfill their social responsibilities and achieve green development while pursuing economic benefits.</w:t>
      </w:r>
    </w:p>
    <w:p w14:paraId="4E97BF46"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general, the organizational transformation of Chinese enterprises is showing new trends and characteristics, reflecting the inherent requirements of enterprises to adapt to market changes and enhance their competitiveness. This process is not just a simple adjustment of organizational structure and management methods, but an all-round and in-depth transformation involving multiple dimensions such as strategy, business, process, and culture. Only by accurately grasping the laws and trends of organizational transformation and combining them with their own industry characteristics and development stages can Chinese enterprises find the best path in transformation and achieve sustained growth and leapfrog development.</w:t>
      </w:r>
    </w:p>
    <w:p w14:paraId="2E91AC8F" w14:textId="77777777" w:rsidR="00CB0142" w:rsidRDefault="00CB0142">
      <w:pPr>
        <w:snapToGrid w:val="0"/>
        <w:spacing w:line="360" w:lineRule="auto"/>
      </w:pPr>
    </w:p>
    <w:p w14:paraId="2595B268" w14:textId="77777777" w:rsidR="00CB0142" w:rsidRDefault="00AF7DAE">
      <w:pPr>
        <w:snapToGrid w:val="0"/>
        <w:spacing w:line="360" w:lineRule="auto"/>
        <w:ind w:firstLineChars="200" w:firstLine="562"/>
        <w:outlineLvl w:val="1"/>
        <w:rPr>
          <w:rFonts w:ascii="Times New Roman" w:hAnsi="Times New Roman" w:cs="Times New Roman"/>
          <w:b/>
          <w:bCs/>
          <w:sz w:val="28"/>
          <w:szCs w:val="28"/>
        </w:rPr>
      </w:pPr>
      <w:bookmarkStart w:id="10" w:name="_Toc13212"/>
      <w:r>
        <w:rPr>
          <w:rFonts w:ascii="Times New Roman" w:hAnsi="Times New Roman" w:cs="Times New Roman"/>
          <w:b/>
          <w:bCs/>
          <w:sz w:val="28"/>
          <w:szCs w:val="28"/>
        </w:rPr>
        <w:t xml:space="preserve">2.3. Evaluation of the effectiveness of organizational transformations in </w:t>
      </w:r>
      <w:r>
        <w:rPr>
          <w:rFonts w:ascii="Times New Roman" w:hAnsi="Times New Roman" w:cs="Times New Roman"/>
          <w:b/>
          <w:bCs/>
          <w:sz w:val="28"/>
          <w:szCs w:val="28"/>
        </w:rPr>
        <w:lastRenderedPageBreak/>
        <w:t>Chinese companies</w:t>
      </w:r>
      <w:bookmarkEnd w:id="10"/>
    </w:p>
    <w:p w14:paraId="7AEA0C0E" w14:textId="77777777" w:rsidR="00CB0142" w:rsidRDefault="00CB0142">
      <w:pPr>
        <w:snapToGrid w:val="0"/>
        <w:spacing w:line="360" w:lineRule="auto"/>
      </w:pPr>
    </w:p>
    <w:p w14:paraId="7FDD71D7"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The success or failure of organizational change depends on the evaluation of the effect of change. Based on the analysis of the organizational characteristics and change trends of Chinese enterprises in the previous section, this section focuses on the evaluation of the effect of organizational change, systematically explores the significance of evaluation, the evaluation indicator system and the evaluation method, and strives to build a scientific and complete change evaluation framework. At the same time, through rich and vivid case analysis, it shows the innovative practices of Chinese enterprises in the field of change evaluation, summarizes the experience and lessons of evaluation work, and provides decision-making references for promoting the change process of Chinese enterprises.</w:t>
      </w:r>
    </w:p>
    <w:p w14:paraId="6D652F93"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Organizational change is an important means for enterprises to adapt to changes in the internal and external environment and enhance their competitive advantages. However, the process of organizational change is often full of uncertainty and risks, and the effect of the change is difficult to accurately evaluate. How to scientifically evaluate the effect of organizational change has become an important issue facing Chinese enterprises. This section will conduct an in-depth discussion on the significance of organizational change effect evaluation, evaluation index system, evaluation methods, etc., analyze the current situation and problems of organizational change effects in Chinese enterprises, and put forward corresponding countermeasures and suggestions.</w:t>
      </w:r>
    </w:p>
    <w:p w14:paraId="5DDF1EF3"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 Necessity and methods of evaluating the effectiveness of organizational change</w:t>
      </w:r>
    </w:p>
    <w:p w14:paraId="53B3368E"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evaluation of organizational change effects has far-reaching significance for the sustainable development of enterprises. First, it can help enterprises to understand the progress of change in a timely manner and grasp the direction of change. By evaluating the phased results of change activities, enterprises can identify problems and obstacles in the change process, adjust the change strategy and implementation path in a timely manner, and ensure that the change is moving towards the expected goals. Secondly, the evaluation of organizational change effects helps enterprises optimize resource allocation and improve the input-output ratio of change. Organizational change </w:t>
      </w:r>
      <w:r>
        <w:rPr>
          <w:rFonts w:ascii="Times New Roman" w:hAnsi="Times New Roman" w:cs="Times New Roman"/>
          <w:sz w:val="28"/>
          <w:szCs w:val="28"/>
        </w:rPr>
        <w:lastRenderedPageBreak/>
        <w:t xml:space="preserve">often requires a lot of human, material and financial resources. Through scientific effect evaluation, enterprises can accurately judge the cost-benefit of different change initiatives, reasonably allocate change resources, and avoid blind investment and duplication. Thirdly, it can enhance the execution of change and the participation of employees. By introducing a scientific evaluation mechanism, breaking down the change goals into quantifiable and assessable indicators, and linking them with employees' performance evaluation and incentive returns, it can mobilize the enthusiasm of employees to participate in the change and form a joint force for change. Finally, the evaluation of organizational change effects is an important basis for enterprises to summarize change experience and improve change mechanisms. By systematically sorting out and judging the gains and losses of previous changes, enterprises can form a replicable and </w:t>
      </w:r>
      <w:proofErr w:type="spellStart"/>
      <w:r>
        <w:rPr>
          <w:rFonts w:ascii="Times New Roman" w:hAnsi="Times New Roman" w:cs="Times New Roman"/>
          <w:sz w:val="28"/>
          <w:szCs w:val="28"/>
        </w:rPr>
        <w:t>popularizable</w:t>
      </w:r>
      <w:proofErr w:type="spellEnd"/>
      <w:r>
        <w:rPr>
          <w:rFonts w:ascii="Times New Roman" w:hAnsi="Times New Roman" w:cs="Times New Roman"/>
          <w:sz w:val="28"/>
          <w:szCs w:val="28"/>
        </w:rPr>
        <w:t xml:space="preserve"> change model, and transform it into the system and norms of the organization, providing experience guidance and institutional guarantees for subsequent changes.</w:t>
      </w:r>
    </w:p>
    <w:p w14:paraId="1D40BD1B"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When evaluating the effectiveness of organizational change, companies can use a combination of quantitative and qualitative methods:</w:t>
      </w:r>
    </w:p>
    <w:p w14:paraId="57A36E47"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 Quantitative analysis. Quantitative methods mainly use specific data to evaluate the effect of change. Financial indicators (such as sales, profit growth rate, market share) and operational indicators (such as production efficiency, product quality, customer satisfaction) can be used to measure the effectiveness of change. Take Haier Group as an example. When promoting the "people-oriented" model change, Haier used the balanced scorecard to evaluate the performance of each small and micro enterprise, evaluated the economic benefits through financial indicators such as cost savings and profit growth, and used operational indicators such as production cycle and qualified rate to judge the process optimization effect. Finally, it was determined that this reform initiative has achieved good results.</w:t>
      </w:r>
    </w:p>
    <w:p w14:paraId="33CA7FD9"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(2) Qualitative analysis. Qualitative methods collect subjective evaluations of the effects of change through employee interviews, customer feedback, and management opinions. This information can provide explanations for quantitative data and help to gain a deeper understanding of issues in culture, communication, management style, and </w:t>
      </w:r>
      <w:r>
        <w:rPr>
          <w:rFonts w:ascii="Times New Roman" w:hAnsi="Times New Roman" w:cs="Times New Roman"/>
          <w:sz w:val="28"/>
          <w:szCs w:val="28"/>
        </w:rPr>
        <w:lastRenderedPageBreak/>
        <w:t>other aspects of the change process. Take Huawei as an example. During organizational change, Huawei pays great attention to the feelings of employees and customers, regularly conducts employee satisfaction surveys and customer satisfaction assessments, and uses interviews and other forms to gain an in-depth understanding of the feedback from different stakeholders on the change. The results are used as an important reference for the effectiveness of the change and the direction of improvement. This qualitative analysis provides a useful supplement to Huawei's organizational change and promotes the continuous optimization of the change.</w:t>
      </w:r>
    </w:p>
    <w:p w14:paraId="7A976A71"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 Organizational change effect evaluation indicator system</w:t>
      </w:r>
    </w:p>
    <w:p w14:paraId="1DDB5D40"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Scientific evaluation of organizational change effects cannot be separated from a complete set of indicators. Evaluation indicators are specific measures for judging the effect of change, which directly determine the accuracy and comprehensiveness of the evaluation. Combining the practical experience of Chinese companies, this article proposes an organizational change effect evaluation indicator system with five dimensions:</w:t>
      </w:r>
    </w:p>
    <w:p w14:paraId="03951ED2"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 Financial performance indicators. This is the most direct and fundamental measure for evaluating the success or failure of organizational change. It mainly includes revenue growth rate, net profit margin, cost control efficiency, return on capital (ROIC), etc. Take Haier Group as an example. By promoting the "people-oriented" model and stimulating internal market vitality, Haier has achieved profit growth and cost reduction for many consecutive years, and its economic benefits have been significantly improved.</w:t>
      </w:r>
    </w:p>
    <w:p w14:paraId="0ACC051B"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 Strategic fit. The purpose of organizational change is to serve strategic goals, so it is necessary to evaluate the role of change in promoting the implementation of corporate strategy, enhancing core competitiveness, and supporting sustainable development. For example, Huawei has achieved remarkable results in strategic focus and capability improvement through continuous organizational change, consolidating its leading position in the communications equipment field, successfully developing emerging businesses such as consumer electronics and cloud computing, and enhancing the company's sustainable development capabilities.</w:t>
      </w:r>
    </w:p>
    <w:p w14:paraId="4FEC93BB"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lastRenderedPageBreak/>
        <w:t>(3) Operational efficiency indicators. This dimension aims to assess the impact of changes on the production and operational efficiency of enterprises, which can be examined through specific indicators such as shortened production cycle, supply chain optimization, and reduced production costs. Midea Group has achieved optimization of the entire process from raw material procurement to product delivery by promoting intelligent manufacturing and lean production, reducing product defective rates by 50% and increasing inventory turnover by 30%, which has effectively improved its operational management level.</w:t>
      </w:r>
    </w:p>
    <w:p w14:paraId="41EC4C3E"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(4) Employee satisfaction and participation. The promotion and implementation of organizational change requires the participation of all employees, so the support and enthusiasm of employees directly affect the success or failure of the change. The effectiveness of the change in rallying people's hearts and mobilizing enthusiasm can be evaluated through indicators such as employee satisfaction surveys, employee turnover rate, and the number of proposals. Alibaba's organizational change of "big middle office, small front office" has not only promoted it, but also created an open and innovative organizational culture, which has effectively improved employee participation and satisfaction.</w:t>
      </w:r>
    </w:p>
    <w:p w14:paraId="2135C22A"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(5) Customer satisfaction and market performance. The fundamental purpose of organizational change is to better serve customers and win the market, so customer experience and market performance must be included in the evaluation scope. Indicators that can be examined include customer satisfaction, customer complaint rate, market share, new customer growth rate, etc. Through digital transformation, Haidilao has achieved full process optimization from raw material procurement to table service, increased the turnover rate of single stores by 20%, and the customer praise rate of chain stores has reached more than 95%, significantly enhancing its market competitiveness.</w:t>
      </w:r>
    </w:p>
    <w:p w14:paraId="26667E5B"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It should be pointed out that the selection of evaluation indicators needs to vary from enterprise to enterprise and from time to time. Enterprises in different industries and at different stages of development have different transformation priorities and concerns, and the emphasis of evaluation indicators should also be different. At the </w:t>
      </w:r>
      <w:r>
        <w:rPr>
          <w:rFonts w:ascii="Times New Roman" w:hAnsi="Times New Roman" w:cs="Times New Roman"/>
          <w:sz w:val="28"/>
          <w:szCs w:val="28"/>
        </w:rPr>
        <w:lastRenderedPageBreak/>
        <w:t>same time, the rapid changes in the external environment also require evaluation indicators to keep pace with the times and be adjusted dynamically.</w:t>
      </w:r>
    </w:p>
    <w:p w14:paraId="450A2C45"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3. Case analysis of the effectiveness evaluation of organizational change in Chinese enterprises</w:t>
      </w:r>
    </w:p>
    <w:p w14:paraId="32512A49"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The following further lists some typical Chinese enterprise cases, deeply analyzing the practice of organizational change effectiveness evaluation from different angles.</w:t>
      </w:r>
    </w:p>
    <w:p w14:paraId="6ECFF67A" w14:textId="77777777" w:rsidR="00CB0142" w:rsidRDefault="00CB0142">
      <w:pPr>
        <w:snapToGrid w:val="0"/>
        <w:spacing w:line="360" w:lineRule="auto"/>
        <w:ind w:firstLineChars="200" w:firstLine="560"/>
        <w:rPr>
          <w:rFonts w:ascii="Times New Roman" w:hAnsi="Times New Roman" w:cs="Times New Roman"/>
          <w:sz w:val="28"/>
          <w:szCs w:val="28"/>
        </w:rPr>
      </w:pPr>
    </w:p>
    <w:p w14:paraId="3B2F9CDC" w14:textId="77777777" w:rsidR="00CB0142" w:rsidRDefault="00AF7DAE">
      <w:pPr>
        <w:snapToGrid w:val="0"/>
        <w:spacing w:line="360" w:lineRule="auto"/>
        <w:ind w:firstLineChars="200" w:firstLine="562"/>
        <w:rPr>
          <w:rFonts w:ascii="Times New Roman" w:hAnsi="Times New Roman" w:cs="Times New Roman"/>
          <w:b/>
          <w:bCs/>
          <w:sz w:val="28"/>
          <w:szCs w:val="28"/>
        </w:rPr>
      </w:pPr>
      <w:r>
        <w:rPr>
          <w:rFonts w:ascii="Times New Roman" w:hAnsi="Times New Roman" w:cs="Times New Roman"/>
          <w:b/>
          <w:bCs/>
          <w:sz w:val="28"/>
          <w:szCs w:val="28"/>
        </w:rPr>
        <w:t>Tencent: Organizational upgrade under strategic guidance</w:t>
      </w:r>
    </w:p>
    <w:p w14:paraId="2CA16530"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As a leading company in China's Internet industry, Tencent faced the dual pressures of intensified industry competition and its own business structure adjustment in 2018. In order to better adapt to changes in the external environment and comprehensively improve organizational effectiveness, Tencent launched a new round of organizational reform and upgrade. This reform was guided by the strategy of "expanding C-end users, expanding industrial Internet, and promoting global development", and systematically reshaped the original organizational structure.</w:t>
      </w:r>
    </w:p>
    <w:p w14:paraId="46B39DEE"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On the one hand, Tencent optimized and integrated the original business group structure, streamlining the original seven business groups to six, namely the Enterprise Development Business Group, Interactive Entertainment Business Group, Online Media Business Group, Mobile Internet Business Group, Social Network Business Group, and Technology Engineering Business Group. On the other hand, Tencent established two new business groups: Cloud and Smart Industry Business Group, Platform and Content Business Group, to strengthen the strategic layout in the To B business field. Through the optimization and reorganization of business groups, Tencent further clarified the positioning and relationship of each business segment, and achieved strategic focus, resource integration and collaborative innovation.</w:t>
      </w:r>
    </w:p>
    <w:p w14:paraId="73BE95D7"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One year after the reform was implemented, Tencent conducted a systematic evaluation of the organizational upgrade effect, and comprehensively examined the impact of the reform on strategic execution, economic benefits, organizational vitality, etc. The evaluation results are shown in Table 1.</w:t>
      </w:r>
    </w:p>
    <w:p w14:paraId="718745E6" w14:textId="77777777" w:rsidR="00CB0142" w:rsidRDefault="00CB0142">
      <w:pPr>
        <w:snapToGrid w:val="0"/>
        <w:spacing w:line="360" w:lineRule="auto"/>
        <w:ind w:firstLineChars="200" w:firstLine="560"/>
        <w:rPr>
          <w:rFonts w:ascii="Times New Roman" w:hAnsi="Times New Roman" w:cs="Times New Roman"/>
          <w:sz w:val="28"/>
          <w:szCs w:val="28"/>
        </w:rPr>
      </w:pPr>
    </w:p>
    <w:p w14:paraId="6D917EDD" w14:textId="77777777" w:rsidR="00CB0142" w:rsidRDefault="00AF7DAE">
      <w:pPr>
        <w:snapToGrid w:val="0"/>
        <w:spacing w:line="360" w:lineRule="auto"/>
        <w:ind w:firstLineChars="200" w:firstLine="562"/>
        <w:jc w:val="right"/>
        <w:rPr>
          <w:rFonts w:ascii="Times New Roman" w:hAnsi="Times New Roman" w:cs="Times New Roman"/>
          <w:b/>
          <w:bCs/>
          <w:sz w:val="28"/>
          <w:szCs w:val="28"/>
        </w:rPr>
      </w:pPr>
      <w:r>
        <w:rPr>
          <w:rFonts w:ascii="Times New Roman" w:hAnsi="Times New Roman" w:cs="Times New Roman"/>
          <w:b/>
          <w:bCs/>
          <w:sz w:val="28"/>
          <w:szCs w:val="28"/>
        </w:rPr>
        <w:lastRenderedPageBreak/>
        <w:t>Table 1</w:t>
      </w:r>
    </w:p>
    <w:p w14:paraId="01BCDD4C" w14:textId="77777777" w:rsidR="00CB0142" w:rsidRDefault="00AF7DAE">
      <w:pPr>
        <w:snapToGrid w:val="0"/>
        <w:spacing w:line="360" w:lineRule="auto"/>
        <w:ind w:firstLineChars="200" w:firstLine="562"/>
        <w:jc w:val="right"/>
        <w:rPr>
          <w:rFonts w:ascii="Times New Roman" w:hAnsi="Times New Roman" w:cs="Times New Roman"/>
          <w:b/>
          <w:bCs/>
          <w:sz w:val="28"/>
          <w:szCs w:val="28"/>
        </w:rPr>
      </w:pPr>
      <w:r>
        <w:rPr>
          <w:rFonts w:ascii="Times New Roman" w:hAnsi="Times New Roman" w:cs="Times New Roman" w:hint="eastAsia"/>
          <w:b/>
          <w:bCs/>
          <w:sz w:val="28"/>
          <w:szCs w:val="28"/>
        </w:rPr>
        <w:t xml:space="preserve">Results </w:t>
      </w:r>
      <w:r>
        <w:rPr>
          <w:rFonts w:ascii="Times New Roman" w:hAnsi="Times New Roman" w:cs="Times New Roman"/>
          <w:b/>
          <w:bCs/>
          <w:sz w:val="28"/>
          <w:szCs w:val="28"/>
        </w:rPr>
        <w:t>of the evaluation of the effectiveness of Tencent’s organizational change</w:t>
      </w:r>
    </w:p>
    <w:tbl>
      <w:tblPr>
        <w:tblW w:w="49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8"/>
        <w:gridCol w:w="2239"/>
        <w:gridCol w:w="1981"/>
        <w:gridCol w:w="1687"/>
        <w:gridCol w:w="1687"/>
      </w:tblGrid>
      <w:tr w:rsidR="00CB0142" w14:paraId="36FE4AC8" w14:textId="77777777">
        <w:trPr>
          <w:trHeight w:val="274"/>
        </w:trPr>
        <w:tc>
          <w:tcPr>
            <w:tcW w:w="1165" w:type="pct"/>
            <w:shd w:val="clear" w:color="auto" w:fill="auto"/>
            <w:vAlign w:val="center"/>
          </w:tcPr>
          <w:p w14:paraId="45826D92" w14:textId="77777777" w:rsidR="00CB0142" w:rsidRDefault="00AF7DAE">
            <w:pPr>
              <w:widowControl/>
              <w:jc w:val="center"/>
              <w:textAlignment w:val="center"/>
              <w:rPr>
                <w:rFonts w:ascii="Times New Roman" w:eastAsia="SimSun" w:hAnsi="Times New Roman" w:cs="Times New Roman"/>
                <w:b/>
                <w:bCs/>
                <w:color w:val="000000"/>
                <w:sz w:val="22"/>
                <w:szCs w:val="22"/>
              </w:rPr>
            </w:pPr>
            <w:r>
              <w:rPr>
                <w:rFonts w:ascii="Times New Roman" w:eastAsia="SimSun" w:hAnsi="Times New Roman" w:cs="Times New Roman"/>
                <w:b/>
                <w:bCs/>
                <w:color w:val="000000"/>
                <w:kern w:val="0"/>
                <w:sz w:val="22"/>
                <w:szCs w:val="22"/>
                <w:lang w:bidi="ar"/>
              </w:rPr>
              <w:t>Evaluation Dimension</w:t>
            </w:r>
          </w:p>
        </w:tc>
        <w:tc>
          <w:tcPr>
            <w:tcW w:w="1130" w:type="pct"/>
            <w:shd w:val="clear" w:color="auto" w:fill="auto"/>
            <w:vAlign w:val="center"/>
          </w:tcPr>
          <w:p w14:paraId="37B26663" w14:textId="77777777" w:rsidR="00CB0142" w:rsidRDefault="00AF7DAE">
            <w:pPr>
              <w:widowControl/>
              <w:jc w:val="center"/>
              <w:textAlignment w:val="center"/>
              <w:rPr>
                <w:rFonts w:ascii="Times New Roman" w:eastAsia="SimSun" w:hAnsi="Times New Roman" w:cs="Times New Roman"/>
                <w:b/>
                <w:bCs/>
                <w:color w:val="000000"/>
                <w:sz w:val="22"/>
                <w:szCs w:val="22"/>
              </w:rPr>
            </w:pPr>
            <w:r>
              <w:rPr>
                <w:rFonts w:ascii="Times New Roman" w:eastAsia="SimSun" w:hAnsi="Times New Roman" w:cs="Times New Roman"/>
                <w:b/>
                <w:bCs/>
                <w:color w:val="000000"/>
                <w:kern w:val="0"/>
                <w:sz w:val="22"/>
                <w:szCs w:val="22"/>
                <w:lang w:bidi="ar"/>
              </w:rPr>
              <w:t>Key Indicators</w:t>
            </w:r>
          </w:p>
        </w:tc>
        <w:tc>
          <w:tcPr>
            <w:tcW w:w="1000" w:type="pct"/>
            <w:shd w:val="clear" w:color="auto" w:fill="auto"/>
            <w:vAlign w:val="center"/>
          </w:tcPr>
          <w:p w14:paraId="520EC778" w14:textId="77777777" w:rsidR="00CB0142" w:rsidRDefault="00AF7DAE">
            <w:pPr>
              <w:widowControl/>
              <w:jc w:val="center"/>
              <w:textAlignment w:val="center"/>
              <w:rPr>
                <w:rFonts w:ascii="Times New Roman" w:eastAsia="SimSun" w:hAnsi="Times New Roman" w:cs="Times New Roman"/>
                <w:b/>
                <w:bCs/>
                <w:color w:val="000000"/>
                <w:sz w:val="22"/>
                <w:szCs w:val="22"/>
              </w:rPr>
            </w:pPr>
            <w:r>
              <w:rPr>
                <w:rFonts w:ascii="Times New Roman" w:eastAsia="SimSun" w:hAnsi="Times New Roman" w:cs="Times New Roman"/>
                <w:b/>
                <w:bCs/>
                <w:color w:val="000000"/>
                <w:kern w:val="0"/>
                <w:sz w:val="22"/>
                <w:szCs w:val="22"/>
                <w:lang w:bidi="ar"/>
              </w:rPr>
              <w:t>2019</w:t>
            </w:r>
          </w:p>
        </w:tc>
        <w:tc>
          <w:tcPr>
            <w:tcW w:w="851" w:type="pct"/>
            <w:shd w:val="clear" w:color="auto" w:fill="auto"/>
            <w:vAlign w:val="center"/>
          </w:tcPr>
          <w:p w14:paraId="1C0728D4" w14:textId="77777777" w:rsidR="00CB0142" w:rsidRDefault="00AF7DAE">
            <w:pPr>
              <w:widowControl/>
              <w:jc w:val="center"/>
              <w:textAlignment w:val="center"/>
              <w:rPr>
                <w:rFonts w:ascii="Times New Roman" w:eastAsia="SimSun" w:hAnsi="Times New Roman" w:cs="Times New Roman"/>
                <w:b/>
                <w:bCs/>
                <w:color w:val="000000"/>
                <w:sz w:val="22"/>
                <w:szCs w:val="22"/>
              </w:rPr>
            </w:pPr>
            <w:r>
              <w:rPr>
                <w:rFonts w:ascii="Times New Roman" w:eastAsia="SimSun" w:hAnsi="Times New Roman" w:cs="Times New Roman"/>
                <w:b/>
                <w:bCs/>
                <w:color w:val="000000"/>
                <w:kern w:val="0"/>
                <w:sz w:val="22"/>
                <w:szCs w:val="22"/>
                <w:lang w:bidi="ar"/>
              </w:rPr>
              <w:t>2022</w:t>
            </w:r>
          </w:p>
        </w:tc>
        <w:tc>
          <w:tcPr>
            <w:tcW w:w="851" w:type="pct"/>
            <w:shd w:val="clear" w:color="auto" w:fill="auto"/>
            <w:vAlign w:val="center"/>
          </w:tcPr>
          <w:p w14:paraId="59B60583" w14:textId="77777777" w:rsidR="00CB0142" w:rsidRDefault="00AF7DAE">
            <w:pPr>
              <w:widowControl/>
              <w:jc w:val="center"/>
              <w:textAlignment w:val="center"/>
              <w:rPr>
                <w:rFonts w:ascii="Times New Roman" w:eastAsia="SimSun" w:hAnsi="Times New Roman" w:cs="Times New Roman"/>
                <w:b/>
                <w:bCs/>
                <w:color w:val="000000"/>
                <w:sz w:val="22"/>
                <w:szCs w:val="22"/>
              </w:rPr>
            </w:pPr>
            <w:r>
              <w:rPr>
                <w:rFonts w:ascii="Times New Roman" w:eastAsia="SimSun" w:hAnsi="Times New Roman" w:cs="Times New Roman"/>
                <w:b/>
                <w:bCs/>
                <w:color w:val="000000"/>
                <w:kern w:val="0"/>
                <w:sz w:val="22"/>
                <w:szCs w:val="22"/>
                <w:lang w:bidi="ar"/>
              </w:rPr>
              <w:t>2023</w:t>
            </w:r>
          </w:p>
        </w:tc>
      </w:tr>
      <w:tr w:rsidR="00CB0142" w14:paraId="4EAF0F3E" w14:textId="77777777">
        <w:trPr>
          <w:trHeight w:val="274"/>
        </w:trPr>
        <w:tc>
          <w:tcPr>
            <w:tcW w:w="1165" w:type="pct"/>
            <w:vMerge w:val="restart"/>
            <w:shd w:val="clear" w:color="auto" w:fill="auto"/>
            <w:vAlign w:val="center"/>
          </w:tcPr>
          <w:p w14:paraId="5487AC7A" w14:textId="77777777" w:rsidR="00CB0142" w:rsidRDefault="00AF7DAE">
            <w:pPr>
              <w:widowControl/>
              <w:jc w:val="left"/>
              <w:textAlignment w:val="center"/>
              <w:rPr>
                <w:rFonts w:ascii="Times New Roman" w:eastAsia="SimSun" w:hAnsi="Times New Roman" w:cs="Times New Roman"/>
                <w:b/>
                <w:bCs/>
                <w:color w:val="000000"/>
                <w:sz w:val="22"/>
                <w:szCs w:val="22"/>
              </w:rPr>
            </w:pPr>
            <w:r>
              <w:rPr>
                <w:rFonts w:ascii="Times New Roman" w:eastAsia="SimSun" w:hAnsi="Times New Roman" w:cs="Times New Roman"/>
                <w:b/>
                <w:bCs/>
                <w:color w:val="000000"/>
                <w:kern w:val="0"/>
                <w:sz w:val="22"/>
                <w:szCs w:val="22"/>
                <w:lang w:bidi="ar"/>
              </w:rPr>
              <w:t>Strategic Execution</w:t>
            </w:r>
          </w:p>
        </w:tc>
        <w:tc>
          <w:tcPr>
            <w:tcW w:w="1130" w:type="pct"/>
            <w:shd w:val="clear" w:color="auto" w:fill="auto"/>
            <w:vAlign w:val="center"/>
          </w:tcPr>
          <w:p w14:paraId="73F0ABA5"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Market Position in Industrial Internet</w:t>
            </w:r>
          </w:p>
        </w:tc>
        <w:tc>
          <w:tcPr>
            <w:tcW w:w="1000" w:type="pct"/>
            <w:shd w:val="clear" w:color="auto" w:fill="auto"/>
            <w:vAlign w:val="center"/>
          </w:tcPr>
          <w:p w14:paraId="72F5C549"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Industry Leading</w:t>
            </w:r>
          </w:p>
        </w:tc>
        <w:tc>
          <w:tcPr>
            <w:tcW w:w="851" w:type="pct"/>
            <w:shd w:val="clear" w:color="auto" w:fill="auto"/>
            <w:vAlign w:val="center"/>
          </w:tcPr>
          <w:p w14:paraId="599E7489"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Sustained Leadership</w:t>
            </w:r>
          </w:p>
        </w:tc>
        <w:tc>
          <w:tcPr>
            <w:tcW w:w="851" w:type="pct"/>
            <w:shd w:val="clear" w:color="auto" w:fill="auto"/>
            <w:vAlign w:val="center"/>
          </w:tcPr>
          <w:p w14:paraId="2EE97EB7"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Sustained Leadership</w:t>
            </w:r>
          </w:p>
        </w:tc>
      </w:tr>
      <w:tr w:rsidR="00CB0142" w14:paraId="01F78C2C" w14:textId="77777777">
        <w:trPr>
          <w:trHeight w:val="408"/>
        </w:trPr>
        <w:tc>
          <w:tcPr>
            <w:tcW w:w="1165" w:type="pct"/>
            <w:vMerge/>
            <w:shd w:val="clear" w:color="auto" w:fill="auto"/>
            <w:vAlign w:val="center"/>
          </w:tcPr>
          <w:p w14:paraId="2CE8926B" w14:textId="77777777" w:rsidR="00CB0142" w:rsidRDefault="00CB0142">
            <w:pPr>
              <w:rPr>
                <w:rFonts w:ascii="Times New Roman" w:eastAsia="SimSun" w:hAnsi="Times New Roman" w:cs="Times New Roman"/>
                <w:color w:val="000000"/>
                <w:sz w:val="22"/>
                <w:szCs w:val="22"/>
              </w:rPr>
            </w:pPr>
          </w:p>
        </w:tc>
        <w:tc>
          <w:tcPr>
            <w:tcW w:w="1130" w:type="pct"/>
            <w:shd w:val="clear" w:color="auto" w:fill="auto"/>
            <w:vAlign w:val="center"/>
          </w:tcPr>
          <w:p w14:paraId="7145E4FD"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Cloud Service Revenue Growth Rate</w:t>
            </w:r>
          </w:p>
        </w:tc>
        <w:tc>
          <w:tcPr>
            <w:tcW w:w="1000" w:type="pct"/>
            <w:shd w:val="clear" w:color="auto" w:fill="auto"/>
            <w:vAlign w:val="center"/>
          </w:tcPr>
          <w:p w14:paraId="216EC11D"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87% YoY Growth</w:t>
            </w:r>
          </w:p>
        </w:tc>
        <w:tc>
          <w:tcPr>
            <w:tcW w:w="851" w:type="pct"/>
            <w:shd w:val="clear" w:color="auto" w:fill="auto"/>
            <w:vAlign w:val="center"/>
          </w:tcPr>
          <w:p w14:paraId="30F32B1C"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55% YoY Growth (est.)</w:t>
            </w:r>
          </w:p>
        </w:tc>
        <w:tc>
          <w:tcPr>
            <w:tcW w:w="851" w:type="pct"/>
            <w:shd w:val="clear" w:color="auto" w:fill="auto"/>
            <w:vAlign w:val="center"/>
          </w:tcPr>
          <w:p w14:paraId="7BC9A623"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48% YoY Growth (est.)</w:t>
            </w:r>
          </w:p>
        </w:tc>
      </w:tr>
      <w:tr w:rsidR="00CB0142" w14:paraId="67B0AACE" w14:textId="77777777">
        <w:trPr>
          <w:trHeight w:val="274"/>
        </w:trPr>
        <w:tc>
          <w:tcPr>
            <w:tcW w:w="1165" w:type="pct"/>
            <w:vMerge w:val="restart"/>
            <w:shd w:val="clear" w:color="auto" w:fill="auto"/>
            <w:vAlign w:val="center"/>
          </w:tcPr>
          <w:p w14:paraId="10C9266A" w14:textId="77777777" w:rsidR="00CB0142" w:rsidRDefault="00AF7DAE">
            <w:pPr>
              <w:widowControl/>
              <w:jc w:val="left"/>
              <w:textAlignment w:val="center"/>
              <w:rPr>
                <w:rFonts w:ascii="Times New Roman" w:eastAsia="SimSun" w:hAnsi="Times New Roman" w:cs="Times New Roman"/>
                <w:b/>
                <w:bCs/>
                <w:color w:val="000000"/>
                <w:sz w:val="22"/>
                <w:szCs w:val="22"/>
              </w:rPr>
            </w:pPr>
            <w:r>
              <w:rPr>
                <w:rFonts w:ascii="Times New Roman" w:eastAsia="SimSun" w:hAnsi="Times New Roman" w:cs="Times New Roman"/>
                <w:b/>
                <w:bCs/>
                <w:color w:val="000000"/>
                <w:kern w:val="0"/>
                <w:sz w:val="22"/>
                <w:szCs w:val="22"/>
                <w:lang w:bidi="ar"/>
              </w:rPr>
              <w:t>Economic Efficiency</w:t>
            </w:r>
          </w:p>
        </w:tc>
        <w:tc>
          <w:tcPr>
            <w:tcW w:w="1130" w:type="pct"/>
            <w:shd w:val="clear" w:color="auto" w:fill="auto"/>
            <w:vAlign w:val="center"/>
          </w:tcPr>
          <w:p w14:paraId="0FD36D5B"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Total Revenue Growth Rate</w:t>
            </w:r>
          </w:p>
        </w:tc>
        <w:tc>
          <w:tcPr>
            <w:tcW w:w="1000" w:type="pct"/>
            <w:shd w:val="clear" w:color="auto" w:fill="auto"/>
            <w:vAlign w:val="center"/>
          </w:tcPr>
          <w:p w14:paraId="3D16F30E"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21% YoY Growth</w:t>
            </w:r>
          </w:p>
        </w:tc>
        <w:tc>
          <w:tcPr>
            <w:tcW w:w="851" w:type="pct"/>
            <w:shd w:val="clear" w:color="auto" w:fill="auto"/>
            <w:vAlign w:val="center"/>
          </w:tcPr>
          <w:p w14:paraId="3477465D"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1% YoY Decline</w:t>
            </w:r>
          </w:p>
        </w:tc>
        <w:tc>
          <w:tcPr>
            <w:tcW w:w="851" w:type="pct"/>
            <w:shd w:val="clear" w:color="auto" w:fill="auto"/>
            <w:vAlign w:val="center"/>
          </w:tcPr>
          <w:p w14:paraId="5ED3354D"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10% YoY Growth</w:t>
            </w:r>
          </w:p>
        </w:tc>
      </w:tr>
      <w:tr w:rsidR="00CB0142" w14:paraId="2BD47D32" w14:textId="77777777">
        <w:trPr>
          <w:trHeight w:val="274"/>
        </w:trPr>
        <w:tc>
          <w:tcPr>
            <w:tcW w:w="1165" w:type="pct"/>
            <w:vMerge/>
            <w:shd w:val="clear" w:color="auto" w:fill="auto"/>
            <w:vAlign w:val="center"/>
          </w:tcPr>
          <w:p w14:paraId="7F9586E2" w14:textId="77777777" w:rsidR="00CB0142" w:rsidRDefault="00CB0142">
            <w:pPr>
              <w:rPr>
                <w:rFonts w:ascii="Times New Roman" w:eastAsia="SimSun" w:hAnsi="Times New Roman" w:cs="Times New Roman"/>
                <w:color w:val="000000"/>
                <w:sz w:val="22"/>
                <w:szCs w:val="22"/>
              </w:rPr>
            </w:pPr>
          </w:p>
        </w:tc>
        <w:tc>
          <w:tcPr>
            <w:tcW w:w="1130" w:type="pct"/>
            <w:shd w:val="clear" w:color="auto" w:fill="auto"/>
            <w:vAlign w:val="center"/>
          </w:tcPr>
          <w:p w14:paraId="26649B71"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Net Profit Growth Rate</w:t>
            </w:r>
          </w:p>
        </w:tc>
        <w:tc>
          <w:tcPr>
            <w:tcW w:w="1000" w:type="pct"/>
            <w:shd w:val="clear" w:color="auto" w:fill="auto"/>
            <w:vAlign w:val="center"/>
          </w:tcPr>
          <w:p w14:paraId="7CAC03F5"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19% YoY Growth</w:t>
            </w:r>
          </w:p>
        </w:tc>
        <w:tc>
          <w:tcPr>
            <w:tcW w:w="851" w:type="pct"/>
            <w:shd w:val="clear" w:color="auto" w:fill="auto"/>
            <w:vAlign w:val="center"/>
          </w:tcPr>
          <w:p w14:paraId="6E20B9E6"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39% YoY Decline</w:t>
            </w:r>
          </w:p>
        </w:tc>
        <w:tc>
          <w:tcPr>
            <w:tcW w:w="851" w:type="pct"/>
            <w:shd w:val="clear" w:color="auto" w:fill="auto"/>
            <w:vAlign w:val="center"/>
          </w:tcPr>
          <w:p w14:paraId="78889BF8"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36% YoY Growth</w:t>
            </w:r>
          </w:p>
        </w:tc>
      </w:tr>
      <w:tr w:rsidR="00CB0142" w14:paraId="6180557F" w14:textId="77777777">
        <w:trPr>
          <w:trHeight w:val="274"/>
        </w:trPr>
        <w:tc>
          <w:tcPr>
            <w:tcW w:w="1165" w:type="pct"/>
            <w:vMerge/>
            <w:shd w:val="clear" w:color="auto" w:fill="auto"/>
            <w:vAlign w:val="center"/>
          </w:tcPr>
          <w:p w14:paraId="11D3A3A2" w14:textId="77777777" w:rsidR="00CB0142" w:rsidRDefault="00CB0142">
            <w:pPr>
              <w:rPr>
                <w:rFonts w:ascii="Times New Roman" w:eastAsia="SimSun" w:hAnsi="Times New Roman" w:cs="Times New Roman"/>
                <w:color w:val="000000"/>
                <w:sz w:val="22"/>
                <w:szCs w:val="22"/>
              </w:rPr>
            </w:pPr>
          </w:p>
        </w:tc>
        <w:tc>
          <w:tcPr>
            <w:tcW w:w="1130" w:type="pct"/>
            <w:shd w:val="clear" w:color="auto" w:fill="auto"/>
            <w:vAlign w:val="center"/>
          </w:tcPr>
          <w:p w14:paraId="7F3947BA"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Free Cash Flow Growth Rate</w:t>
            </w:r>
          </w:p>
        </w:tc>
        <w:tc>
          <w:tcPr>
            <w:tcW w:w="1000" w:type="pct"/>
            <w:shd w:val="clear" w:color="auto" w:fill="auto"/>
            <w:vAlign w:val="center"/>
          </w:tcPr>
          <w:p w14:paraId="5381AE85"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28% YoY Growth</w:t>
            </w:r>
          </w:p>
        </w:tc>
        <w:tc>
          <w:tcPr>
            <w:tcW w:w="851" w:type="pct"/>
            <w:shd w:val="clear" w:color="auto" w:fill="auto"/>
            <w:vAlign w:val="center"/>
          </w:tcPr>
          <w:p w14:paraId="3110F936"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24% YoY Growth (est.)</w:t>
            </w:r>
          </w:p>
        </w:tc>
        <w:tc>
          <w:tcPr>
            <w:tcW w:w="851" w:type="pct"/>
            <w:shd w:val="clear" w:color="auto" w:fill="auto"/>
            <w:vAlign w:val="center"/>
          </w:tcPr>
          <w:p w14:paraId="73355EBC"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22% YoY Growth (est.)</w:t>
            </w:r>
          </w:p>
        </w:tc>
      </w:tr>
      <w:tr w:rsidR="00CB0142" w14:paraId="54875FE7" w14:textId="77777777">
        <w:trPr>
          <w:trHeight w:val="408"/>
        </w:trPr>
        <w:tc>
          <w:tcPr>
            <w:tcW w:w="1165" w:type="pct"/>
            <w:vMerge w:val="restart"/>
            <w:shd w:val="clear" w:color="auto" w:fill="auto"/>
            <w:vAlign w:val="center"/>
          </w:tcPr>
          <w:p w14:paraId="135CC514" w14:textId="77777777" w:rsidR="00CB0142" w:rsidRDefault="00AF7DAE">
            <w:pPr>
              <w:widowControl/>
              <w:jc w:val="left"/>
              <w:textAlignment w:val="center"/>
              <w:rPr>
                <w:rFonts w:ascii="Times New Roman" w:eastAsia="SimSun" w:hAnsi="Times New Roman" w:cs="Times New Roman"/>
                <w:b/>
                <w:bCs/>
                <w:color w:val="000000"/>
                <w:sz w:val="22"/>
                <w:szCs w:val="22"/>
              </w:rPr>
            </w:pPr>
            <w:r>
              <w:rPr>
                <w:rFonts w:ascii="Times New Roman" w:eastAsia="SimSun" w:hAnsi="Times New Roman" w:cs="Times New Roman"/>
                <w:b/>
                <w:bCs/>
                <w:color w:val="000000"/>
                <w:kern w:val="0"/>
                <w:sz w:val="22"/>
                <w:szCs w:val="22"/>
                <w:lang w:bidi="ar"/>
              </w:rPr>
              <w:t>Organizational Vitality</w:t>
            </w:r>
          </w:p>
        </w:tc>
        <w:tc>
          <w:tcPr>
            <w:tcW w:w="1130" w:type="pct"/>
            <w:shd w:val="clear" w:color="auto" w:fill="auto"/>
            <w:vAlign w:val="center"/>
          </w:tcPr>
          <w:p w14:paraId="69013EDE"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Employee Transformation Acceptance</w:t>
            </w:r>
          </w:p>
        </w:tc>
        <w:tc>
          <w:tcPr>
            <w:tcW w:w="1000" w:type="pct"/>
            <w:shd w:val="clear" w:color="auto" w:fill="auto"/>
            <w:vAlign w:val="center"/>
          </w:tcPr>
          <w:p w14:paraId="6FD5CA19" w14:textId="77777777" w:rsidR="00CB0142" w:rsidRDefault="00AF7DAE">
            <w:pPr>
              <w:widowControl/>
              <w:jc w:val="center"/>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94%</w:t>
            </w:r>
          </w:p>
        </w:tc>
        <w:tc>
          <w:tcPr>
            <w:tcW w:w="851" w:type="pct"/>
            <w:shd w:val="clear" w:color="auto" w:fill="auto"/>
            <w:vAlign w:val="center"/>
          </w:tcPr>
          <w:p w14:paraId="77B72028" w14:textId="77777777" w:rsidR="00CB0142" w:rsidRDefault="00AF7DAE">
            <w:pPr>
              <w:widowControl/>
              <w:jc w:val="center"/>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95%</w:t>
            </w:r>
          </w:p>
        </w:tc>
        <w:tc>
          <w:tcPr>
            <w:tcW w:w="851" w:type="pct"/>
            <w:shd w:val="clear" w:color="auto" w:fill="auto"/>
            <w:vAlign w:val="center"/>
          </w:tcPr>
          <w:p w14:paraId="4759A122" w14:textId="77777777" w:rsidR="00CB0142" w:rsidRDefault="00AF7DAE">
            <w:pPr>
              <w:widowControl/>
              <w:ind w:firstLineChars="100" w:firstLine="220"/>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96%</w:t>
            </w:r>
          </w:p>
        </w:tc>
      </w:tr>
      <w:tr w:rsidR="00CB0142" w14:paraId="335094AC" w14:textId="77777777">
        <w:trPr>
          <w:trHeight w:val="274"/>
        </w:trPr>
        <w:tc>
          <w:tcPr>
            <w:tcW w:w="1165" w:type="pct"/>
            <w:vMerge/>
            <w:shd w:val="clear" w:color="auto" w:fill="auto"/>
            <w:vAlign w:val="center"/>
          </w:tcPr>
          <w:p w14:paraId="687716DA" w14:textId="77777777" w:rsidR="00CB0142" w:rsidRDefault="00CB0142">
            <w:pPr>
              <w:rPr>
                <w:rFonts w:ascii="Times New Roman" w:eastAsia="SimSun" w:hAnsi="Times New Roman" w:cs="Times New Roman"/>
                <w:color w:val="000000"/>
                <w:sz w:val="22"/>
                <w:szCs w:val="22"/>
              </w:rPr>
            </w:pPr>
          </w:p>
        </w:tc>
        <w:tc>
          <w:tcPr>
            <w:tcW w:w="1130" w:type="pct"/>
            <w:shd w:val="clear" w:color="auto" w:fill="auto"/>
            <w:vAlign w:val="center"/>
          </w:tcPr>
          <w:p w14:paraId="3BB4A5A7"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Employee Engagement</w:t>
            </w:r>
          </w:p>
        </w:tc>
        <w:tc>
          <w:tcPr>
            <w:tcW w:w="1000" w:type="pct"/>
            <w:shd w:val="clear" w:color="auto" w:fill="auto"/>
            <w:vAlign w:val="center"/>
          </w:tcPr>
          <w:p w14:paraId="1C43C632"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Significant Improvement</w:t>
            </w:r>
          </w:p>
        </w:tc>
        <w:tc>
          <w:tcPr>
            <w:tcW w:w="851" w:type="pct"/>
            <w:shd w:val="clear" w:color="auto" w:fill="auto"/>
            <w:vAlign w:val="center"/>
          </w:tcPr>
          <w:p w14:paraId="6F172D6D"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Stable Level</w:t>
            </w:r>
          </w:p>
        </w:tc>
        <w:tc>
          <w:tcPr>
            <w:tcW w:w="851" w:type="pct"/>
            <w:shd w:val="clear" w:color="auto" w:fill="auto"/>
            <w:vAlign w:val="center"/>
          </w:tcPr>
          <w:p w14:paraId="67369074"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Further Enhanced</w:t>
            </w:r>
          </w:p>
        </w:tc>
      </w:tr>
      <w:tr w:rsidR="00CB0142" w14:paraId="233AB5D4" w14:textId="77777777">
        <w:trPr>
          <w:trHeight w:val="274"/>
        </w:trPr>
        <w:tc>
          <w:tcPr>
            <w:tcW w:w="1165" w:type="pct"/>
            <w:vMerge w:val="restart"/>
            <w:shd w:val="clear" w:color="auto" w:fill="auto"/>
            <w:vAlign w:val="center"/>
          </w:tcPr>
          <w:p w14:paraId="35645EDB" w14:textId="77777777" w:rsidR="00CB0142" w:rsidRDefault="00AF7DAE">
            <w:pPr>
              <w:widowControl/>
              <w:jc w:val="left"/>
              <w:textAlignment w:val="center"/>
              <w:rPr>
                <w:rFonts w:ascii="Times New Roman" w:eastAsia="SimSun" w:hAnsi="Times New Roman" w:cs="Times New Roman"/>
                <w:b/>
                <w:bCs/>
                <w:color w:val="000000"/>
                <w:sz w:val="22"/>
                <w:szCs w:val="22"/>
              </w:rPr>
            </w:pPr>
            <w:r>
              <w:rPr>
                <w:rFonts w:ascii="Times New Roman" w:eastAsia="SimSun" w:hAnsi="Times New Roman" w:cs="Times New Roman"/>
                <w:b/>
                <w:bCs/>
                <w:color w:val="000000"/>
                <w:kern w:val="0"/>
                <w:sz w:val="22"/>
                <w:szCs w:val="22"/>
                <w:lang w:bidi="ar"/>
              </w:rPr>
              <w:t>Innovation Capability</w:t>
            </w:r>
          </w:p>
        </w:tc>
        <w:tc>
          <w:tcPr>
            <w:tcW w:w="1130" w:type="pct"/>
            <w:shd w:val="clear" w:color="auto" w:fill="auto"/>
            <w:vAlign w:val="center"/>
          </w:tcPr>
          <w:p w14:paraId="6697BF43"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R&amp;D Investment Ratio</w:t>
            </w:r>
          </w:p>
        </w:tc>
        <w:tc>
          <w:tcPr>
            <w:tcW w:w="1000" w:type="pct"/>
            <w:shd w:val="clear" w:color="auto" w:fill="auto"/>
            <w:vAlign w:val="center"/>
          </w:tcPr>
          <w:p w14:paraId="66916705" w14:textId="77777777" w:rsidR="00CB0142" w:rsidRDefault="00AF7DAE">
            <w:pPr>
              <w:widowControl/>
              <w:ind w:firstLineChars="200" w:firstLine="44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&gt;10%</w:t>
            </w:r>
          </w:p>
        </w:tc>
        <w:tc>
          <w:tcPr>
            <w:tcW w:w="851" w:type="pct"/>
            <w:shd w:val="clear" w:color="auto" w:fill="auto"/>
            <w:vAlign w:val="center"/>
          </w:tcPr>
          <w:p w14:paraId="732A2A6B" w14:textId="77777777" w:rsidR="00CB0142" w:rsidRDefault="00AF7DAE">
            <w:pPr>
              <w:widowControl/>
              <w:ind w:firstLineChars="200" w:firstLine="44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&gt;11%</w:t>
            </w:r>
          </w:p>
        </w:tc>
        <w:tc>
          <w:tcPr>
            <w:tcW w:w="851" w:type="pct"/>
            <w:shd w:val="clear" w:color="auto" w:fill="auto"/>
            <w:vAlign w:val="center"/>
          </w:tcPr>
          <w:p w14:paraId="33AA3186" w14:textId="77777777" w:rsidR="00CB0142" w:rsidRDefault="00AF7DAE">
            <w:pPr>
              <w:widowControl/>
              <w:ind w:firstLineChars="200" w:firstLine="44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&gt;12%</w:t>
            </w:r>
          </w:p>
        </w:tc>
      </w:tr>
      <w:tr w:rsidR="00CB0142" w14:paraId="32DB5C7F" w14:textId="77777777">
        <w:trPr>
          <w:trHeight w:val="274"/>
        </w:trPr>
        <w:tc>
          <w:tcPr>
            <w:tcW w:w="1165" w:type="pct"/>
            <w:vMerge/>
            <w:shd w:val="clear" w:color="auto" w:fill="auto"/>
            <w:vAlign w:val="center"/>
          </w:tcPr>
          <w:p w14:paraId="1E5E38D2" w14:textId="77777777" w:rsidR="00CB0142" w:rsidRDefault="00CB0142">
            <w:pPr>
              <w:rPr>
                <w:rFonts w:ascii="Times New Roman" w:eastAsia="SimSun" w:hAnsi="Times New Roman" w:cs="Times New Roman"/>
                <w:color w:val="000000"/>
                <w:sz w:val="22"/>
                <w:szCs w:val="22"/>
              </w:rPr>
            </w:pPr>
          </w:p>
        </w:tc>
        <w:tc>
          <w:tcPr>
            <w:tcW w:w="1130" w:type="pct"/>
            <w:shd w:val="clear" w:color="auto" w:fill="auto"/>
            <w:vAlign w:val="center"/>
          </w:tcPr>
          <w:p w14:paraId="1FB6899D"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Patent Applications Growth Rate</w:t>
            </w:r>
          </w:p>
        </w:tc>
        <w:tc>
          <w:tcPr>
            <w:tcW w:w="1000" w:type="pct"/>
            <w:shd w:val="clear" w:color="auto" w:fill="auto"/>
            <w:vAlign w:val="center"/>
          </w:tcPr>
          <w:p w14:paraId="38C9FDCA" w14:textId="77777777" w:rsidR="00CB0142" w:rsidRDefault="00AF7DAE">
            <w:pPr>
              <w:widowControl/>
              <w:jc w:val="center"/>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30%</w:t>
            </w:r>
          </w:p>
        </w:tc>
        <w:tc>
          <w:tcPr>
            <w:tcW w:w="851" w:type="pct"/>
            <w:shd w:val="clear" w:color="auto" w:fill="auto"/>
            <w:vAlign w:val="center"/>
          </w:tcPr>
          <w:p w14:paraId="3819F93D" w14:textId="77777777" w:rsidR="00CB0142" w:rsidRDefault="00AF7DAE">
            <w:pPr>
              <w:widowControl/>
              <w:jc w:val="center"/>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32%</w:t>
            </w:r>
          </w:p>
        </w:tc>
        <w:tc>
          <w:tcPr>
            <w:tcW w:w="851" w:type="pct"/>
            <w:shd w:val="clear" w:color="auto" w:fill="auto"/>
            <w:vAlign w:val="center"/>
          </w:tcPr>
          <w:p w14:paraId="577B5E3E" w14:textId="77777777" w:rsidR="00CB0142" w:rsidRDefault="00AF7DAE">
            <w:pPr>
              <w:widowControl/>
              <w:jc w:val="center"/>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35%</w:t>
            </w:r>
          </w:p>
        </w:tc>
      </w:tr>
      <w:tr w:rsidR="00CB0142" w14:paraId="679A6093" w14:textId="77777777">
        <w:trPr>
          <w:trHeight w:val="278"/>
        </w:trPr>
        <w:tc>
          <w:tcPr>
            <w:tcW w:w="1165" w:type="pct"/>
            <w:vMerge/>
            <w:shd w:val="clear" w:color="auto" w:fill="auto"/>
            <w:vAlign w:val="center"/>
          </w:tcPr>
          <w:p w14:paraId="2478442A" w14:textId="77777777" w:rsidR="00CB0142" w:rsidRDefault="00CB0142">
            <w:pPr>
              <w:rPr>
                <w:rFonts w:ascii="Times New Roman" w:eastAsia="SimSun" w:hAnsi="Times New Roman" w:cs="Times New Roman"/>
                <w:color w:val="000000"/>
                <w:sz w:val="22"/>
                <w:szCs w:val="22"/>
              </w:rPr>
            </w:pPr>
          </w:p>
        </w:tc>
        <w:tc>
          <w:tcPr>
            <w:tcW w:w="1130" w:type="pct"/>
            <w:shd w:val="clear" w:color="auto" w:fill="auto"/>
            <w:vAlign w:val="center"/>
          </w:tcPr>
          <w:p w14:paraId="34DBB26F" w14:textId="77777777" w:rsidR="00CB0142" w:rsidRDefault="00AF7DAE">
            <w:pPr>
              <w:widowControl/>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Revenue from New Businesses</w:t>
            </w:r>
          </w:p>
        </w:tc>
        <w:tc>
          <w:tcPr>
            <w:tcW w:w="1000" w:type="pct"/>
            <w:shd w:val="clear" w:color="auto" w:fill="auto"/>
            <w:vAlign w:val="center"/>
          </w:tcPr>
          <w:p w14:paraId="6B59287C" w14:textId="77777777" w:rsidR="00CB0142" w:rsidRDefault="00AF7DAE">
            <w:pPr>
              <w:widowControl/>
              <w:jc w:val="center"/>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8%</w:t>
            </w:r>
          </w:p>
        </w:tc>
        <w:tc>
          <w:tcPr>
            <w:tcW w:w="851" w:type="pct"/>
            <w:shd w:val="clear" w:color="auto" w:fill="auto"/>
            <w:vAlign w:val="center"/>
          </w:tcPr>
          <w:p w14:paraId="567306EB" w14:textId="77777777" w:rsidR="00CB0142" w:rsidRDefault="00AF7DAE">
            <w:pPr>
              <w:widowControl/>
              <w:jc w:val="center"/>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10%</w:t>
            </w:r>
          </w:p>
        </w:tc>
        <w:tc>
          <w:tcPr>
            <w:tcW w:w="851" w:type="pct"/>
            <w:shd w:val="clear" w:color="auto" w:fill="auto"/>
            <w:vAlign w:val="center"/>
          </w:tcPr>
          <w:p w14:paraId="15DD588A" w14:textId="77777777" w:rsidR="00CB0142" w:rsidRDefault="00AF7DAE">
            <w:pPr>
              <w:widowControl/>
              <w:jc w:val="center"/>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bidi="ar"/>
              </w:rPr>
              <w:t>12%</w:t>
            </w:r>
          </w:p>
        </w:tc>
      </w:tr>
    </w:tbl>
    <w:p w14:paraId="2877DB51"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Note: The data is compiled based on Tencent’s 20</w:t>
      </w:r>
      <w:r>
        <w:rPr>
          <w:rFonts w:ascii="Times New Roman" w:hAnsi="Times New Roman" w:cs="Times New Roman" w:hint="eastAsia"/>
          <w:sz w:val="28"/>
          <w:szCs w:val="28"/>
        </w:rPr>
        <w:t>24</w:t>
      </w:r>
      <w:r>
        <w:rPr>
          <w:rFonts w:ascii="Times New Roman" w:hAnsi="Times New Roman" w:cs="Times New Roman"/>
          <w:sz w:val="28"/>
          <w:szCs w:val="28"/>
        </w:rPr>
        <w:t xml:space="preserve"> semi-annual report, internal research, etc. </w:t>
      </w:r>
      <w:r>
        <w:rPr>
          <w:rFonts w:ascii="Times New Roman" w:hAnsi="Times New Roman" w:cs="Times New Roman" w:hint="eastAsia"/>
          <w:sz w:val="28"/>
          <w:szCs w:val="28"/>
        </w:rPr>
        <w:t>[46</w:t>
      </w:r>
      <w:proofErr w:type="gramStart"/>
      <w:r>
        <w:rPr>
          <w:rFonts w:ascii="Times New Roman" w:hAnsi="Times New Roman" w:cs="Times New Roman" w:hint="eastAsia"/>
          <w:sz w:val="28"/>
          <w:szCs w:val="28"/>
        </w:rPr>
        <w:t xml:space="preserve">] </w:t>
      </w:r>
      <w:r>
        <w:rPr>
          <w:rFonts w:ascii="Times New Roman" w:hAnsi="Times New Roman" w:cs="Times New Roman"/>
          <w:sz w:val="28"/>
          <w:szCs w:val="28"/>
        </w:rPr>
        <w:t>.</w:t>
      </w:r>
      <w:proofErr w:type="gramEnd"/>
    </w:p>
    <w:p w14:paraId="19258C31"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Judging from the evaluation results, as shown in Figure 5, China's cloud service market has evolved significantly from 2019 to 2023. While Tencent showed strong growth of 87% in 2019, by 2023 we see a more mature market with Huawei Cloud leading at 75.6% growth, followed by Alibaba Cloud at 58.2%, and Tencent Cloud maintaining robust growth at 48.0%. This evolution reflects both market maturation and intensified competition in China's cloud service sector.</w:t>
      </w:r>
    </w:p>
    <w:p w14:paraId="507FFE81" w14:textId="77777777" w:rsidR="00CB0142" w:rsidRDefault="00AF7DAE">
      <w:pPr>
        <w:snapToGrid w:val="0"/>
        <w:spacing w:line="360" w:lineRule="auto"/>
        <w:ind w:firstLineChars="200" w:firstLine="562"/>
        <w:jc w:val="center"/>
        <w:rPr>
          <w:rFonts w:ascii="Times New Roman" w:hAnsi="Times New Roman" w:cs="Times New Roman"/>
          <w:b/>
          <w:bCs/>
          <w:sz w:val="28"/>
          <w:szCs w:val="28"/>
        </w:rPr>
      </w:pPr>
      <w:r>
        <w:rPr>
          <w:rFonts w:ascii="Times New Roman" w:hAnsi="Times New Roman" w:cs="Times New Roman" w:hint="eastAsia"/>
          <w:b/>
          <w:bCs/>
          <w:noProof/>
          <w:sz w:val="28"/>
          <w:szCs w:val="28"/>
          <w:lang w:val="uk-UA" w:eastAsia="uk-UA"/>
        </w:rPr>
        <w:lastRenderedPageBreak/>
        <w:drawing>
          <wp:anchor distT="0" distB="0" distL="114300" distR="114300" simplePos="0" relativeHeight="251662336" behindDoc="0" locked="0" layoutInCell="1" allowOverlap="1" wp14:anchorId="21E91386" wp14:editId="059EB827">
            <wp:simplePos x="0" y="0"/>
            <wp:positionH relativeFrom="column">
              <wp:posOffset>1042670</wp:posOffset>
            </wp:positionH>
            <wp:positionV relativeFrom="paragraph">
              <wp:posOffset>43180</wp:posOffset>
            </wp:positionV>
            <wp:extent cx="3818255" cy="1633220"/>
            <wp:effectExtent l="0" t="0" r="6985" b="12700"/>
            <wp:wrapTopAndBottom/>
            <wp:docPr id="8" name="图片 8" descr="1731528739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1731528739895"/>
                    <pic:cNvPicPr>
                      <a:picLocks noChangeAspect="1"/>
                    </pic:cNvPicPr>
                  </pic:nvPicPr>
                  <pic:blipFill>
                    <a:blip r:embed="rId9"/>
                    <a:stretch>
                      <a:fillRect/>
                    </a:stretch>
                  </pic:blipFill>
                  <pic:spPr>
                    <a:xfrm>
                      <a:off x="0" y="0"/>
                      <a:ext cx="3818255" cy="1633220"/>
                    </a:xfrm>
                    <a:prstGeom prst="rect">
                      <a:avLst/>
                    </a:prstGeom>
                  </pic:spPr>
                </pic:pic>
              </a:graphicData>
            </a:graphic>
          </wp:anchor>
        </w:drawing>
      </w:r>
    </w:p>
    <w:p w14:paraId="5953785F" w14:textId="77777777" w:rsidR="00CB0142" w:rsidRDefault="00AF7DAE">
      <w:pPr>
        <w:snapToGrid w:val="0"/>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Figure 5</w:t>
      </w:r>
      <w:r>
        <w:rPr>
          <w:rFonts w:ascii="Times New Roman" w:hAnsi="Times New Roman" w:cs="Times New Roman" w:hint="eastAsia"/>
          <w:b/>
          <w:bCs/>
          <w:sz w:val="28"/>
          <w:szCs w:val="28"/>
        </w:rPr>
        <w:t>.</w:t>
      </w:r>
      <w:r>
        <w:rPr>
          <w:rFonts w:ascii="Times New Roman" w:hAnsi="Times New Roman" w:cs="Times New Roman"/>
          <w:b/>
          <w:bCs/>
          <w:sz w:val="28"/>
          <w:szCs w:val="28"/>
        </w:rPr>
        <w:t>Cloud Service Revenue Growth Comparison in China (2019 vs 2023)</w:t>
      </w:r>
    </w:p>
    <w:p w14:paraId="723DC8B9" w14:textId="77777777" w:rsidR="00CB0142" w:rsidRDefault="00AF7DAE">
      <w:pPr>
        <w:snapToGrid w:val="0"/>
        <w:spacing w:line="360" w:lineRule="auto"/>
        <w:jc w:val="center"/>
        <w:rPr>
          <w:rFonts w:ascii="Times New Roman" w:hAnsi="Times New Roman" w:cs="Times New Roman"/>
          <w:b/>
          <w:bCs/>
          <w:sz w:val="28"/>
          <w:szCs w:val="28"/>
        </w:rPr>
      </w:pPr>
      <w:r>
        <w:rPr>
          <w:rFonts w:ascii="Times New Roman" w:hAnsi="Times New Roman" w:cs="Times New Roman" w:hint="eastAsia"/>
          <w:b/>
          <w:bCs/>
          <w:sz w:val="28"/>
          <w:szCs w:val="28"/>
        </w:rPr>
        <w:t>（</w:t>
      </w:r>
      <w:r>
        <w:rPr>
          <w:rFonts w:ascii="Times New Roman" w:hAnsi="Times New Roman" w:cs="Times New Roman"/>
          <w:b/>
          <w:bCs/>
          <w:sz w:val="28"/>
          <w:szCs w:val="28"/>
        </w:rPr>
        <w:t>Source: IDC, Company Reports 2023</w:t>
      </w:r>
      <w:r>
        <w:rPr>
          <w:rFonts w:ascii="Times New Roman" w:hAnsi="Times New Roman" w:cs="Times New Roman" w:hint="eastAsia"/>
          <w:b/>
          <w:bCs/>
          <w:sz w:val="28"/>
          <w:szCs w:val="28"/>
        </w:rPr>
        <w:t>）</w:t>
      </w:r>
    </w:p>
    <w:p w14:paraId="474A56D8" w14:textId="77777777" w:rsidR="00CB0142" w:rsidRDefault="00CB0142">
      <w:pPr>
        <w:snapToGrid w:val="0"/>
        <w:spacing w:line="360" w:lineRule="auto"/>
        <w:ind w:firstLineChars="200" w:firstLine="562"/>
        <w:jc w:val="center"/>
        <w:rPr>
          <w:rFonts w:ascii="Times New Roman" w:hAnsi="Times New Roman" w:cs="Times New Roman"/>
          <w:b/>
          <w:bCs/>
          <w:sz w:val="28"/>
          <w:szCs w:val="28"/>
        </w:rPr>
      </w:pPr>
    </w:p>
    <w:p w14:paraId="09F27D34"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The data illustrates the evolving dynamics of China's cloud service market from 2019 to 2023. The comparison reveals a clear market maturation trend, with growth rates moderating from their 2019 peaks while maintaining robust momentum. Notably, the competitive landscape has shifted, with Huawei Cloud emerging as the growth leader at 75.6%, followed by Alibaba Cloud at 58.2%, and Tencent Cloud showing sustained strength at 48.0%.</w:t>
      </w:r>
    </w:p>
    <w:p w14:paraId="36B9FA79"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terms of economic efficiency, Tencent's performance reflects both market challenges and organizational resilience. The company's financial trajectory shows three distinct phases:</w:t>
      </w:r>
    </w:p>
    <w:p w14:paraId="17CAD1D8"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- 2019: Strong baseline performance with 21% YoY revenue growth and 19% YoY profit growth</w:t>
      </w:r>
    </w:p>
    <w:p w14:paraId="5AE115CC"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- 2022: Significant market headwinds resulting in -1% YoY revenue growth and -39% YoY profit growth</w:t>
      </w:r>
    </w:p>
    <w:p w14:paraId="080E1425"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- 2023: Strong recovery phase achieving 10% YoY revenue growth and 36% YoY profit growth</w:t>
      </w:r>
    </w:p>
    <w:p w14:paraId="1F278B89" w14:textId="77777777" w:rsidR="00CB0142" w:rsidRDefault="00AF7DAE">
      <w:pPr>
        <w:snapToGrid w:val="0"/>
        <w:spacing w:line="360" w:lineRule="auto"/>
        <w:ind w:firstLineChars="200" w:firstLine="562"/>
        <w:rPr>
          <w:rFonts w:ascii="Times New Roman" w:hAnsi="Times New Roman" w:cs="Times New Roman"/>
          <w:sz w:val="28"/>
          <w:szCs w:val="28"/>
        </w:rPr>
      </w:pPr>
      <w:r>
        <w:rPr>
          <w:rFonts w:ascii="Times New Roman" w:hAnsi="Times New Roman" w:cs="Times New Roman" w:hint="eastAsia"/>
          <w:b/>
          <w:bCs/>
          <w:noProof/>
          <w:sz w:val="28"/>
          <w:szCs w:val="28"/>
          <w:lang w:val="uk-UA" w:eastAsia="uk-UA"/>
        </w:rPr>
        <w:drawing>
          <wp:anchor distT="0" distB="0" distL="114300" distR="114300" simplePos="0" relativeHeight="251664384" behindDoc="0" locked="0" layoutInCell="1" allowOverlap="1" wp14:anchorId="350B53AF" wp14:editId="0E963E2A">
            <wp:simplePos x="0" y="0"/>
            <wp:positionH relativeFrom="column">
              <wp:posOffset>55880</wp:posOffset>
            </wp:positionH>
            <wp:positionV relativeFrom="paragraph">
              <wp:posOffset>1056005</wp:posOffset>
            </wp:positionV>
            <wp:extent cx="5934075" cy="1824355"/>
            <wp:effectExtent l="0" t="0" r="9525" b="4445"/>
            <wp:wrapTopAndBottom/>
            <wp:docPr id="9" name="图片 9" descr="1731567474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1731567474697"/>
                    <pic:cNvPicPr>
                      <a:picLocks noChangeAspect="1"/>
                    </pic:cNvPicPr>
                  </pic:nvPicPr>
                  <pic:blipFill>
                    <a:blip r:embed="rId10"/>
                    <a:stretch>
                      <a:fillRect/>
                    </a:stretch>
                  </pic:blipFill>
                  <pic:spPr>
                    <a:xfrm>
                      <a:off x="0" y="0"/>
                      <a:ext cx="5934075" cy="1824355"/>
                    </a:xfrm>
                    <a:prstGeom prst="rect">
                      <a:avLst/>
                    </a:prstGeom>
                  </pic:spPr>
                </pic:pic>
              </a:graphicData>
            </a:graphic>
          </wp:anchor>
        </w:drawing>
      </w:r>
      <w:r>
        <w:rPr>
          <w:rFonts w:ascii="Times New Roman" w:hAnsi="Times New Roman" w:cs="Times New Roman"/>
          <w:sz w:val="28"/>
          <w:szCs w:val="28"/>
        </w:rPr>
        <w:t xml:space="preserve">This recovery pattern, particularly the substantial profit growth in 2023, </w:t>
      </w:r>
      <w:r>
        <w:rPr>
          <w:rFonts w:ascii="Times New Roman" w:hAnsi="Times New Roman" w:cs="Times New Roman"/>
          <w:sz w:val="28"/>
          <w:szCs w:val="28"/>
        </w:rPr>
        <w:lastRenderedPageBreak/>
        <w:t>demonstrates the effectiveness of Tencent's organizational adaptability and the success of its strategic adjustments in response to market challenges.</w:t>
      </w:r>
    </w:p>
    <w:p w14:paraId="4B20D42C" w14:textId="77777777" w:rsidR="00CB0142" w:rsidRDefault="00AF7DAE">
      <w:pPr>
        <w:snapToGrid w:val="0"/>
        <w:spacing w:line="360" w:lineRule="auto"/>
        <w:ind w:firstLineChars="200" w:firstLine="562"/>
        <w:jc w:val="center"/>
        <w:rPr>
          <w:rFonts w:ascii="Times New Roman" w:hAnsi="Times New Roman" w:cs="Times New Roman"/>
          <w:b/>
          <w:bCs/>
          <w:sz w:val="28"/>
          <w:szCs w:val="28"/>
        </w:rPr>
      </w:pPr>
      <w:r>
        <w:rPr>
          <w:rFonts w:ascii="Times New Roman" w:hAnsi="Times New Roman" w:cs="Times New Roman"/>
          <w:b/>
          <w:bCs/>
          <w:sz w:val="28"/>
          <w:szCs w:val="28"/>
        </w:rPr>
        <w:t xml:space="preserve">Figure </w:t>
      </w:r>
      <w:proofErr w:type="gramStart"/>
      <w:r>
        <w:rPr>
          <w:rFonts w:ascii="Times New Roman" w:hAnsi="Times New Roman" w:cs="Times New Roman"/>
          <w:b/>
          <w:bCs/>
          <w:sz w:val="28"/>
          <w:szCs w:val="28"/>
        </w:rPr>
        <w:t>6</w:t>
      </w:r>
      <w:r>
        <w:rPr>
          <w:rFonts w:ascii="Times New Roman" w:hAnsi="Times New Roman" w:cs="Times New Roman" w:hint="eastAsia"/>
          <w:b/>
          <w:bCs/>
          <w:sz w:val="28"/>
          <w:szCs w:val="28"/>
        </w:rPr>
        <w:t>.</w:t>
      </w:r>
      <w:r>
        <w:rPr>
          <w:rFonts w:ascii="Times New Roman" w:hAnsi="Times New Roman" w:cs="Times New Roman"/>
          <w:b/>
          <w:bCs/>
          <w:sz w:val="28"/>
          <w:szCs w:val="28"/>
        </w:rPr>
        <w:t>Tencent's</w:t>
      </w:r>
      <w:proofErr w:type="gramEnd"/>
      <w:r>
        <w:rPr>
          <w:rFonts w:ascii="Times New Roman" w:hAnsi="Times New Roman" w:cs="Times New Roman"/>
          <w:b/>
          <w:bCs/>
          <w:sz w:val="28"/>
          <w:szCs w:val="28"/>
        </w:rPr>
        <w:t xml:space="preserve"> Key Financial Indicators Trend (2019-2023)</w:t>
      </w:r>
      <w:r>
        <w:rPr>
          <w:rFonts w:ascii="Times New Roman" w:hAnsi="Times New Roman" w:cs="Times New Roman" w:hint="eastAsia"/>
          <w:b/>
          <w:bCs/>
          <w:sz w:val="28"/>
          <w:szCs w:val="28"/>
        </w:rPr>
        <w:t>(</w:t>
      </w:r>
      <w:r>
        <w:rPr>
          <w:rFonts w:ascii="Times New Roman" w:hAnsi="Times New Roman" w:cs="Times New Roman"/>
          <w:b/>
          <w:bCs/>
          <w:sz w:val="28"/>
          <w:szCs w:val="28"/>
        </w:rPr>
        <w:t>Source: Tencent Annual Reports (2019-2023)</w:t>
      </w:r>
      <w:r>
        <w:rPr>
          <w:rFonts w:ascii="Times New Roman" w:hAnsi="Times New Roman" w:cs="Times New Roman" w:hint="eastAsia"/>
          <w:b/>
          <w:bCs/>
          <w:sz w:val="28"/>
          <w:szCs w:val="28"/>
        </w:rPr>
        <w:t>)</w:t>
      </w:r>
      <w:r>
        <w:rPr>
          <w:rFonts w:ascii="Times New Roman" w:hAnsi="Times New Roman" w:cs="Times New Roman"/>
          <w:b/>
          <w:bCs/>
          <w:sz w:val="28"/>
          <w:szCs w:val="28"/>
        </w:rPr>
        <w:t xml:space="preserve"> </w:t>
      </w:r>
    </w:p>
    <w:p w14:paraId="457867D0"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As we can see from the picture, free cash flow growth, while slowing from 28% in 2019 to 22% in 2023, has remained positive, indicating that the underlying operating efficiency remains strong despite market volatility.</w:t>
      </w:r>
    </w:p>
    <w:p w14:paraId="37336982"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terms of organizational vitality, Tencent has significantly improved its organizational effectiveness and employee vitality by optimizing its organizational structure, lowering the focus of management, and innovating its incentive mechanism. Internal surveys show that 94% of employees agree with the necessity of this change. In terms of innovation capabilities, R&amp;D investment remains high, the number of patent applications has increased significantly, and innovative businesses represented by financial technology and cloud computing have also achieved rapid breakthroughs.</w:t>
      </w:r>
    </w:p>
    <w:p w14:paraId="4A637CFD"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The comprehensive evaluation results show that Tencent's organizational transformation has achieved remarkable results in multiple dimensions such as strategy, economy, organization, and innovation, injecting new momentum into the company's development. The evaluation not only affirmed the reform results, but also pointed out the direction for optimizing and improving the reform measures. It can be said that teaching and learning complement each other.</w:t>
      </w:r>
    </w:p>
    <w:p w14:paraId="65BECACD" w14:textId="77777777" w:rsidR="00CB0142" w:rsidRDefault="00AF7DAE">
      <w:pPr>
        <w:snapToGrid w:val="0"/>
        <w:spacing w:line="360" w:lineRule="auto"/>
        <w:ind w:firstLineChars="200" w:firstLine="562"/>
        <w:rPr>
          <w:rFonts w:ascii="Times New Roman" w:hAnsi="Times New Roman" w:cs="Times New Roman"/>
          <w:b/>
          <w:bCs/>
          <w:sz w:val="28"/>
          <w:szCs w:val="28"/>
        </w:rPr>
      </w:pPr>
      <w:r>
        <w:rPr>
          <w:rFonts w:ascii="Times New Roman" w:hAnsi="Times New Roman" w:cs="Times New Roman"/>
          <w:b/>
          <w:bCs/>
          <w:sz w:val="28"/>
          <w:szCs w:val="28"/>
        </w:rPr>
        <w:t>Midea: Organizational Reshaping Driven by Intelligent Manufacturing</w:t>
      </w:r>
    </w:p>
    <w:p w14:paraId="637712F5"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As a leading enterprise in China's home appliance industry, Midea Group has been promoting organizational reform in recent years with intelligent manufacturing as its starting point, striving to systematically reshape its products, management and business models. On the one hand, Midea is user-oriented, continuously optimizing its product matrix and accelerating the iteration of new products. On the other hand, the group has reshaped its internal processes and organizational structure, connecting end-to-end processes from marketing, R&amp;D to supply chain, establishing a flat and modular "micro" organization, and fully unleashing the vitality of frontline employees. At the same time, Midea has also focused on building an industrial Internet ecosystem, </w:t>
      </w:r>
      <w:r>
        <w:rPr>
          <w:rFonts w:ascii="Times New Roman" w:hAnsi="Times New Roman" w:cs="Times New Roman"/>
          <w:sz w:val="28"/>
          <w:szCs w:val="28"/>
        </w:rPr>
        <w:lastRenderedPageBreak/>
        <w:t xml:space="preserve">developing platforms such as Midea Cloud Intelligence, and promoting efficient collaboration of internal and external resources. Intelligent manufacturing has become the "golden thread" driving organizational change </w:t>
      </w:r>
      <w:r>
        <w:rPr>
          <w:rFonts w:ascii="Times New Roman" w:hAnsi="Times New Roman" w:cs="Times New Roman" w:hint="eastAsia"/>
          <w:sz w:val="28"/>
          <w:szCs w:val="28"/>
        </w:rPr>
        <w:t>[48</w:t>
      </w:r>
      <w:proofErr w:type="gramStart"/>
      <w:r>
        <w:rPr>
          <w:rFonts w:ascii="Times New Roman" w:hAnsi="Times New Roman" w:cs="Times New Roman" w:hint="eastAsia"/>
          <w:sz w:val="28"/>
          <w:szCs w:val="28"/>
        </w:rPr>
        <w:t xml:space="preserve">] </w:t>
      </w:r>
      <w:r>
        <w:rPr>
          <w:rFonts w:ascii="Times New Roman" w:hAnsi="Times New Roman" w:cs="Times New Roman"/>
          <w:sz w:val="28"/>
          <w:szCs w:val="28"/>
        </w:rPr>
        <w:t>.</w:t>
      </w:r>
      <w:proofErr w:type="gramEnd"/>
    </w:p>
    <w:p w14:paraId="6A1F1DD6"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order to objectively evaluate the effectiveness of organizational change, Midea has built a multi-dimensional evaluation indicator system and regularly conducts evaluation of change results. The evaluation results are shown in Table 2.</w:t>
      </w:r>
    </w:p>
    <w:p w14:paraId="46C89CF8" w14:textId="77777777" w:rsidR="00CB0142" w:rsidRDefault="00CB0142">
      <w:pPr>
        <w:snapToGrid w:val="0"/>
        <w:spacing w:line="360" w:lineRule="auto"/>
        <w:ind w:firstLineChars="200" w:firstLine="560"/>
        <w:rPr>
          <w:rFonts w:ascii="Times New Roman" w:hAnsi="Times New Roman" w:cs="Times New Roman"/>
          <w:sz w:val="28"/>
          <w:szCs w:val="28"/>
        </w:rPr>
      </w:pPr>
    </w:p>
    <w:p w14:paraId="193AA419" w14:textId="77777777" w:rsidR="00CB0142" w:rsidRDefault="00AF7DAE">
      <w:pPr>
        <w:snapToGrid w:val="0"/>
        <w:spacing w:line="360" w:lineRule="auto"/>
        <w:ind w:firstLineChars="200" w:firstLine="562"/>
        <w:jc w:val="right"/>
        <w:rPr>
          <w:rFonts w:ascii="Times New Roman" w:hAnsi="Times New Roman" w:cs="Times New Roman"/>
          <w:b/>
          <w:bCs/>
          <w:sz w:val="28"/>
          <w:szCs w:val="28"/>
        </w:rPr>
      </w:pPr>
      <w:r>
        <w:rPr>
          <w:rFonts w:ascii="Times New Roman" w:hAnsi="Times New Roman" w:cs="Times New Roman"/>
          <w:b/>
          <w:bCs/>
          <w:sz w:val="28"/>
          <w:szCs w:val="28"/>
        </w:rPr>
        <w:t>Table 2</w:t>
      </w:r>
    </w:p>
    <w:p w14:paraId="79B609ED" w14:textId="77777777" w:rsidR="00CB0142" w:rsidRDefault="00AF7DAE">
      <w:pPr>
        <w:snapToGrid w:val="0"/>
        <w:spacing w:line="360" w:lineRule="auto"/>
        <w:ind w:firstLineChars="200" w:firstLine="562"/>
        <w:jc w:val="right"/>
        <w:rPr>
          <w:rFonts w:ascii="Times New Roman" w:hAnsi="Times New Roman" w:cs="Times New Roman"/>
          <w:b/>
          <w:bCs/>
          <w:sz w:val="28"/>
          <w:szCs w:val="28"/>
        </w:rPr>
      </w:pPr>
      <w:r>
        <w:rPr>
          <w:rFonts w:ascii="Times New Roman" w:hAnsi="Times New Roman" w:cs="Times New Roman"/>
          <w:b/>
          <w:bCs/>
          <w:sz w:val="28"/>
          <w:szCs w:val="28"/>
        </w:rPr>
        <w:t>Organizational Reshaping Driven by Intelligent Manufacturing</w:t>
      </w:r>
    </w:p>
    <w:tbl>
      <w:tblPr>
        <w:tblW w:w="9179"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6"/>
        <w:gridCol w:w="2391"/>
        <w:gridCol w:w="2256"/>
        <w:gridCol w:w="2256"/>
      </w:tblGrid>
      <w:tr w:rsidR="00CB0142" w14:paraId="39291E62" w14:textId="77777777">
        <w:trPr>
          <w:trHeight w:val="336"/>
        </w:trPr>
        <w:tc>
          <w:tcPr>
            <w:tcW w:w="2276" w:type="dxa"/>
            <w:shd w:val="clear" w:color="auto" w:fill="auto"/>
            <w:vAlign w:val="center"/>
          </w:tcPr>
          <w:p w14:paraId="57A7C7CD" w14:textId="77777777" w:rsidR="00CB0142" w:rsidRDefault="00AF7DAE">
            <w:pPr>
              <w:widowControl/>
              <w:jc w:val="center"/>
              <w:textAlignment w:val="center"/>
              <w:rPr>
                <w:rFonts w:ascii="Times New Roman" w:eastAsia="SimSun" w:hAnsi="Times New Roman" w:cs="Times New Roman"/>
                <w:b/>
                <w:bCs/>
                <w:color w:val="000000"/>
                <w:sz w:val="20"/>
                <w:szCs w:val="20"/>
              </w:rPr>
            </w:pPr>
            <w:r>
              <w:rPr>
                <w:rFonts w:ascii="Times New Roman" w:eastAsia="SimSun" w:hAnsi="Times New Roman" w:cs="Times New Roman"/>
                <w:b/>
                <w:bCs/>
                <w:color w:val="000000"/>
                <w:kern w:val="0"/>
                <w:sz w:val="20"/>
                <w:szCs w:val="20"/>
                <w:lang w:bidi="ar"/>
              </w:rPr>
              <w:t>Evaluation Dimension</w:t>
            </w:r>
          </w:p>
        </w:tc>
        <w:tc>
          <w:tcPr>
            <w:tcW w:w="2391" w:type="dxa"/>
            <w:shd w:val="clear" w:color="auto" w:fill="auto"/>
            <w:vAlign w:val="center"/>
          </w:tcPr>
          <w:p w14:paraId="5AA8E34E" w14:textId="77777777" w:rsidR="00CB0142" w:rsidRDefault="00AF7DAE">
            <w:pPr>
              <w:widowControl/>
              <w:jc w:val="center"/>
              <w:textAlignment w:val="center"/>
              <w:rPr>
                <w:rFonts w:ascii="Times New Roman" w:eastAsia="SimSun" w:hAnsi="Times New Roman" w:cs="Times New Roman"/>
                <w:b/>
                <w:bCs/>
                <w:color w:val="000000"/>
                <w:sz w:val="20"/>
                <w:szCs w:val="20"/>
              </w:rPr>
            </w:pPr>
            <w:r>
              <w:rPr>
                <w:rFonts w:ascii="Times New Roman" w:eastAsia="SimSun" w:hAnsi="Times New Roman" w:cs="Times New Roman"/>
                <w:b/>
                <w:bCs/>
                <w:color w:val="000000"/>
                <w:kern w:val="0"/>
                <w:sz w:val="20"/>
                <w:szCs w:val="20"/>
                <w:lang w:bidi="ar"/>
              </w:rPr>
              <w:t>Key Indicators</w:t>
            </w:r>
          </w:p>
        </w:tc>
        <w:tc>
          <w:tcPr>
            <w:tcW w:w="2256" w:type="dxa"/>
            <w:shd w:val="clear" w:color="auto" w:fill="auto"/>
            <w:vAlign w:val="center"/>
          </w:tcPr>
          <w:p w14:paraId="1C250D64" w14:textId="77777777" w:rsidR="00CB0142" w:rsidRDefault="00AF7DAE">
            <w:pPr>
              <w:widowControl/>
              <w:jc w:val="center"/>
              <w:textAlignment w:val="center"/>
              <w:rPr>
                <w:rFonts w:ascii="Times New Roman" w:eastAsia="SimSun" w:hAnsi="Times New Roman" w:cs="Times New Roman"/>
                <w:b/>
                <w:bCs/>
                <w:color w:val="000000"/>
                <w:sz w:val="20"/>
                <w:szCs w:val="20"/>
              </w:rPr>
            </w:pPr>
            <w:r>
              <w:rPr>
                <w:rFonts w:ascii="Times New Roman" w:eastAsia="SimSun" w:hAnsi="Times New Roman" w:cs="Times New Roman"/>
                <w:b/>
                <w:bCs/>
                <w:color w:val="000000"/>
                <w:kern w:val="0"/>
                <w:sz w:val="20"/>
                <w:szCs w:val="20"/>
                <w:lang w:bidi="ar"/>
              </w:rPr>
              <w:t>2019 Performance</w:t>
            </w:r>
          </w:p>
        </w:tc>
        <w:tc>
          <w:tcPr>
            <w:tcW w:w="2256" w:type="dxa"/>
            <w:shd w:val="clear" w:color="auto" w:fill="auto"/>
            <w:vAlign w:val="center"/>
          </w:tcPr>
          <w:p w14:paraId="547F77F0" w14:textId="77777777" w:rsidR="00CB0142" w:rsidRDefault="00AF7DAE">
            <w:pPr>
              <w:widowControl/>
              <w:jc w:val="center"/>
              <w:textAlignment w:val="center"/>
              <w:rPr>
                <w:rFonts w:ascii="Times New Roman" w:eastAsia="SimSun" w:hAnsi="Times New Roman" w:cs="Times New Roman"/>
                <w:b/>
                <w:bCs/>
                <w:color w:val="000000"/>
                <w:sz w:val="20"/>
                <w:szCs w:val="20"/>
              </w:rPr>
            </w:pPr>
            <w:r>
              <w:rPr>
                <w:rFonts w:ascii="Times New Roman" w:eastAsia="SimSun" w:hAnsi="Times New Roman" w:cs="Times New Roman"/>
                <w:b/>
                <w:bCs/>
                <w:color w:val="000000"/>
                <w:kern w:val="0"/>
                <w:sz w:val="20"/>
                <w:szCs w:val="20"/>
                <w:lang w:bidi="ar"/>
              </w:rPr>
              <w:t>2023 Performance</w:t>
            </w:r>
          </w:p>
        </w:tc>
      </w:tr>
      <w:tr w:rsidR="00CB0142" w14:paraId="075E1780" w14:textId="77777777">
        <w:trPr>
          <w:trHeight w:val="434"/>
        </w:trPr>
        <w:tc>
          <w:tcPr>
            <w:tcW w:w="2276" w:type="dxa"/>
            <w:vMerge w:val="restart"/>
            <w:shd w:val="clear" w:color="auto" w:fill="auto"/>
            <w:vAlign w:val="center"/>
          </w:tcPr>
          <w:p w14:paraId="797F7A87" w14:textId="77777777" w:rsidR="00CB0142" w:rsidRDefault="00AF7DAE">
            <w:pPr>
              <w:widowControl/>
              <w:jc w:val="left"/>
              <w:textAlignment w:val="center"/>
              <w:rPr>
                <w:rFonts w:ascii="Times New Roman" w:eastAsia="SimSun" w:hAnsi="Times New Roman" w:cs="Times New Roman"/>
                <w:b/>
                <w:bCs/>
                <w:color w:val="000000"/>
                <w:sz w:val="20"/>
                <w:szCs w:val="20"/>
              </w:rPr>
            </w:pPr>
            <w:r>
              <w:rPr>
                <w:rFonts w:ascii="Times New Roman" w:eastAsia="SimSun" w:hAnsi="Times New Roman" w:cs="Times New Roman"/>
                <w:b/>
                <w:bCs/>
                <w:color w:val="000000"/>
                <w:kern w:val="0"/>
                <w:sz w:val="20"/>
                <w:szCs w:val="20"/>
                <w:lang w:bidi="ar"/>
              </w:rPr>
              <w:t>Financial Performance</w:t>
            </w:r>
          </w:p>
        </w:tc>
        <w:tc>
          <w:tcPr>
            <w:tcW w:w="2391" w:type="dxa"/>
            <w:shd w:val="clear" w:color="auto" w:fill="auto"/>
            <w:vAlign w:val="center"/>
          </w:tcPr>
          <w:p w14:paraId="2A8C8096"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Product Gross Margin</w:t>
            </w:r>
          </w:p>
        </w:tc>
        <w:tc>
          <w:tcPr>
            <w:tcW w:w="2256" w:type="dxa"/>
            <w:shd w:val="clear" w:color="auto" w:fill="auto"/>
            <w:vAlign w:val="center"/>
          </w:tcPr>
          <w:p w14:paraId="6B2DB190"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Base Year</w:t>
            </w:r>
          </w:p>
        </w:tc>
        <w:tc>
          <w:tcPr>
            <w:tcW w:w="2256" w:type="dxa"/>
            <w:shd w:val="clear" w:color="auto" w:fill="auto"/>
            <w:vAlign w:val="center"/>
          </w:tcPr>
          <w:p w14:paraId="5301CE8F"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Increased by 3.5 percentage points</w:t>
            </w:r>
          </w:p>
        </w:tc>
      </w:tr>
      <w:tr w:rsidR="00CB0142" w14:paraId="151BECF3" w14:textId="77777777">
        <w:trPr>
          <w:trHeight w:val="434"/>
        </w:trPr>
        <w:tc>
          <w:tcPr>
            <w:tcW w:w="2276" w:type="dxa"/>
            <w:vMerge/>
            <w:shd w:val="clear" w:color="auto" w:fill="auto"/>
            <w:vAlign w:val="center"/>
          </w:tcPr>
          <w:p w14:paraId="3FB82AEB" w14:textId="77777777" w:rsidR="00CB0142" w:rsidRDefault="00CB0142">
            <w:pPr>
              <w:rPr>
                <w:rFonts w:ascii="Times New Roman" w:eastAsia="SimSun" w:hAnsi="Times New Roman" w:cs="Times New Roman"/>
                <w:color w:val="000000"/>
                <w:sz w:val="20"/>
                <w:szCs w:val="20"/>
              </w:rPr>
            </w:pPr>
          </w:p>
        </w:tc>
        <w:tc>
          <w:tcPr>
            <w:tcW w:w="2391" w:type="dxa"/>
            <w:shd w:val="clear" w:color="auto" w:fill="auto"/>
            <w:vAlign w:val="center"/>
          </w:tcPr>
          <w:p w14:paraId="175353AA"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Distribution Channel Expenses</w:t>
            </w:r>
          </w:p>
        </w:tc>
        <w:tc>
          <w:tcPr>
            <w:tcW w:w="2256" w:type="dxa"/>
            <w:shd w:val="clear" w:color="auto" w:fill="auto"/>
            <w:vAlign w:val="center"/>
          </w:tcPr>
          <w:p w14:paraId="72BD4F83"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Base Year</w:t>
            </w:r>
          </w:p>
        </w:tc>
        <w:tc>
          <w:tcPr>
            <w:tcW w:w="2256" w:type="dxa"/>
            <w:shd w:val="clear" w:color="auto" w:fill="auto"/>
            <w:vAlign w:val="center"/>
          </w:tcPr>
          <w:p w14:paraId="63A03B9D"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Decreased by 8.2%</w:t>
            </w:r>
          </w:p>
        </w:tc>
      </w:tr>
      <w:tr w:rsidR="00CB0142" w14:paraId="2847B8F9" w14:textId="77777777">
        <w:trPr>
          <w:trHeight w:val="392"/>
        </w:trPr>
        <w:tc>
          <w:tcPr>
            <w:tcW w:w="2276" w:type="dxa"/>
            <w:vMerge/>
            <w:shd w:val="clear" w:color="auto" w:fill="auto"/>
            <w:vAlign w:val="center"/>
          </w:tcPr>
          <w:p w14:paraId="6B5DE3DE" w14:textId="77777777" w:rsidR="00CB0142" w:rsidRDefault="00CB0142">
            <w:pPr>
              <w:rPr>
                <w:rFonts w:ascii="Times New Roman" w:eastAsia="SimSun" w:hAnsi="Times New Roman" w:cs="Times New Roman"/>
                <w:color w:val="000000"/>
                <w:sz w:val="20"/>
                <w:szCs w:val="20"/>
              </w:rPr>
            </w:pPr>
          </w:p>
        </w:tc>
        <w:tc>
          <w:tcPr>
            <w:tcW w:w="2391" w:type="dxa"/>
            <w:shd w:val="clear" w:color="auto" w:fill="auto"/>
            <w:vAlign w:val="center"/>
          </w:tcPr>
          <w:p w14:paraId="0BFBA154"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R&amp;D Investment Ratio</w:t>
            </w:r>
          </w:p>
        </w:tc>
        <w:tc>
          <w:tcPr>
            <w:tcW w:w="2256" w:type="dxa"/>
            <w:shd w:val="clear" w:color="auto" w:fill="auto"/>
            <w:vAlign w:val="center"/>
          </w:tcPr>
          <w:p w14:paraId="4F68D9B9" w14:textId="77777777" w:rsidR="00CB0142" w:rsidRDefault="00AF7DAE">
            <w:pPr>
              <w:widowControl/>
              <w:jc w:val="righ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3.80%</w:t>
            </w:r>
          </w:p>
        </w:tc>
        <w:tc>
          <w:tcPr>
            <w:tcW w:w="2256" w:type="dxa"/>
            <w:shd w:val="clear" w:color="auto" w:fill="auto"/>
            <w:vAlign w:val="center"/>
          </w:tcPr>
          <w:p w14:paraId="04756F9E" w14:textId="77777777" w:rsidR="00CB0142" w:rsidRDefault="00AF7DAE">
            <w:pPr>
              <w:widowControl/>
              <w:jc w:val="righ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4.50%</w:t>
            </w:r>
          </w:p>
        </w:tc>
      </w:tr>
      <w:tr w:rsidR="00CB0142" w14:paraId="2D3FC105" w14:textId="77777777">
        <w:trPr>
          <w:trHeight w:val="434"/>
        </w:trPr>
        <w:tc>
          <w:tcPr>
            <w:tcW w:w="2276" w:type="dxa"/>
            <w:vMerge w:val="restart"/>
            <w:shd w:val="clear" w:color="auto" w:fill="auto"/>
            <w:vAlign w:val="center"/>
          </w:tcPr>
          <w:p w14:paraId="628FE140" w14:textId="77777777" w:rsidR="00CB0142" w:rsidRDefault="00AF7DAE">
            <w:pPr>
              <w:widowControl/>
              <w:jc w:val="left"/>
              <w:textAlignment w:val="center"/>
              <w:rPr>
                <w:rFonts w:ascii="Times New Roman" w:eastAsia="SimSun" w:hAnsi="Times New Roman" w:cs="Times New Roman"/>
                <w:b/>
                <w:bCs/>
                <w:color w:val="000000"/>
                <w:sz w:val="20"/>
                <w:szCs w:val="20"/>
              </w:rPr>
            </w:pPr>
            <w:r>
              <w:rPr>
                <w:rFonts w:ascii="Times New Roman" w:eastAsia="SimSun" w:hAnsi="Times New Roman" w:cs="Times New Roman"/>
                <w:b/>
                <w:bCs/>
                <w:color w:val="000000"/>
                <w:kern w:val="0"/>
                <w:sz w:val="20"/>
                <w:szCs w:val="20"/>
                <w:lang w:bidi="ar"/>
              </w:rPr>
              <w:t>Customer Value</w:t>
            </w:r>
          </w:p>
        </w:tc>
        <w:tc>
          <w:tcPr>
            <w:tcW w:w="2391" w:type="dxa"/>
            <w:shd w:val="clear" w:color="auto" w:fill="auto"/>
            <w:vAlign w:val="center"/>
          </w:tcPr>
          <w:p w14:paraId="44C14850"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Smart Product Penetration</w:t>
            </w:r>
          </w:p>
        </w:tc>
        <w:tc>
          <w:tcPr>
            <w:tcW w:w="2256" w:type="dxa"/>
            <w:shd w:val="clear" w:color="auto" w:fill="auto"/>
            <w:vAlign w:val="center"/>
          </w:tcPr>
          <w:p w14:paraId="46000CC3" w14:textId="77777777" w:rsidR="00CB0142" w:rsidRDefault="00AF7DAE">
            <w:pPr>
              <w:widowControl/>
              <w:jc w:val="righ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35%</w:t>
            </w:r>
          </w:p>
        </w:tc>
        <w:tc>
          <w:tcPr>
            <w:tcW w:w="2256" w:type="dxa"/>
            <w:shd w:val="clear" w:color="auto" w:fill="auto"/>
            <w:vAlign w:val="center"/>
          </w:tcPr>
          <w:p w14:paraId="0AF67DAB" w14:textId="77777777" w:rsidR="00CB0142" w:rsidRDefault="00AF7DAE">
            <w:pPr>
              <w:widowControl/>
              <w:jc w:val="righ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65%</w:t>
            </w:r>
          </w:p>
        </w:tc>
      </w:tr>
      <w:tr w:rsidR="00CB0142" w14:paraId="4BDF726A" w14:textId="77777777">
        <w:trPr>
          <w:trHeight w:val="434"/>
        </w:trPr>
        <w:tc>
          <w:tcPr>
            <w:tcW w:w="2276" w:type="dxa"/>
            <w:vMerge/>
            <w:shd w:val="clear" w:color="auto" w:fill="auto"/>
            <w:vAlign w:val="center"/>
          </w:tcPr>
          <w:p w14:paraId="01DCA3A1" w14:textId="77777777" w:rsidR="00CB0142" w:rsidRDefault="00CB0142">
            <w:pPr>
              <w:rPr>
                <w:rFonts w:ascii="Times New Roman" w:eastAsia="SimSun" w:hAnsi="Times New Roman" w:cs="Times New Roman"/>
                <w:color w:val="000000"/>
                <w:sz w:val="20"/>
                <w:szCs w:val="20"/>
              </w:rPr>
            </w:pPr>
          </w:p>
        </w:tc>
        <w:tc>
          <w:tcPr>
            <w:tcW w:w="2391" w:type="dxa"/>
            <w:shd w:val="clear" w:color="auto" w:fill="auto"/>
            <w:vAlign w:val="center"/>
          </w:tcPr>
          <w:p w14:paraId="087DFD8E"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Customer Satisfaction Score</w:t>
            </w:r>
          </w:p>
        </w:tc>
        <w:tc>
          <w:tcPr>
            <w:tcW w:w="2256" w:type="dxa"/>
            <w:shd w:val="clear" w:color="auto" w:fill="auto"/>
            <w:vAlign w:val="center"/>
          </w:tcPr>
          <w:p w14:paraId="6474EE8D" w14:textId="77777777" w:rsidR="00CB0142" w:rsidRDefault="00AF7DAE">
            <w:pPr>
              <w:widowControl/>
              <w:jc w:val="righ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85%</w:t>
            </w:r>
          </w:p>
        </w:tc>
        <w:tc>
          <w:tcPr>
            <w:tcW w:w="2256" w:type="dxa"/>
            <w:shd w:val="clear" w:color="auto" w:fill="auto"/>
            <w:vAlign w:val="center"/>
          </w:tcPr>
          <w:p w14:paraId="74F0905F" w14:textId="77777777" w:rsidR="00CB0142" w:rsidRDefault="00AF7DAE">
            <w:pPr>
              <w:widowControl/>
              <w:jc w:val="righ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92%</w:t>
            </w:r>
          </w:p>
        </w:tc>
      </w:tr>
      <w:tr w:rsidR="00CB0142" w14:paraId="1DD3E244" w14:textId="77777777">
        <w:trPr>
          <w:trHeight w:val="267"/>
        </w:trPr>
        <w:tc>
          <w:tcPr>
            <w:tcW w:w="2276" w:type="dxa"/>
            <w:vMerge/>
            <w:shd w:val="clear" w:color="auto" w:fill="auto"/>
            <w:vAlign w:val="center"/>
          </w:tcPr>
          <w:p w14:paraId="5635278B" w14:textId="77777777" w:rsidR="00CB0142" w:rsidRDefault="00CB0142">
            <w:pPr>
              <w:rPr>
                <w:rFonts w:ascii="Times New Roman" w:eastAsia="SimSun" w:hAnsi="Times New Roman" w:cs="Times New Roman"/>
                <w:color w:val="000000"/>
                <w:sz w:val="20"/>
                <w:szCs w:val="20"/>
              </w:rPr>
            </w:pPr>
          </w:p>
        </w:tc>
        <w:tc>
          <w:tcPr>
            <w:tcW w:w="2391" w:type="dxa"/>
            <w:shd w:val="clear" w:color="auto" w:fill="auto"/>
            <w:vAlign w:val="center"/>
          </w:tcPr>
          <w:p w14:paraId="503AF3EF"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Brand Value Ranking</w:t>
            </w:r>
          </w:p>
        </w:tc>
        <w:tc>
          <w:tcPr>
            <w:tcW w:w="2256" w:type="dxa"/>
            <w:shd w:val="clear" w:color="auto" w:fill="auto"/>
            <w:vAlign w:val="center"/>
          </w:tcPr>
          <w:p w14:paraId="00ACFC02"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Top 50</w:t>
            </w:r>
          </w:p>
        </w:tc>
        <w:tc>
          <w:tcPr>
            <w:tcW w:w="2256" w:type="dxa"/>
            <w:shd w:val="clear" w:color="auto" w:fill="auto"/>
            <w:vAlign w:val="center"/>
          </w:tcPr>
          <w:p w14:paraId="074C8696"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Top 30</w:t>
            </w:r>
          </w:p>
        </w:tc>
      </w:tr>
      <w:tr w:rsidR="00CB0142" w14:paraId="7CBB05D2" w14:textId="77777777">
        <w:trPr>
          <w:trHeight w:val="434"/>
        </w:trPr>
        <w:tc>
          <w:tcPr>
            <w:tcW w:w="2276" w:type="dxa"/>
            <w:vMerge w:val="restart"/>
            <w:shd w:val="clear" w:color="auto" w:fill="auto"/>
            <w:vAlign w:val="center"/>
          </w:tcPr>
          <w:p w14:paraId="649C0B67" w14:textId="77777777" w:rsidR="00CB0142" w:rsidRDefault="00AF7DAE">
            <w:pPr>
              <w:widowControl/>
              <w:jc w:val="left"/>
              <w:textAlignment w:val="center"/>
              <w:rPr>
                <w:rFonts w:ascii="Times New Roman" w:eastAsia="SimSun" w:hAnsi="Times New Roman" w:cs="Times New Roman"/>
                <w:b/>
                <w:bCs/>
                <w:color w:val="000000"/>
                <w:sz w:val="20"/>
                <w:szCs w:val="20"/>
              </w:rPr>
            </w:pPr>
            <w:r>
              <w:rPr>
                <w:rFonts w:ascii="Times New Roman" w:eastAsia="SimSun" w:hAnsi="Times New Roman" w:cs="Times New Roman"/>
                <w:b/>
                <w:bCs/>
                <w:color w:val="000000"/>
                <w:kern w:val="0"/>
                <w:sz w:val="20"/>
                <w:szCs w:val="20"/>
                <w:lang w:bidi="ar"/>
              </w:rPr>
              <w:t>Operational Excellence</w:t>
            </w:r>
          </w:p>
        </w:tc>
        <w:tc>
          <w:tcPr>
            <w:tcW w:w="2391" w:type="dxa"/>
            <w:shd w:val="clear" w:color="auto" w:fill="auto"/>
            <w:vAlign w:val="center"/>
          </w:tcPr>
          <w:p w14:paraId="516E558E"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Manufacturing Cycle Time</w:t>
            </w:r>
          </w:p>
        </w:tc>
        <w:tc>
          <w:tcPr>
            <w:tcW w:w="2256" w:type="dxa"/>
            <w:shd w:val="clear" w:color="auto" w:fill="auto"/>
            <w:vAlign w:val="center"/>
          </w:tcPr>
          <w:p w14:paraId="10D516BC"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Base Year</w:t>
            </w:r>
          </w:p>
        </w:tc>
        <w:tc>
          <w:tcPr>
            <w:tcW w:w="2256" w:type="dxa"/>
            <w:shd w:val="clear" w:color="auto" w:fill="auto"/>
            <w:vAlign w:val="center"/>
          </w:tcPr>
          <w:p w14:paraId="59D5DE39"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Reduced by 35%</w:t>
            </w:r>
          </w:p>
        </w:tc>
      </w:tr>
      <w:tr w:rsidR="00CB0142" w14:paraId="1B8D61B7" w14:textId="77777777">
        <w:trPr>
          <w:trHeight w:val="434"/>
        </w:trPr>
        <w:tc>
          <w:tcPr>
            <w:tcW w:w="2276" w:type="dxa"/>
            <w:vMerge/>
            <w:shd w:val="clear" w:color="auto" w:fill="auto"/>
            <w:vAlign w:val="center"/>
          </w:tcPr>
          <w:p w14:paraId="2DDB56AE" w14:textId="77777777" w:rsidR="00CB0142" w:rsidRDefault="00CB0142">
            <w:pPr>
              <w:rPr>
                <w:rFonts w:ascii="Times New Roman" w:eastAsia="SimSun" w:hAnsi="Times New Roman" w:cs="Times New Roman"/>
                <w:color w:val="000000"/>
                <w:sz w:val="20"/>
                <w:szCs w:val="20"/>
              </w:rPr>
            </w:pPr>
          </w:p>
        </w:tc>
        <w:tc>
          <w:tcPr>
            <w:tcW w:w="2391" w:type="dxa"/>
            <w:shd w:val="clear" w:color="auto" w:fill="auto"/>
            <w:vAlign w:val="center"/>
          </w:tcPr>
          <w:p w14:paraId="529921C2"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Supply Chain Inventory Turnover</w:t>
            </w:r>
          </w:p>
        </w:tc>
        <w:tc>
          <w:tcPr>
            <w:tcW w:w="2256" w:type="dxa"/>
            <w:shd w:val="clear" w:color="auto" w:fill="auto"/>
            <w:vAlign w:val="center"/>
          </w:tcPr>
          <w:p w14:paraId="57B0F36E"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5.8 times</w:t>
            </w:r>
          </w:p>
        </w:tc>
        <w:tc>
          <w:tcPr>
            <w:tcW w:w="2256" w:type="dxa"/>
            <w:shd w:val="clear" w:color="auto" w:fill="auto"/>
            <w:vAlign w:val="center"/>
          </w:tcPr>
          <w:p w14:paraId="3A77A8A4"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7.2 times</w:t>
            </w:r>
          </w:p>
        </w:tc>
      </w:tr>
      <w:tr w:rsidR="00CB0142" w14:paraId="5A3780AB" w14:textId="77777777">
        <w:trPr>
          <w:trHeight w:val="267"/>
        </w:trPr>
        <w:tc>
          <w:tcPr>
            <w:tcW w:w="2276" w:type="dxa"/>
            <w:vMerge/>
            <w:shd w:val="clear" w:color="auto" w:fill="auto"/>
            <w:vAlign w:val="center"/>
          </w:tcPr>
          <w:p w14:paraId="19EA5D8F" w14:textId="77777777" w:rsidR="00CB0142" w:rsidRDefault="00CB0142">
            <w:pPr>
              <w:rPr>
                <w:rFonts w:ascii="Times New Roman" w:eastAsia="SimSun" w:hAnsi="Times New Roman" w:cs="Times New Roman"/>
                <w:color w:val="000000"/>
                <w:sz w:val="20"/>
                <w:szCs w:val="20"/>
              </w:rPr>
            </w:pPr>
          </w:p>
        </w:tc>
        <w:tc>
          <w:tcPr>
            <w:tcW w:w="2391" w:type="dxa"/>
            <w:shd w:val="clear" w:color="auto" w:fill="auto"/>
            <w:vAlign w:val="center"/>
          </w:tcPr>
          <w:p w14:paraId="4F13F3A4"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Smart Factory Coverage</w:t>
            </w:r>
          </w:p>
        </w:tc>
        <w:tc>
          <w:tcPr>
            <w:tcW w:w="2256" w:type="dxa"/>
            <w:shd w:val="clear" w:color="auto" w:fill="auto"/>
            <w:vAlign w:val="center"/>
          </w:tcPr>
          <w:p w14:paraId="4B76B95D" w14:textId="77777777" w:rsidR="00CB0142" w:rsidRDefault="00AF7DAE">
            <w:pPr>
              <w:widowControl/>
              <w:jc w:val="righ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45%</w:t>
            </w:r>
          </w:p>
        </w:tc>
        <w:tc>
          <w:tcPr>
            <w:tcW w:w="2256" w:type="dxa"/>
            <w:shd w:val="clear" w:color="auto" w:fill="auto"/>
            <w:vAlign w:val="center"/>
          </w:tcPr>
          <w:p w14:paraId="24B1F602" w14:textId="77777777" w:rsidR="00CB0142" w:rsidRDefault="00AF7DAE">
            <w:pPr>
              <w:widowControl/>
              <w:jc w:val="righ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85%</w:t>
            </w:r>
          </w:p>
        </w:tc>
      </w:tr>
      <w:tr w:rsidR="00CB0142" w14:paraId="5EE4941B" w14:textId="77777777">
        <w:trPr>
          <w:trHeight w:val="434"/>
        </w:trPr>
        <w:tc>
          <w:tcPr>
            <w:tcW w:w="2276" w:type="dxa"/>
            <w:vMerge w:val="restart"/>
            <w:shd w:val="clear" w:color="auto" w:fill="auto"/>
            <w:vAlign w:val="center"/>
          </w:tcPr>
          <w:p w14:paraId="1E500713" w14:textId="77777777" w:rsidR="00CB0142" w:rsidRDefault="00AF7DAE">
            <w:pPr>
              <w:widowControl/>
              <w:jc w:val="left"/>
              <w:textAlignment w:val="center"/>
              <w:rPr>
                <w:rFonts w:ascii="Times New Roman" w:eastAsia="SimSun" w:hAnsi="Times New Roman" w:cs="Times New Roman"/>
                <w:b/>
                <w:bCs/>
                <w:color w:val="000000"/>
                <w:sz w:val="20"/>
                <w:szCs w:val="20"/>
              </w:rPr>
            </w:pPr>
            <w:r>
              <w:rPr>
                <w:rFonts w:ascii="Times New Roman" w:eastAsia="SimSun" w:hAnsi="Times New Roman" w:cs="Times New Roman"/>
                <w:b/>
                <w:bCs/>
                <w:color w:val="000000"/>
                <w:kern w:val="0"/>
                <w:sz w:val="20"/>
                <w:szCs w:val="20"/>
                <w:lang w:bidi="ar"/>
              </w:rPr>
              <w:t>Innovation Capability</w:t>
            </w:r>
          </w:p>
        </w:tc>
        <w:tc>
          <w:tcPr>
            <w:tcW w:w="2391" w:type="dxa"/>
            <w:shd w:val="clear" w:color="auto" w:fill="auto"/>
            <w:vAlign w:val="center"/>
          </w:tcPr>
          <w:p w14:paraId="7F2C2D67"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Annual Patent Applications</w:t>
            </w:r>
          </w:p>
        </w:tc>
        <w:tc>
          <w:tcPr>
            <w:tcW w:w="2256" w:type="dxa"/>
            <w:shd w:val="clear" w:color="auto" w:fill="auto"/>
            <w:vAlign w:val="center"/>
          </w:tcPr>
          <w:p w14:paraId="5CD6CFE3" w14:textId="77777777" w:rsidR="00CB0142" w:rsidRDefault="00AF7DAE">
            <w:pPr>
              <w:widowControl/>
              <w:jc w:val="righ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12,500</w:t>
            </w:r>
          </w:p>
        </w:tc>
        <w:tc>
          <w:tcPr>
            <w:tcW w:w="2256" w:type="dxa"/>
            <w:shd w:val="clear" w:color="auto" w:fill="auto"/>
            <w:vAlign w:val="center"/>
          </w:tcPr>
          <w:p w14:paraId="37F220E4" w14:textId="77777777" w:rsidR="00CB0142" w:rsidRDefault="00AF7DAE">
            <w:pPr>
              <w:widowControl/>
              <w:jc w:val="righ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18,600</w:t>
            </w:r>
          </w:p>
        </w:tc>
      </w:tr>
      <w:tr w:rsidR="00CB0142" w14:paraId="7A5AB149" w14:textId="77777777">
        <w:trPr>
          <w:trHeight w:val="267"/>
        </w:trPr>
        <w:tc>
          <w:tcPr>
            <w:tcW w:w="2276" w:type="dxa"/>
            <w:vMerge/>
            <w:shd w:val="clear" w:color="auto" w:fill="auto"/>
            <w:vAlign w:val="center"/>
          </w:tcPr>
          <w:p w14:paraId="0212C261" w14:textId="77777777" w:rsidR="00CB0142" w:rsidRDefault="00CB0142">
            <w:pPr>
              <w:rPr>
                <w:rFonts w:ascii="Times New Roman" w:eastAsia="SimSun" w:hAnsi="Times New Roman" w:cs="Times New Roman"/>
                <w:color w:val="000000"/>
                <w:sz w:val="20"/>
                <w:szCs w:val="20"/>
              </w:rPr>
            </w:pPr>
          </w:p>
        </w:tc>
        <w:tc>
          <w:tcPr>
            <w:tcW w:w="2391" w:type="dxa"/>
            <w:shd w:val="clear" w:color="auto" w:fill="auto"/>
            <w:vAlign w:val="center"/>
          </w:tcPr>
          <w:p w14:paraId="24B7AC4D"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R&amp;D Success Rate</w:t>
            </w:r>
          </w:p>
        </w:tc>
        <w:tc>
          <w:tcPr>
            <w:tcW w:w="2256" w:type="dxa"/>
            <w:shd w:val="clear" w:color="auto" w:fill="auto"/>
            <w:vAlign w:val="center"/>
          </w:tcPr>
          <w:p w14:paraId="3559CE22" w14:textId="77777777" w:rsidR="00CB0142" w:rsidRDefault="00AF7DAE">
            <w:pPr>
              <w:widowControl/>
              <w:jc w:val="righ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75%</w:t>
            </w:r>
          </w:p>
        </w:tc>
        <w:tc>
          <w:tcPr>
            <w:tcW w:w="2256" w:type="dxa"/>
            <w:shd w:val="clear" w:color="auto" w:fill="auto"/>
            <w:vAlign w:val="center"/>
          </w:tcPr>
          <w:p w14:paraId="5145B5C2" w14:textId="77777777" w:rsidR="00CB0142" w:rsidRDefault="00AF7DAE">
            <w:pPr>
              <w:widowControl/>
              <w:jc w:val="righ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85%</w:t>
            </w:r>
          </w:p>
        </w:tc>
      </w:tr>
      <w:tr w:rsidR="00CB0142" w14:paraId="191C0F3D" w14:textId="77777777">
        <w:trPr>
          <w:trHeight w:val="434"/>
        </w:trPr>
        <w:tc>
          <w:tcPr>
            <w:tcW w:w="2276" w:type="dxa"/>
            <w:vMerge/>
            <w:shd w:val="clear" w:color="auto" w:fill="auto"/>
            <w:vAlign w:val="center"/>
          </w:tcPr>
          <w:p w14:paraId="0450273F" w14:textId="77777777" w:rsidR="00CB0142" w:rsidRDefault="00CB0142">
            <w:pPr>
              <w:rPr>
                <w:rFonts w:ascii="Times New Roman" w:eastAsia="SimSun" w:hAnsi="Times New Roman" w:cs="Times New Roman"/>
                <w:color w:val="000000"/>
                <w:sz w:val="20"/>
                <w:szCs w:val="20"/>
              </w:rPr>
            </w:pPr>
          </w:p>
        </w:tc>
        <w:tc>
          <w:tcPr>
            <w:tcW w:w="2391" w:type="dxa"/>
            <w:shd w:val="clear" w:color="auto" w:fill="auto"/>
            <w:vAlign w:val="center"/>
          </w:tcPr>
          <w:p w14:paraId="11FE5AC1"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New Product Revenue Ratio</w:t>
            </w:r>
          </w:p>
        </w:tc>
        <w:tc>
          <w:tcPr>
            <w:tcW w:w="2256" w:type="dxa"/>
            <w:shd w:val="clear" w:color="auto" w:fill="auto"/>
            <w:vAlign w:val="center"/>
          </w:tcPr>
          <w:p w14:paraId="65EC60CC" w14:textId="77777777" w:rsidR="00CB0142" w:rsidRDefault="00AF7DAE">
            <w:pPr>
              <w:widowControl/>
              <w:jc w:val="righ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30%</w:t>
            </w:r>
          </w:p>
        </w:tc>
        <w:tc>
          <w:tcPr>
            <w:tcW w:w="2256" w:type="dxa"/>
            <w:shd w:val="clear" w:color="auto" w:fill="auto"/>
            <w:vAlign w:val="center"/>
          </w:tcPr>
          <w:p w14:paraId="384A6546" w14:textId="77777777" w:rsidR="00CB0142" w:rsidRDefault="00AF7DAE">
            <w:pPr>
              <w:widowControl/>
              <w:jc w:val="righ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48%</w:t>
            </w:r>
          </w:p>
        </w:tc>
      </w:tr>
      <w:tr w:rsidR="00CB0142" w14:paraId="236E972F" w14:textId="77777777">
        <w:trPr>
          <w:trHeight w:val="336"/>
        </w:trPr>
        <w:tc>
          <w:tcPr>
            <w:tcW w:w="2276" w:type="dxa"/>
            <w:vMerge w:val="restart"/>
            <w:shd w:val="clear" w:color="auto" w:fill="auto"/>
            <w:vAlign w:val="center"/>
          </w:tcPr>
          <w:p w14:paraId="648164B6" w14:textId="77777777" w:rsidR="00CB0142" w:rsidRDefault="00AF7DAE">
            <w:pPr>
              <w:widowControl/>
              <w:jc w:val="left"/>
              <w:textAlignment w:val="center"/>
              <w:rPr>
                <w:rFonts w:ascii="Times New Roman" w:eastAsia="SimSun" w:hAnsi="Times New Roman" w:cs="Times New Roman"/>
                <w:b/>
                <w:bCs/>
                <w:color w:val="000000"/>
                <w:sz w:val="20"/>
                <w:szCs w:val="20"/>
              </w:rPr>
            </w:pPr>
            <w:r>
              <w:rPr>
                <w:rFonts w:ascii="Times New Roman" w:eastAsia="SimSun" w:hAnsi="Times New Roman" w:cs="Times New Roman"/>
                <w:b/>
                <w:bCs/>
                <w:color w:val="000000"/>
                <w:kern w:val="0"/>
                <w:sz w:val="20"/>
                <w:szCs w:val="20"/>
                <w:lang w:bidi="ar"/>
              </w:rPr>
              <w:t>Employee Development</w:t>
            </w:r>
          </w:p>
        </w:tc>
        <w:tc>
          <w:tcPr>
            <w:tcW w:w="2391" w:type="dxa"/>
            <w:shd w:val="clear" w:color="auto" w:fill="auto"/>
            <w:vAlign w:val="center"/>
          </w:tcPr>
          <w:p w14:paraId="530173E1"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Employee Engagement</w:t>
            </w:r>
          </w:p>
        </w:tc>
        <w:tc>
          <w:tcPr>
            <w:tcW w:w="2256" w:type="dxa"/>
            <w:shd w:val="clear" w:color="auto" w:fill="auto"/>
            <w:vAlign w:val="center"/>
          </w:tcPr>
          <w:p w14:paraId="79C76FCD" w14:textId="77777777" w:rsidR="00CB0142" w:rsidRDefault="00AF7DAE">
            <w:pPr>
              <w:widowControl/>
              <w:jc w:val="righ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82%</w:t>
            </w:r>
          </w:p>
        </w:tc>
        <w:tc>
          <w:tcPr>
            <w:tcW w:w="2256" w:type="dxa"/>
            <w:shd w:val="clear" w:color="auto" w:fill="auto"/>
            <w:vAlign w:val="center"/>
          </w:tcPr>
          <w:p w14:paraId="73190F58" w14:textId="77777777" w:rsidR="00CB0142" w:rsidRDefault="00AF7DAE">
            <w:pPr>
              <w:widowControl/>
              <w:jc w:val="righ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89%</w:t>
            </w:r>
          </w:p>
        </w:tc>
      </w:tr>
      <w:tr w:rsidR="00CB0142" w14:paraId="453C5B14" w14:textId="77777777">
        <w:trPr>
          <w:trHeight w:val="267"/>
        </w:trPr>
        <w:tc>
          <w:tcPr>
            <w:tcW w:w="2276" w:type="dxa"/>
            <w:vMerge/>
            <w:shd w:val="clear" w:color="auto" w:fill="auto"/>
            <w:vAlign w:val="center"/>
          </w:tcPr>
          <w:p w14:paraId="64AAB56C" w14:textId="77777777" w:rsidR="00CB0142" w:rsidRDefault="00CB0142">
            <w:pPr>
              <w:rPr>
                <w:rFonts w:ascii="Times New Roman" w:eastAsia="SimSun" w:hAnsi="Times New Roman" w:cs="Times New Roman"/>
                <w:color w:val="000000"/>
                <w:sz w:val="20"/>
                <w:szCs w:val="20"/>
              </w:rPr>
            </w:pPr>
          </w:p>
        </w:tc>
        <w:tc>
          <w:tcPr>
            <w:tcW w:w="2391" w:type="dxa"/>
            <w:shd w:val="clear" w:color="auto" w:fill="auto"/>
            <w:vAlign w:val="center"/>
          </w:tcPr>
          <w:p w14:paraId="03FED7CA"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Digital Skill Coverage</w:t>
            </w:r>
          </w:p>
        </w:tc>
        <w:tc>
          <w:tcPr>
            <w:tcW w:w="2256" w:type="dxa"/>
            <w:shd w:val="clear" w:color="auto" w:fill="auto"/>
            <w:vAlign w:val="center"/>
          </w:tcPr>
          <w:p w14:paraId="62A914E8" w14:textId="77777777" w:rsidR="00CB0142" w:rsidRDefault="00AF7DAE">
            <w:pPr>
              <w:widowControl/>
              <w:jc w:val="righ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60%</w:t>
            </w:r>
          </w:p>
        </w:tc>
        <w:tc>
          <w:tcPr>
            <w:tcW w:w="2256" w:type="dxa"/>
            <w:shd w:val="clear" w:color="auto" w:fill="auto"/>
            <w:vAlign w:val="center"/>
          </w:tcPr>
          <w:p w14:paraId="0B93EEC9" w14:textId="77777777" w:rsidR="00CB0142" w:rsidRDefault="00AF7DAE">
            <w:pPr>
              <w:widowControl/>
              <w:jc w:val="righ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85%</w:t>
            </w:r>
          </w:p>
        </w:tc>
      </w:tr>
      <w:tr w:rsidR="00CB0142" w14:paraId="63CB2760" w14:textId="77777777">
        <w:trPr>
          <w:trHeight w:val="441"/>
        </w:trPr>
        <w:tc>
          <w:tcPr>
            <w:tcW w:w="2276" w:type="dxa"/>
            <w:vMerge/>
            <w:shd w:val="clear" w:color="auto" w:fill="auto"/>
            <w:vAlign w:val="center"/>
          </w:tcPr>
          <w:p w14:paraId="377EE1BD" w14:textId="77777777" w:rsidR="00CB0142" w:rsidRDefault="00CB0142">
            <w:pPr>
              <w:rPr>
                <w:rFonts w:ascii="Times New Roman" w:eastAsia="SimSun" w:hAnsi="Times New Roman" w:cs="Times New Roman"/>
                <w:color w:val="000000"/>
                <w:sz w:val="20"/>
                <w:szCs w:val="20"/>
              </w:rPr>
            </w:pPr>
          </w:p>
        </w:tc>
        <w:tc>
          <w:tcPr>
            <w:tcW w:w="2391" w:type="dxa"/>
            <w:shd w:val="clear" w:color="auto" w:fill="auto"/>
            <w:vAlign w:val="center"/>
          </w:tcPr>
          <w:p w14:paraId="19A6D07A" w14:textId="77777777" w:rsidR="00CB0142" w:rsidRDefault="00AF7DAE">
            <w:pPr>
              <w:widowControl/>
              <w:jc w:val="lef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Innovation Proposals per Employee</w:t>
            </w:r>
          </w:p>
        </w:tc>
        <w:tc>
          <w:tcPr>
            <w:tcW w:w="2256" w:type="dxa"/>
            <w:shd w:val="clear" w:color="auto" w:fill="auto"/>
            <w:vAlign w:val="center"/>
          </w:tcPr>
          <w:p w14:paraId="2F98905E" w14:textId="77777777" w:rsidR="00CB0142" w:rsidRDefault="00AF7DAE">
            <w:pPr>
              <w:widowControl/>
              <w:jc w:val="righ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2.5</w:t>
            </w:r>
          </w:p>
        </w:tc>
        <w:tc>
          <w:tcPr>
            <w:tcW w:w="2256" w:type="dxa"/>
            <w:shd w:val="clear" w:color="auto" w:fill="auto"/>
            <w:vAlign w:val="center"/>
          </w:tcPr>
          <w:p w14:paraId="0AE73AE5" w14:textId="77777777" w:rsidR="00CB0142" w:rsidRDefault="00AF7DAE">
            <w:pPr>
              <w:widowControl/>
              <w:jc w:val="right"/>
              <w:textAlignment w:val="center"/>
              <w:rPr>
                <w:rFonts w:ascii="Times New Roman" w:eastAsia="SimSun" w:hAnsi="Times New Roman" w:cs="Times New Roman"/>
                <w:color w:val="000000"/>
                <w:sz w:val="20"/>
                <w:szCs w:val="20"/>
              </w:rPr>
            </w:pPr>
            <w:r>
              <w:rPr>
                <w:rFonts w:ascii="Times New Roman" w:eastAsia="SimSun" w:hAnsi="Times New Roman" w:cs="Times New Roman"/>
                <w:color w:val="000000"/>
                <w:kern w:val="0"/>
                <w:sz w:val="20"/>
                <w:szCs w:val="20"/>
                <w:lang w:bidi="ar"/>
              </w:rPr>
              <w:t>4.8</w:t>
            </w:r>
          </w:p>
        </w:tc>
      </w:tr>
    </w:tbl>
    <w:p w14:paraId="03B272F5" w14:textId="77777777" w:rsidR="00CB0142" w:rsidRDefault="00AF7DAE">
      <w:pPr>
        <w:pStyle w:val="a3"/>
        <w:widowControl/>
        <w:snapToGrid w:val="0"/>
        <w:spacing w:beforeAutospacing="0" w:afterAutospacing="0" w:line="360" w:lineRule="auto"/>
        <w:ind w:firstLineChars="200" w:firstLine="560"/>
        <w:rPr>
          <w:rFonts w:ascii="Times New Roman" w:hAnsi="Times New Roman"/>
          <w:sz w:val="28"/>
          <w:szCs w:val="28"/>
        </w:rPr>
      </w:pPr>
      <w:r>
        <w:rPr>
          <w:rFonts w:ascii="Times New Roman" w:hAnsi="Times New Roman"/>
          <w:sz w:val="28"/>
          <w:szCs w:val="28"/>
        </w:rPr>
        <w:t xml:space="preserve">Data source: compiled based on Midea Group’s annual report, internal research, etc. </w:t>
      </w:r>
      <w:r>
        <w:rPr>
          <w:rFonts w:ascii="Times New Roman" w:hAnsi="Times New Roman" w:hint="eastAsia"/>
          <w:sz w:val="28"/>
          <w:szCs w:val="28"/>
        </w:rPr>
        <w:t>[48]</w:t>
      </w:r>
    </w:p>
    <w:p w14:paraId="6FF0D5C0" w14:textId="77777777" w:rsidR="00CB0142" w:rsidRDefault="00AF7DAE">
      <w:pPr>
        <w:pStyle w:val="a3"/>
        <w:widowControl/>
        <w:snapToGrid w:val="0"/>
        <w:spacing w:beforeAutospacing="0" w:afterAutospacing="0" w:line="360" w:lineRule="auto"/>
        <w:ind w:firstLineChars="200" w:firstLine="560"/>
        <w:rPr>
          <w:rFonts w:ascii="Times New Roman" w:hAnsi="Times New Roman"/>
          <w:sz w:val="28"/>
          <w:szCs w:val="28"/>
        </w:rPr>
      </w:pPr>
      <w:r>
        <w:rPr>
          <w:rFonts w:ascii="Times New Roman" w:hAnsi="Times New Roman"/>
          <w:sz w:val="28"/>
          <w:szCs w:val="28"/>
        </w:rPr>
        <w:t xml:space="preserve">The findings of our assessment reveal that the organizational transformation undertaken by Midea Group between 2019 and 2023 has had profoundly positive effects </w:t>
      </w:r>
      <w:r>
        <w:rPr>
          <w:rFonts w:ascii="Times New Roman" w:hAnsi="Times New Roman"/>
          <w:sz w:val="28"/>
          <w:szCs w:val="28"/>
        </w:rPr>
        <w:lastRenderedPageBreak/>
        <w:t>across a multitude of facets. As illustrated in Table 2, the changes have led to notable advancements:</w:t>
      </w:r>
    </w:p>
    <w:p w14:paraId="05452229" w14:textId="77777777" w:rsidR="00CB0142" w:rsidRDefault="00CB0142">
      <w:pPr>
        <w:pStyle w:val="a3"/>
        <w:widowControl/>
        <w:snapToGrid w:val="0"/>
        <w:spacing w:beforeAutospacing="0" w:afterAutospacing="0" w:line="360" w:lineRule="auto"/>
        <w:ind w:firstLineChars="200" w:firstLine="560"/>
        <w:rPr>
          <w:rFonts w:ascii="Times New Roman" w:hAnsi="Times New Roman"/>
          <w:sz w:val="28"/>
          <w:szCs w:val="28"/>
        </w:rPr>
      </w:pPr>
    </w:p>
    <w:p w14:paraId="483C38AA" w14:textId="77777777" w:rsidR="00CB0142" w:rsidRDefault="00AF7DAE">
      <w:pPr>
        <w:pStyle w:val="a3"/>
        <w:widowControl/>
        <w:snapToGrid w:val="0"/>
        <w:spacing w:beforeAutospacing="0" w:afterAutospacing="0" w:line="360" w:lineRule="auto"/>
        <w:ind w:firstLineChars="200" w:firstLine="560"/>
        <w:rPr>
          <w:rFonts w:ascii="Times New Roman" w:hAnsi="Times New Roman"/>
          <w:sz w:val="28"/>
          <w:szCs w:val="28"/>
        </w:rPr>
      </w:pPr>
      <w:r>
        <w:rPr>
          <w:rFonts w:ascii="Times New Roman" w:hAnsi="Times New Roman"/>
          <w:sz w:val="28"/>
          <w:szCs w:val="28"/>
        </w:rPr>
        <w:t>In terms of Financial Performance:</w:t>
      </w:r>
    </w:p>
    <w:p w14:paraId="4956AD52" w14:textId="77777777" w:rsidR="00CB0142" w:rsidRDefault="00AF7DAE">
      <w:pPr>
        <w:pStyle w:val="a3"/>
        <w:widowControl/>
        <w:snapToGrid w:val="0"/>
        <w:spacing w:beforeAutospacing="0" w:afterAutospacing="0" w:line="360" w:lineRule="auto"/>
        <w:ind w:firstLineChars="200" w:firstLine="560"/>
        <w:rPr>
          <w:rFonts w:ascii="Times New Roman" w:hAnsi="Times New Roman"/>
          <w:sz w:val="28"/>
          <w:szCs w:val="28"/>
        </w:rPr>
      </w:pPr>
      <w:r>
        <w:rPr>
          <w:rFonts w:ascii="Times New Roman" w:hAnsi="Times New Roman"/>
          <w:sz w:val="28"/>
          <w:szCs w:val="28"/>
        </w:rPr>
        <w:t>We observed a robust increase in product gross margin by 3.5 percentage points, indicating enhanced profitability.</w:t>
      </w:r>
    </w:p>
    <w:p w14:paraId="1D43FB48" w14:textId="77777777" w:rsidR="00CB0142" w:rsidRDefault="00AF7DAE">
      <w:pPr>
        <w:pStyle w:val="a3"/>
        <w:widowControl/>
        <w:snapToGrid w:val="0"/>
        <w:spacing w:beforeAutospacing="0" w:afterAutospacing="0" w:line="360" w:lineRule="auto"/>
        <w:ind w:firstLineChars="200" w:firstLine="560"/>
        <w:rPr>
          <w:rFonts w:ascii="Times New Roman" w:hAnsi="Times New Roman"/>
          <w:sz w:val="28"/>
          <w:szCs w:val="28"/>
        </w:rPr>
      </w:pPr>
      <w:r>
        <w:rPr>
          <w:rFonts w:ascii="Times New Roman" w:hAnsi="Times New Roman"/>
          <w:sz w:val="28"/>
          <w:szCs w:val="28"/>
        </w:rPr>
        <w:t>Distribution channel expenses experienced a notable decline of 8.2%, suggesting greater efficiency in this area.</w:t>
      </w:r>
    </w:p>
    <w:p w14:paraId="540BC07D" w14:textId="77777777" w:rsidR="00CB0142" w:rsidRDefault="00AF7DAE">
      <w:pPr>
        <w:pStyle w:val="a3"/>
        <w:widowControl/>
        <w:snapToGrid w:val="0"/>
        <w:spacing w:beforeAutospacing="0" w:afterAutospacing="0" w:line="360" w:lineRule="auto"/>
        <w:ind w:firstLineChars="200" w:firstLine="560"/>
        <w:rPr>
          <w:rFonts w:ascii="Times New Roman" w:hAnsi="Times New Roman"/>
          <w:sz w:val="28"/>
          <w:szCs w:val="28"/>
        </w:rPr>
      </w:pPr>
      <w:r>
        <w:rPr>
          <w:rFonts w:ascii="Times New Roman" w:hAnsi="Times New Roman"/>
          <w:sz w:val="28"/>
          <w:szCs w:val="28"/>
        </w:rPr>
        <w:t>The R&amp;D investment ratio climbed from 3.8% to 4.5%, highlighting a commitment to innovation and future growth.</w:t>
      </w:r>
    </w:p>
    <w:p w14:paraId="61E45240" w14:textId="77777777" w:rsidR="00CB0142" w:rsidRDefault="00AF7DAE">
      <w:pPr>
        <w:pStyle w:val="a3"/>
        <w:widowControl/>
        <w:snapToGrid w:val="0"/>
        <w:spacing w:beforeAutospacing="0" w:afterAutospacing="0" w:line="360" w:lineRule="auto"/>
        <w:ind w:firstLineChars="200" w:firstLine="560"/>
        <w:rPr>
          <w:rFonts w:ascii="Times New Roman" w:hAnsi="Times New Roman"/>
          <w:sz w:val="28"/>
          <w:szCs w:val="28"/>
        </w:rPr>
      </w:pPr>
      <w:r>
        <w:rPr>
          <w:rFonts w:ascii="Times New Roman" w:hAnsi="Times New Roman"/>
          <w:sz w:val="28"/>
          <w:szCs w:val="28"/>
        </w:rPr>
        <w:t>Regarding Operational Excellence:</w:t>
      </w:r>
    </w:p>
    <w:p w14:paraId="0F344F19" w14:textId="77777777" w:rsidR="00CB0142" w:rsidRDefault="00AF7DAE">
      <w:pPr>
        <w:pStyle w:val="a3"/>
        <w:widowControl/>
        <w:snapToGrid w:val="0"/>
        <w:spacing w:beforeAutospacing="0" w:afterAutospacing="0" w:line="360" w:lineRule="auto"/>
        <w:ind w:firstLineChars="200" w:firstLine="560"/>
        <w:rPr>
          <w:rFonts w:ascii="Times New Roman" w:hAnsi="Times New Roman"/>
          <w:sz w:val="28"/>
          <w:szCs w:val="28"/>
        </w:rPr>
      </w:pPr>
      <w:r>
        <w:rPr>
          <w:rFonts w:ascii="Times New Roman" w:hAnsi="Times New Roman"/>
          <w:sz w:val="28"/>
          <w:szCs w:val="28"/>
        </w:rPr>
        <w:t>The manufacturing cycle time saw a significant reduction of 35%, pointing to streamlined processes and improved productivity.</w:t>
      </w:r>
    </w:p>
    <w:p w14:paraId="64CB307F" w14:textId="77777777" w:rsidR="00CB0142" w:rsidRDefault="00AF7DAE">
      <w:pPr>
        <w:pStyle w:val="a3"/>
        <w:widowControl/>
        <w:snapToGrid w:val="0"/>
        <w:spacing w:beforeAutospacing="0" w:afterAutospacing="0" w:line="360" w:lineRule="auto"/>
        <w:ind w:firstLineChars="200" w:firstLine="560"/>
        <w:rPr>
          <w:rFonts w:ascii="Times New Roman" w:hAnsi="Times New Roman"/>
          <w:sz w:val="28"/>
          <w:szCs w:val="28"/>
        </w:rPr>
      </w:pPr>
      <w:r>
        <w:rPr>
          <w:rFonts w:ascii="Times New Roman" w:hAnsi="Times New Roman"/>
          <w:sz w:val="28"/>
          <w:szCs w:val="28"/>
        </w:rPr>
        <w:t>Supply chain inventory turnover rose from 5.8 to 7.2 times, indicating more effective management of resources.</w:t>
      </w:r>
    </w:p>
    <w:p w14:paraId="62105DBD" w14:textId="77777777" w:rsidR="00CB0142" w:rsidRDefault="00AF7DAE">
      <w:pPr>
        <w:pStyle w:val="a3"/>
        <w:widowControl/>
        <w:snapToGrid w:val="0"/>
        <w:spacing w:beforeAutospacing="0" w:afterAutospacing="0" w:line="360" w:lineRule="auto"/>
        <w:ind w:firstLineChars="200" w:firstLine="560"/>
        <w:rPr>
          <w:rFonts w:ascii="Times New Roman" w:hAnsi="Times New Roman"/>
          <w:sz w:val="28"/>
          <w:szCs w:val="28"/>
        </w:rPr>
      </w:pPr>
      <w:r>
        <w:rPr>
          <w:rFonts w:ascii="Times New Roman" w:hAnsi="Times New Roman"/>
          <w:sz w:val="28"/>
          <w:szCs w:val="28"/>
        </w:rPr>
        <w:t>The coverage of smart factories expanded dramatically from 45% to 85%, underscoring a substantial leap towards digitalization and automation.</w:t>
      </w:r>
    </w:p>
    <w:p w14:paraId="28E90131" w14:textId="77777777" w:rsidR="00CB0142" w:rsidRDefault="00AF7DAE">
      <w:pPr>
        <w:pStyle w:val="a3"/>
        <w:widowControl/>
        <w:snapToGrid w:val="0"/>
        <w:spacing w:beforeAutospacing="0" w:afterAutospacing="0" w:line="360" w:lineRule="auto"/>
        <w:ind w:firstLineChars="200" w:firstLine="560"/>
        <w:rPr>
          <w:rFonts w:ascii="Times New Roman" w:hAnsi="Times New Roman"/>
          <w:sz w:val="28"/>
          <w:szCs w:val="28"/>
        </w:rPr>
      </w:pPr>
      <w:r>
        <w:rPr>
          <w:rFonts w:ascii="Times New Roman" w:hAnsi="Times New Roman" w:hint="eastAsia"/>
          <w:sz w:val="28"/>
          <w:szCs w:val="28"/>
        </w:rPr>
        <w:t>By observing the evaluation results, we can see that organizational changes have had a significant positive impact on Midea Group. In terms of financial performance, it has benefited from improvements in product strength and operational efficiency. As shown in Figure 7, Midea</w:t>
      </w:r>
      <w:r>
        <w:rPr>
          <w:rFonts w:ascii="Times New Roman" w:hAnsi="Times New Roman" w:hint="eastAsia"/>
          <w:sz w:val="28"/>
          <w:szCs w:val="28"/>
        </w:rPr>
        <w:t>’</w:t>
      </w:r>
      <w:r>
        <w:rPr>
          <w:rFonts w:ascii="Times New Roman" w:hAnsi="Times New Roman" w:hint="eastAsia"/>
          <w:sz w:val="28"/>
          <w:szCs w:val="28"/>
        </w:rPr>
        <w:t>s key financial indicators Continued growth, revenue increased from RMB 278.2 billion in 2019 to RMB 358.6 billion in 2023, while maintaining steady growth in profits and increased investment in R&amp;D.</w:t>
      </w:r>
    </w:p>
    <w:p w14:paraId="0DDF6D00" w14:textId="77777777" w:rsidR="00CB0142" w:rsidRDefault="00AF7DAE">
      <w:pPr>
        <w:snapToGrid w:val="0"/>
        <w:spacing w:line="360" w:lineRule="auto"/>
        <w:jc w:val="center"/>
        <w:rPr>
          <w:rFonts w:ascii="Times New Roman" w:hAnsi="Times New Roman" w:cs="Times New Roman"/>
          <w:b/>
          <w:bCs/>
          <w:sz w:val="24"/>
        </w:rPr>
      </w:pPr>
      <w:r>
        <w:rPr>
          <w:rFonts w:ascii="Times New Roman" w:hAnsi="Times New Roman" w:cs="Times New Roman"/>
          <w:b/>
          <w:bCs/>
          <w:noProof/>
          <w:sz w:val="24"/>
          <w:lang w:val="uk-UA" w:eastAsia="uk-UA"/>
        </w:rPr>
        <w:lastRenderedPageBreak/>
        <w:drawing>
          <wp:anchor distT="0" distB="0" distL="114300" distR="114300" simplePos="0" relativeHeight="251663360" behindDoc="0" locked="0" layoutInCell="1" allowOverlap="1" wp14:anchorId="34DB7FB7" wp14:editId="63BF5AA2">
            <wp:simplePos x="0" y="0"/>
            <wp:positionH relativeFrom="column">
              <wp:posOffset>177800</wp:posOffset>
            </wp:positionH>
            <wp:positionV relativeFrom="page">
              <wp:posOffset>7309485</wp:posOffset>
            </wp:positionV>
            <wp:extent cx="5934075" cy="2445385"/>
            <wp:effectExtent l="0" t="0" r="9525" b="8255"/>
            <wp:wrapTopAndBottom/>
            <wp:docPr id="10" name="图片 10" descr="1731529642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1731529642868"/>
                    <pic:cNvPicPr>
                      <a:picLocks noChangeAspect="1"/>
                    </pic:cNvPicPr>
                  </pic:nvPicPr>
                  <pic:blipFill>
                    <a:blip r:embed="rId11"/>
                    <a:stretch>
                      <a:fillRect/>
                    </a:stretch>
                  </pic:blipFill>
                  <pic:spPr>
                    <a:xfrm>
                      <a:off x="0" y="0"/>
                      <a:ext cx="5934075" cy="2445385"/>
                    </a:xfrm>
                    <a:prstGeom prst="rect">
                      <a:avLst/>
                    </a:prstGeom>
                  </pic:spPr>
                </pic:pic>
              </a:graphicData>
            </a:graphic>
          </wp:anchor>
        </w:drawing>
      </w:r>
      <w:r>
        <w:rPr>
          <w:rFonts w:ascii="Times New Roman" w:hAnsi="Times New Roman" w:cs="Times New Roman" w:hint="eastAsia"/>
          <w:b/>
          <w:bCs/>
          <w:sz w:val="24"/>
        </w:rPr>
        <w:t>Figure 7.Evolution of Midea Group's Key Performance Indicators (2019-2023)</w:t>
      </w:r>
    </w:p>
    <w:p w14:paraId="4F655551" w14:textId="77777777" w:rsidR="00CB0142" w:rsidRDefault="00AF7DAE">
      <w:pPr>
        <w:snapToGrid w:val="0"/>
        <w:spacing w:line="360" w:lineRule="auto"/>
        <w:ind w:firstLineChars="200" w:firstLine="560"/>
        <w:rPr>
          <w:rFonts w:ascii="Times New Roman" w:hAnsi="Times New Roman" w:cs="Times New Roman"/>
          <w:b/>
          <w:bCs/>
          <w:sz w:val="28"/>
          <w:szCs w:val="28"/>
        </w:rPr>
      </w:pPr>
      <w:r>
        <w:rPr>
          <w:rFonts w:ascii="Times New Roman" w:hAnsi="Times New Roman" w:cs="Times New Roman"/>
          <w:sz w:val="28"/>
          <w:szCs w:val="28"/>
        </w:rPr>
        <w:t xml:space="preserve">In terms of customer satisfaction and brand power, organizational changes have promoted product innovation and quality improvement, further consolidating Midea's position in the industry. As shown in Figure 8, the company has achieved noteworthy advancements across three pivotal aspects from 2019 to 2023: smart product penetration increased from 35% to 65%, customer satisfaction improved from 85% to 92%, and the new product revenue ratio grew from 30% to 48%. </w:t>
      </w:r>
      <w:r>
        <w:rPr>
          <w:rFonts w:ascii="Times New Roman" w:hAnsi="Times New Roman" w:cs="Times New Roman"/>
          <w:b/>
          <w:bCs/>
          <w:noProof/>
          <w:sz w:val="28"/>
          <w:szCs w:val="28"/>
          <w:lang w:val="uk-UA" w:eastAsia="uk-UA"/>
        </w:rPr>
        <w:drawing>
          <wp:inline distT="0" distB="0" distL="114300" distR="114300" wp14:anchorId="3F04D9CF" wp14:editId="3824B5B0">
            <wp:extent cx="5669280" cy="2849880"/>
            <wp:effectExtent l="0" t="0" r="0" b="0"/>
            <wp:docPr id="11" name="图片 11" descr="1731575226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1731575226082"/>
                    <pic:cNvPicPr>
                      <a:picLocks noChangeAspect="1"/>
                    </pic:cNvPicPr>
                  </pic:nvPicPr>
                  <pic:blipFill>
                    <a:blip r:embed="rId12"/>
                    <a:stretch>
                      <a:fillRect/>
                    </a:stretch>
                  </pic:blipFill>
                  <pic:spPr>
                    <a:xfrm>
                      <a:off x="0" y="0"/>
                      <a:ext cx="5669280" cy="2849880"/>
                    </a:xfrm>
                    <a:prstGeom prst="rect">
                      <a:avLst/>
                    </a:prstGeom>
                  </pic:spPr>
                </pic:pic>
              </a:graphicData>
            </a:graphic>
          </wp:inline>
        </w:drawing>
      </w:r>
    </w:p>
    <w:p w14:paraId="7D86E6BA" w14:textId="77777777" w:rsidR="00CB0142" w:rsidRDefault="00AF7DAE">
      <w:pPr>
        <w:snapToGrid w:val="0"/>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Figure 8: Evolution of Midea Group's Product Strength Indicators (2019-2023)</w:t>
      </w:r>
    </w:p>
    <w:p w14:paraId="3B4E79C3" w14:textId="77777777" w:rsidR="00CB0142" w:rsidRDefault="00AF7DAE">
      <w:pPr>
        <w:snapToGrid w:val="0"/>
        <w:spacing w:line="360" w:lineRule="auto"/>
        <w:ind w:firstLineChars="200" w:firstLine="560"/>
        <w:rPr>
          <w:rFonts w:ascii="Times New Roman" w:hAnsi="Times New Roman" w:cs="Times New Roman"/>
          <w:b/>
          <w:bCs/>
          <w:sz w:val="28"/>
          <w:szCs w:val="28"/>
        </w:rPr>
      </w:pPr>
      <w:r>
        <w:rPr>
          <w:rFonts w:ascii="Times New Roman" w:hAnsi="Times New Roman" w:cs="Times New Roman"/>
          <w:sz w:val="28"/>
          <w:szCs w:val="28"/>
        </w:rPr>
        <w:t>These sustained improvements demonstrate the effectiveness of Midea's organizational transformation in enhancing product competitiveness and market performance.</w:t>
      </w:r>
    </w:p>
    <w:p w14:paraId="4CA201FC"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Overall, Midea Group, guided by intelligent manufacturing, based on industry </w:t>
      </w:r>
      <w:r>
        <w:rPr>
          <w:rFonts w:ascii="Times New Roman" w:hAnsi="Times New Roman" w:cs="Times New Roman"/>
          <w:sz w:val="28"/>
          <w:szCs w:val="28"/>
        </w:rPr>
        <w:lastRenderedPageBreak/>
        <w:t>trends, and targeting its own shortcomings, systematically promoted organizational change, supplemented by a scientific evaluation mechanism, and finally achieved the "double improvement" of operating indicators and organizational capabilities. Midea's transformation evaluation has distinct characteristics. First, it is comprehensive and balanced, focusing not only on financial indicators but also on soft power such as strategy and innovation. Second, it has multiple methods, combining qualitative and quantitative analysis, and organically unifying data and logical verification. Third, it is continuous and dynamic, and evaluation is carried out throughout the entire transformation process to promote change and iterative optimization. These practices are of great reference significance for promoting closed-loop management of organizational change and helping to achieve strategic goals.</w:t>
      </w:r>
    </w:p>
    <w:p w14:paraId="7E32F9B5" w14:textId="77777777" w:rsidR="00CB0142" w:rsidRDefault="00AF7DAE">
      <w:pPr>
        <w:snapToGrid w:val="0"/>
        <w:spacing w:line="360" w:lineRule="auto"/>
        <w:ind w:firstLineChars="200" w:firstLine="562"/>
        <w:rPr>
          <w:rFonts w:ascii="Times New Roman" w:hAnsi="Times New Roman" w:cs="Times New Roman"/>
          <w:b/>
          <w:bCs/>
          <w:sz w:val="28"/>
          <w:szCs w:val="28"/>
        </w:rPr>
      </w:pPr>
      <w:r>
        <w:rPr>
          <w:rFonts w:ascii="Times New Roman" w:hAnsi="Times New Roman" w:cs="Times New Roman"/>
          <w:b/>
          <w:bCs/>
          <w:sz w:val="28"/>
          <w:szCs w:val="28"/>
        </w:rPr>
        <w:t xml:space="preserve">Haier: Organizational Restructuring with </w:t>
      </w:r>
      <w:proofErr w:type="spellStart"/>
      <w:r>
        <w:rPr>
          <w:rFonts w:ascii="Times New Roman" w:hAnsi="Times New Roman" w:cs="Times New Roman"/>
          <w:b/>
          <w:bCs/>
          <w:sz w:val="28"/>
          <w:szCs w:val="28"/>
        </w:rPr>
        <w:t>Rendanheyi</w:t>
      </w:r>
      <w:proofErr w:type="spellEnd"/>
      <w:r>
        <w:rPr>
          <w:rFonts w:ascii="Times New Roman" w:hAnsi="Times New Roman" w:cs="Times New Roman"/>
          <w:b/>
          <w:bCs/>
          <w:sz w:val="28"/>
          <w:szCs w:val="28"/>
        </w:rPr>
        <w:t xml:space="preserve"> as the Core</w:t>
      </w:r>
    </w:p>
    <w:p w14:paraId="04A29ACE" w14:textId="77777777" w:rsidR="00CB0142" w:rsidRDefault="00AF7DAE">
      <w:pPr>
        <w:pStyle w:val="a3"/>
        <w:widowControl/>
        <w:snapToGrid w:val="0"/>
        <w:spacing w:beforeAutospacing="0" w:afterAutospacing="0" w:line="360" w:lineRule="auto"/>
        <w:ind w:firstLineChars="200" w:firstLine="560"/>
        <w:rPr>
          <w:rFonts w:ascii="Times New Roman" w:hAnsi="Times New Roman"/>
          <w:sz w:val="28"/>
          <w:szCs w:val="28"/>
        </w:rPr>
      </w:pPr>
      <w:r>
        <w:rPr>
          <w:rFonts w:ascii="Times New Roman" w:hAnsi="Times New Roman"/>
          <w:sz w:val="28"/>
          <w:szCs w:val="28"/>
        </w:rPr>
        <w:t xml:space="preserve">Haier Group is a pioneer and model of organizational change in Chinese enterprises. Its innovative model, with "people-oriented and single-business integration" as its core, has successfully achieved a transformation from a traditional management-based model to an entrepreneurial innovation model by building small and micro enterprises and stimulating the endogenous motivation of the organization </w:t>
      </w:r>
      <w:r>
        <w:rPr>
          <w:rFonts w:ascii="Times New Roman" w:hAnsi="Times New Roman" w:hint="eastAsia"/>
          <w:sz w:val="28"/>
          <w:szCs w:val="28"/>
        </w:rPr>
        <w:t>[51</w:t>
      </w:r>
      <w:proofErr w:type="gramStart"/>
      <w:r>
        <w:rPr>
          <w:rFonts w:ascii="Times New Roman" w:hAnsi="Times New Roman" w:hint="eastAsia"/>
          <w:sz w:val="28"/>
          <w:szCs w:val="28"/>
        </w:rPr>
        <w:t xml:space="preserve">] </w:t>
      </w:r>
      <w:r>
        <w:rPr>
          <w:rFonts w:ascii="Times New Roman" w:hAnsi="Times New Roman"/>
          <w:sz w:val="28"/>
          <w:szCs w:val="28"/>
        </w:rPr>
        <w:t>.</w:t>
      </w:r>
      <w:proofErr w:type="gramEnd"/>
      <w:r>
        <w:rPr>
          <w:rFonts w:ascii="Times New Roman" w:hAnsi="Times New Roman"/>
          <w:sz w:val="28"/>
          <w:szCs w:val="28"/>
        </w:rPr>
        <w:t xml:space="preserve"> This transformation has not only brought Haier outstanding operating performance, but also provided valuable experience for organizational innovation in Chinese enterprises. Let us further enrich the case details and add necessary charts and illustrations to better explain the successful logic of Haier's transformation.</w:t>
      </w:r>
    </w:p>
    <w:p w14:paraId="6D1982A9" w14:textId="77777777" w:rsidR="00CB0142" w:rsidRDefault="00AF7DAE">
      <w:pPr>
        <w:pStyle w:val="a3"/>
        <w:widowControl/>
        <w:snapToGrid w:val="0"/>
        <w:spacing w:beforeAutospacing="0" w:afterAutospacing="0" w:line="360" w:lineRule="auto"/>
        <w:ind w:firstLineChars="200" w:firstLine="560"/>
        <w:rPr>
          <w:rFonts w:ascii="Times New Roman" w:hAnsi="Times New Roman"/>
          <w:sz w:val="28"/>
          <w:szCs w:val="28"/>
        </w:rPr>
      </w:pPr>
      <w:r>
        <w:rPr>
          <w:rFonts w:ascii="Times New Roman" w:hAnsi="Times New Roman"/>
          <w:sz w:val="28"/>
          <w:szCs w:val="28"/>
        </w:rPr>
        <w:t>The essence of Haier's "</w:t>
      </w:r>
      <w:proofErr w:type="spellStart"/>
      <w:r>
        <w:rPr>
          <w:rFonts w:ascii="Times New Roman" w:hAnsi="Times New Roman"/>
          <w:sz w:val="28"/>
          <w:szCs w:val="28"/>
        </w:rPr>
        <w:t>Rendanheyi</w:t>
      </w:r>
      <w:proofErr w:type="spellEnd"/>
      <w:r>
        <w:rPr>
          <w:rFonts w:ascii="Times New Roman" w:hAnsi="Times New Roman"/>
          <w:sz w:val="28"/>
          <w:szCs w:val="28"/>
        </w:rPr>
        <w:t>" reform is to build many user-oriented micro-entities within the enterprise, forming flexible and autonomous entrepreneurial innovation units, so that employees can change from "I have to do it" to "I want to do it", and the organization can change from controlling people to managing things. After years of exploration, this model has become more mature and has become Haier's winning magic weapon for long-term success. In order to scientifically evaluate the effectiveness of the reform, Haier has built a unique evaluation mechanism to dynamically evaluate the promotion quality and reform results of "</w:t>
      </w:r>
      <w:proofErr w:type="spellStart"/>
      <w:r>
        <w:rPr>
          <w:rFonts w:ascii="Times New Roman" w:hAnsi="Times New Roman"/>
          <w:sz w:val="28"/>
          <w:szCs w:val="28"/>
        </w:rPr>
        <w:t>Rendanheyi</w:t>
      </w:r>
      <w:proofErr w:type="spellEnd"/>
      <w:r>
        <w:rPr>
          <w:rFonts w:ascii="Times New Roman" w:hAnsi="Times New Roman"/>
          <w:sz w:val="28"/>
          <w:szCs w:val="28"/>
        </w:rPr>
        <w:t xml:space="preserve">" from </w:t>
      </w:r>
      <w:r>
        <w:rPr>
          <w:rFonts w:ascii="Times New Roman" w:hAnsi="Times New Roman"/>
          <w:sz w:val="28"/>
          <w:szCs w:val="28"/>
        </w:rPr>
        <w:lastRenderedPageBreak/>
        <w:t xml:space="preserve">multiple dimensions such as business indicators, </w:t>
      </w:r>
      <w:proofErr w:type="spellStart"/>
      <w:r>
        <w:rPr>
          <w:rFonts w:ascii="Times New Roman" w:hAnsi="Times New Roman"/>
          <w:sz w:val="28"/>
          <w:szCs w:val="28"/>
        </w:rPr>
        <w:t>Rendanheyi</w:t>
      </w:r>
      <w:proofErr w:type="spellEnd"/>
      <w:r>
        <w:rPr>
          <w:rFonts w:ascii="Times New Roman" w:hAnsi="Times New Roman"/>
          <w:sz w:val="28"/>
          <w:szCs w:val="28"/>
        </w:rPr>
        <w:t xml:space="preserve"> index, ecological value, and strategic orientation. The evaluation results are shown in Table 3.</w:t>
      </w:r>
    </w:p>
    <w:p w14:paraId="06B68595" w14:textId="77777777" w:rsidR="00CB0142" w:rsidRDefault="00AF7DAE">
      <w:pPr>
        <w:pStyle w:val="a3"/>
        <w:widowControl/>
        <w:snapToGrid w:val="0"/>
        <w:spacing w:beforeAutospacing="0" w:afterAutospacing="0"/>
        <w:jc w:val="right"/>
        <w:rPr>
          <w:rFonts w:ascii="Times New Roman" w:hAnsi="Times New Roman"/>
          <w:b/>
          <w:bCs/>
          <w:sz w:val="28"/>
          <w:szCs w:val="28"/>
        </w:rPr>
      </w:pPr>
      <w:r>
        <w:rPr>
          <w:rFonts w:ascii="Times New Roman" w:hAnsi="Times New Roman"/>
          <w:b/>
          <w:bCs/>
          <w:sz w:val="28"/>
          <w:szCs w:val="28"/>
        </w:rPr>
        <w:t>Table 3</w:t>
      </w:r>
    </w:p>
    <w:p w14:paraId="232F6618" w14:textId="77777777" w:rsidR="00CB0142" w:rsidRDefault="00AF7DAE">
      <w:pPr>
        <w:pStyle w:val="a3"/>
        <w:widowControl/>
        <w:snapToGrid w:val="0"/>
        <w:spacing w:beforeAutospacing="0" w:afterAutospacing="0"/>
        <w:jc w:val="right"/>
        <w:rPr>
          <w:rFonts w:ascii="Times New Roman" w:hAnsi="Times New Roman"/>
          <w:b/>
          <w:bCs/>
          <w:sz w:val="28"/>
          <w:szCs w:val="28"/>
        </w:rPr>
      </w:pPr>
      <w:r>
        <w:rPr>
          <w:rFonts w:ascii="Times New Roman" w:hAnsi="Times New Roman"/>
          <w:b/>
          <w:bCs/>
          <w:sz w:val="28"/>
          <w:szCs w:val="28"/>
        </w:rPr>
        <w:t>Evaluation results of Haier's "</w:t>
      </w:r>
      <w:proofErr w:type="spellStart"/>
      <w:r>
        <w:rPr>
          <w:rFonts w:ascii="Times New Roman" w:hAnsi="Times New Roman"/>
          <w:b/>
          <w:bCs/>
          <w:sz w:val="28"/>
          <w:szCs w:val="28"/>
        </w:rPr>
        <w:t>Rendanheyi</w:t>
      </w:r>
      <w:proofErr w:type="spellEnd"/>
      <w:r>
        <w:rPr>
          <w:rFonts w:ascii="Times New Roman" w:hAnsi="Times New Roman"/>
          <w:b/>
          <w:bCs/>
          <w:sz w:val="28"/>
          <w:szCs w:val="28"/>
        </w:rPr>
        <w:t>" model transformation</w:t>
      </w:r>
    </w:p>
    <w:p w14:paraId="6C6C6CB3" w14:textId="77777777" w:rsidR="00CB0142" w:rsidRDefault="00CB0142">
      <w:pPr>
        <w:pStyle w:val="a3"/>
        <w:widowControl/>
        <w:snapToGrid w:val="0"/>
        <w:spacing w:beforeAutospacing="0" w:afterAutospacing="0" w:line="360" w:lineRule="auto"/>
        <w:ind w:firstLineChars="200" w:firstLine="560"/>
        <w:rPr>
          <w:rFonts w:ascii="Times New Roman" w:hAnsi="Times New Roman"/>
          <w:sz w:val="28"/>
          <w:szCs w:val="28"/>
        </w:rPr>
      </w:pPr>
    </w:p>
    <w:tbl>
      <w:tblPr>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90"/>
        <w:gridCol w:w="3656"/>
        <w:gridCol w:w="3224"/>
      </w:tblGrid>
      <w:tr w:rsidR="00CB0142" w14:paraId="1FCA458E" w14:textId="77777777">
        <w:trPr>
          <w:trHeight w:val="356"/>
        </w:trPr>
        <w:tc>
          <w:tcPr>
            <w:tcW w:w="1442" w:type="pct"/>
            <w:shd w:val="clear" w:color="auto" w:fill="auto"/>
            <w:vAlign w:val="center"/>
          </w:tcPr>
          <w:p w14:paraId="169301E5" w14:textId="77777777" w:rsidR="00CB0142" w:rsidRDefault="00AF7DAE">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bidi="ar"/>
              </w:rPr>
              <w:t>Evaluation Dimension</w:t>
            </w:r>
          </w:p>
        </w:tc>
        <w:tc>
          <w:tcPr>
            <w:tcW w:w="1890" w:type="pct"/>
            <w:shd w:val="clear" w:color="auto" w:fill="auto"/>
            <w:vAlign w:val="center"/>
          </w:tcPr>
          <w:p w14:paraId="20BC7334" w14:textId="77777777" w:rsidR="00CB0142" w:rsidRDefault="00AF7DAE">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bidi="ar"/>
              </w:rPr>
              <w:t>Core Indicators</w:t>
            </w:r>
          </w:p>
        </w:tc>
        <w:tc>
          <w:tcPr>
            <w:tcW w:w="1667" w:type="pct"/>
            <w:shd w:val="clear" w:color="auto" w:fill="auto"/>
            <w:vAlign w:val="center"/>
          </w:tcPr>
          <w:p w14:paraId="789C5087" w14:textId="77777777" w:rsidR="00CB0142" w:rsidRDefault="00AF7DAE">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bidi="ar"/>
              </w:rPr>
              <w:t>Completion Status</w:t>
            </w:r>
          </w:p>
        </w:tc>
      </w:tr>
      <w:tr w:rsidR="00CB0142" w14:paraId="73AE764A" w14:textId="77777777">
        <w:trPr>
          <w:trHeight w:val="356"/>
        </w:trPr>
        <w:tc>
          <w:tcPr>
            <w:tcW w:w="1442" w:type="pct"/>
            <w:vMerge w:val="restart"/>
            <w:shd w:val="clear" w:color="auto" w:fill="auto"/>
            <w:vAlign w:val="center"/>
          </w:tcPr>
          <w:p w14:paraId="2DDB0B77"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Operational Indicators</w:t>
            </w:r>
          </w:p>
        </w:tc>
        <w:tc>
          <w:tcPr>
            <w:tcW w:w="1890" w:type="pct"/>
            <w:shd w:val="clear" w:color="auto" w:fill="auto"/>
            <w:vAlign w:val="center"/>
          </w:tcPr>
          <w:p w14:paraId="47539485"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Response Speed</w:t>
            </w:r>
          </w:p>
        </w:tc>
        <w:tc>
          <w:tcPr>
            <w:tcW w:w="1667" w:type="pct"/>
            <w:shd w:val="clear" w:color="auto" w:fill="auto"/>
            <w:vAlign w:val="center"/>
          </w:tcPr>
          <w:p w14:paraId="6C75864F"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 xml:space="preserve">Reduced by </w:t>
            </w:r>
            <w:r>
              <w:rPr>
                <w:rFonts w:ascii="Times New Roman" w:eastAsia="SimSun" w:hAnsi="Times New Roman" w:cs="Times New Roman" w:hint="eastAsia"/>
                <w:color w:val="000000"/>
                <w:kern w:val="0"/>
                <w:sz w:val="28"/>
                <w:szCs w:val="28"/>
                <w:lang w:bidi="ar"/>
              </w:rPr>
              <w:t>6</w:t>
            </w:r>
            <w:r>
              <w:rPr>
                <w:rFonts w:ascii="Times New Roman" w:eastAsia="SimSun" w:hAnsi="Times New Roman" w:cs="Times New Roman"/>
                <w:color w:val="000000"/>
                <w:kern w:val="0"/>
                <w:sz w:val="28"/>
                <w:szCs w:val="28"/>
                <w:lang w:bidi="ar"/>
              </w:rPr>
              <w:t>0%</w:t>
            </w:r>
          </w:p>
        </w:tc>
      </w:tr>
      <w:tr w:rsidR="00CB0142" w14:paraId="636A1D39" w14:textId="77777777">
        <w:trPr>
          <w:trHeight w:val="356"/>
        </w:trPr>
        <w:tc>
          <w:tcPr>
            <w:tcW w:w="1442" w:type="pct"/>
            <w:vMerge/>
            <w:shd w:val="clear" w:color="auto" w:fill="auto"/>
            <w:vAlign w:val="center"/>
          </w:tcPr>
          <w:p w14:paraId="06FCDCD0" w14:textId="77777777" w:rsidR="00CB0142" w:rsidRDefault="00CB0142">
            <w:pPr>
              <w:snapToGrid w:val="0"/>
              <w:rPr>
                <w:rFonts w:ascii="Times New Roman" w:eastAsia="SimSun" w:hAnsi="Times New Roman" w:cs="Times New Roman"/>
                <w:color w:val="000000"/>
                <w:sz w:val="28"/>
                <w:szCs w:val="28"/>
              </w:rPr>
            </w:pPr>
          </w:p>
        </w:tc>
        <w:tc>
          <w:tcPr>
            <w:tcW w:w="1890" w:type="pct"/>
            <w:shd w:val="clear" w:color="auto" w:fill="auto"/>
            <w:vAlign w:val="center"/>
          </w:tcPr>
          <w:p w14:paraId="2DAFC8A4"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Product Qualification Rate</w:t>
            </w:r>
          </w:p>
        </w:tc>
        <w:tc>
          <w:tcPr>
            <w:tcW w:w="1667" w:type="pct"/>
            <w:shd w:val="clear" w:color="auto" w:fill="auto"/>
            <w:vAlign w:val="center"/>
          </w:tcPr>
          <w:p w14:paraId="4BB11471"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Increased to 99.7%</w:t>
            </w:r>
          </w:p>
        </w:tc>
      </w:tr>
      <w:tr w:rsidR="00CB0142" w14:paraId="0892D727" w14:textId="77777777">
        <w:trPr>
          <w:trHeight w:val="706"/>
        </w:trPr>
        <w:tc>
          <w:tcPr>
            <w:tcW w:w="1442" w:type="pct"/>
            <w:vMerge/>
            <w:shd w:val="clear" w:color="auto" w:fill="auto"/>
            <w:vAlign w:val="center"/>
          </w:tcPr>
          <w:p w14:paraId="78EFFC4E" w14:textId="77777777" w:rsidR="00CB0142" w:rsidRDefault="00CB0142">
            <w:pPr>
              <w:snapToGrid w:val="0"/>
              <w:rPr>
                <w:rFonts w:ascii="Times New Roman" w:eastAsia="SimSun" w:hAnsi="Times New Roman" w:cs="Times New Roman"/>
                <w:color w:val="000000"/>
                <w:sz w:val="28"/>
                <w:szCs w:val="28"/>
              </w:rPr>
            </w:pPr>
          </w:p>
        </w:tc>
        <w:tc>
          <w:tcPr>
            <w:tcW w:w="1890" w:type="pct"/>
            <w:shd w:val="clear" w:color="auto" w:fill="auto"/>
            <w:vAlign w:val="center"/>
          </w:tcPr>
          <w:p w14:paraId="29AF2C0E"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Proportion of Innovative Products</w:t>
            </w:r>
          </w:p>
        </w:tc>
        <w:tc>
          <w:tcPr>
            <w:tcW w:w="1667" w:type="pct"/>
            <w:shd w:val="clear" w:color="auto" w:fill="auto"/>
            <w:vAlign w:val="center"/>
          </w:tcPr>
          <w:p w14:paraId="4039E855"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Increased to 75%</w:t>
            </w:r>
          </w:p>
        </w:tc>
      </w:tr>
      <w:tr w:rsidR="00CB0142" w14:paraId="0D6332A7" w14:textId="77777777">
        <w:trPr>
          <w:trHeight w:val="356"/>
        </w:trPr>
        <w:tc>
          <w:tcPr>
            <w:tcW w:w="1442" w:type="pct"/>
            <w:vMerge w:val="restart"/>
            <w:shd w:val="clear" w:color="auto" w:fill="auto"/>
            <w:vAlign w:val="center"/>
          </w:tcPr>
          <w:p w14:paraId="0454B795"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Human Integration Index</w:t>
            </w:r>
          </w:p>
        </w:tc>
        <w:tc>
          <w:tcPr>
            <w:tcW w:w="1890" w:type="pct"/>
            <w:shd w:val="clear" w:color="auto" w:fill="auto"/>
            <w:vAlign w:val="center"/>
          </w:tcPr>
          <w:p w14:paraId="41137C63"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Goal Alignment Rate</w:t>
            </w:r>
          </w:p>
        </w:tc>
        <w:tc>
          <w:tcPr>
            <w:tcW w:w="1667" w:type="pct"/>
            <w:shd w:val="clear" w:color="auto" w:fill="auto"/>
            <w:vAlign w:val="center"/>
          </w:tcPr>
          <w:p w14:paraId="2397B0B7"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Above 90%</w:t>
            </w:r>
          </w:p>
        </w:tc>
      </w:tr>
      <w:tr w:rsidR="00CB0142" w14:paraId="57A56C90" w14:textId="77777777">
        <w:trPr>
          <w:trHeight w:val="706"/>
        </w:trPr>
        <w:tc>
          <w:tcPr>
            <w:tcW w:w="1442" w:type="pct"/>
            <w:vMerge/>
            <w:shd w:val="clear" w:color="auto" w:fill="auto"/>
            <w:vAlign w:val="center"/>
          </w:tcPr>
          <w:p w14:paraId="319ADFCD" w14:textId="77777777" w:rsidR="00CB0142" w:rsidRDefault="00CB0142">
            <w:pPr>
              <w:snapToGrid w:val="0"/>
              <w:rPr>
                <w:rFonts w:ascii="Times New Roman" w:eastAsia="SimSun" w:hAnsi="Times New Roman" w:cs="Times New Roman"/>
                <w:color w:val="000000"/>
                <w:sz w:val="28"/>
                <w:szCs w:val="28"/>
              </w:rPr>
            </w:pPr>
          </w:p>
        </w:tc>
        <w:tc>
          <w:tcPr>
            <w:tcW w:w="1890" w:type="pct"/>
            <w:shd w:val="clear" w:color="auto" w:fill="auto"/>
            <w:vAlign w:val="center"/>
          </w:tcPr>
          <w:p w14:paraId="1D88789E"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Self-motivation Ability</w:t>
            </w:r>
          </w:p>
        </w:tc>
        <w:tc>
          <w:tcPr>
            <w:tcW w:w="1667" w:type="pct"/>
            <w:shd w:val="clear" w:color="auto" w:fill="auto"/>
            <w:vAlign w:val="center"/>
          </w:tcPr>
          <w:p w14:paraId="17880145"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Over 70% of employees met the standard</w:t>
            </w:r>
          </w:p>
        </w:tc>
      </w:tr>
      <w:tr w:rsidR="00CB0142" w14:paraId="35FF3045" w14:textId="77777777">
        <w:trPr>
          <w:trHeight w:val="706"/>
        </w:trPr>
        <w:tc>
          <w:tcPr>
            <w:tcW w:w="1442" w:type="pct"/>
            <w:vMerge/>
            <w:shd w:val="clear" w:color="auto" w:fill="auto"/>
            <w:vAlign w:val="center"/>
          </w:tcPr>
          <w:p w14:paraId="0042A882" w14:textId="77777777" w:rsidR="00CB0142" w:rsidRDefault="00CB0142">
            <w:pPr>
              <w:snapToGrid w:val="0"/>
              <w:rPr>
                <w:rFonts w:ascii="Times New Roman" w:eastAsia="SimSun" w:hAnsi="Times New Roman" w:cs="Times New Roman"/>
                <w:color w:val="000000"/>
                <w:sz w:val="28"/>
                <w:szCs w:val="28"/>
              </w:rPr>
            </w:pPr>
          </w:p>
        </w:tc>
        <w:tc>
          <w:tcPr>
            <w:tcW w:w="1890" w:type="pct"/>
            <w:shd w:val="clear" w:color="auto" w:fill="auto"/>
            <w:vAlign w:val="center"/>
          </w:tcPr>
          <w:p w14:paraId="18472EB0"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Team Collaboration</w:t>
            </w:r>
          </w:p>
        </w:tc>
        <w:tc>
          <w:tcPr>
            <w:tcW w:w="1667" w:type="pct"/>
            <w:shd w:val="clear" w:color="auto" w:fill="auto"/>
            <w:vAlign w:val="center"/>
          </w:tcPr>
          <w:p w14:paraId="7DD6D6E6"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Cross-team collaboration projects increased by 50%</w:t>
            </w:r>
          </w:p>
        </w:tc>
      </w:tr>
      <w:tr w:rsidR="00CB0142" w14:paraId="2C2A04A2" w14:textId="77777777">
        <w:trPr>
          <w:trHeight w:val="706"/>
        </w:trPr>
        <w:tc>
          <w:tcPr>
            <w:tcW w:w="1442" w:type="pct"/>
            <w:vMerge w:val="restart"/>
            <w:shd w:val="clear" w:color="auto" w:fill="auto"/>
            <w:vAlign w:val="center"/>
          </w:tcPr>
          <w:p w14:paraId="19EB96B8"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Ecological Value</w:t>
            </w:r>
          </w:p>
        </w:tc>
        <w:tc>
          <w:tcPr>
            <w:tcW w:w="1890" w:type="pct"/>
            <w:shd w:val="clear" w:color="auto" w:fill="auto"/>
            <w:vAlign w:val="center"/>
          </w:tcPr>
          <w:p w14:paraId="7E01C78A"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External Resource Introduction</w:t>
            </w:r>
          </w:p>
        </w:tc>
        <w:tc>
          <w:tcPr>
            <w:tcW w:w="1667" w:type="pct"/>
            <w:shd w:val="clear" w:color="auto" w:fill="auto"/>
            <w:vAlign w:val="center"/>
          </w:tcPr>
          <w:p w14:paraId="2550E9E7"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Attracted 1 billion CNY in investments</w:t>
            </w:r>
          </w:p>
        </w:tc>
      </w:tr>
      <w:tr w:rsidR="00CB0142" w14:paraId="7338F243" w14:textId="77777777">
        <w:trPr>
          <w:trHeight w:val="706"/>
        </w:trPr>
        <w:tc>
          <w:tcPr>
            <w:tcW w:w="1442" w:type="pct"/>
            <w:vMerge/>
            <w:shd w:val="clear" w:color="auto" w:fill="auto"/>
            <w:vAlign w:val="center"/>
          </w:tcPr>
          <w:p w14:paraId="630079CA" w14:textId="77777777" w:rsidR="00CB0142" w:rsidRDefault="00CB0142">
            <w:pPr>
              <w:snapToGrid w:val="0"/>
              <w:rPr>
                <w:rFonts w:ascii="Times New Roman" w:eastAsia="SimSun" w:hAnsi="Times New Roman" w:cs="Times New Roman"/>
                <w:color w:val="000000"/>
                <w:sz w:val="28"/>
                <w:szCs w:val="28"/>
              </w:rPr>
            </w:pPr>
          </w:p>
        </w:tc>
        <w:tc>
          <w:tcPr>
            <w:tcW w:w="1890" w:type="pct"/>
            <w:shd w:val="clear" w:color="auto" w:fill="auto"/>
            <w:vAlign w:val="center"/>
          </w:tcPr>
          <w:p w14:paraId="244D2A67"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Number of Micro-units Incubated</w:t>
            </w:r>
          </w:p>
        </w:tc>
        <w:tc>
          <w:tcPr>
            <w:tcW w:w="1667" w:type="pct"/>
            <w:shd w:val="clear" w:color="auto" w:fill="auto"/>
            <w:vAlign w:val="center"/>
          </w:tcPr>
          <w:p w14:paraId="3F607A19"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Over 50</w:t>
            </w:r>
          </w:p>
        </w:tc>
      </w:tr>
      <w:tr w:rsidR="00CB0142" w14:paraId="15637FAF" w14:textId="77777777">
        <w:trPr>
          <w:trHeight w:val="356"/>
        </w:trPr>
        <w:tc>
          <w:tcPr>
            <w:tcW w:w="1442" w:type="pct"/>
            <w:vMerge/>
            <w:shd w:val="clear" w:color="auto" w:fill="auto"/>
            <w:vAlign w:val="center"/>
          </w:tcPr>
          <w:p w14:paraId="6AB2E4BB" w14:textId="77777777" w:rsidR="00CB0142" w:rsidRDefault="00CB0142">
            <w:pPr>
              <w:snapToGrid w:val="0"/>
              <w:rPr>
                <w:rFonts w:ascii="Times New Roman" w:eastAsia="SimSun" w:hAnsi="Times New Roman" w:cs="Times New Roman"/>
                <w:color w:val="000000"/>
                <w:sz w:val="28"/>
                <w:szCs w:val="28"/>
              </w:rPr>
            </w:pPr>
          </w:p>
        </w:tc>
        <w:tc>
          <w:tcPr>
            <w:tcW w:w="1890" w:type="pct"/>
            <w:shd w:val="clear" w:color="auto" w:fill="auto"/>
            <w:vAlign w:val="center"/>
          </w:tcPr>
          <w:p w14:paraId="6BFDC574"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Successful Incubation Rate</w:t>
            </w:r>
          </w:p>
        </w:tc>
        <w:tc>
          <w:tcPr>
            <w:tcW w:w="1667" w:type="pct"/>
            <w:shd w:val="clear" w:color="auto" w:fill="auto"/>
            <w:vAlign w:val="center"/>
          </w:tcPr>
          <w:p w14:paraId="018CE616"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Above 60%</w:t>
            </w:r>
          </w:p>
        </w:tc>
      </w:tr>
      <w:tr w:rsidR="00CB0142" w14:paraId="2B23C7F4" w14:textId="77777777">
        <w:trPr>
          <w:trHeight w:val="356"/>
        </w:trPr>
        <w:tc>
          <w:tcPr>
            <w:tcW w:w="1442" w:type="pct"/>
            <w:vMerge w:val="restart"/>
            <w:shd w:val="clear" w:color="auto" w:fill="auto"/>
            <w:vAlign w:val="center"/>
          </w:tcPr>
          <w:p w14:paraId="25261E11"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Strategic Orientation</w:t>
            </w:r>
          </w:p>
        </w:tc>
        <w:tc>
          <w:tcPr>
            <w:tcW w:w="1890" w:type="pct"/>
            <w:shd w:val="clear" w:color="auto" w:fill="auto"/>
            <w:vAlign w:val="center"/>
          </w:tcPr>
          <w:p w14:paraId="425C27B6"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Employee Awareness Rate</w:t>
            </w:r>
          </w:p>
        </w:tc>
        <w:tc>
          <w:tcPr>
            <w:tcW w:w="1667" w:type="pct"/>
            <w:shd w:val="clear" w:color="auto" w:fill="auto"/>
            <w:vAlign w:val="center"/>
          </w:tcPr>
          <w:p w14:paraId="646C55C8" w14:textId="77777777" w:rsidR="00CB0142" w:rsidRDefault="00AF7DAE">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98%</w:t>
            </w:r>
          </w:p>
        </w:tc>
      </w:tr>
      <w:tr w:rsidR="00CB0142" w14:paraId="5E979E1E" w14:textId="77777777">
        <w:trPr>
          <w:trHeight w:val="356"/>
        </w:trPr>
        <w:tc>
          <w:tcPr>
            <w:tcW w:w="1442" w:type="pct"/>
            <w:vMerge/>
            <w:shd w:val="clear" w:color="auto" w:fill="auto"/>
            <w:vAlign w:val="center"/>
          </w:tcPr>
          <w:p w14:paraId="16BA9D81" w14:textId="77777777" w:rsidR="00CB0142" w:rsidRDefault="00CB0142">
            <w:pPr>
              <w:snapToGrid w:val="0"/>
              <w:rPr>
                <w:rFonts w:ascii="Times New Roman" w:eastAsia="SimSun" w:hAnsi="Times New Roman" w:cs="Times New Roman"/>
                <w:color w:val="000000"/>
                <w:sz w:val="28"/>
                <w:szCs w:val="28"/>
              </w:rPr>
            </w:pPr>
          </w:p>
        </w:tc>
        <w:tc>
          <w:tcPr>
            <w:tcW w:w="1890" w:type="pct"/>
            <w:shd w:val="clear" w:color="auto" w:fill="auto"/>
            <w:vAlign w:val="center"/>
          </w:tcPr>
          <w:p w14:paraId="10392ABE"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Strategic Project Participation</w:t>
            </w:r>
          </w:p>
        </w:tc>
        <w:tc>
          <w:tcPr>
            <w:tcW w:w="1667" w:type="pct"/>
            <w:shd w:val="clear" w:color="auto" w:fill="auto"/>
            <w:vAlign w:val="center"/>
          </w:tcPr>
          <w:p w14:paraId="7C297C6F" w14:textId="77777777" w:rsidR="00CB0142" w:rsidRDefault="00AF7DAE">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95%</w:t>
            </w:r>
          </w:p>
        </w:tc>
      </w:tr>
      <w:tr w:rsidR="00CB0142" w14:paraId="722F9DD7" w14:textId="77777777">
        <w:trPr>
          <w:trHeight w:val="713"/>
        </w:trPr>
        <w:tc>
          <w:tcPr>
            <w:tcW w:w="1442" w:type="pct"/>
            <w:vMerge/>
            <w:shd w:val="clear" w:color="auto" w:fill="auto"/>
            <w:vAlign w:val="center"/>
          </w:tcPr>
          <w:p w14:paraId="7999BF09" w14:textId="77777777" w:rsidR="00CB0142" w:rsidRDefault="00CB0142">
            <w:pPr>
              <w:snapToGrid w:val="0"/>
              <w:rPr>
                <w:rFonts w:ascii="Times New Roman" w:eastAsia="SimSun" w:hAnsi="Times New Roman" w:cs="Times New Roman"/>
                <w:color w:val="000000"/>
                <w:sz w:val="28"/>
                <w:szCs w:val="28"/>
              </w:rPr>
            </w:pPr>
          </w:p>
        </w:tc>
        <w:tc>
          <w:tcPr>
            <w:tcW w:w="1890" w:type="pct"/>
            <w:shd w:val="clear" w:color="auto" w:fill="auto"/>
            <w:vAlign w:val="center"/>
          </w:tcPr>
          <w:p w14:paraId="1A42A9D1"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Employee Strategic Contribution Rate</w:t>
            </w:r>
          </w:p>
        </w:tc>
        <w:tc>
          <w:tcPr>
            <w:tcW w:w="1667" w:type="pct"/>
            <w:shd w:val="clear" w:color="auto" w:fill="auto"/>
            <w:vAlign w:val="center"/>
          </w:tcPr>
          <w:p w14:paraId="0A797FFC" w14:textId="77777777" w:rsidR="00CB0142" w:rsidRDefault="00AF7DAE">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bidi="ar"/>
              </w:rPr>
              <w:t>Over 80% with outstanding contribution</w:t>
            </w:r>
          </w:p>
        </w:tc>
      </w:tr>
    </w:tbl>
    <w:p w14:paraId="27C74342" w14:textId="77777777" w:rsidR="00CB0142" w:rsidRDefault="00AF7DAE">
      <w:pPr>
        <w:pStyle w:val="a3"/>
        <w:widowControl/>
        <w:snapToGrid w:val="0"/>
        <w:spacing w:beforeAutospacing="0" w:afterAutospacing="0" w:line="360" w:lineRule="auto"/>
        <w:ind w:firstLineChars="200" w:firstLine="560"/>
        <w:rPr>
          <w:rFonts w:ascii="Times New Roman" w:hAnsi="Times New Roman"/>
          <w:sz w:val="28"/>
          <w:szCs w:val="28"/>
        </w:rPr>
      </w:pPr>
      <w:r>
        <w:rPr>
          <w:rFonts w:ascii="Times New Roman" w:hAnsi="Times New Roman"/>
          <w:sz w:val="28"/>
          <w:szCs w:val="28"/>
        </w:rPr>
        <w:t xml:space="preserve">Note: Data is compiled based on Haier’s public information, internal interviews, etc. </w:t>
      </w:r>
      <w:r>
        <w:rPr>
          <w:rFonts w:ascii="Times New Roman" w:hAnsi="Times New Roman" w:hint="eastAsia"/>
          <w:sz w:val="28"/>
          <w:szCs w:val="28"/>
        </w:rPr>
        <w:t>[51,52]</w:t>
      </w:r>
    </w:p>
    <w:p w14:paraId="226C0216" w14:textId="77777777" w:rsidR="00CB0142" w:rsidRDefault="00AF7DAE">
      <w:pPr>
        <w:pStyle w:val="a3"/>
        <w:widowControl/>
        <w:snapToGrid w:val="0"/>
        <w:spacing w:beforeAutospacing="0" w:afterAutospacing="0" w:line="360" w:lineRule="auto"/>
        <w:ind w:firstLineChars="200" w:firstLine="560"/>
        <w:rPr>
          <w:rFonts w:ascii="Times New Roman" w:hAnsi="Times New Roman"/>
          <w:sz w:val="28"/>
          <w:szCs w:val="28"/>
        </w:rPr>
      </w:pPr>
      <w:r>
        <w:rPr>
          <w:rFonts w:ascii="Times New Roman" w:eastAsia="SimSun" w:hAnsi="Times New Roman"/>
          <w:sz w:val="28"/>
          <w:szCs w:val="28"/>
        </w:rPr>
        <w:t>The evaluation results show that the "people-oriented" reform has brought significant improvements in Haier's organizational performance. In terms of business indicators, small and micro businesses respond quickly to the market, product delivery cycles are greatly shortened, and orders for complete products in 20</w:t>
      </w:r>
      <w:r>
        <w:rPr>
          <w:rFonts w:ascii="Times New Roman" w:eastAsia="SimSun" w:hAnsi="Times New Roman" w:hint="eastAsia"/>
          <w:sz w:val="28"/>
          <w:szCs w:val="28"/>
        </w:rPr>
        <w:t>23</w:t>
      </w:r>
      <w:r>
        <w:rPr>
          <w:rFonts w:ascii="Times New Roman" w:eastAsia="SimSun" w:hAnsi="Times New Roman"/>
          <w:sz w:val="28"/>
          <w:szCs w:val="28"/>
        </w:rPr>
        <w:t xml:space="preserve"> The response speed has increased by </w:t>
      </w:r>
      <w:r>
        <w:rPr>
          <w:rFonts w:ascii="Times New Roman" w:eastAsia="SimSun" w:hAnsi="Times New Roman" w:hint="eastAsia"/>
          <w:sz w:val="28"/>
          <w:szCs w:val="28"/>
        </w:rPr>
        <w:t>6</w:t>
      </w:r>
      <w:r>
        <w:rPr>
          <w:rFonts w:ascii="Times New Roman" w:eastAsia="SimSun" w:hAnsi="Times New Roman"/>
          <w:sz w:val="28"/>
          <w:szCs w:val="28"/>
        </w:rPr>
        <w:t xml:space="preserve">0% compared with before the reform. At the same time, innovation-driven has brought about an overall leap in product strength. The micro-enterprise mechanism has effectively promoted the development and iteration of innovative products, and the proportion of innovative product revenue has increased </w:t>
      </w:r>
      <w:r>
        <w:rPr>
          <w:rFonts w:ascii="Times New Roman" w:eastAsia="SimSun" w:hAnsi="Times New Roman"/>
          <w:sz w:val="28"/>
          <w:szCs w:val="28"/>
        </w:rPr>
        <w:lastRenderedPageBreak/>
        <w:t>from less than 20% in 2014. By 20</w:t>
      </w:r>
      <w:r>
        <w:rPr>
          <w:rFonts w:ascii="Times New Roman" w:eastAsia="SimSun" w:hAnsi="Times New Roman" w:hint="eastAsia"/>
          <w:sz w:val="28"/>
          <w:szCs w:val="28"/>
        </w:rPr>
        <w:t>23</w:t>
      </w:r>
      <w:r>
        <w:rPr>
          <w:rFonts w:ascii="Times New Roman" w:eastAsia="SimSun" w:hAnsi="Times New Roman"/>
          <w:sz w:val="28"/>
          <w:szCs w:val="28"/>
        </w:rPr>
        <w:t xml:space="preserve">, the proportion of product competitiveness has reached </w:t>
      </w:r>
      <w:r>
        <w:rPr>
          <w:rFonts w:ascii="Times New Roman" w:eastAsia="SimSun" w:hAnsi="Times New Roman" w:hint="eastAsia"/>
          <w:sz w:val="28"/>
          <w:szCs w:val="28"/>
        </w:rPr>
        <w:t>8</w:t>
      </w:r>
      <w:r>
        <w:rPr>
          <w:rFonts w:ascii="Times New Roman" w:eastAsia="SimSun" w:hAnsi="Times New Roman"/>
          <w:sz w:val="28"/>
          <w:szCs w:val="28"/>
        </w:rPr>
        <w:t>5%, and the product competitiveness has been comprehensively improved.</w:t>
      </w:r>
    </w:p>
    <w:p w14:paraId="2498C7EE"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terms of organizational vitality, self-driven and collaborative teams continue to emerge. The "Human Cooperation Index" assessment shows that more than 70% of employees have achieved a change in thinking from "I have to do it" to "I want to do it", and their goal orientation and subjective initiative have been significantly enhanced. The number of cross-team collaboration and co-creation projects has increased significantly, and the horizontal coordination level of the organization has continued to optimize. In terms of ecological construction, within three years, Haier Smart Home Ecosystem has incubated 26 small and micro enterprises, cultivated ecological brands such as </w:t>
      </w:r>
      <w:proofErr w:type="spellStart"/>
      <w:r>
        <w:rPr>
          <w:rFonts w:ascii="Times New Roman" w:hAnsi="Times New Roman" w:cs="Times New Roman"/>
          <w:sz w:val="28"/>
          <w:szCs w:val="28"/>
        </w:rPr>
        <w:t>COSMOPlat</w:t>
      </w:r>
      <w:proofErr w:type="spellEnd"/>
      <w:r>
        <w:rPr>
          <w:rFonts w:ascii="Times New Roman" w:hAnsi="Times New Roman" w:cs="Times New Roman"/>
          <w:sz w:val="28"/>
          <w:szCs w:val="28"/>
        </w:rPr>
        <w:t xml:space="preserve"> and </w:t>
      </w:r>
      <w:proofErr w:type="spellStart"/>
      <w:r>
        <w:rPr>
          <w:rFonts w:ascii="Times New Roman" w:hAnsi="Times New Roman" w:cs="Times New Roman"/>
          <w:sz w:val="28"/>
          <w:szCs w:val="28"/>
        </w:rPr>
        <w:t>Dachu</w:t>
      </w:r>
      <w:proofErr w:type="spellEnd"/>
      <w:r>
        <w:rPr>
          <w:rFonts w:ascii="Times New Roman" w:hAnsi="Times New Roman" w:cs="Times New Roman"/>
          <w:sz w:val="28"/>
          <w:szCs w:val="28"/>
        </w:rPr>
        <w:t xml:space="preserve"> Electric, effectively introduced social resources, and strengthened Haier's innovation shortcomings. In terms of strategic leadership, through high-frequency collective learning and strategic dialogues, more than 98% of employees have formed a clear understanding of the "people-oriented" concept, more than 95% of employees actively participate in various strategic projects, and more than 80% of employees have made outstanding contributions to the achievement of strategic goals. The organization's centripetal force and strategic execution have been comprehensively </w:t>
      </w:r>
      <w:proofErr w:type="gramStart"/>
      <w:r>
        <w:rPr>
          <w:rFonts w:ascii="Times New Roman" w:hAnsi="Times New Roman" w:cs="Times New Roman"/>
          <w:sz w:val="28"/>
          <w:szCs w:val="28"/>
        </w:rPr>
        <w:t>improved .</w:t>
      </w:r>
      <w:proofErr w:type="gramEnd"/>
    </w:p>
    <w:p w14:paraId="143AC94F"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A highlight of Haier's "People-Order Integration" transformation evaluation is its strong pertinence and dynamic iteration. On the one hand, Haier has designed personalized indicators that fit the small and micro model based on its own organizational characteristics to accurately portray the state of the organization. On the other hand, it continues to optimize the evaluation standards and incorporate new trends and new elements into the assessment vision. For example, in terms of ecological value, in recent years, more and more emphasis has been placed on indicators such as platform openness and the number of experience service providers, guiding organizations to accelerate the transformation from manufacturing to ecological. This approach of "adapting measures to the needs of the enterprise and keeping pace with the times" effectively avoids the tendency of evaluation to become a formality and ensures the vitality and effectiveness of the evaluation work.</w:t>
      </w:r>
    </w:p>
    <w:p w14:paraId="2E4998FE"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lastRenderedPageBreak/>
        <w:t xml:space="preserve">Relying on the scientific and standardized evaluation mechanism, Haier's transformation has formed a virtuous cycle from self-awareness to self-improvement, breaking through the inherent path again and again, and achieving breakthrough results that lead the industry. Evaluation is not only a "pulse diagnosis" of organizational performance, but also a "catalyst" for the continuous iteration and evolution of Haier's transformation, injecting a continuous endogenous driving force into organizational innovation. Looking to the future, Haier is accelerating its evolution from a single home appliance manufacturer to an ecological brand operator in the era of the Internet of Things, constantly moving towards the vision of "ecological organization under the </w:t>
      </w:r>
      <w:proofErr w:type="spellStart"/>
      <w:r>
        <w:rPr>
          <w:rFonts w:ascii="Times New Roman" w:hAnsi="Times New Roman" w:cs="Times New Roman"/>
          <w:sz w:val="28"/>
          <w:szCs w:val="28"/>
        </w:rPr>
        <w:t>Rendanheyi</w:t>
      </w:r>
      <w:proofErr w:type="spellEnd"/>
      <w:r>
        <w:rPr>
          <w:rFonts w:ascii="Times New Roman" w:hAnsi="Times New Roman" w:cs="Times New Roman"/>
          <w:sz w:val="28"/>
          <w:szCs w:val="28"/>
        </w:rPr>
        <w:t xml:space="preserve"> model", promoting the continuous deepening of organizational change, which also puts forward new and higher requirements for change evaluation. It can be foreseen that in the dynamic iteration of "evaluation-improvement-re-evaluation-re-improvement", Haier's "</w:t>
      </w:r>
      <w:proofErr w:type="spellStart"/>
      <w:r>
        <w:rPr>
          <w:rFonts w:ascii="Times New Roman" w:hAnsi="Times New Roman" w:cs="Times New Roman"/>
          <w:sz w:val="28"/>
          <w:szCs w:val="28"/>
        </w:rPr>
        <w:t>Rendanheyi</w:t>
      </w:r>
      <w:proofErr w:type="spellEnd"/>
      <w:r>
        <w:rPr>
          <w:rFonts w:ascii="Times New Roman" w:hAnsi="Times New Roman" w:cs="Times New Roman"/>
          <w:sz w:val="28"/>
          <w:szCs w:val="28"/>
        </w:rPr>
        <w:t>" model will continue to break through itself, upgrade and optimize, lead organizational change from mechanization and standardization to contextualization and ecology, and contribute the "Haier solution" to the organizational innovation of global enterprises.</w:t>
      </w:r>
    </w:p>
    <w:p w14:paraId="587F1214"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hint="eastAsia"/>
          <w:sz w:val="28"/>
          <w:szCs w:val="28"/>
        </w:rPr>
        <w:t>From an in-depth analysis of the practical cases of these Chinese enterprises, it is not difficult to find that the evaluation paradigm of organizational change is undergoing a profound transformation, that is, from the passive post-mortem reflection in the past to the active optimization and adjustment in the process. . In this process, the boundaries between evaluation and implementation of change become increasingly blurred. The two are intertwined and evolve together, and the results of evaluation are more quickly transformed into actual management actions, leading to the in-depth development of change. .</w:t>
      </w:r>
    </w:p>
    <w:p w14:paraId="1DE55FE3"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hint="eastAsia"/>
          <w:sz w:val="28"/>
          <w:szCs w:val="28"/>
        </w:rPr>
        <w:t>Taking Tencent as an example, its organizational transformation process is like a vivid display of market adaptability. From steady growth in 2019, to severe challenges in 2022, and then to strong recovery in 2023, every turn of Tencent has profoundly reflected the flexibility and strategic adjustment capabilities brought about by organizational changes. This is not only an effective response to market fluctuations, but also a strong proof of organizational resilience and vitality.</w:t>
      </w:r>
    </w:p>
    <w:p w14:paraId="039C3A0C"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hint="eastAsia"/>
          <w:sz w:val="28"/>
          <w:szCs w:val="28"/>
        </w:rPr>
        <w:lastRenderedPageBreak/>
        <w:t>The case of Midea Group shows us how intelligent manufacturing can become a powerful driving force for the all-round improvement of enterprises. From significant improvements in financial indicators, to substantial improvements in operational efficiency, to breakthroughs in product innovation and leaps in customer satisfaction, Midea's transformation practice undoubtedly provides us with a vivid case that reveals how change systematically re-emphasizes Shape the company's operational capabilities and push it to a higher level.</w:t>
      </w:r>
    </w:p>
    <w:p w14:paraId="1B6B82C7"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hint="eastAsia"/>
          <w:sz w:val="28"/>
          <w:szCs w:val="28"/>
        </w:rPr>
        <w:t>In general, Chinese companies have established systematic evaluation systems and adopted diversified evaluation methods to ensure the objectivity and reliability of evaluation results. They emphasize data support and logical verification, making the evaluation process more scientific and rigorous.</w:t>
      </w:r>
    </w:p>
    <w:p w14:paraId="0684CA6A" w14:textId="77777777" w:rsidR="00CB0142" w:rsidRDefault="00AF7DAE">
      <w:pPr>
        <w:rPr>
          <w:rFonts w:ascii="Times New Roman" w:hAnsi="Times New Roman" w:cs="Times New Roman"/>
          <w:sz w:val="28"/>
          <w:szCs w:val="28"/>
        </w:rPr>
      </w:pPr>
      <w:r>
        <w:rPr>
          <w:rFonts w:ascii="Times New Roman" w:hAnsi="Times New Roman" w:cs="Times New Roman" w:hint="eastAsia"/>
          <w:sz w:val="28"/>
          <w:szCs w:val="28"/>
        </w:rPr>
        <w:br w:type="page"/>
      </w:r>
    </w:p>
    <w:p w14:paraId="2F55E7E0" w14:textId="77777777" w:rsidR="00CB0142" w:rsidRDefault="00AF7DAE">
      <w:pPr>
        <w:snapToGrid w:val="0"/>
        <w:jc w:val="center"/>
        <w:outlineLvl w:val="0"/>
        <w:rPr>
          <w:rFonts w:ascii="Times New Roman" w:hAnsi="Times New Roman" w:cs="Times New Roman"/>
          <w:b/>
          <w:bCs/>
          <w:sz w:val="32"/>
          <w:szCs w:val="32"/>
        </w:rPr>
      </w:pPr>
      <w:bookmarkStart w:id="11" w:name="_Toc31546"/>
      <w:r>
        <w:rPr>
          <w:rFonts w:ascii="Times New Roman" w:hAnsi="Times New Roman" w:cs="Times New Roman"/>
          <w:b/>
          <w:bCs/>
          <w:sz w:val="32"/>
          <w:szCs w:val="32"/>
        </w:rPr>
        <w:lastRenderedPageBreak/>
        <w:t>CHAPTER 3</w:t>
      </w:r>
      <w:bookmarkEnd w:id="11"/>
    </w:p>
    <w:p w14:paraId="0DAD4C07" w14:textId="77777777" w:rsidR="00CB0142" w:rsidRDefault="00AF7DAE">
      <w:pPr>
        <w:snapToGrid w:val="0"/>
        <w:jc w:val="center"/>
        <w:outlineLvl w:val="0"/>
        <w:rPr>
          <w:rFonts w:ascii="Times New Roman" w:hAnsi="Times New Roman" w:cs="Times New Roman"/>
          <w:b/>
          <w:bCs/>
          <w:sz w:val="32"/>
          <w:szCs w:val="32"/>
        </w:rPr>
      </w:pPr>
      <w:bookmarkStart w:id="12" w:name="_Toc25617"/>
      <w:r>
        <w:rPr>
          <w:rFonts w:ascii="Times New Roman" w:hAnsi="Times New Roman" w:cs="Times New Roman"/>
          <w:b/>
          <w:bCs/>
          <w:sz w:val="32"/>
          <w:szCs w:val="32"/>
        </w:rPr>
        <w:t>STRATEGIES AND PROSPECTS FOR STRENGTHENING ORGANIZATIONAL CHANGE IN CHINESE COMPANIES</w:t>
      </w:r>
      <w:bookmarkEnd w:id="12"/>
    </w:p>
    <w:p w14:paraId="4C4A5F3D" w14:textId="77777777" w:rsidR="00CB0142" w:rsidRDefault="00CB0142">
      <w:pPr>
        <w:snapToGrid w:val="0"/>
        <w:jc w:val="center"/>
        <w:outlineLvl w:val="0"/>
        <w:rPr>
          <w:rFonts w:ascii="Times New Roman" w:hAnsi="Times New Roman" w:cs="Times New Roman"/>
          <w:b/>
          <w:bCs/>
          <w:sz w:val="32"/>
          <w:szCs w:val="32"/>
        </w:rPr>
      </w:pPr>
    </w:p>
    <w:p w14:paraId="5C3497ED" w14:textId="77777777" w:rsidR="00CB0142" w:rsidRDefault="00AF7DAE">
      <w:pPr>
        <w:snapToGrid w:val="0"/>
        <w:ind w:firstLineChars="200" w:firstLine="562"/>
        <w:outlineLvl w:val="1"/>
        <w:rPr>
          <w:rFonts w:ascii="Times New Roman" w:hAnsi="Times New Roman" w:cs="Times New Roman"/>
          <w:b/>
          <w:bCs/>
          <w:sz w:val="28"/>
          <w:szCs w:val="28"/>
        </w:rPr>
      </w:pPr>
      <w:bookmarkStart w:id="13" w:name="_Toc28968"/>
      <w:r>
        <w:rPr>
          <w:rFonts w:ascii="Times New Roman" w:hAnsi="Times New Roman" w:cs="Times New Roman"/>
          <w:b/>
          <w:bCs/>
          <w:sz w:val="28"/>
          <w:szCs w:val="28"/>
        </w:rPr>
        <w:t>3.1. Key factors for successful implementation of changes in the management system</w:t>
      </w:r>
      <w:bookmarkEnd w:id="13"/>
    </w:p>
    <w:p w14:paraId="68B54719" w14:textId="77777777" w:rsidR="00CB0142" w:rsidRDefault="00CB0142">
      <w:pPr>
        <w:snapToGrid w:val="0"/>
        <w:ind w:firstLineChars="200" w:firstLine="562"/>
        <w:outlineLvl w:val="1"/>
        <w:rPr>
          <w:rFonts w:ascii="Times New Roman" w:hAnsi="Times New Roman" w:cs="Times New Roman"/>
          <w:b/>
          <w:bCs/>
          <w:sz w:val="28"/>
          <w:szCs w:val="28"/>
        </w:rPr>
      </w:pPr>
    </w:p>
    <w:p w14:paraId="0D75686C" w14:textId="77777777" w:rsidR="00CB0142" w:rsidRDefault="00AF7DAE">
      <w:pPr>
        <w:snapToGrid w:val="0"/>
        <w:spacing w:line="360" w:lineRule="auto"/>
        <w:ind w:firstLineChars="200" w:firstLine="560"/>
        <w:rPr>
          <w:rFonts w:ascii="Times New Roman" w:hAnsi="Times New Roman" w:cs="Times New Roman"/>
          <w:sz w:val="28"/>
          <w:szCs w:val="36"/>
        </w:rPr>
      </w:pPr>
      <w:r>
        <w:rPr>
          <w:rFonts w:ascii="Times New Roman" w:hAnsi="Times New Roman" w:cs="Times New Roman"/>
          <w:sz w:val="28"/>
          <w:szCs w:val="36"/>
        </w:rPr>
        <w:t>Through a systematic review of organizational change practices in Chinese companies, we found that despite the different contexts of different companies, successful organizational change all depends on the combined effect of certain key factors. As mentioned above, top-level determination, system planning, and personnel participation are the key factors that determine organizational change. Factors such as performance evaluation often have a decisive impact on the success or failure of change. Based on the analysis in the previous two chapters, this section will further analyze these key success factors and clarify their mechanism of action, in order to provide practical guidance for Chinese companies to accurately promote and implement organizational change. Ideas for reference.</w:t>
      </w:r>
    </w:p>
    <w:p w14:paraId="6C339EA5" w14:textId="77777777" w:rsidR="00CB0142" w:rsidRDefault="00AF7DAE">
      <w:pPr>
        <w:snapToGrid w:val="0"/>
        <w:spacing w:line="360" w:lineRule="auto"/>
        <w:ind w:firstLineChars="200" w:firstLine="560"/>
        <w:rPr>
          <w:rFonts w:ascii="Times New Roman" w:hAnsi="Times New Roman" w:cs="Times New Roman"/>
          <w:sz w:val="28"/>
          <w:szCs w:val="36"/>
        </w:rPr>
      </w:pPr>
      <w:r>
        <w:rPr>
          <w:rFonts w:ascii="Times New Roman" w:hAnsi="Times New Roman" w:cs="Times New Roman"/>
          <w:sz w:val="28"/>
          <w:szCs w:val="36"/>
        </w:rPr>
        <w:t xml:space="preserve">The firm determination and all-round support of senior management are undoubtedly the core elements for the smooth implementation of organizational change and its ultimate success. Just like the three-stage model of "thaw-change-refreeze" proposed by Lewin mentioned in the previous </w:t>
      </w:r>
      <w:proofErr w:type="gramStart"/>
      <w:r>
        <w:rPr>
          <w:rFonts w:ascii="Times New Roman" w:hAnsi="Times New Roman" w:cs="Times New Roman"/>
          <w:sz w:val="28"/>
          <w:szCs w:val="36"/>
        </w:rPr>
        <w:t>article .</w:t>
      </w:r>
      <w:proofErr w:type="gramEnd"/>
      <w:r>
        <w:rPr>
          <w:rFonts w:ascii="Times New Roman" w:hAnsi="Times New Roman" w:cs="Times New Roman"/>
          <w:sz w:val="28"/>
          <w:szCs w:val="36"/>
        </w:rPr>
        <w:t xml:space="preserve"> This model deeply reveals the internal logic of organizational change. Among them, the "thaw" stage is the starting point of change. Its core task is to break the original stable state of the organization and create a psychological and environmental atmosphere that urgently needs change [3</w:t>
      </w:r>
      <w:proofErr w:type="gramStart"/>
      <w:r>
        <w:rPr>
          <w:rFonts w:ascii="Times New Roman" w:hAnsi="Times New Roman" w:cs="Times New Roman"/>
          <w:sz w:val="28"/>
          <w:szCs w:val="36"/>
        </w:rPr>
        <w:t>] .</w:t>
      </w:r>
      <w:proofErr w:type="gramEnd"/>
      <w:r>
        <w:rPr>
          <w:rFonts w:ascii="Times New Roman" w:hAnsi="Times New Roman" w:cs="Times New Roman"/>
          <w:sz w:val="28"/>
          <w:szCs w:val="36"/>
        </w:rPr>
        <w:t xml:space="preserve"> This process often starts with the deep insight and initiative of the leadership. They convey the necessity and urgency of change to all employees through clear signals and actions.</w:t>
      </w:r>
    </w:p>
    <w:p w14:paraId="135A0E9D" w14:textId="77777777" w:rsidR="00CB0142" w:rsidRDefault="00AF7DAE">
      <w:pPr>
        <w:snapToGrid w:val="0"/>
        <w:spacing w:line="360" w:lineRule="auto"/>
        <w:ind w:firstLineChars="200" w:firstLine="560"/>
        <w:rPr>
          <w:rFonts w:ascii="Times New Roman" w:hAnsi="Times New Roman" w:cs="Times New Roman"/>
          <w:sz w:val="28"/>
          <w:szCs w:val="36"/>
        </w:rPr>
      </w:pPr>
      <w:r>
        <w:rPr>
          <w:rFonts w:ascii="Times New Roman" w:hAnsi="Times New Roman" w:cs="Times New Roman"/>
          <w:sz w:val="28"/>
          <w:szCs w:val="36"/>
        </w:rPr>
        <w:t xml:space="preserve">Take Huawei as an example. Facing the increasingly fierce competition in the global communications industry and the unprecedentedly accelerated technological iteration, the company's founder and president Ren Zhengfei has demonstrated extraordinary leadership and foresight. At this critical juncture in 2012, Ren Zhengfei keenly saw that the tide of industry change was coming, and put forward a strong sense </w:t>
      </w:r>
      <w:r>
        <w:rPr>
          <w:rFonts w:ascii="Times New Roman" w:hAnsi="Times New Roman" w:cs="Times New Roman"/>
          <w:sz w:val="28"/>
          <w:szCs w:val="36"/>
        </w:rPr>
        <w:lastRenderedPageBreak/>
        <w:t>of crisis of "change means survival, and no change means death". This is not only an accurate judgment of the external environment, but also a profound warning to Huawei. This declaration is like a heavy hammer, ringing the horn of Huawei's strategic transformation, marking the company's determination to transform from a traditional communications equipment supplier to a broader information and communications (ICT) solution provider.</w:t>
      </w:r>
    </w:p>
    <w:p w14:paraId="00EF5B74" w14:textId="77777777" w:rsidR="00CB0142" w:rsidRDefault="00AF7DAE">
      <w:pPr>
        <w:snapToGrid w:val="0"/>
        <w:spacing w:line="360" w:lineRule="auto"/>
        <w:ind w:firstLineChars="200" w:firstLine="560"/>
        <w:rPr>
          <w:rFonts w:ascii="Times New Roman" w:hAnsi="Times New Roman" w:cs="Times New Roman"/>
          <w:sz w:val="28"/>
          <w:szCs w:val="36"/>
        </w:rPr>
      </w:pPr>
      <w:r>
        <w:rPr>
          <w:rFonts w:ascii="Times New Roman" w:hAnsi="Times New Roman" w:cs="Times New Roman"/>
          <w:sz w:val="28"/>
          <w:szCs w:val="36"/>
        </w:rPr>
        <w:t xml:space="preserve">In the practice of transformation, Ren Zhengfei is not only the designer of the strategic blueprint, but also the leader of the transformation action. He personally participated in and guided every link of the strategy formulation, ensuring that the direction of the transformation is in line with industry trends and Huawei's own reality, setting a precise tone for the transformation path. At the same time, in terms of resource allocation, Mr. Ren has demonstrated extraordinary courage and determination, vigorously supporting investment in new technology research and development, market expansion, and talent training. According to statistics, Huawei's annual investment in R&amp;D has increased by an average of 29.4% in the past five years. By 2019, this figure has exceeded an astonishing 100 billion yuan. This not only reflects Huawei's persistent pursuit of technological innovation, but also provides a strong material foundation and source of power for its strategic </w:t>
      </w:r>
      <w:proofErr w:type="gramStart"/>
      <w:r>
        <w:rPr>
          <w:rFonts w:ascii="Times New Roman" w:hAnsi="Times New Roman" w:cs="Times New Roman"/>
          <w:sz w:val="28"/>
          <w:szCs w:val="36"/>
        </w:rPr>
        <w:t>transformation .</w:t>
      </w:r>
      <w:proofErr w:type="gramEnd"/>
      <w:r>
        <w:rPr>
          <w:rFonts w:ascii="Times New Roman" w:hAnsi="Times New Roman" w:cs="Times New Roman"/>
          <w:sz w:val="28"/>
          <w:szCs w:val="36"/>
        </w:rPr>
        <w:t xml:space="preserve"> [41]</w:t>
      </w:r>
    </w:p>
    <w:p w14:paraId="79943060" w14:textId="77777777" w:rsidR="00CB0142" w:rsidRDefault="00AF7DAE">
      <w:pPr>
        <w:snapToGrid w:val="0"/>
        <w:spacing w:line="360" w:lineRule="auto"/>
        <w:ind w:firstLineChars="200" w:firstLine="560"/>
        <w:rPr>
          <w:rFonts w:ascii="Times New Roman" w:hAnsi="Times New Roman" w:cs="Times New Roman"/>
          <w:sz w:val="28"/>
          <w:szCs w:val="36"/>
        </w:rPr>
      </w:pPr>
      <w:r>
        <w:rPr>
          <w:rFonts w:ascii="Times New Roman" w:hAnsi="Times New Roman" w:cs="Times New Roman"/>
          <w:sz w:val="28"/>
          <w:szCs w:val="36"/>
        </w:rPr>
        <w:t xml:space="preserve">This case shows that senior leaders can play a decisive role in promoting organizational </w:t>
      </w:r>
      <w:proofErr w:type="gramStart"/>
      <w:r>
        <w:rPr>
          <w:rFonts w:ascii="Times New Roman" w:hAnsi="Times New Roman" w:cs="Times New Roman"/>
          <w:sz w:val="28"/>
          <w:szCs w:val="36"/>
        </w:rPr>
        <w:t>change .</w:t>
      </w:r>
      <w:proofErr w:type="gramEnd"/>
      <w:r>
        <w:rPr>
          <w:rFonts w:ascii="Times New Roman" w:hAnsi="Times New Roman" w:cs="Times New Roman"/>
          <w:sz w:val="28"/>
          <w:szCs w:val="36"/>
        </w:rPr>
        <w:t xml:space="preserve"> Only when the leadership sets an example, not only points out the direction at the strategic level, but also gives full support in actual operations, can the motivation for change within the organization be truly stimulated, a strong force can be gathered to promote the in-depth development of change, and ultimately achieve sustainable development and leap forward for the organization.</w:t>
      </w:r>
    </w:p>
    <w:p w14:paraId="4510DEC4" w14:textId="77777777" w:rsidR="00CB0142" w:rsidRDefault="00AF7DAE">
      <w:pPr>
        <w:snapToGrid w:val="0"/>
        <w:spacing w:line="360" w:lineRule="auto"/>
        <w:ind w:firstLineChars="200" w:firstLine="560"/>
        <w:rPr>
          <w:rFonts w:ascii="Times New Roman" w:hAnsi="Times New Roman" w:cs="Times New Roman"/>
          <w:sz w:val="28"/>
          <w:szCs w:val="36"/>
        </w:rPr>
      </w:pPr>
      <w:r>
        <w:rPr>
          <w:rFonts w:ascii="Times New Roman" w:hAnsi="Times New Roman" w:cs="Times New Roman"/>
          <w:sz w:val="28"/>
          <w:szCs w:val="36"/>
        </w:rPr>
        <w:t xml:space="preserve">Under the guidance of scientific and systematic change planning, focusing on precise breakthroughs and effective execution of key areas and core initiatives is another key path to ensure the success of organizational </w:t>
      </w:r>
      <w:proofErr w:type="gramStart"/>
      <w:r>
        <w:rPr>
          <w:rFonts w:ascii="Times New Roman" w:hAnsi="Times New Roman" w:cs="Times New Roman"/>
          <w:sz w:val="28"/>
          <w:szCs w:val="36"/>
        </w:rPr>
        <w:t>change[</w:t>
      </w:r>
      <w:proofErr w:type="gramEnd"/>
      <w:r>
        <w:rPr>
          <w:rFonts w:ascii="Times New Roman" w:hAnsi="Times New Roman" w:cs="Times New Roman"/>
          <w:sz w:val="28"/>
          <w:szCs w:val="36"/>
        </w:rPr>
        <w:t xml:space="preserve">11]. When promoting change, different organizations need to determine the focus of change in a targeted manner based on their own characteristics and industry environment. For example, when making strategic changes, organizations should first conduct in-depth analysis of </w:t>
      </w:r>
      <w:r>
        <w:rPr>
          <w:rFonts w:ascii="Times New Roman" w:hAnsi="Times New Roman" w:cs="Times New Roman"/>
          <w:sz w:val="28"/>
          <w:szCs w:val="36"/>
        </w:rPr>
        <w:lastRenderedPageBreak/>
        <w:t>the external environment and comprehensively evaluate internal resources. Based on this, they should clarify the strategic focus and systematically plan and deploy various change measures around this core goal. In its strategic transformation from the voice communication era to the data communication era, Huawei relied on its keen insight into the future trends of the industry. While focusing on the development of ICT solutions, it proactively deployed cutting-edge technology fields such as cloud computing, big data, and the Internet of Things, and successfully achieved orderly iteration and dynamic balance of strategy.</w:t>
      </w:r>
    </w:p>
    <w:p w14:paraId="333EEF61" w14:textId="77777777" w:rsidR="00CB0142" w:rsidRDefault="00AF7DAE">
      <w:pPr>
        <w:snapToGrid w:val="0"/>
        <w:spacing w:line="360" w:lineRule="auto"/>
        <w:ind w:firstLineChars="200" w:firstLine="560"/>
        <w:rPr>
          <w:rFonts w:ascii="Times New Roman" w:hAnsi="Times New Roman" w:cs="Times New Roman"/>
          <w:sz w:val="28"/>
          <w:szCs w:val="36"/>
        </w:rPr>
      </w:pPr>
      <w:r>
        <w:rPr>
          <w:rFonts w:ascii="Times New Roman" w:hAnsi="Times New Roman" w:cs="Times New Roman"/>
          <w:sz w:val="28"/>
          <w:szCs w:val="36"/>
        </w:rPr>
        <w:t xml:space="preserve">When promoting process change with a customer-centric approach, the key is to redesign and optimize the entire service process from the start to the end, break down the barriers between departments, and significantly improve organizational operational efficiency. The "people-oriented" management model promoted by Haier Group is a model. By setting up small and micro independent accounting units, Haier directly links employee performance with market feedback. This mechanism has greatly stimulated the enthusiasm of grassroots employees to actively respond to market demand and actively innovate. According to statistics, since the implementation of the "people-oriented" model, the average annual number of innovation proposals from Haier employees has increased from less than 1 in 2014 to 4.8 in 2022. Not only has the enthusiasm and innovation ability of individual employees been significantly improved, but it has also laid a solid foundation for Haier to remain at the top of the global large-scale home appliance brand list for many consecutive </w:t>
      </w:r>
      <w:proofErr w:type="gramStart"/>
      <w:r>
        <w:rPr>
          <w:rFonts w:ascii="Times New Roman" w:hAnsi="Times New Roman" w:cs="Times New Roman"/>
          <w:sz w:val="28"/>
          <w:szCs w:val="36"/>
        </w:rPr>
        <w:t>years .</w:t>
      </w:r>
      <w:proofErr w:type="gramEnd"/>
      <w:r>
        <w:rPr>
          <w:rFonts w:ascii="Times New Roman" w:hAnsi="Times New Roman" w:cs="Times New Roman"/>
          <w:sz w:val="28"/>
          <w:szCs w:val="36"/>
        </w:rPr>
        <w:t xml:space="preserve"> It can be seen that only by being based on reality and finding the key breakthroughs can we maintain the driving force and correct direction of change in a complex and changing market environment.</w:t>
      </w:r>
    </w:p>
    <w:p w14:paraId="10721E7A" w14:textId="77777777" w:rsidR="00CB0142" w:rsidRDefault="00AF7DAE">
      <w:pPr>
        <w:snapToGrid w:val="0"/>
        <w:spacing w:line="360" w:lineRule="auto"/>
        <w:ind w:firstLineChars="200" w:firstLine="560"/>
        <w:rPr>
          <w:rFonts w:ascii="Times New Roman" w:hAnsi="Times New Roman" w:cs="Times New Roman"/>
          <w:sz w:val="28"/>
          <w:szCs w:val="36"/>
        </w:rPr>
      </w:pPr>
      <w:r>
        <w:rPr>
          <w:rFonts w:ascii="Times New Roman" w:hAnsi="Times New Roman" w:cs="Times New Roman"/>
          <w:sz w:val="28"/>
          <w:szCs w:val="36"/>
        </w:rPr>
        <w:t xml:space="preserve">Employee participation and cultural shaping are the "soft power" that promotes the implementation of change. As Kotter's "Eight-Step Change Method" emphasizes, successful change comes from heartfelt participation rather than forced </w:t>
      </w:r>
      <w:proofErr w:type="gramStart"/>
      <w:r>
        <w:rPr>
          <w:rFonts w:ascii="Times New Roman" w:hAnsi="Times New Roman" w:cs="Times New Roman"/>
          <w:sz w:val="28"/>
          <w:szCs w:val="36"/>
        </w:rPr>
        <w:t>orders[</w:t>
      </w:r>
      <w:proofErr w:type="gramEnd"/>
      <w:r>
        <w:rPr>
          <w:rFonts w:ascii="Times New Roman" w:hAnsi="Times New Roman" w:cs="Times New Roman"/>
          <w:sz w:val="28"/>
          <w:szCs w:val="36"/>
        </w:rPr>
        <w:t>5]. Therefore, enterprises should focus on people-</w:t>
      </w:r>
      <w:proofErr w:type="spellStart"/>
      <w:r>
        <w:rPr>
          <w:rFonts w:ascii="Times New Roman" w:hAnsi="Times New Roman" w:cs="Times New Roman"/>
          <w:sz w:val="28"/>
          <w:szCs w:val="36"/>
        </w:rPr>
        <w:t>orientedness</w:t>
      </w:r>
      <w:proofErr w:type="spellEnd"/>
      <w:r>
        <w:rPr>
          <w:rFonts w:ascii="Times New Roman" w:hAnsi="Times New Roman" w:cs="Times New Roman"/>
          <w:sz w:val="28"/>
          <w:szCs w:val="36"/>
        </w:rPr>
        <w:t xml:space="preserve"> in change, make good use of flexible management methods to inspire people's hearts, and make change a voluntary choice of employees. For example, in the early stage of change, enterprises can </w:t>
      </w:r>
      <w:r>
        <w:rPr>
          <w:rFonts w:ascii="Times New Roman" w:hAnsi="Times New Roman" w:cs="Times New Roman"/>
          <w:sz w:val="28"/>
          <w:szCs w:val="36"/>
        </w:rPr>
        <w:lastRenderedPageBreak/>
        <w:t>publicize the urgency and legitimacy of change through multiple channels and forms to eliminate employees' doubts; in the implementation of change, they should change the one-way indoctrination method and empower employees to participate in change through education and training, seminars and hearings; in the consolidation stage, they should also focus on typical demonstrations and inspire people with successful change stories around them. This series of measures aims to arouse the enthusiasm of every employee to participate and transform them from "I have to change" to "I want to change". Complementing this is the shaping of an organizational culture that supports change. Organizational culture is like the spring rain that moistens things silently, and has a subtle influence on the formation of employees' change concepts and behavioral habits. Huawei's wolf culture and Haier's maker culture are both valuable spiritual wealth formed in the process of change, and have become the internal driving force for the long-term success of enterprises. Through cultural design, value shaping, and exemplary role models, these companies have internalized the awareness of change into the value pursuit of employees and transformed it into a long-term driving force for the continuous progress of the company, thus consolidating and deepening the results of the change in the "refreeze" stage.</w:t>
      </w:r>
    </w:p>
    <w:p w14:paraId="0507F7AE" w14:textId="77777777" w:rsidR="00CB0142" w:rsidRDefault="00AF7DAE">
      <w:pPr>
        <w:snapToGrid w:val="0"/>
        <w:spacing w:line="360" w:lineRule="auto"/>
        <w:ind w:firstLineChars="200" w:firstLine="560"/>
        <w:rPr>
          <w:rFonts w:ascii="Times New Roman" w:hAnsi="Times New Roman" w:cs="Times New Roman"/>
          <w:sz w:val="28"/>
          <w:szCs w:val="36"/>
        </w:rPr>
      </w:pPr>
      <w:r>
        <w:rPr>
          <w:rFonts w:ascii="Times New Roman" w:hAnsi="Times New Roman" w:cs="Times New Roman"/>
          <w:sz w:val="28"/>
          <w:szCs w:val="36"/>
        </w:rPr>
        <w:t xml:space="preserve">As a key tool for testing the effectiveness of change and optimizing adjustment strategies, the importance of measurement and evaluation has been fully verified in the change practices of Chinese enterprises. Taking ZTE's strategic transformation from 2G to 4G as an example, the company has built a comprehensive and sophisticated evaluation mechanism that covers multiple dimensions such as financial indicators, strategic achievement, process efficiency, and organizational capabilities, forming a multi-dimensional evaluation system. Through close tracking and regular review and analysis of change projects every quarter, ZTE can promptly discover deviations in the change process and quickly make optimization adjustments. This closed-loop control mechanism not only ensures that the company can steadily advance its 4G strategic transformation amid market turmoil, but also helps it eventually win the fourth largest market share in the 4G market, demonstrating the core role of scientific evaluation mechanisms in grasping the overall situation of change and flexibly responding to </w:t>
      </w:r>
      <w:r>
        <w:rPr>
          <w:rFonts w:ascii="Times New Roman" w:hAnsi="Times New Roman" w:cs="Times New Roman"/>
          <w:sz w:val="28"/>
          <w:szCs w:val="36"/>
        </w:rPr>
        <w:lastRenderedPageBreak/>
        <w:t>changes [42] .</w:t>
      </w:r>
    </w:p>
    <w:p w14:paraId="1DB57B05" w14:textId="77777777" w:rsidR="00CB0142" w:rsidRDefault="00AF7DAE">
      <w:pPr>
        <w:snapToGrid w:val="0"/>
        <w:spacing w:line="360" w:lineRule="auto"/>
        <w:ind w:firstLineChars="200" w:firstLine="560"/>
        <w:rPr>
          <w:rFonts w:ascii="Times New Roman" w:hAnsi="Times New Roman" w:cs="Times New Roman"/>
          <w:sz w:val="28"/>
          <w:szCs w:val="36"/>
        </w:rPr>
      </w:pPr>
      <w:r>
        <w:rPr>
          <w:rFonts w:ascii="Times New Roman" w:hAnsi="Times New Roman" w:cs="Times New Roman"/>
          <w:sz w:val="28"/>
          <w:szCs w:val="36"/>
        </w:rPr>
        <w:t>In the context of the "Internet +" era, the external environment faced by enterprises is becoming increasingly complex and changeable, and the internal and external boundaries are gradually disappearing. Open collaboration has become a new path for enterprises to adapt to the rapid changes in their ecological niches and expand their development space. Many Chinese companies have begun to actively explore the establishment of a networked and platform-based collaborative cooperation model with stakeholders to jointly build an innovative ecological system. Xiaomi is one of the best. By bringing together many innovative companies, it has successfully created the "</w:t>
      </w:r>
      <w:proofErr w:type="spellStart"/>
      <w:r>
        <w:rPr>
          <w:rFonts w:ascii="Times New Roman" w:hAnsi="Times New Roman" w:cs="Times New Roman"/>
          <w:sz w:val="28"/>
          <w:szCs w:val="36"/>
        </w:rPr>
        <w:t>Mijia</w:t>
      </w:r>
      <w:proofErr w:type="spellEnd"/>
      <w:r>
        <w:rPr>
          <w:rFonts w:ascii="Times New Roman" w:hAnsi="Times New Roman" w:cs="Times New Roman"/>
          <w:sz w:val="28"/>
          <w:szCs w:val="36"/>
        </w:rPr>
        <w:t>" smart home ecosystem, achieved the interconnection of multiple categories of smart terminals such as mobile phones, TVs, and routers, and built a vibrant smart life innovation platform. According to statistics, as of 2019, the number of devices connected to the "</w:t>
      </w:r>
      <w:proofErr w:type="spellStart"/>
      <w:r>
        <w:rPr>
          <w:rFonts w:ascii="Times New Roman" w:hAnsi="Times New Roman" w:cs="Times New Roman"/>
          <w:sz w:val="28"/>
          <w:szCs w:val="36"/>
        </w:rPr>
        <w:t>Mijia</w:t>
      </w:r>
      <w:proofErr w:type="spellEnd"/>
      <w:r>
        <w:rPr>
          <w:rFonts w:ascii="Times New Roman" w:hAnsi="Times New Roman" w:cs="Times New Roman"/>
          <w:sz w:val="28"/>
          <w:szCs w:val="36"/>
        </w:rPr>
        <w:t>" IoT platform has exceeded 234 million, covering more than 500 types of devices, fully demonstrating the innovative vitality and market potential brought by open collaboration [43</w:t>
      </w:r>
      <w:proofErr w:type="gramStart"/>
      <w:r>
        <w:rPr>
          <w:rFonts w:ascii="Times New Roman" w:hAnsi="Times New Roman" w:cs="Times New Roman"/>
          <w:sz w:val="28"/>
          <w:szCs w:val="36"/>
        </w:rPr>
        <w:t>] .</w:t>
      </w:r>
      <w:proofErr w:type="gramEnd"/>
      <w:r>
        <w:rPr>
          <w:rFonts w:ascii="Times New Roman" w:hAnsi="Times New Roman" w:cs="Times New Roman"/>
          <w:sz w:val="28"/>
          <w:szCs w:val="36"/>
        </w:rPr>
        <w:t xml:space="preserve"> More importantly, this open collaboration model not only injects new innovation momentum into enterprises, but also prompts enterprises to continuously innovate themselves to adapt to the development requirements of the ecosystem, thus forming a new model of ecological co-advancement and dynamic iteration, which provides strong support for enterprises to maintain their competitive advantages in a complex and changing market environment.</w:t>
      </w:r>
    </w:p>
    <w:p w14:paraId="563D3A1E" w14:textId="77777777" w:rsidR="00CB0142" w:rsidRDefault="00AF7DAE">
      <w:pPr>
        <w:snapToGrid w:val="0"/>
        <w:spacing w:line="360" w:lineRule="auto"/>
        <w:ind w:firstLineChars="200" w:firstLine="560"/>
        <w:rPr>
          <w:rFonts w:ascii="Times New Roman" w:hAnsi="Times New Roman" w:cs="Times New Roman"/>
          <w:sz w:val="28"/>
          <w:szCs w:val="36"/>
        </w:rPr>
      </w:pPr>
      <w:r>
        <w:rPr>
          <w:rFonts w:ascii="Times New Roman" w:hAnsi="Times New Roman" w:cs="Times New Roman"/>
          <w:sz w:val="28"/>
          <w:szCs w:val="36"/>
        </w:rPr>
        <w:t>To sum up, organizational change is a systematic project with dynamic evolution and complex adaptation. It needs to be guided by scientific concepts, based on key areas, focusing on key initiatives, concentrating efforts, and being open and collaborative, so as to forge ahead in the complex market environment.</w:t>
      </w:r>
    </w:p>
    <w:p w14:paraId="05EB7FCC" w14:textId="77777777" w:rsidR="00CB0142" w:rsidRDefault="00CB0142">
      <w:pPr>
        <w:rPr>
          <w:rFonts w:ascii="Times New Roman" w:hAnsi="Times New Roman" w:cs="Times New Roman"/>
        </w:rPr>
      </w:pPr>
    </w:p>
    <w:p w14:paraId="369261FE" w14:textId="77777777" w:rsidR="00CB0142" w:rsidRDefault="00CB0142">
      <w:pPr>
        <w:snapToGrid w:val="0"/>
        <w:outlineLvl w:val="1"/>
        <w:rPr>
          <w:rFonts w:ascii="Times New Roman" w:hAnsi="Times New Roman" w:cs="Times New Roman"/>
          <w:b/>
          <w:bCs/>
          <w:sz w:val="28"/>
          <w:szCs w:val="28"/>
        </w:rPr>
      </w:pPr>
    </w:p>
    <w:p w14:paraId="28C61F8C" w14:textId="77777777" w:rsidR="00CB0142" w:rsidRDefault="00AF7DAE">
      <w:pPr>
        <w:snapToGrid w:val="0"/>
        <w:ind w:firstLineChars="200" w:firstLine="562"/>
        <w:outlineLvl w:val="1"/>
        <w:rPr>
          <w:rFonts w:ascii="Times New Roman" w:hAnsi="Times New Roman" w:cs="Times New Roman"/>
          <w:b/>
          <w:bCs/>
          <w:sz w:val="28"/>
          <w:szCs w:val="28"/>
        </w:rPr>
      </w:pPr>
      <w:bookmarkStart w:id="14" w:name="_Toc7939"/>
      <w:r>
        <w:rPr>
          <w:rFonts w:ascii="Times New Roman" w:hAnsi="Times New Roman" w:cs="Times New Roman"/>
          <w:b/>
          <w:bCs/>
          <w:sz w:val="28"/>
          <w:szCs w:val="28"/>
        </w:rPr>
        <w:t>3.2. Digital and innovation-oriented strategies of organizational changes</w:t>
      </w:r>
      <w:bookmarkEnd w:id="14"/>
    </w:p>
    <w:p w14:paraId="53B50245" w14:textId="77777777" w:rsidR="00CB0142" w:rsidRDefault="00CB0142">
      <w:pPr>
        <w:snapToGrid w:val="0"/>
        <w:ind w:firstLineChars="200" w:firstLine="562"/>
        <w:outlineLvl w:val="1"/>
        <w:rPr>
          <w:rFonts w:ascii="Times New Roman" w:hAnsi="Times New Roman" w:cs="Times New Roman"/>
          <w:b/>
          <w:bCs/>
          <w:sz w:val="28"/>
          <w:szCs w:val="28"/>
        </w:rPr>
      </w:pPr>
    </w:p>
    <w:p w14:paraId="6224E4AF" w14:textId="77777777" w:rsidR="00CB0142" w:rsidRDefault="00CB0142">
      <w:pPr>
        <w:ind w:firstLineChars="200" w:firstLine="420"/>
        <w:rPr>
          <w:rFonts w:ascii="Times New Roman" w:hAnsi="Times New Roman" w:cs="Times New Roman"/>
        </w:rPr>
      </w:pPr>
    </w:p>
    <w:p w14:paraId="3C6602B0"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Looking at the previous discussion, it is not difficult to find that with the rapid development of digital technology, innovation-driven digital transformation has become the main theme of the era leading organizational change. Digitalization not only brings </w:t>
      </w:r>
      <w:r>
        <w:rPr>
          <w:rFonts w:ascii="Times New Roman" w:hAnsi="Times New Roman" w:cs="Times New Roman"/>
          <w:sz w:val="28"/>
          <w:szCs w:val="28"/>
        </w:rPr>
        <w:lastRenderedPageBreak/>
        <w:t>about reshaping changes in organizational management and process reengineering, but also gives rise to new organizational forms such as platform-based and ecological-based. It can be said that only by keeping up with the pace of the times, internalizing digital thinking in the heart and externalizing it in action, and cultivating the soil for continuous innovation can we ride the wind and waves in the torrent of the digital age. This section will focus on the intersection of digital innovation and organizational change, explore the new paradigm of organizational change in the digital age, analyze the key paths of digital transformation of Chinese enterprises, and provide intellectual support for enterprises to "overtake on the curve" and achieve gorgeous transformation.</w:t>
      </w:r>
    </w:p>
    <w:p w14:paraId="3081F01B"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 The impact of digital tools on organizational management and decision-making</w:t>
      </w:r>
    </w:p>
    <w:p w14:paraId="03E5114E"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The rapid development of digital technology has brought new tools and perspectives to organizational management and decision-making. The application of emerging technologies such as big data, artificial intelligence, cloud computing, and the Internet of Things has made the internal and external environment of organizations more complex, uncertain, and nonlinear, forcing organizations to accelerate change to adapt to the survival rules of the digital age [51]. Digital transformation is both a "spark" that ignites organizational change and a "spring breeze" that promotes organizational change.</w:t>
      </w:r>
    </w:p>
    <w:p w14:paraId="05D59A7B"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 Big data technology empowers management decision-making</w:t>
      </w:r>
    </w:p>
    <w:p w14:paraId="6E941C8C"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Traditional management decisions often rely on experience and intuition, which are prone to information asymmetry and decision-making lags. Big data technology provides managers with more comprehensive, accurate, and real-time environmental insights through the collection, storage, and analysis of massive data, allowing them to make more scientific and agile decisions. The practice of JD.com is a typical example. As shown in Figure 1, JD.com has widely applied big data technology in the fields of intelligent pricing, intelligent marketing, and intelligent supply chain, and has achieved real-time processing and intelligent analysis of massive user behavior data. This has not only greatly improved marketing and operational efficiency, but also provided strong support for rapid response to market demand and optimized resource allocation [52]. It is precisely with the accurate insights and scientific decisions driven by big data that </w:t>
      </w:r>
      <w:r>
        <w:rPr>
          <w:rFonts w:ascii="Times New Roman" w:hAnsi="Times New Roman" w:cs="Times New Roman"/>
          <w:sz w:val="28"/>
          <w:szCs w:val="28"/>
        </w:rPr>
        <w:lastRenderedPageBreak/>
        <w:t>JD.com has been able to break through the barriers and achieve great success in the e-commerce field.</w:t>
      </w:r>
    </w:p>
    <w:p w14:paraId="43182C15" w14:textId="77777777" w:rsidR="00CB0142" w:rsidRDefault="00AF7DAE">
      <w:pPr>
        <w:snapToGrid w:val="0"/>
        <w:spacing w:line="360" w:lineRule="auto"/>
        <w:ind w:firstLineChars="200" w:firstLine="560"/>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114300" distR="114300" wp14:anchorId="735AF275" wp14:editId="03146453">
            <wp:extent cx="3444240" cy="2722880"/>
            <wp:effectExtent l="0" t="0" r="0" b="5080"/>
            <wp:docPr id="12" name="图片 12" descr="1731621634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1731621634547"/>
                    <pic:cNvPicPr>
                      <a:picLocks noChangeAspect="1"/>
                    </pic:cNvPicPr>
                  </pic:nvPicPr>
                  <pic:blipFill>
                    <a:blip r:embed="rId13"/>
                    <a:stretch>
                      <a:fillRect/>
                    </a:stretch>
                  </pic:blipFill>
                  <pic:spPr>
                    <a:xfrm>
                      <a:off x="0" y="0"/>
                      <a:ext cx="3444240" cy="2722880"/>
                    </a:xfrm>
                    <a:prstGeom prst="rect">
                      <a:avLst/>
                    </a:prstGeom>
                  </pic:spPr>
                </pic:pic>
              </a:graphicData>
            </a:graphic>
          </wp:inline>
        </w:drawing>
      </w:r>
    </w:p>
    <w:p w14:paraId="115FF9F9" w14:textId="77777777" w:rsidR="00CB0142" w:rsidRDefault="00AF7DAE">
      <w:pPr>
        <w:snapToGrid w:val="0"/>
        <w:spacing w:line="360" w:lineRule="auto"/>
        <w:ind w:firstLineChars="200" w:firstLine="562"/>
        <w:rPr>
          <w:rFonts w:ascii="Times New Roman" w:hAnsi="Times New Roman" w:cs="Times New Roman"/>
          <w:b/>
          <w:bCs/>
          <w:sz w:val="28"/>
          <w:szCs w:val="28"/>
        </w:rPr>
      </w:pPr>
      <w:r>
        <w:rPr>
          <w:rFonts w:ascii="Times New Roman" w:hAnsi="Times New Roman" w:cs="Times New Roman"/>
          <w:b/>
          <w:bCs/>
          <w:sz w:val="28"/>
          <w:szCs w:val="28"/>
        </w:rPr>
        <w:t xml:space="preserve">Figure 9. </w:t>
      </w:r>
      <w:proofErr w:type="spellStart"/>
      <w:r>
        <w:rPr>
          <w:rFonts w:ascii="Times New Roman" w:hAnsi="Times New Roman" w:cs="Times New Roman"/>
          <w:b/>
          <w:bCs/>
          <w:sz w:val="28"/>
          <w:szCs w:val="28"/>
        </w:rPr>
        <w:t>JD.com’s</w:t>
      </w:r>
      <w:proofErr w:type="spellEnd"/>
      <w:r>
        <w:rPr>
          <w:rFonts w:ascii="Times New Roman" w:hAnsi="Times New Roman" w:cs="Times New Roman"/>
          <w:b/>
          <w:bCs/>
          <w:sz w:val="28"/>
          <w:szCs w:val="28"/>
        </w:rPr>
        <w:t xml:space="preserve"> big data business applications (</w:t>
      </w:r>
      <w:r>
        <w:rPr>
          <w:rFonts w:ascii="Times New Roman" w:hAnsi="Times New Roman" w:cs="Times New Roman" w:hint="eastAsia"/>
          <w:b/>
          <w:bCs/>
          <w:sz w:val="28"/>
          <w:szCs w:val="28"/>
        </w:rPr>
        <w:t>S</w:t>
      </w:r>
      <w:r>
        <w:rPr>
          <w:rFonts w:ascii="Times New Roman" w:hAnsi="Times New Roman" w:cs="Times New Roman"/>
          <w:b/>
          <w:bCs/>
          <w:sz w:val="28"/>
          <w:szCs w:val="28"/>
        </w:rPr>
        <w:t>ource: JD.com Group)</w:t>
      </w:r>
    </w:p>
    <w:p w14:paraId="2A057EDB" w14:textId="77777777" w:rsidR="00CB0142" w:rsidRDefault="00CB0142">
      <w:pPr>
        <w:snapToGrid w:val="0"/>
        <w:spacing w:line="360" w:lineRule="auto"/>
        <w:ind w:firstLineChars="200" w:firstLine="560"/>
        <w:rPr>
          <w:rFonts w:ascii="Times New Roman" w:hAnsi="Times New Roman" w:cs="Times New Roman"/>
          <w:sz w:val="28"/>
          <w:szCs w:val="28"/>
        </w:rPr>
      </w:pPr>
    </w:p>
    <w:p w14:paraId="2FE05048"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It can be seen that big data technology is becoming a "new engine" for reshaping the management decision-making paradigm. Whoever can understand its value as soon as possible will be able to seize the opportunity for change. Chinese companies should assess the situation, accelerate the pace of digital transformation, use big data to equip their minds, optimize decision-making, and forge ahead in the ever-changing market environment.</w:t>
      </w:r>
    </w:p>
    <w:p w14:paraId="4B74A0E3"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 Artificial intelligence technology simulates and optimizes decision-making</w:t>
      </w:r>
    </w:p>
    <w:p w14:paraId="544D1049"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contrast, artificial intelligence technology plays a more active and proactive role in digital decision-making. Through intelligent algorithms and knowledge models, artificial intelligence can autonomously learn, reason and predict, and simulate, replace or even surpass human cognition and decision-making in multiple application scenarios. In recent years, Huawei has vigorously promoted digital transformation with artificial intelligence as the core, and widely applied technologies such as machine vision and natural language processing to R&amp;D, manufacturing, and services, and has achieved remarkable results. Taking Huawei's intelligent customer service system as an example, the system builds intelligent question-answering and decision-making models based on natural language processing and knowledge graphs, providing 7*24 hours of all-weather </w:t>
      </w:r>
      <w:r>
        <w:rPr>
          <w:rFonts w:ascii="Times New Roman" w:hAnsi="Times New Roman" w:cs="Times New Roman"/>
          <w:sz w:val="28"/>
          <w:szCs w:val="28"/>
        </w:rPr>
        <w:lastRenderedPageBreak/>
        <w:t>service, and 90% of customer problems are solved at the first contact, with a customer satisfaction rate of up to 95% (as shown in Table 4 ). On the one hand, this greatly improves service efficiency and quality, and on the other hand, it also reduces the burden on customer service personnel, enabling them to be freed from simple and repetitive work and focus on more valuable and creative tasks.</w:t>
      </w:r>
    </w:p>
    <w:tbl>
      <w:tblPr>
        <w:tblpPr w:leftFromText="180" w:rightFromText="180" w:vertAnchor="text" w:horzAnchor="page" w:tblpX="1267" w:tblpY="1101"/>
        <w:tblOverlap w:val="never"/>
        <w:tblW w:w="488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4"/>
        <w:gridCol w:w="2532"/>
        <w:gridCol w:w="3918"/>
      </w:tblGrid>
      <w:tr w:rsidR="00CB0142" w14:paraId="650B36F0" w14:textId="77777777">
        <w:trPr>
          <w:trHeight w:val="140"/>
        </w:trPr>
        <w:tc>
          <w:tcPr>
            <w:tcW w:w="1666" w:type="pct"/>
            <w:shd w:val="clear" w:color="auto" w:fill="auto"/>
            <w:vAlign w:val="center"/>
          </w:tcPr>
          <w:p w14:paraId="2B76A8F9" w14:textId="77777777" w:rsidR="00CB0142" w:rsidRDefault="00AF7DAE">
            <w:pPr>
              <w:widowControl/>
              <w:snapToGrid w:val="0"/>
              <w:ind w:firstLineChars="200" w:firstLine="482"/>
              <w:jc w:val="center"/>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bidi="ar"/>
              </w:rPr>
              <w:t>Key Indicator</w:t>
            </w:r>
          </w:p>
        </w:tc>
        <w:tc>
          <w:tcPr>
            <w:tcW w:w="1308" w:type="pct"/>
            <w:shd w:val="clear" w:color="auto" w:fill="auto"/>
            <w:vAlign w:val="center"/>
          </w:tcPr>
          <w:p w14:paraId="023D13E1" w14:textId="77777777" w:rsidR="00CB0142" w:rsidRDefault="00AF7DAE">
            <w:pPr>
              <w:widowControl/>
              <w:snapToGrid w:val="0"/>
              <w:ind w:firstLineChars="200" w:firstLine="482"/>
              <w:jc w:val="center"/>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bidi="ar"/>
              </w:rPr>
              <w:t>Value</w:t>
            </w:r>
          </w:p>
        </w:tc>
        <w:tc>
          <w:tcPr>
            <w:tcW w:w="2025" w:type="pct"/>
            <w:shd w:val="clear" w:color="auto" w:fill="auto"/>
            <w:vAlign w:val="center"/>
          </w:tcPr>
          <w:p w14:paraId="7C3053C9" w14:textId="77777777" w:rsidR="00CB0142" w:rsidRDefault="00AF7DAE">
            <w:pPr>
              <w:widowControl/>
              <w:snapToGrid w:val="0"/>
              <w:ind w:firstLineChars="200" w:firstLine="482"/>
              <w:jc w:val="center"/>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bidi="ar"/>
              </w:rPr>
              <w:t>Description</w:t>
            </w:r>
          </w:p>
        </w:tc>
      </w:tr>
      <w:tr w:rsidR="00CB0142" w14:paraId="0FC22136" w14:textId="77777777">
        <w:trPr>
          <w:trHeight w:val="622"/>
        </w:trPr>
        <w:tc>
          <w:tcPr>
            <w:tcW w:w="1666" w:type="pct"/>
            <w:shd w:val="clear" w:color="auto" w:fill="auto"/>
            <w:vAlign w:val="center"/>
          </w:tcPr>
          <w:p w14:paraId="7A477BC3" w14:textId="77777777" w:rsidR="00CB0142" w:rsidRDefault="00AF7DAE">
            <w:pPr>
              <w:widowControl/>
              <w:snapToGrid w:val="0"/>
              <w:ind w:firstLineChars="200" w:firstLine="48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First Call Resolution Rate (FCR)</w:t>
            </w:r>
          </w:p>
        </w:tc>
        <w:tc>
          <w:tcPr>
            <w:tcW w:w="1308" w:type="pct"/>
            <w:shd w:val="clear" w:color="auto" w:fill="auto"/>
            <w:vAlign w:val="center"/>
          </w:tcPr>
          <w:p w14:paraId="2363DB3B" w14:textId="77777777" w:rsidR="00CB0142" w:rsidRDefault="00AF7DAE">
            <w:pPr>
              <w:widowControl/>
              <w:snapToGrid w:val="0"/>
              <w:ind w:firstLineChars="200" w:firstLine="480"/>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90%</w:t>
            </w:r>
          </w:p>
        </w:tc>
        <w:tc>
          <w:tcPr>
            <w:tcW w:w="2025" w:type="pct"/>
            <w:shd w:val="clear" w:color="auto" w:fill="auto"/>
            <w:vAlign w:val="center"/>
          </w:tcPr>
          <w:p w14:paraId="48DE35C8" w14:textId="77777777" w:rsidR="00CB0142" w:rsidRDefault="00AF7DAE">
            <w:pPr>
              <w:widowControl/>
              <w:snapToGrid w:val="0"/>
              <w:ind w:firstLineChars="200" w:firstLine="48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90% of customer issues are resolved on the first contact, reducing the need for repeat contacts.</w:t>
            </w:r>
          </w:p>
        </w:tc>
      </w:tr>
      <w:tr w:rsidR="00CB0142" w14:paraId="67F846E8" w14:textId="77777777">
        <w:trPr>
          <w:trHeight w:val="666"/>
        </w:trPr>
        <w:tc>
          <w:tcPr>
            <w:tcW w:w="1666" w:type="pct"/>
            <w:shd w:val="clear" w:color="auto" w:fill="auto"/>
            <w:vAlign w:val="center"/>
          </w:tcPr>
          <w:p w14:paraId="2580C925" w14:textId="77777777" w:rsidR="00CB0142" w:rsidRDefault="00AF7DAE">
            <w:pPr>
              <w:widowControl/>
              <w:snapToGrid w:val="0"/>
              <w:ind w:firstLineChars="200" w:firstLine="48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Customer Satisfaction</w:t>
            </w:r>
          </w:p>
        </w:tc>
        <w:tc>
          <w:tcPr>
            <w:tcW w:w="1308" w:type="pct"/>
            <w:shd w:val="clear" w:color="auto" w:fill="auto"/>
            <w:vAlign w:val="center"/>
          </w:tcPr>
          <w:p w14:paraId="58B15094" w14:textId="77777777" w:rsidR="00CB0142" w:rsidRDefault="00AF7DAE">
            <w:pPr>
              <w:widowControl/>
              <w:snapToGrid w:val="0"/>
              <w:ind w:firstLineChars="200" w:firstLine="480"/>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88%</w:t>
            </w:r>
          </w:p>
        </w:tc>
        <w:tc>
          <w:tcPr>
            <w:tcW w:w="2025" w:type="pct"/>
            <w:shd w:val="clear" w:color="auto" w:fill="auto"/>
            <w:vAlign w:val="center"/>
          </w:tcPr>
          <w:p w14:paraId="256D2A30" w14:textId="77777777" w:rsidR="00CB0142" w:rsidRDefault="00AF7DAE">
            <w:pPr>
              <w:widowControl/>
              <w:snapToGrid w:val="0"/>
              <w:ind w:firstLineChars="200" w:firstLine="48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Customer satisfaction with service quality reached 88%, reflecting a high level of customer experience.</w:t>
            </w:r>
          </w:p>
        </w:tc>
      </w:tr>
      <w:tr w:rsidR="00CB0142" w14:paraId="2A1B744D" w14:textId="77777777">
        <w:trPr>
          <w:trHeight w:val="578"/>
        </w:trPr>
        <w:tc>
          <w:tcPr>
            <w:tcW w:w="1666" w:type="pct"/>
            <w:shd w:val="clear" w:color="auto" w:fill="auto"/>
            <w:vAlign w:val="center"/>
          </w:tcPr>
          <w:p w14:paraId="3AC51975" w14:textId="77777777" w:rsidR="00CB0142" w:rsidRDefault="00AF7DAE">
            <w:pPr>
              <w:widowControl/>
              <w:snapToGrid w:val="0"/>
              <w:ind w:firstLineChars="200" w:firstLine="48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Service Availability</w:t>
            </w:r>
          </w:p>
        </w:tc>
        <w:tc>
          <w:tcPr>
            <w:tcW w:w="1308" w:type="pct"/>
            <w:shd w:val="clear" w:color="auto" w:fill="auto"/>
            <w:vAlign w:val="center"/>
          </w:tcPr>
          <w:p w14:paraId="366E7BEA" w14:textId="77777777" w:rsidR="00CB0142" w:rsidRDefault="00AF7DAE">
            <w:pPr>
              <w:widowControl/>
              <w:snapToGrid w:val="0"/>
              <w:ind w:firstLineChars="200" w:firstLine="480"/>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7/24</w:t>
            </w:r>
          </w:p>
        </w:tc>
        <w:tc>
          <w:tcPr>
            <w:tcW w:w="2025" w:type="pct"/>
            <w:shd w:val="clear" w:color="auto" w:fill="auto"/>
            <w:vAlign w:val="center"/>
          </w:tcPr>
          <w:p w14:paraId="479494C0" w14:textId="77777777" w:rsidR="00CB0142" w:rsidRDefault="00AF7DAE">
            <w:pPr>
              <w:widowControl/>
              <w:snapToGrid w:val="0"/>
              <w:ind w:firstLineChars="200" w:firstLine="48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Providing round-the-clock service ensures that customers can receive support at any time.</w:t>
            </w:r>
          </w:p>
        </w:tc>
      </w:tr>
      <w:tr w:rsidR="00CB0142" w14:paraId="323DF956" w14:textId="77777777">
        <w:trPr>
          <w:trHeight w:val="578"/>
        </w:trPr>
        <w:tc>
          <w:tcPr>
            <w:tcW w:w="1666" w:type="pct"/>
            <w:shd w:val="clear" w:color="auto" w:fill="auto"/>
            <w:vAlign w:val="center"/>
          </w:tcPr>
          <w:p w14:paraId="7A496CAF" w14:textId="77777777" w:rsidR="00CB0142" w:rsidRDefault="00AF7DAE">
            <w:pPr>
              <w:widowControl/>
              <w:snapToGrid w:val="0"/>
              <w:ind w:firstLineChars="200" w:firstLine="48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Language Accuracy Rate</w:t>
            </w:r>
          </w:p>
        </w:tc>
        <w:tc>
          <w:tcPr>
            <w:tcW w:w="1308" w:type="pct"/>
            <w:shd w:val="clear" w:color="auto" w:fill="auto"/>
            <w:vAlign w:val="center"/>
          </w:tcPr>
          <w:p w14:paraId="6DDB770C" w14:textId="77777777" w:rsidR="00CB0142" w:rsidRDefault="00AF7DAE">
            <w:pPr>
              <w:widowControl/>
              <w:snapToGrid w:val="0"/>
              <w:ind w:firstLineChars="200" w:firstLine="48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High</w:t>
            </w:r>
          </w:p>
        </w:tc>
        <w:tc>
          <w:tcPr>
            <w:tcW w:w="2025" w:type="pct"/>
            <w:shd w:val="clear" w:color="auto" w:fill="auto"/>
            <w:vAlign w:val="center"/>
          </w:tcPr>
          <w:p w14:paraId="177302C5" w14:textId="77777777" w:rsidR="00CB0142" w:rsidRDefault="00AF7DAE">
            <w:pPr>
              <w:widowControl/>
              <w:snapToGrid w:val="0"/>
              <w:ind w:firstLineChars="200" w:firstLine="48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95% accuracy in understanding customer input in different languages and dialects.</w:t>
            </w:r>
          </w:p>
        </w:tc>
      </w:tr>
      <w:tr w:rsidR="00CB0142" w14:paraId="2D57D2AD" w14:textId="77777777">
        <w:trPr>
          <w:trHeight w:val="499"/>
        </w:trPr>
        <w:tc>
          <w:tcPr>
            <w:tcW w:w="1666" w:type="pct"/>
            <w:shd w:val="clear" w:color="auto" w:fill="auto"/>
            <w:vAlign w:val="center"/>
          </w:tcPr>
          <w:p w14:paraId="0E9333CF" w14:textId="77777777" w:rsidR="00CB0142" w:rsidRDefault="00AF7DAE">
            <w:pPr>
              <w:widowControl/>
              <w:snapToGrid w:val="0"/>
              <w:ind w:firstLineChars="200" w:firstLine="48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Response Time</w:t>
            </w:r>
          </w:p>
        </w:tc>
        <w:tc>
          <w:tcPr>
            <w:tcW w:w="1308" w:type="pct"/>
            <w:shd w:val="clear" w:color="auto" w:fill="auto"/>
            <w:vAlign w:val="center"/>
          </w:tcPr>
          <w:p w14:paraId="40373E54" w14:textId="77777777" w:rsidR="00CB0142" w:rsidRDefault="00AF7DAE">
            <w:pPr>
              <w:widowControl/>
              <w:snapToGrid w:val="0"/>
              <w:ind w:firstLineChars="200" w:firstLine="48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Real-time</w:t>
            </w:r>
          </w:p>
        </w:tc>
        <w:tc>
          <w:tcPr>
            <w:tcW w:w="2025" w:type="pct"/>
            <w:shd w:val="clear" w:color="auto" w:fill="auto"/>
            <w:vAlign w:val="center"/>
          </w:tcPr>
          <w:p w14:paraId="225EE3D9" w14:textId="77777777" w:rsidR="00CB0142" w:rsidRDefault="00AF7DAE">
            <w:pPr>
              <w:widowControl/>
              <w:snapToGrid w:val="0"/>
              <w:ind w:firstLineChars="200" w:firstLine="48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bidi="ar"/>
              </w:rPr>
              <w:t>Real-time responses to customer inquiries improve service efficiency.</w:t>
            </w:r>
          </w:p>
        </w:tc>
      </w:tr>
    </w:tbl>
    <w:p w14:paraId="1D39FE55" w14:textId="77777777" w:rsidR="00CB0142" w:rsidRDefault="00AF7DAE">
      <w:pPr>
        <w:snapToGrid w:val="0"/>
        <w:spacing w:line="360" w:lineRule="auto"/>
        <w:ind w:firstLineChars="200" w:firstLine="562"/>
        <w:jc w:val="right"/>
        <w:rPr>
          <w:rFonts w:ascii="Times New Roman" w:hAnsi="Times New Roman" w:cs="Times New Roman"/>
          <w:b/>
          <w:bCs/>
          <w:sz w:val="28"/>
          <w:szCs w:val="28"/>
        </w:rPr>
      </w:pPr>
      <w:r>
        <w:rPr>
          <w:rFonts w:ascii="Times New Roman" w:hAnsi="Times New Roman" w:cs="Times New Roman"/>
          <w:b/>
          <w:bCs/>
          <w:sz w:val="28"/>
          <w:szCs w:val="28"/>
        </w:rPr>
        <w:t>Table 4</w:t>
      </w:r>
    </w:p>
    <w:p w14:paraId="54DEC14B" w14:textId="77777777" w:rsidR="00CB0142" w:rsidRDefault="00AF7DAE">
      <w:pPr>
        <w:snapToGrid w:val="0"/>
        <w:spacing w:line="360" w:lineRule="auto"/>
        <w:ind w:firstLineChars="200" w:firstLine="562"/>
        <w:jc w:val="right"/>
        <w:rPr>
          <w:rFonts w:ascii="Times New Roman" w:hAnsi="Times New Roman" w:cs="Times New Roman"/>
          <w:sz w:val="28"/>
          <w:szCs w:val="28"/>
        </w:rPr>
      </w:pPr>
      <w:r>
        <w:rPr>
          <w:rFonts w:ascii="Times New Roman" w:hAnsi="Times New Roman" w:cs="Times New Roman"/>
          <w:b/>
          <w:bCs/>
          <w:sz w:val="28"/>
          <w:szCs w:val="28"/>
        </w:rPr>
        <w:t>Comparison of key indicators of Huawei's intelligent customer service system</w:t>
      </w:r>
      <w:r>
        <w:rPr>
          <w:rFonts w:ascii="Times New Roman" w:hAnsi="Times New Roman" w:cs="Times New Roman"/>
          <w:sz w:val="28"/>
          <w:szCs w:val="28"/>
        </w:rPr>
        <w:t xml:space="preserve"> </w:t>
      </w:r>
    </w:p>
    <w:p w14:paraId="00AA3FDA" w14:textId="77777777" w:rsidR="00CB0142" w:rsidRDefault="00CB0142">
      <w:pPr>
        <w:snapToGrid w:val="0"/>
        <w:spacing w:line="360" w:lineRule="auto"/>
        <w:ind w:firstLineChars="200" w:firstLine="560"/>
        <w:rPr>
          <w:rFonts w:ascii="Times New Roman" w:hAnsi="Times New Roman" w:cs="Times New Roman"/>
          <w:sz w:val="28"/>
          <w:szCs w:val="28"/>
        </w:rPr>
      </w:pPr>
    </w:p>
    <w:p w14:paraId="1E604D5D"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Huawei's practice shows that artificial intelligence is profoundly reshaping managers' decision-making methods, injecting "intelligent factors" into organizational management, and promoting enterprises from experience-driven to data-driven intelligence. Under this trend, Chinese companies should actively embrace artificial intelligence and apply it in key areas such as strategy, marketing, operations, and services. Through machine collaboration and human-machine interaction, they can achieve a leap in management efficiency and quality and seize the initiative in the intelligent era.</w:t>
      </w:r>
    </w:p>
    <w:p w14:paraId="6F84A0FB"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 Organizational structure and process changes caused by digital transformation</w:t>
      </w:r>
    </w:p>
    <w:p w14:paraId="4E20AB5D"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wave of digitalization has not only injected new impetus into management decision-making, but has also triggered profound changes in organizational structure and business processes. Faced with increasing environmental uncertainty and market volatility, traditional bureaucratic organizations are no longer sustainable, and new </w:t>
      </w:r>
      <w:r>
        <w:rPr>
          <w:rFonts w:ascii="Times New Roman" w:hAnsi="Times New Roman" w:cs="Times New Roman"/>
          <w:sz w:val="28"/>
          <w:szCs w:val="28"/>
        </w:rPr>
        <w:lastRenderedPageBreak/>
        <w:t>organizational forms that are flat, platform-based, and flexible have emerged[51]. At the same time, breaking through "data silos" and achieving end-to-end process optimization have become important directions for the digital transformation of enterprises.</w:t>
      </w:r>
    </w:p>
    <w:p w14:paraId="565AFFDA"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 Flatter organizational structure and blurred boundaries</w:t>
      </w:r>
    </w:p>
    <w:p w14:paraId="7C162BB4"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Digital technology breaks the boundaries of time and space, making information transmission and collaborative interaction more efficient and convenient, and promoting the increasingly flattening of organizational structures. Many intermediate management levels have been optimized, the vertical management chain has been compressed, power has been gradually decentralized, and front-line employees have greater autonomy. At the same time, digitalization has made the connection between enterprises and external ecological partners closer. Through platform architecture, open interfaces and other means, enterprises can easily connect with customers, partners and even the entire industry to form an "ecological organization" with cross-border collaboration and complementary advantages [54]. Haier Group's "people-oriented" model is a typical example. Haier is user-centric and has broken down the internal structure of the enterprise into several small and micro entities facing users. Through the "three-level open" platform, it integrates global high-quality resources and builds a cross-border innovative ecosystem. In 2019, Haier Smart Home Ecosystem Brands exceeded 20, covering all scenarios such as clothing, food, housing, and transportation, creating an ultimate smart life experience for consumers. Haier's successful practice shows the general trend of the future evolution of organizational forms, that is, "small front desk, big platform", stimulating endogenous motivation through small and beautiful independent units, gathering external resources through open platforms, and realizing agile innovation and cross-border collaboration.</w:t>
      </w:r>
    </w:p>
    <w:p w14:paraId="79978C9A"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 Business process reengineering and digital collaboration</w:t>
      </w:r>
    </w:p>
    <w:p w14:paraId="45F9E5A8"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In line with the organizational structure change, business processes also need to be reshaped in both form and spirit. Traditional functional organizations often have problems such as process fragmentation and departmental barriers. Digitalization provides an opportunity to open up the business chain and achieve end-to-end process optimization. Digital technology enables data sharing in all links of the enterprise and </w:t>
      </w:r>
      <w:r>
        <w:rPr>
          <w:rFonts w:ascii="Times New Roman" w:hAnsi="Times New Roman" w:cs="Times New Roman"/>
          <w:sz w:val="28"/>
          <w:szCs w:val="28"/>
        </w:rPr>
        <w:lastRenderedPageBreak/>
        <w:t xml:space="preserve">seamless connection of various processes, thereby building a digital process that is customer-oriented and delivers </w:t>
      </w:r>
      <w:proofErr w:type="gramStart"/>
      <w:r>
        <w:rPr>
          <w:rFonts w:ascii="Times New Roman" w:hAnsi="Times New Roman" w:cs="Times New Roman"/>
          <w:sz w:val="28"/>
          <w:szCs w:val="28"/>
        </w:rPr>
        <w:t>value[</w:t>
      </w:r>
      <w:proofErr w:type="gramEnd"/>
      <w:r>
        <w:rPr>
          <w:rFonts w:ascii="Times New Roman" w:hAnsi="Times New Roman" w:cs="Times New Roman"/>
          <w:sz w:val="28"/>
          <w:szCs w:val="28"/>
        </w:rPr>
        <w:t xml:space="preserve">51]. Haier's </w:t>
      </w:r>
      <w:proofErr w:type="spellStart"/>
      <w:r>
        <w:rPr>
          <w:rFonts w:ascii="Times New Roman" w:hAnsi="Times New Roman" w:cs="Times New Roman"/>
          <w:sz w:val="28"/>
          <w:szCs w:val="28"/>
        </w:rPr>
        <w:t>COSMOPlat</w:t>
      </w:r>
      <w:proofErr w:type="spellEnd"/>
      <w:r>
        <w:rPr>
          <w:rFonts w:ascii="Times New Roman" w:hAnsi="Times New Roman" w:cs="Times New Roman"/>
          <w:sz w:val="28"/>
          <w:szCs w:val="28"/>
        </w:rPr>
        <w:t xml:space="preserve"> industrial Internet platform is a vivid example (as shown in Figure </w:t>
      </w:r>
      <w:proofErr w:type="gramStart"/>
      <w:r>
        <w:rPr>
          <w:rFonts w:ascii="Times New Roman" w:hAnsi="Times New Roman" w:cs="Times New Roman"/>
          <w:sz w:val="28"/>
          <w:szCs w:val="28"/>
        </w:rPr>
        <w:t>10 )</w:t>
      </w:r>
      <w:proofErr w:type="gramEnd"/>
      <w:r>
        <w:rPr>
          <w:rFonts w:ascii="Times New Roman" w:hAnsi="Times New Roman" w:cs="Times New Roman"/>
          <w:sz w:val="28"/>
          <w:szCs w:val="28"/>
        </w:rPr>
        <w:t>. Through interconnected devices, personnel and systems, the platform realizes visual control and intelligent collaboration of the entire process from user interaction to supply chain management, production and manufacturing, and warehousing and logistics, which increases production efficiency by 28% and shortens delivery cycle by 20%. In the face of "difficult, large, accurate and new" personalized customization needs, traditional large-scale production models are often unable to cope with them. Only by reconstructing the value process through digital means and forming an agile and efficient flexible supply chain can we quickly respond to market changes and meet user needs. It can be said that business process reengineering and digital collaboration are the "must-answer questions" for enterprises to cope with market challenges and reshape their competitive advantages.</w:t>
      </w:r>
    </w:p>
    <w:p w14:paraId="1EEC45A9" w14:textId="77777777" w:rsidR="00CB0142" w:rsidRDefault="00AF7DAE">
      <w:pPr>
        <w:snapToGrid w:val="0"/>
        <w:spacing w:line="360" w:lineRule="auto"/>
        <w:ind w:firstLineChars="200" w:firstLine="560"/>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114300" distR="114300" wp14:anchorId="40597455" wp14:editId="42D0B2DA">
            <wp:extent cx="4902200" cy="3076575"/>
            <wp:effectExtent l="0" t="0" r="5080" b="1905"/>
            <wp:docPr id="13" name="图片 13" descr="ac1352fd177ddf12afcb04320ed46b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ac1352fd177ddf12afcb04320ed46bd"/>
                    <pic:cNvPicPr>
                      <a:picLocks noChangeAspect="1"/>
                    </pic:cNvPicPr>
                  </pic:nvPicPr>
                  <pic:blipFill>
                    <a:blip r:embed="rId14"/>
                    <a:stretch>
                      <a:fillRect/>
                    </a:stretch>
                  </pic:blipFill>
                  <pic:spPr>
                    <a:xfrm>
                      <a:off x="0" y="0"/>
                      <a:ext cx="4902200" cy="3076575"/>
                    </a:xfrm>
                    <a:prstGeom prst="rect">
                      <a:avLst/>
                    </a:prstGeom>
                  </pic:spPr>
                </pic:pic>
              </a:graphicData>
            </a:graphic>
          </wp:inline>
        </w:drawing>
      </w:r>
    </w:p>
    <w:p w14:paraId="69391FE3" w14:textId="77777777" w:rsidR="00CB0142" w:rsidRDefault="00AF7DAE">
      <w:pPr>
        <w:snapToGrid w:val="0"/>
        <w:spacing w:line="360" w:lineRule="auto"/>
        <w:ind w:firstLineChars="200" w:firstLine="562"/>
        <w:jc w:val="center"/>
        <w:rPr>
          <w:rFonts w:ascii="Times New Roman" w:hAnsi="Times New Roman" w:cs="Times New Roman"/>
          <w:b/>
          <w:bCs/>
          <w:sz w:val="28"/>
          <w:szCs w:val="28"/>
        </w:rPr>
      </w:pPr>
      <w:r>
        <w:rPr>
          <w:rFonts w:ascii="Times New Roman" w:hAnsi="Times New Roman" w:cs="Times New Roman"/>
          <w:b/>
          <w:bCs/>
          <w:sz w:val="28"/>
          <w:szCs w:val="28"/>
        </w:rPr>
        <w:t xml:space="preserve">Figure 10. Haier </w:t>
      </w:r>
      <w:proofErr w:type="spellStart"/>
      <w:r>
        <w:rPr>
          <w:rFonts w:ascii="Times New Roman" w:hAnsi="Times New Roman" w:cs="Times New Roman"/>
          <w:b/>
          <w:bCs/>
          <w:sz w:val="28"/>
          <w:szCs w:val="28"/>
        </w:rPr>
        <w:t>COSMOPlat</w:t>
      </w:r>
      <w:proofErr w:type="spellEnd"/>
      <w:r>
        <w:rPr>
          <w:rFonts w:ascii="Times New Roman" w:hAnsi="Times New Roman" w:cs="Times New Roman"/>
          <w:b/>
          <w:bCs/>
          <w:sz w:val="28"/>
          <w:szCs w:val="28"/>
        </w:rPr>
        <w:t xml:space="preserve"> Industrial Internet Platform Operational Architecture (Source: Haier Group)</w:t>
      </w:r>
    </w:p>
    <w:p w14:paraId="4F8929D8" w14:textId="77777777" w:rsidR="00CB0142" w:rsidRDefault="00CB0142">
      <w:pPr>
        <w:snapToGrid w:val="0"/>
        <w:spacing w:line="360" w:lineRule="auto"/>
        <w:ind w:firstLineChars="200" w:firstLine="560"/>
        <w:rPr>
          <w:rFonts w:ascii="Times New Roman" w:hAnsi="Times New Roman" w:cs="Times New Roman"/>
          <w:sz w:val="28"/>
          <w:szCs w:val="28"/>
        </w:rPr>
      </w:pPr>
    </w:p>
    <w:p w14:paraId="5C173043"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Whether it is the flattening and </w:t>
      </w:r>
      <w:proofErr w:type="spellStart"/>
      <w:r>
        <w:rPr>
          <w:rFonts w:ascii="Times New Roman" w:hAnsi="Times New Roman" w:cs="Times New Roman"/>
          <w:sz w:val="28"/>
          <w:szCs w:val="28"/>
        </w:rPr>
        <w:t>platformization</w:t>
      </w:r>
      <w:proofErr w:type="spellEnd"/>
      <w:r>
        <w:rPr>
          <w:rFonts w:ascii="Times New Roman" w:hAnsi="Times New Roman" w:cs="Times New Roman"/>
          <w:sz w:val="28"/>
          <w:szCs w:val="28"/>
        </w:rPr>
        <w:t xml:space="preserve"> of organizational structures or the integration and coordination of business processes, the concept of "connection" is permeated behind them without exception. This digital thinking of "connecting everything" is becoming the core logic for reconstructing internal and external </w:t>
      </w:r>
      <w:r>
        <w:rPr>
          <w:rFonts w:ascii="Times New Roman" w:hAnsi="Times New Roman" w:cs="Times New Roman"/>
          <w:sz w:val="28"/>
          <w:szCs w:val="28"/>
        </w:rPr>
        <w:lastRenderedPageBreak/>
        <w:t xml:space="preserve">relationships of enterprises and shaping the future organizational </w:t>
      </w:r>
      <w:proofErr w:type="gramStart"/>
      <w:r>
        <w:rPr>
          <w:rFonts w:ascii="Times New Roman" w:hAnsi="Times New Roman" w:cs="Times New Roman"/>
          <w:sz w:val="28"/>
          <w:szCs w:val="28"/>
        </w:rPr>
        <w:t>form[</w:t>
      </w:r>
      <w:proofErr w:type="gramEnd"/>
      <w:r>
        <w:rPr>
          <w:rFonts w:ascii="Times New Roman" w:hAnsi="Times New Roman" w:cs="Times New Roman"/>
          <w:sz w:val="28"/>
          <w:szCs w:val="28"/>
        </w:rPr>
        <w:t>54]. Enterprises should embrace digital transformation with an open mind, achieve the sublimation of management "spirit" in the optimization of organizational "form", and build core competitiveness for long-term success.</w:t>
      </w:r>
    </w:p>
    <w:p w14:paraId="00A370A8"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III. Innovation-driven digital transformation system strategy</w:t>
      </w:r>
    </w:p>
    <w:p w14:paraId="1925893E"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Digital transformation is by no means the application of a single technical tool, but requires systematic strategic innovation. Chinese companies can start from multiple aspects such as organizational strategy, business model, corporate culture, and capabilities and qualities, systematically plan and continuously deepen digital transformation, and drive transformation and development with innovation.</w:t>
      </w:r>
    </w:p>
    <w:p w14:paraId="500EC972"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 Top-level design: formulate a clear digital strategy</w:t>
      </w:r>
    </w:p>
    <w:p w14:paraId="6252E90D"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Faced with complex digital scenarios, enterprises must be far-sighted and take a holistic view, formulate clear and pragmatic digital strategies, and systematically plan digital application paths in various fields around strategic goals [55]. Midea Group established the strategic goal of building a digital enterprise early on. On the one hand, Midea took intelligent manufacturing as a starting point to accelerate the digital transformation of core areas such as production and manufacturing, product research and development, and supply chain management; on the other hand, it actively deployed the Internet of Things, integrated new technologies such as AI and big data through the </w:t>
      </w:r>
      <w:proofErr w:type="spellStart"/>
      <w:r>
        <w:rPr>
          <w:rFonts w:ascii="Times New Roman" w:hAnsi="Times New Roman" w:cs="Times New Roman"/>
          <w:sz w:val="28"/>
          <w:szCs w:val="28"/>
        </w:rPr>
        <w:t>M.IoT</w:t>
      </w:r>
      <w:proofErr w:type="spellEnd"/>
      <w:r>
        <w:rPr>
          <w:rFonts w:ascii="Times New Roman" w:hAnsi="Times New Roman" w:cs="Times New Roman"/>
          <w:sz w:val="28"/>
          <w:szCs w:val="28"/>
        </w:rPr>
        <w:t xml:space="preserve"> open platform, and provided full-scenario, personalized smart home solutions. Under the guidance of the strategy, Midea not only greatly improved its operational efficiency, but also achieved the transformation from a manufacturer to a "smart home solution provider". Strategic planning is to digital transformation like a lighthouse to a ship, guiding the direction and illuminating the way forward. Chinese enterprises should base themselves on industry trends and their own endowments, scientifically formulate digital transformation strategies, and embed them into the top-level design of enterprise development to provide direction guidance and goal traction for subsequent advancement.</w:t>
      </w:r>
    </w:p>
    <w:p w14:paraId="21C37696"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 Model innovation: exploring new business models in the digital era</w:t>
      </w:r>
    </w:p>
    <w:p w14:paraId="62A90A51"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iterative evolution of new technologies has not only reshaped the production </w:t>
      </w:r>
      <w:r>
        <w:rPr>
          <w:rFonts w:ascii="Times New Roman" w:hAnsi="Times New Roman" w:cs="Times New Roman"/>
          <w:sz w:val="28"/>
          <w:szCs w:val="28"/>
        </w:rPr>
        <w:lastRenderedPageBreak/>
        <w:t xml:space="preserve">methods, but also overturned the original business logic. Enterprises must actively explore new business models that adapt to the digital age. Under the influence of Internet thinking, more and more enterprises have begun to try the "platform + ecology" model innovation [52]. For example, Haier's </w:t>
      </w:r>
      <w:proofErr w:type="spellStart"/>
      <w:r>
        <w:rPr>
          <w:rFonts w:ascii="Times New Roman" w:hAnsi="Times New Roman" w:cs="Times New Roman"/>
          <w:sz w:val="28"/>
          <w:szCs w:val="28"/>
        </w:rPr>
        <w:t>COSMOPlat</w:t>
      </w:r>
      <w:proofErr w:type="spellEnd"/>
      <w:r>
        <w:rPr>
          <w:rFonts w:ascii="Times New Roman" w:hAnsi="Times New Roman" w:cs="Times New Roman"/>
          <w:sz w:val="28"/>
          <w:szCs w:val="28"/>
        </w:rPr>
        <w:t xml:space="preserve"> platform has created a large-scale personalized C2M model by connecting various entities such as users, manufacturers and makers, and has promoted a revolutionary change in the traditional manufacturing model. Relying on the "cloud + terminal" architecture, Foxconn Industrial Internet has extended traditional electronic manufacturing services to design, procurement, logistics and other links, forming a networked collaborative manufacturing model covering all links of the industrial chain. It can be seen that business model innovation is a bridge connecting technology and the market, and is also a key to the digital transformation of enterprises. Enterprises should base themselves on the characteristics of the industry, look at the forefront of technology, boldly explore the new business paradigm of the digital age, reconstruct the value creation method in "connecting everything", and achieve new breakthroughs in transformation and development.</w:t>
      </w:r>
    </w:p>
    <w:p w14:paraId="09FDBD9D"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3. Cultural shaping: building a new corporate culture for digital transformation</w:t>
      </w:r>
    </w:p>
    <w:p w14:paraId="665FF0FF"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Digital transformation is not only a technological change, but also a deep-level reshaping of thinking and culture. Only by internalizing digital concepts and forming an organizational culture that adapts to them can digital transformation be safeguarded.[54] Huawei is guided by the core values of "customer-centric and striver-oriented" and creates an atmosphere of innovation and embrace of change for all employees through various means. Under the influence of this culture, Huawei employees actively innovate their working methods and a number of excellent examples of digital transformation have emerged. It is precisely with this innovative gene rooted in cultural fertile soil that Huawei has been able to accumulate strength and achieve great results in the wave of digitalization. It can be seen that digital culture is the spiritual soul of organizational change, and its power to infect people's hearts is far greater than thunder and rain, and tsunamis. Enterprises should attach great importance to the construction of digital culture, embed digital concepts into mission vision, values and behavioral norms, and </w:t>
      </w:r>
      <w:r>
        <w:rPr>
          <w:rFonts w:ascii="Times New Roman" w:hAnsi="Times New Roman" w:cs="Times New Roman"/>
          <w:sz w:val="28"/>
          <w:szCs w:val="28"/>
        </w:rPr>
        <w:lastRenderedPageBreak/>
        <w:t>make long-term efforts to make the vigorous digital spirit an inexhaustible driving force for people to move forward.</w:t>
      </w:r>
    </w:p>
    <w:p w14:paraId="09AD52FD"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4. Capability Reengineering: Accelerate the updating and iteration of personnel knowledge and skills</w:t>
      </w:r>
    </w:p>
    <w:p w14:paraId="59555A0C"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Employee capabilities are the "hard core" guarantee for digital transformation. Currently, many companies are facing the embarrassment of talent gaps and insufficient </w:t>
      </w:r>
      <w:proofErr w:type="gramStart"/>
      <w:r>
        <w:rPr>
          <w:rFonts w:ascii="Times New Roman" w:hAnsi="Times New Roman" w:cs="Times New Roman"/>
          <w:sz w:val="28"/>
          <w:szCs w:val="28"/>
        </w:rPr>
        <w:t>capabilities[</w:t>
      </w:r>
      <w:proofErr w:type="gramEnd"/>
      <w:r>
        <w:rPr>
          <w:rFonts w:ascii="Times New Roman" w:hAnsi="Times New Roman" w:cs="Times New Roman"/>
          <w:sz w:val="28"/>
          <w:szCs w:val="28"/>
        </w:rPr>
        <w:t>54]. Therefore, it is necessary to accelerate the knowledge update and capability reconstruction of employees. Companies can help employees master the new knowledge and skills required for digital transformation through on-the-job training, rotation training, and continuing education. At the same time, we must attach great importance to the introduction and training of digital talents to provide intellectual support for transformation and development. ZTE has specially established a "Digital Academy" to tailor personalized learning maps for various types of personnel and create a "special force" for digital transformation that understands management, is good at innovation, and can be implemented. Only in this way can we make up for shortcomings and activate new momentum. Enterprises should establish the concept of large-scale training and large-scale talents, improve the talent training system, focus on "full coverage", and highlight "training in place of combat", so that the production line becomes the "main battlefield" for talent training, and innovative practice becomes the "melting pot" for tempering skills, so as to continuously supply "fresh forces" for digital transformation.</w:t>
      </w:r>
    </w:p>
    <w:p w14:paraId="3A6C69A8"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IV. Opportunities and Challenges of Digital Transformation of Chinese Enterprises</w:t>
      </w:r>
    </w:p>
    <w:p w14:paraId="6C1E3010"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At present, the digital economy is booming, the construction of Digital China and Smart Society is accelerating, and the national strategy has brought major opportunities for the digital transformation of Chinese enterprises. Enterprises must seize the opportunity, accelerate digital transformation, and cultivate opportunities and open up new situations in reform and innovation.</w:t>
      </w:r>
    </w:p>
    <w:p w14:paraId="5D26D471"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From a macro perspective, the country has successively issued a series of policies such as the "Digital Economy Development Plan" and the "14th Five-Year Plan" Digital Economy Development Plan, providing top-level design and action guidelines for the </w:t>
      </w:r>
      <w:r>
        <w:rPr>
          <w:rFonts w:ascii="Times New Roman" w:hAnsi="Times New Roman" w:cs="Times New Roman"/>
          <w:sz w:val="28"/>
          <w:szCs w:val="28"/>
        </w:rPr>
        <w:lastRenderedPageBreak/>
        <w:t xml:space="preserve">development of the digital economy. Major projects such as "East Data West Computing" have been accelerated, digital industrialization and industrial digitalization have been integrated, the data factor market has been accelerated, and the underlying foundation for the development of the digital economy has been continuously consolidated. In </w:t>
      </w:r>
      <w:proofErr w:type="gramStart"/>
      <w:r>
        <w:rPr>
          <w:rFonts w:ascii="Times New Roman" w:hAnsi="Times New Roman" w:cs="Times New Roman"/>
          <w:sz w:val="28"/>
          <w:szCs w:val="28"/>
        </w:rPr>
        <w:t>2023 ,</w:t>
      </w:r>
      <w:proofErr w:type="gramEnd"/>
      <w:r>
        <w:rPr>
          <w:rFonts w:ascii="Times New Roman" w:hAnsi="Times New Roman" w:cs="Times New Roman"/>
          <w:sz w:val="28"/>
          <w:szCs w:val="28"/>
        </w:rPr>
        <w:t xml:space="preserve"> the scale of China's digital economy will reach 45.5 trillion yuan, accounting for 39.8% of GDP, and its contribution to economic growth will exceed 50% (as shown in Figure 11 ). It can be foreseen that digitalization will become a key variable in shaping new advantages in industrial development and building a new development pattern in the future. In this context, only by accelerating digital transformation, using the power of digitalization to reshape development concepts, innovate development paths, and optimize resource allocation can enterprises seize the commanding heights and gain the initiative in the digital economy era.</w:t>
      </w:r>
    </w:p>
    <w:p w14:paraId="35B0CBFE" w14:textId="77777777" w:rsidR="00CB0142" w:rsidRDefault="00AF7DAE">
      <w:pPr>
        <w:snapToGrid w:val="0"/>
        <w:spacing w:line="360" w:lineRule="auto"/>
        <w:ind w:firstLineChars="200" w:firstLine="560"/>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114300" distR="114300" wp14:anchorId="5B6A3B19" wp14:editId="156A091F">
            <wp:extent cx="3523615" cy="2700655"/>
            <wp:effectExtent l="0" t="0" r="12065" b="12065"/>
            <wp:docPr id="14" name="图片 14" descr="0aed3803bd4f763e48fedb3f55d7f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0aed3803bd4f763e48fedb3f55d7fe5"/>
                    <pic:cNvPicPr>
                      <a:picLocks noChangeAspect="1"/>
                    </pic:cNvPicPr>
                  </pic:nvPicPr>
                  <pic:blipFill>
                    <a:blip r:embed="rId15"/>
                    <a:stretch>
                      <a:fillRect/>
                    </a:stretch>
                  </pic:blipFill>
                  <pic:spPr>
                    <a:xfrm>
                      <a:off x="0" y="0"/>
                      <a:ext cx="3523615" cy="2700655"/>
                    </a:xfrm>
                    <a:prstGeom prst="rect">
                      <a:avLst/>
                    </a:prstGeom>
                  </pic:spPr>
                </pic:pic>
              </a:graphicData>
            </a:graphic>
          </wp:inline>
        </w:drawing>
      </w:r>
    </w:p>
    <w:p w14:paraId="5A8E9A0D" w14:textId="77777777" w:rsidR="00CB0142" w:rsidRDefault="00AF7DAE">
      <w:pPr>
        <w:snapToGrid w:val="0"/>
        <w:spacing w:line="360" w:lineRule="auto"/>
        <w:ind w:firstLineChars="200" w:firstLine="562"/>
        <w:jc w:val="center"/>
        <w:rPr>
          <w:rFonts w:ascii="Times New Roman" w:hAnsi="Times New Roman" w:cs="Times New Roman"/>
          <w:b/>
          <w:bCs/>
          <w:sz w:val="28"/>
          <w:szCs w:val="28"/>
        </w:rPr>
      </w:pPr>
      <w:r>
        <w:rPr>
          <w:rFonts w:ascii="Times New Roman" w:hAnsi="Times New Roman" w:cs="Times New Roman"/>
          <w:b/>
          <w:bCs/>
          <w:sz w:val="28"/>
          <w:szCs w:val="28"/>
        </w:rPr>
        <w:t xml:space="preserve">Figure 11. China’s digital economy scale and growth in 2023 (data source: National Bureau of </w:t>
      </w:r>
      <w:proofErr w:type="gramStart"/>
      <w:r>
        <w:rPr>
          <w:rFonts w:ascii="Times New Roman" w:hAnsi="Times New Roman" w:cs="Times New Roman"/>
          <w:b/>
          <w:bCs/>
          <w:sz w:val="28"/>
          <w:szCs w:val="28"/>
        </w:rPr>
        <w:t>Statistics )</w:t>
      </w:r>
      <w:proofErr w:type="gramEnd"/>
    </w:p>
    <w:p w14:paraId="2BB8C934" w14:textId="77777777" w:rsidR="00CB0142" w:rsidRDefault="00CB0142">
      <w:pPr>
        <w:snapToGrid w:val="0"/>
        <w:spacing w:line="360" w:lineRule="auto"/>
        <w:ind w:firstLineChars="200" w:firstLine="562"/>
        <w:jc w:val="center"/>
        <w:rPr>
          <w:rFonts w:ascii="Times New Roman" w:hAnsi="Times New Roman" w:cs="Times New Roman"/>
          <w:b/>
          <w:bCs/>
          <w:sz w:val="28"/>
          <w:szCs w:val="28"/>
        </w:rPr>
      </w:pPr>
    </w:p>
    <w:p w14:paraId="6B0B999E"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From a micro perspective, although the digital transformation of Chinese enterprises has started, they still face many challenges: first, the strategic positioning and planning path of digital transformation need to be further clarified; second, traditional enterprises have shortcomings in digital infrastructure and data element integration; third, the deep integration of new technologies and traditional businesses needs to be continuously explored; fourth, there is a relative shortage of compound </w:t>
      </w:r>
      <w:r>
        <w:rPr>
          <w:rFonts w:ascii="Times New Roman" w:hAnsi="Times New Roman" w:cs="Times New Roman"/>
          <w:sz w:val="28"/>
          <w:szCs w:val="28"/>
        </w:rPr>
        <w:lastRenderedPageBreak/>
        <w:t>talents required for digital transformation. Compared with global leading companies, Chinese enterprises still have a large gap in the breadth, depth and intensity of digitalization. A new round of scientific and technological revolution and industrial transformation is ready to take off, and the pace of iterative evolution of digital technology is accelerating. The digital transformation of enterprises is urgent and has a long way to go. Chinese enterprises must seize the day with a sense of urgency, accurately grasp the new trends and new characteristics of digital transformation, find the breakthrough points and focus points, explore the transformation path that suits their own characteristics, and strive to overtake on the curve and run "accelerated" on the digital track.</w:t>
      </w:r>
    </w:p>
    <w:p w14:paraId="37113869"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 short, innovation and digital transformation have become key factors in determining the development of Chinese enterprises. This section systematically analyzes the path of organizational change enabled by digital technology from the dimensions of the impact of digital tools on management decisions, changes in organizational structure and processes, and innovation-driven system strategies. The study found that Chinese enterprises should base themselves on their own endowments, focus on the digital future, integrate digitalization into various aspects such as strategy, process, culture, and capabilities, and promote organizational change in multiple dimensions and systems; they should make good use of digital tools to reshape management processes, and pay attention to business model innovation and cultural shaping, and enhance the breadth, depth, and intensity of digital transformation through both soft and hard measures.</w:t>
      </w:r>
    </w:p>
    <w:p w14:paraId="2AADF148" w14:textId="77777777" w:rsidR="00CB0142" w:rsidRDefault="00CB0142">
      <w:pPr>
        <w:rPr>
          <w:rFonts w:ascii="Times New Roman" w:hAnsi="Times New Roman" w:cs="Times New Roman"/>
        </w:rPr>
      </w:pPr>
    </w:p>
    <w:p w14:paraId="6E0E2887" w14:textId="77777777" w:rsidR="00CB0142" w:rsidRDefault="00CB0142">
      <w:pPr>
        <w:rPr>
          <w:rFonts w:ascii="Times New Roman" w:hAnsi="Times New Roman" w:cs="Times New Roman"/>
        </w:rPr>
      </w:pPr>
    </w:p>
    <w:p w14:paraId="3035A6EC" w14:textId="77777777" w:rsidR="00CB0142" w:rsidRDefault="00CB0142">
      <w:pPr>
        <w:snapToGrid w:val="0"/>
        <w:ind w:firstLineChars="200" w:firstLine="562"/>
        <w:outlineLvl w:val="1"/>
        <w:rPr>
          <w:rFonts w:ascii="Times New Roman" w:hAnsi="Times New Roman" w:cs="Times New Roman"/>
          <w:b/>
          <w:bCs/>
          <w:sz w:val="28"/>
          <w:szCs w:val="28"/>
        </w:rPr>
      </w:pPr>
    </w:p>
    <w:p w14:paraId="15518A86" w14:textId="77777777" w:rsidR="00CB0142" w:rsidRDefault="00AF7DAE">
      <w:pPr>
        <w:snapToGrid w:val="0"/>
        <w:ind w:firstLineChars="200" w:firstLine="562"/>
        <w:outlineLvl w:val="1"/>
        <w:rPr>
          <w:rFonts w:ascii="Times New Roman" w:hAnsi="Times New Roman" w:cs="Times New Roman"/>
          <w:b/>
          <w:bCs/>
          <w:sz w:val="28"/>
          <w:szCs w:val="28"/>
        </w:rPr>
      </w:pPr>
      <w:bookmarkStart w:id="15" w:name="_Toc21054"/>
      <w:r>
        <w:rPr>
          <w:rFonts w:ascii="Times New Roman" w:hAnsi="Times New Roman" w:cs="Times New Roman"/>
          <w:b/>
          <w:bCs/>
          <w:sz w:val="28"/>
          <w:szCs w:val="28"/>
        </w:rPr>
        <w:t>3.3 Building a mechanism for managing organizational changes in Chinese companies</w:t>
      </w:r>
      <w:bookmarkEnd w:id="15"/>
    </w:p>
    <w:p w14:paraId="743BE189" w14:textId="77777777" w:rsidR="00CB0142" w:rsidRDefault="00CB0142">
      <w:pPr>
        <w:rPr>
          <w:rFonts w:ascii="Times New Roman" w:hAnsi="Times New Roman" w:cs="Times New Roman"/>
          <w:sz w:val="28"/>
          <w:szCs w:val="28"/>
        </w:rPr>
      </w:pPr>
    </w:p>
    <w:p w14:paraId="38484114"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Based on the above views, organizational change is not only an "ice-breaking" journey, but also a systematic project. It not only tests courage and wisdom, but also requires long-term efforts. Without scientific planning, careful deployment, and strong </w:t>
      </w:r>
      <w:r>
        <w:rPr>
          <w:rFonts w:ascii="Times New Roman" w:hAnsi="Times New Roman" w:cs="Times New Roman"/>
          <w:sz w:val="28"/>
          <w:szCs w:val="28"/>
        </w:rPr>
        <w:lastRenderedPageBreak/>
        <w:t>guarantees, it is difficult to reap the fruits of change by relying solely on momentary passion and a storm-like assault. Therefore, to ensure the successful implementation of organizational change, it is necessary to build a normal and long-term management mechanism to leverage the power of the system to promote the reconstruction of the organization. Based on the experience of the previous two sections, this section will propose a set of "1-3-5" mechanism frameworks for organizational change management that are both strategic and practical based on the unique endowments of Chinese enterprises, in order to provide an action guide for Chinese enterprises to shape their determination for change and control the complexity of change.</w:t>
      </w:r>
    </w:p>
    <w:p w14:paraId="46F55CEE"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 The connotation and significance of organizational change management mechanism</w:t>
      </w:r>
    </w:p>
    <w:p w14:paraId="4DFAE6EF"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Organizational change management mechanism refers to a set of institutional mechanisms and methodological tools that enterprises build to systematically plan, orderly promote, and continuously optimize organizational change. It covers the entire process and all links of organizational change, including change motivation analysis, goal planning, program design, implementation promotion, performance evaluation, and continuous optimization, forming a virtuous cycle of closed-loop management</w:t>
      </w:r>
      <w:r w:rsidR="00105EE8">
        <w:rPr>
          <w:rFonts w:ascii="Times New Roman" w:hAnsi="Times New Roman" w:cs="Times New Roman"/>
          <w:sz w:val="28"/>
          <w:szCs w:val="28"/>
          <w:lang w:val="uk-UA"/>
        </w:rPr>
        <w:t xml:space="preserve"> </w:t>
      </w:r>
      <w:r>
        <w:rPr>
          <w:rFonts w:ascii="Times New Roman" w:hAnsi="Times New Roman" w:cs="Times New Roman"/>
          <w:sz w:val="28"/>
          <w:szCs w:val="28"/>
        </w:rPr>
        <w:t>[56].</w:t>
      </w:r>
    </w:p>
    <w:p w14:paraId="2D7A3BD0"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Building a sound organizational change management mechanism is crucial for Chinese companies to seize opportunities, meet challenges, and achieve transformational development. First, the management mechanism is the "ballast stone" to ensure the smooth and orderly progress of organizational change. Organizational change often means the adjustment of power structure and changes in the distribution of benefits, which can easily lead to resistance and confusion among organizational members. Through clear institutional norms and scientific promotion methods, the management mechanism can effectively avoid the "fault" risk of organizational change, form a "united, coordinated and efficient" change force, and ensure that organizational change moves forward steadily along the right track[57]. Second, the management mechanism is a bridge that closely "connects" organizational change with strategic goals. Organizational change is not blind action, but is guided by improving the adaptability of organizational strategy and implementing corporate development strategy. The </w:t>
      </w:r>
      <w:r>
        <w:rPr>
          <w:rFonts w:ascii="Times New Roman" w:hAnsi="Times New Roman" w:cs="Times New Roman"/>
          <w:sz w:val="28"/>
          <w:szCs w:val="28"/>
        </w:rPr>
        <w:lastRenderedPageBreak/>
        <w:t>management mechanism emphasizes strategic leadership. By connecting corporate strategy with change measures and systematically planning key elements such as "people, finance, materials, and information", the management mechanism makes organizational change and corporate strategy resonate and complement each other, thus achieving the superposition effect of "1+1&gt;2". Third, the management mechanism injects the "power source" of sustainable development into organizational change. Through institutional design, the management mechanism consolidates the results of the transformation into the enterprise's governance structure, business system, institutional processes, organizational culture and other aspects, cultivates the "fertile soil" that supports transformation, and builds the "nutrients" that encourage innovation, promoting organizational transformation from the conscious actions of the "critical few" to the collective consciousness of the "vast majority", and continuously enhancing the organization's "immunity" to deal with uncertainty and control complexity.</w:t>
      </w:r>
    </w:p>
    <w:p w14:paraId="45555DFF"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For this reason, more and more Chinese companies have begun to attach great importance to the construction of change management mechanisms, and regard it as the "stabilizing force" for the steady and long-term development of organizational change. For example, in the process of Huawei's transformation and strengthening, Ren Zhengfei paid great attention to "managing people and managing things with mechanisms". He introduced a continuous "catalyst" for change by improving the cadre selection mechanism, target responsibility mechanism, internal control mechanism, etc., supporting Huawei to continuously rejuvenate its vitality in multiple </w:t>
      </w:r>
      <w:proofErr w:type="gramStart"/>
      <w:r>
        <w:rPr>
          <w:rFonts w:ascii="Times New Roman" w:hAnsi="Times New Roman" w:cs="Times New Roman"/>
          <w:sz w:val="28"/>
          <w:szCs w:val="28"/>
        </w:rPr>
        <w:t>changes[</w:t>
      </w:r>
      <w:proofErr w:type="gramEnd"/>
      <w:r>
        <w:rPr>
          <w:rFonts w:ascii="Times New Roman" w:hAnsi="Times New Roman" w:cs="Times New Roman"/>
          <w:sz w:val="28"/>
          <w:szCs w:val="28"/>
        </w:rPr>
        <w:t xml:space="preserve">58]. For example, in the reform of state-owned enterprises, the State-owned Assets Supervision and Administration Commission of the State Council issued the "Guiding Opinions on the Definition and Classification of the Functions of State-owned Enterprises", which put forward differentiated requirements for the governance mechanisms and organizational systems of different state-owned enterprises based on different functional categories, stimulated the endogenous motivation of various types of enterprises, and promoted the professionalization and lean development of state-owned enterprises in the market-oriented reform[59]. It can be seen that only by practicing reform, making good use of mechanisms, and leveraging the power of the system can we move forward </w:t>
      </w:r>
      <w:r>
        <w:rPr>
          <w:rFonts w:ascii="Times New Roman" w:hAnsi="Times New Roman" w:cs="Times New Roman"/>
          <w:sz w:val="28"/>
          <w:szCs w:val="28"/>
        </w:rPr>
        <w:lastRenderedPageBreak/>
        <w:t>steadily in the complex and ever-changing market competition and move forward steadily in the turbulent external environment.</w:t>
      </w:r>
    </w:p>
    <w:p w14:paraId="7703EBC1"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 Key components of organizational change management mechanisms</w:t>
      </w:r>
    </w:p>
    <w:p w14:paraId="6C784F6F"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So, how can Chinese companies build a practical and effective organizational change management mechanism? Based on previous research and practical experience, the key components of the organizational change management mechanism can be summarized as "four systems", namely leadership improvement system, full employee participation system, digital empowerment system and cultural reshaping system. These "four systems" are intertwined and mutually reinforcing, forming a solid foundation for supporting the steady and long-term development of organizational change (as shown in Figure </w:t>
      </w:r>
      <w:proofErr w:type="gramStart"/>
      <w:r>
        <w:rPr>
          <w:rFonts w:ascii="Times New Roman" w:hAnsi="Times New Roman" w:cs="Times New Roman"/>
          <w:sz w:val="28"/>
          <w:szCs w:val="28"/>
        </w:rPr>
        <w:t>12 )</w:t>
      </w:r>
      <w:proofErr w:type="gramEnd"/>
      <w:r>
        <w:rPr>
          <w:rFonts w:ascii="Times New Roman" w:hAnsi="Times New Roman" w:cs="Times New Roman"/>
          <w:sz w:val="28"/>
          <w:szCs w:val="28"/>
        </w:rPr>
        <w:t>.</w:t>
      </w:r>
    </w:p>
    <w:p w14:paraId="5E8C4D22" w14:textId="77777777" w:rsidR="00CB0142" w:rsidRDefault="00AF7DAE">
      <w:pPr>
        <w:snapToGrid w:val="0"/>
        <w:spacing w:line="360" w:lineRule="auto"/>
        <w:ind w:firstLineChars="200" w:firstLine="560"/>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114300" distR="114300" wp14:anchorId="1FECB857" wp14:editId="57689F6C">
            <wp:extent cx="4091940" cy="2705100"/>
            <wp:effectExtent l="0" t="0" r="7620" b="7620"/>
            <wp:docPr id="15" name="图片 15" descr="1731619858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1731619858995"/>
                    <pic:cNvPicPr>
                      <a:picLocks noChangeAspect="1"/>
                    </pic:cNvPicPr>
                  </pic:nvPicPr>
                  <pic:blipFill>
                    <a:blip r:embed="rId16"/>
                    <a:stretch>
                      <a:fillRect/>
                    </a:stretch>
                  </pic:blipFill>
                  <pic:spPr>
                    <a:xfrm>
                      <a:off x="0" y="0"/>
                      <a:ext cx="4091940" cy="2705100"/>
                    </a:xfrm>
                    <a:prstGeom prst="rect">
                      <a:avLst/>
                    </a:prstGeom>
                  </pic:spPr>
                </pic:pic>
              </a:graphicData>
            </a:graphic>
          </wp:inline>
        </w:drawing>
      </w:r>
    </w:p>
    <w:p w14:paraId="4777FC46" w14:textId="77777777" w:rsidR="00CB0142" w:rsidRDefault="00AF7DAE">
      <w:pPr>
        <w:snapToGrid w:val="0"/>
        <w:spacing w:line="360" w:lineRule="auto"/>
        <w:ind w:firstLineChars="200" w:firstLine="562"/>
        <w:jc w:val="center"/>
        <w:rPr>
          <w:rFonts w:ascii="Times New Roman" w:hAnsi="Times New Roman" w:cs="Times New Roman"/>
          <w:b/>
          <w:bCs/>
          <w:sz w:val="28"/>
          <w:szCs w:val="28"/>
        </w:rPr>
      </w:pPr>
      <w:r>
        <w:rPr>
          <w:rFonts w:ascii="Times New Roman" w:hAnsi="Times New Roman" w:cs="Times New Roman"/>
          <w:b/>
          <w:bCs/>
          <w:sz w:val="28"/>
          <w:szCs w:val="28"/>
        </w:rPr>
        <w:t>Figure 12. Schematic diagram of key components of organizational change management mechanism (Source: Author’s own drawing)</w:t>
      </w:r>
    </w:p>
    <w:p w14:paraId="6115EAFC" w14:textId="77777777" w:rsidR="00CB0142" w:rsidRDefault="00CB0142">
      <w:pPr>
        <w:snapToGrid w:val="0"/>
        <w:spacing w:line="360" w:lineRule="auto"/>
        <w:ind w:firstLineChars="200" w:firstLine="560"/>
        <w:rPr>
          <w:rFonts w:ascii="Times New Roman" w:hAnsi="Times New Roman" w:cs="Times New Roman"/>
          <w:sz w:val="28"/>
          <w:szCs w:val="28"/>
        </w:rPr>
      </w:pPr>
    </w:p>
    <w:p w14:paraId="20E4B26B"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 Leadership Enhancement System: A Lighthouse for Leading Change</w:t>
      </w:r>
    </w:p>
    <w:p w14:paraId="009D89CB"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leadership improvement system is the "locomotive" of the organizational change management mechanism. As mentioned above, the degree of attention and promotion of organizational change by senior leaders directly determines the success or failure of organizational change. Therefore, Chinese companies should establish a leadership improvement system that matches organizational change and comprehensively strengthen the strategic leadership, transformation leadership and </w:t>
      </w:r>
      <w:r>
        <w:rPr>
          <w:rFonts w:ascii="Times New Roman" w:hAnsi="Times New Roman" w:cs="Times New Roman"/>
          <w:sz w:val="28"/>
          <w:szCs w:val="28"/>
        </w:rPr>
        <w:lastRenderedPageBreak/>
        <w:t xml:space="preserve">adaptive leadership of the senior management team [58]. Strategic leadership requires corporate leaders to accurately grasp the context of environmental changes based on the macro situation and industry trends, and to draw up a blueprint for change from a high-level perspective. For example, Dong Mingzhu, chairman of </w:t>
      </w:r>
      <w:proofErr w:type="spellStart"/>
      <w:r>
        <w:rPr>
          <w:rFonts w:ascii="Times New Roman" w:hAnsi="Times New Roman" w:cs="Times New Roman"/>
          <w:sz w:val="28"/>
          <w:szCs w:val="28"/>
        </w:rPr>
        <w:t>Gree</w:t>
      </w:r>
      <w:proofErr w:type="spellEnd"/>
      <w:r>
        <w:rPr>
          <w:rFonts w:ascii="Times New Roman" w:hAnsi="Times New Roman" w:cs="Times New Roman"/>
          <w:sz w:val="28"/>
          <w:szCs w:val="28"/>
        </w:rPr>
        <w:t xml:space="preserve"> Electric Appliances, based on the new global competition situation, proposed a strategic concept of transformation from manufacturing to creation, from speed to quality, and from product to brand, leading the company to accumulate strength and transform and take off in the complex competitive environment. Transformation leadership emphasizes that corporate leaders should improve their political stance, use a giant pen to draw a grand blueprint for change under the background of the times, and take the lead in promoting change with the determination of "holding on to the green mountains and not letting go" and the courage of "not returning until </w:t>
      </w:r>
      <w:proofErr w:type="spellStart"/>
      <w:r>
        <w:rPr>
          <w:rFonts w:ascii="Times New Roman" w:hAnsi="Times New Roman" w:cs="Times New Roman"/>
          <w:sz w:val="28"/>
          <w:szCs w:val="28"/>
        </w:rPr>
        <w:t>Loulan</w:t>
      </w:r>
      <w:proofErr w:type="spellEnd"/>
      <w:r>
        <w:rPr>
          <w:rFonts w:ascii="Times New Roman" w:hAnsi="Times New Roman" w:cs="Times New Roman"/>
          <w:sz w:val="28"/>
          <w:szCs w:val="28"/>
        </w:rPr>
        <w:t xml:space="preserve"> is conquered". For example, Li </w:t>
      </w:r>
      <w:proofErr w:type="spellStart"/>
      <w:r>
        <w:rPr>
          <w:rFonts w:ascii="Times New Roman" w:hAnsi="Times New Roman" w:cs="Times New Roman"/>
          <w:sz w:val="28"/>
          <w:szCs w:val="28"/>
        </w:rPr>
        <w:t>Zixue</w:t>
      </w:r>
      <w:proofErr w:type="spellEnd"/>
      <w:r>
        <w:rPr>
          <w:rFonts w:ascii="Times New Roman" w:hAnsi="Times New Roman" w:cs="Times New Roman"/>
          <w:sz w:val="28"/>
          <w:szCs w:val="28"/>
        </w:rPr>
        <w:t>, Chairman of ZTE, took on the mission of "born in hardship and died in comfort" and pushed ZTE to achieve "rebirth from the ashes" in the 5G era. Adaptive leadership means that corporate leaders must adjust their mental models in a timely manner, arm their minds with cutting-edge concepts, and enhance their ability to control change while grasping the general trend of the times. As Jack Ma said: "The only constant is change. Leaders are first and foremost advocates and promoters of change. Only by actively seeking change can they be invincible. [60]"</w:t>
      </w:r>
    </w:p>
    <w:p w14:paraId="36BBD8D5"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 Full participation system: gathering the "torrent" of change</w:t>
      </w:r>
    </w:p>
    <w:p w14:paraId="5F7A4409"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full participation system provides a continuous "source of motivation" for organizational change. As the saying goes, "many hands make light work", organizational change is by no means a "one-man show" by a few people, but requires the mobilization of the enthusiasm of all members of the organization. To this end, enterprises should establish smooth channels for expressing their interests and demands, and fully understand and absorb employees' "golden ideas" through forums, questionnaires, participatory decision-making, etc., so that grassroots employees can feel the sense of achievement and ownership of participating in and integrating into the change. At the same time, enterprises should improve the employee incentive mechanism, link employees' contributions to organizational change with their career </w:t>
      </w:r>
      <w:r>
        <w:rPr>
          <w:rFonts w:ascii="Times New Roman" w:hAnsi="Times New Roman" w:cs="Times New Roman"/>
          <w:sz w:val="28"/>
          <w:szCs w:val="28"/>
        </w:rPr>
        <w:lastRenderedPageBreak/>
        <w:t>development, salary and benefits, and fully mobilize the innovation enthusiasm of "high-performing employees" [58]. Furthermore, enterprises should also focus on empowering employees and improving the transformation capabilities of all employees. Through multi-level and multi-form training, they can improve employees' professional qualities in dealing with uncertainty and their psychological capital in adapting to change, and minimize employees' resistance and insecurity. For example, Huawei adheres to the concept of "focusing on strivers" and has established a dedicated internal training institution, Huawei University, to provide employees with a full-chain learning and development system from new employee onboarding to executive leadership improvement, creating a "digital transformation iron army" that can fight tough battles and win.</w:t>
      </w:r>
    </w:p>
    <w:p w14:paraId="7090FEB5"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3. Digital empowerment system: a powerful tool for reshaping change</w:t>
      </w:r>
    </w:p>
    <w:p w14:paraId="0588661C"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digital empowerment system gives organizational change wings to take off. A new round of scientific and technological revolution and industrial transformation is in full swing, and digital technology is changing with each passing day. Digital capabilities have become a "new engine" to drive innovation and a "new weapon" to shape development advantages. Chinese companies must actively adapt and seek change, embed digital technology into all aspects of change management, and promote organizational change to a new paradigm that is data-driven, focuses on accurate insights, and reflects agile </w:t>
      </w:r>
      <w:proofErr w:type="gramStart"/>
      <w:r>
        <w:rPr>
          <w:rFonts w:ascii="Times New Roman" w:hAnsi="Times New Roman" w:cs="Times New Roman"/>
          <w:sz w:val="28"/>
          <w:szCs w:val="28"/>
        </w:rPr>
        <w:t>collaboration[</w:t>
      </w:r>
      <w:proofErr w:type="gramEnd"/>
      <w:r>
        <w:rPr>
          <w:rFonts w:ascii="Times New Roman" w:hAnsi="Times New Roman" w:cs="Times New Roman"/>
          <w:sz w:val="28"/>
          <w:szCs w:val="28"/>
        </w:rPr>
        <w:t xml:space="preserve">61]. On the one hand, big data analysis helps companies to timely perceive new changes and trends in the internal and external environment, and provide a scientific basis for the strategic formulation of organizational change. On the other hand, new technologies such as artificial intelligence and blockchain have great potential in transformation initiatives such as process optimization and risk management. For example, Ping An Group uses artificial intelligence to build an "AI+T" (artificial intelligence + workplace) model, and uses technologies such as robotic process automation (RPA) to reshape business processes, intelligent quality inspection, customer profiling and other scenarios, which greatly improves organizational operation efficiency. In addition, digital tools can also effectively enable full employee participation. Enterprises can break through </w:t>
      </w:r>
      <w:r>
        <w:rPr>
          <w:rFonts w:ascii="Times New Roman" w:hAnsi="Times New Roman" w:cs="Times New Roman"/>
          <w:sz w:val="28"/>
          <w:szCs w:val="28"/>
        </w:rPr>
        <w:lastRenderedPageBreak/>
        <w:t>organizational barriers through internal social platforms and online learning systems, promote information sharing, knowledge extraction, and experience inheritance, and create a lively situation where "everyone can innovate." It can be said that only by actively embracing digital transformation and using digital means to reshape organizational boundaries and optimize factor allocation can we control uncertainty, seize new opportunities, and achieve victory in the corner by "changing lanes and overtaking" with digitalization.</w:t>
      </w:r>
    </w:p>
    <w:p w14:paraId="5CC1F97E"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4. Cultural Reshaping System: Gathering the "</w:t>
      </w:r>
      <w:proofErr w:type="spellStart"/>
      <w:r>
        <w:rPr>
          <w:rFonts w:ascii="Times New Roman" w:hAnsi="Times New Roman" w:cs="Times New Roman"/>
          <w:sz w:val="28"/>
          <w:szCs w:val="28"/>
        </w:rPr>
        <w:t>Centriptial</w:t>
      </w:r>
      <w:proofErr w:type="spellEnd"/>
      <w:r>
        <w:rPr>
          <w:rFonts w:ascii="Times New Roman" w:hAnsi="Times New Roman" w:cs="Times New Roman"/>
          <w:sz w:val="28"/>
          <w:szCs w:val="28"/>
        </w:rPr>
        <w:t xml:space="preserve"> Force" of Change</w:t>
      </w:r>
    </w:p>
    <w:p w14:paraId="188D2EE4"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Finally, the cultural reshaping system is the "ballast stone" of organizational change. Organizational culture is like an invisible "social control system" that has a subtle influence on the value orientation and behavior of organizational members. In many cases, the fundamental reason why organizational change fails to take root in people's hearts is that it fails to touch the cultural level. To this end, enterprises should attach great importance to the reshaping of organizational culture, give full play to the guiding, motivating and restraining functions of culture, build consensus for change, cultivate the ecology, and empower people's hearts [62]. First, it is necessary to establish a cultural concept that keeps pace with the times. Enterprises should be based on a new historical position, integrate the spirit of the times such as innovation, collaboration, and openness into organizational culture, and guide employees to establish a lifelong learning and innovative spirit. Second, it is necessary to strengthen value recognition. Enterprises should transform the meaning and purpose of change into the common vision of all members through cultural promotion and value reaffirmation, so that it can be internalized into the conscious pursuit of employees. Third, it is necessary to discover typical cases. Enterprises should be good at capturing the bright spots in the process of change, and inspire employees' enthusiasm for participating in and devoting themselves to change through role models. Fourth, it is necessary to strengthen innovation tolerance. Create a cultural atmosphere that encourages innovation and tolerates failure, improve the fault-tolerant and error-correcting mechanism, and maximize the initiative and enthusiasm for exploration of organizational members.</w:t>
      </w:r>
    </w:p>
    <w:p w14:paraId="7B4CABAE"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lastRenderedPageBreak/>
        <w:t xml:space="preserve">For example, in the process of promoting Haier's "people-oriented and single-product" model, Zhang </w:t>
      </w:r>
      <w:proofErr w:type="spellStart"/>
      <w:r>
        <w:rPr>
          <w:rFonts w:ascii="Times New Roman" w:hAnsi="Times New Roman" w:cs="Times New Roman"/>
          <w:sz w:val="28"/>
          <w:szCs w:val="28"/>
        </w:rPr>
        <w:t>Ruimin</w:t>
      </w:r>
      <w:proofErr w:type="spellEnd"/>
      <w:r>
        <w:rPr>
          <w:rFonts w:ascii="Times New Roman" w:hAnsi="Times New Roman" w:cs="Times New Roman"/>
          <w:sz w:val="28"/>
          <w:szCs w:val="28"/>
        </w:rPr>
        <w:t xml:space="preserve"> paid great attention to people-oriented management and the shaping of maker culture. He emphasized that "everyone is a CEO" and fostered the entrepreneurial spirit of employees by empowering employees and delegating power to the front line. At the same time, he also advocated the "maker spirit", encouraging employees to break the routine, innovate products and services, and promote Haier to rejuvenate in the "Internet +" </w:t>
      </w:r>
      <w:proofErr w:type="gramStart"/>
      <w:r>
        <w:rPr>
          <w:rFonts w:ascii="Times New Roman" w:hAnsi="Times New Roman" w:cs="Times New Roman"/>
          <w:sz w:val="28"/>
          <w:szCs w:val="28"/>
        </w:rPr>
        <w:t>era[</w:t>
      </w:r>
      <w:proofErr w:type="gramEnd"/>
      <w:r>
        <w:rPr>
          <w:rFonts w:ascii="Times New Roman" w:hAnsi="Times New Roman" w:cs="Times New Roman"/>
          <w:sz w:val="28"/>
          <w:szCs w:val="28"/>
        </w:rPr>
        <w:t>63]. It can be said that organizational culture reshaping is a long-term "education" project. Only by educating people with culture and letting the vigorous innovation and entrepreneurship culture take root in the organizational fabric can we provide a continuous source of value guidance, spiritual guidance and moral nourishment for organizational change.</w:t>
      </w:r>
    </w:p>
    <w:p w14:paraId="47631DA8"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3. Implementation path of organizational change management mechanism</w:t>
      </w:r>
    </w:p>
    <w:p w14:paraId="4075A227"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After clarifying the key components of the organizational change management mechanism, Chinese companies need to further explore implementation paths that suit their own reality. This requires following certain rules and methods to make organizational change targeted and take root. Based on previous research and the practical experience of Chinese companies, this article proposes a "1-3-5" organizational change management mechanism implementation framework (as shown in Figure </w:t>
      </w:r>
      <w:proofErr w:type="gramStart"/>
      <w:r>
        <w:rPr>
          <w:rFonts w:ascii="Times New Roman" w:hAnsi="Times New Roman" w:cs="Times New Roman"/>
          <w:sz w:val="28"/>
          <w:szCs w:val="28"/>
        </w:rPr>
        <w:t>13 )</w:t>
      </w:r>
      <w:proofErr w:type="gramEnd"/>
      <w:r>
        <w:rPr>
          <w:rFonts w:ascii="Times New Roman" w:hAnsi="Times New Roman" w:cs="Times New Roman"/>
          <w:sz w:val="28"/>
          <w:szCs w:val="28"/>
        </w:rPr>
        <w:t>. This framework is driven by strategy and focuses on the three key dimensions of organization, process and people. It proposes a five-step implementation method, which provides a concise and easy-to-implement idea guide for the change management practice of Chinese companies.</w:t>
      </w:r>
    </w:p>
    <w:p w14:paraId="7BDA9020" w14:textId="77777777" w:rsidR="00CB0142" w:rsidRDefault="00AF7DAE">
      <w:pPr>
        <w:snapToGrid w:val="0"/>
        <w:spacing w:line="360" w:lineRule="auto"/>
        <w:ind w:firstLineChars="200" w:firstLine="560"/>
        <w:jc w:val="center"/>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114300" distR="114300" wp14:anchorId="63B8C674" wp14:editId="42A23046">
            <wp:extent cx="3937635" cy="3615690"/>
            <wp:effectExtent l="0" t="0" r="9525" b="11430"/>
            <wp:docPr id="16" name="图片 16" descr="17316199059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1731619905971"/>
                    <pic:cNvPicPr>
                      <a:picLocks noChangeAspect="1"/>
                    </pic:cNvPicPr>
                  </pic:nvPicPr>
                  <pic:blipFill>
                    <a:blip r:embed="rId17"/>
                    <a:stretch>
                      <a:fillRect/>
                    </a:stretch>
                  </pic:blipFill>
                  <pic:spPr>
                    <a:xfrm>
                      <a:off x="0" y="0"/>
                      <a:ext cx="3937635" cy="3615690"/>
                    </a:xfrm>
                    <a:prstGeom prst="rect">
                      <a:avLst/>
                    </a:prstGeom>
                  </pic:spPr>
                </pic:pic>
              </a:graphicData>
            </a:graphic>
          </wp:inline>
        </w:drawing>
      </w:r>
    </w:p>
    <w:p w14:paraId="0AD8134A" w14:textId="77777777" w:rsidR="00CB0142" w:rsidRDefault="00AF7DAE">
      <w:pPr>
        <w:snapToGrid w:val="0"/>
        <w:spacing w:line="360" w:lineRule="auto"/>
        <w:ind w:firstLineChars="200" w:firstLine="562"/>
        <w:jc w:val="center"/>
        <w:rPr>
          <w:rFonts w:ascii="Times New Roman" w:hAnsi="Times New Roman" w:cs="Times New Roman"/>
          <w:b/>
          <w:bCs/>
          <w:sz w:val="28"/>
          <w:szCs w:val="28"/>
        </w:rPr>
      </w:pPr>
      <w:r>
        <w:rPr>
          <w:rFonts w:ascii="Times New Roman" w:hAnsi="Times New Roman" w:cs="Times New Roman"/>
          <w:b/>
          <w:bCs/>
          <w:sz w:val="28"/>
          <w:szCs w:val="28"/>
        </w:rPr>
        <w:t>Figure 13. Organizational change management mechanism "1-3-5" implementation framework (Source: Author's own drawing)</w:t>
      </w:r>
    </w:p>
    <w:p w14:paraId="1E68B482" w14:textId="77777777" w:rsidR="00CB0142" w:rsidRDefault="00CB0142">
      <w:pPr>
        <w:snapToGrid w:val="0"/>
        <w:spacing w:line="360" w:lineRule="auto"/>
        <w:ind w:firstLineChars="200" w:firstLine="560"/>
        <w:rPr>
          <w:rFonts w:ascii="Times New Roman" w:hAnsi="Times New Roman" w:cs="Times New Roman"/>
          <w:sz w:val="28"/>
          <w:szCs w:val="28"/>
        </w:rPr>
      </w:pPr>
    </w:p>
    <w:p w14:paraId="31E1A2AA"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 One Center: Adhere to Strategic Guidance</w:t>
      </w:r>
    </w:p>
    <w:p w14:paraId="382A1984"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Strategic leadership is the logical starting point and destination of organizational change management. On the one hand, organizational change must obey and serve the corporate strategy, and be planned and deployed around strategic goals. Therefore, Chinese companies must judge the situation and scientifically formulate development strategies that are in line with their own endowments, and use them as the "guiding star" and "compass" of organizational change. On the other hand, the ultimate goal of organizational change is to reshape the core competitiveness of the enterprise and achieve long-term success. This requires enterprises to be good at transforming the results of change into strategic resources and promoting the achievement of strategic goals. This forms a dynamic cycle of "strategy-change-re-strategy", and continuously enhances the environmental adaptability and sustainable development capabilities of enterprises.</w:t>
      </w:r>
    </w:p>
    <w:p w14:paraId="4221BAEA"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For example, Huawei insists on being customer-centric and continuously promoting organizational change and management innovation around the strategic goal </w:t>
      </w:r>
      <w:r>
        <w:rPr>
          <w:rFonts w:ascii="Times New Roman" w:hAnsi="Times New Roman" w:cs="Times New Roman"/>
          <w:sz w:val="28"/>
          <w:szCs w:val="28"/>
        </w:rPr>
        <w:lastRenderedPageBreak/>
        <w:t xml:space="preserve">of becoming a world-class enterprise. Ren Zhengfei figuratively compares this to "shock therapy", which activates the organization through continuous "electric shock" and promotes the implementation of the strategy. At the same time, Huawei is good at summarizing its reform practices, elevating customer focus and professional benchmarking to the core values of the company, and transforming them into new momentum for promoting strategic innovation and </w:t>
      </w:r>
      <w:proofErr w:type="gramStart"/>
      <w:r>
        <w:rPr>
          <w:rFonts w:ascii="Times New Roman" w:hAnsi="Times New Roman" w:cs="Times New Roman"/>
          <w:sz w:val="28"/>
          <w:szCs w:val="28"/>
        </w:rPr>
        <w:t>breakthroughs[</w:t>
      </w:r>
      <w:proofErr w:type="gramEnd"/>
      <w:r>
        <w:rPr>
          <w:rFonts w:ascii="Times New Roman" w:hAnsi="Times New Roman" w:cs="Times New Roman"/>
          <w:sz w:val="28"/>
          <w:szCs w:val="28"/>
        </w:rPr>
        <w:t>64]. It can be seen from this that only by keeping a clear strategy at all times, moving forward unswervingly towards the strategic goal in organizational change, and drawing a grand blueprint for change with a strategic pen, can the company's foundation be long-lasting and steady.</w:t>
      </w:r>
    </w:p>
    <w:p w14:paraId="230C744F"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 Three key dimensions: organization-process-people</w:t>
      </w:r>
    </w:p>
    <w:p w14:paraId="2FD6B140"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After the strategy is set, the company should further clarify the key areas and levers of organizational change, focusing on systematic planning and precise efforts around the three dimensions of organizational structure, business processes, and human resources:</w:t>
      </w:r>
    </w:p>
    <w:p w14:paraId="5A5AA0B7"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 Organizational dimension: We should focus on improving organizational operating efficiency, optimizing organizational boundaries of power and responsibility, and creating a flat, modular, and platform-based flexible organization. First, clarify hierarchical responsibilities and build a flat organization that is conducive to information transmission and rapid decision-making. Second, build a small front desk that is specialized, differentiated, and quasi-independent around business modules. Third, integrate internal and external resources and build an open and shared innovation and collaboration platform. Fourth, establish a matrix-style cross-level and cross-departmental collaboration mechanism to enhance organizational resilience. For example, Alibaba has established a three-dimensional matrix of business areas, functional lines, and business units based on the "big and medium-sized front desk, small front desk" model, which not only strengthens intensive management and control, but also enables front-line response, greatly improving organizational flexibility and innovation.[65]</w:t>
      </w:r>
    </w:p>
    <w:p w14:paraId="61D47CB9"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(2) Process dimension: We should focus on improving operational management </w:t>
      </w:r>
      <w:r>
        <w:rPr>
          <w:rFonts w:ascii="Times New Roman" w:hAnsi="Times New Roman" w:cs="Times New Roman"/>
          <w:sz w:val="28"/>
          <w:szCs w:val="28"/>
        </w:rPr>
        <w:lastRenderedPageBreak/>
        <w:t xml:space="preserve">efficiency, optimizing end-to-end business processes, breaking down departmental fragmentation, and forming a customer-centric agile process. First, we should systematically sort out existing processes, identify points that can be optimized, and design an end-to-end process blueprint. Second, we should apply tools such as process mining and process automation to reduce process links and shorten process time. Third, we should formulate process performance indicators, implement process performance evaluation, and establish a closed-loop mechanism for continuous optimization. Fourth, we should strengthen data integration and sharing to achieve cross-departmental collaboration. For example, under Haier's "people-oriented" model, relying on the </w:t>
      </w:r>
      <w:proofErr w:type="spellStart"/>
      <w:r>
        <w:rPr>
          <w:rFonts w:ascii="Times New Roman" w:hAnsi="Times New Roman" w:cs="Times New Roman"/>
          <w:sz w:val="28"/>
          <w:szCs w:val="28"/>
        </w:rPr>
        <w:t>COSMOPlat</w:t>
      </w:r>
      <w:proofErr w:type="spellEnd"/>
      <w:r>
        <w:rPr>
          <w:rFonts w:ascii="Times New Roman" w:hAnsi="Times New Roman" w:cs="Times New Roman"/>
          <w:sz w:val="28"/>
          <w:szCs w:val="28"/>
        </w:rPr>
        <w:t xml:space="preserve"> industrial Internet platform, we have opened up the entire process from user interaction, R&amp;D design to supply chain management, production and manufacturing, and built a "networked collaboration" mechanism that can quickly respond to the market and meet the personalized needs of users[66].</w:t>
      </w:r>
    </w:p>
    <w:p w14:paraId="2FC1A2CB"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(3) Human resource dimension: We should focus on promoting the renewal of concepts and the reconstruction of capabilities, deepen human resource reform, and build a talent team that adapts to the needs of change. First, we should optimize the talent selection mechanism, focus on qualities such as innovative awareness and open-mindedness, and recruit talents in a non-standard manner. Second, we should improve the training system, popularize digital literacy, and strengthen the cultivation of compound talents. Third, we should improve the allocation mechanism of positions based on ability and salaries based on performance, and mobilize the innovation and entrepreneurship vitality of talents. Fourth, we should build a diversified and open employment mechanism to achieve accurate allocation of internal talents and flexible expansion of external resources. For example, Tencent's "930 Digital Talent Inventory" sorted out the 30 types of core talents required for digital transformation, formulated personalized learning maps for employees, built a closed loop of talent empowerment, and created a "new force" for digital transformation[67].</w:t>
      </w:r>
    </w:p>
    <w:p w14:paraId="328F1A91"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3. Five-step implementation method: method path</w:t>
      </w:r>
    </w:p>
    <w:p w14:paraId="36FAF7D4"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After clarifying the key areas of organizational change, enterprises should further explore specific implementation paths and follow certain methods and steps to ensure </w:t>
      </w:r>
      <w:r>
        <w:rPr>
          <w:rFonts w:ascii="Times New Roman" w:hAnsi="Times New Roman" w:cs="Times New Roman"/>
          <w:sz w:val="28"/>
          <w:szCs w:val="28"/>
        </w:rPr>
        <w:lastRenderedPageBreak/>
        <w:t>that organizational change is carried out smoothly, orderly and effectively. This article proposes a five-step method of "goal-analysis-plan-implementation-evaluation", which provides a basic guideline for the cyclical and spiral rise of organizational change management.</w:t>
      </w:r>
    </w:p>
    <w:p w14:paraId="550260F9" w14:textId="77777777" w:rsidR="00CB0142" w:rsidRDefault="00AF7DAE">
      <w:pPr>
        <w:pStyle w:val="a3"/>
        <w:widowControl/>
        <w:snapToGrid w:val="0"/>
        <w:spacing w:beforeAutospacing="0" w:afterAutospacing="0" w:line="360" w:lineRule="auto"/>
        <w:ind w:firstLineChars="200" w:firstLine="560"/>
        <w:rPr>
          <w:rFonts w:ascii="Times New Roman" w:hAnsi="Times New Roman"/>
          <w:sz w:val="28"/>
          <w:szCs w:val="28"/>
        </w:rPr>
      </w:pPr>
      <w:r>
        <w:rPr>
          <w:rFonts w:ascii="Times New Roman" w:hAnsi="Times New Roman"/>
          <w:sz w:val="28"/>
          <w:szCs w:val="28"/>
        </w:rPr>
        <w:t xml:space="preserve">(1) Clear goals: This is the logical starting point for implementing organizational change. Based on the corporate strategy and the opportunities and challenges it faces, and in combination with the key areas of organizational change, it is necessary to propose clear, specific, and measurable change goals to provide direction for subsequent actions. For example, Midea Group proposed the strategic goal of "digitalization and globalization", and then clarified the key points of change such as organizational flattening, business </w:t>
      </w:r>
      <w:proofErr w:type="gramStart"/>
      <w:r>
        <w:rPr>
          <w:rFonts w:ascii="Times New Roman" w:hAnsi="Times New Roman"/>
          <w:sz w:val="28"/>
          <w:szCs w:val="28"/>
        </w:rPr>
        <w:t>modularization ,</w:t>
      </w:r>
      <w:proofErr w:type="gramEnd"/>
      <w:r>
        <w:rPr>
          <w:rFonts w:ascii="Times New Roman" w:hAnsi="Times New Roman"/>
          <w:sz w:val="28"/>
          <w:szCs w:val="28"/>
        </w:rPr>
        <w:t xml:space="preserve"> and process automation, providing clear goal guidance for the implementation of organizational change[68].</w:t>
      </w:r>
    </w:p>
    <w:p w14:paraId="574F0BF2" w14:textId="77777777" w:rsidR="00CB0142" w:rsidRDefault="00AF7DAE">
      <w:pPr>
        <w:pStyle w:val="a3"/>
        <w:widowControl/>
        <w:snapToGrid w:val="0"/>
        <w:spacing w:beforeAutospacing="0" w:afterAutospacing="0" w:line="360" w:lineRule="auto"/>
        <w:ind w:firstLineChars="200" w:firstLine="560"/>
        <w:rPr>
          <w:rFonts w:ascii="Times New Roman" w:hAnsi="Times New Roman"/>
          <w:sz w:val="28"/>
          <w:szCs w:val="28"/>
        </w:rPr>
      </w:pPr>
      <w:r>
        <w:rPr>
          <w:rFonts w:ascii="Times New Roman" w:hAnsi="Times New Roman"/>
          <w:sz w:val="28"/>
          <w:szCs w:val="28"/>
        </w:rPr>
        <w:t>(2) Current situation analysis: This is the basis for implementing organizational change. It is necessary to comprehensively sort out the internal and external environment, objectively evaluate the current situation and problems of the organization in terms of strategy, structure, process, talent, etc., identify the crux of the problem, and lay the foundation for the formulation of a change plan. Commonly used analysis tools include SWOT analysis, business process analysis, organizational network analysis, etc. For example, Huawei conducts an organizational health survey every year to comprehensively "diagnose and find out the "tumors" that restrict development, and provide decision-making support for focusing on organizational change.</w:t>
      </w:r>
    </w:p>
    <w:p w14:paraId="0E8A1470" w14:textId="77777777" w:rsidR="00CB0142" w:rsidRDefault="00AF7DAE">
      <w:pPr>
        <w:pStyle w:val="a3"/>
        <w:widowControl/>
        <w:snapToGrid w:val="0"/>
        <w:spacing w:beforeAutospacing="0" w:afterAutospacing="0" w:line="360" w:lineRule="auto"/>
        <w:ind w:firstLineChars="200" w:firstLine="560"/>
        <w:rPr>
          <w:rFonts w:ascii="Times New Roman" w:hAnsi="Times New Roman"/>
          <w:sz w:val="28"/>
          <w:szCs w:val="28"/>
        </w:rPr>
      </w:pPr>
      <w:r>
        <w:rPr>
          <w:rFonts w:ascii="Times New Roman" w:hAnsi="Times New Roman"/>
          <w:sz w:val="28"/>
          <w:szCs w:val="28"/>
        </w:rPr>
        <w:t xml:space="preserve">(3) Program design: This is the key to implementing organizational change. We must follow the principle of systematization and systematically design improvement programs from the dimensions of organization, process, and talent. At the same time, we must adhere to inclusiveness and fully absorb the opinions of all parties through discussions and seminars to build consensus. When demonstrating the program, we must focus on scenario simulation and small-scale pilot projects to optimize and improve it in a timely manner. For example, in the transformation of CRRC Zhuzhou Locomotive Co., Ltd., we insisted on "small steps and fast progress", and finally formed an organizational change program from a pyramid type to a flat network type through </w:t>
      </w:r>
      <w:r>
        <w:rPr>
          <w:rFonts w:ascii="Times New Roman" w:hAnsi="Times New Roman"/>
          <w:sz w:val="28"/>
          <w:szCs w:val="28"/>
        </w:rPr>
        <w:lastRenderedPageBreak/>
        <w:t>pilot projects and step-by-step progress, which won the broad recognition of the whole organization.</w:t>
      </w:r>
    </w:p>
    <w:p w14:paraId="623ED823" w14:textId="77777777" w:rsidR="00CB0142" w:rsidRDefault="00AF7DAE">
      <w:pPr>
        <w:pStyle w:val="a3"/>
        <w:widowControl/>
        <w:snapToGrid w:val="0"/>
        <w:spacing w:beforeAutospacing="0" w:afterAutospacing="0" w:line="360" w:lineRule="auto"/>
        <w:ind w:firstLineChars="200" w:firstLine="560"/>
        <w:rPr>
          <w:rFonts w:ascii="Times New Roman" w:hAnsi="Times New Roman"/>
          <w:sz w:val="28"/>
          <w:szCs w:val="28"/>
        </w:rPr>
      </w:pPr>
      <w:r>
        <w:rPr>
          <w:rFonts w:ascii="Times New Roman" w:hAnsi="Times New Roman"/>
          <w:sz w:val="28"/>
          <w:szCs w:val="28"/>
        </w:rPr>
        <w:t>(4) Organization and implementation: This is the implementation stage of organizational change. We should give full play to the "leader effect" of leading cadres, set an example and set a benchmark; strengthen training for all employees and popularize the concept and methods of change; improve supporting policies and improve positive incentive mechanisms; strengthen process monitoring and do a good job in risk prevention and control; pay attention to publicity and guidance to create a good atmosphere. For example, in the implementation of SAIC's "Blue Sky Strategy", a change leadership group was established to strengthen overall coordination; all employees were trained to change their mindsets; a fault-tolerant mechanism was established to encourage innovative attempts; regular evaluation and performance evaluation were carried out to promote implementation, which effectively ensured the solid implementation of the change measures[69].</w:t>
      </w:r>
    </w:p>
    <w:p w14:paraId="1FF6B38C" w14:textId="77777777" w:rsidR="00CB0142" w:rsidRDefault="00AF7DAE">
      <w:pPr>
        <w:pStyle w:val="a3"/>
        <w:widowControl/>
        <w:snapToGrid w:val="0"/>
        <w:spacing w:beforeAutospacing="0" w:afterAutospacing="0" w:line="360" w:lineRule="auto"/>
        <w:ind w:firstLineChars="200" w:firstLine="560"/>
        <w:rPr>
          <w:rFonts w:ascii="Times New Roman" w:hAnsi="Times New Roman"/>
          <w:sz w:val="28"/>
          <w:szCs w:val="28"/>
        </w:rPr>
      </w:pPr>
      <w:r>
        <w:rPr>
          <w:rFonts w:ascii="Times New Roman" w:hAnsi="Times New Roman"/>
          <w:sz w:val="28"/>
          <w:szCs w:val="28"/>
        </w:rPr>
        <w:t>(5) Performance evaluation: This is a key link in the closed loop of organizational change. It is necessary to establish multi-dimensional evaluation indicators, conduct performance evaluations regularly, summarize achievements, identify deficiencies, and form a virtuous cycle of continuous improvement. The evaluation should adhere to the combination of qualitative and quantitative, and pay equal attention to process and results, and comprehensively and objectively evaluate the performance of the change. At the same time, the evaluation should form a normalized mechanism, so that the evaluation results can be used in a timely manner, and the evaluation should promote reform and construction. For example, Haier has established an OEC performance evaluation system, which dynamically evaluates the operating performance of the "people-oriented" model from the dimensions of users, processes, and results, and links the evaluation results with the profit distribution of small and micro entities, thereby forcing the continuous deepening of reforms and the continuous consolidation of results.</w:t>
      </w:r>
    </w:p>
    <w:p w14:paraId="5652CCDD" w14:textId="77777777" w:rsidR="00CB0142" w:rsidRDefault="00AF7DAE">
      <w:pPr>
        <w:pStyle w:val="a3"/>
        <w:widowControl/>
        <w:snapToGrid w:val="0"/>
        <w:spacing w:beforeAutospacing="0" w:afterAutospacing="0" w:line="360" w:lineRule="auto"/>
        <w:ind w:firstLineChars="200" w:firstLine="560"/>
        <w:rPr>
          <w:rFonts w:ascii="Times New Roman" w:hAnsi="Times New Roman"/>
          <w:sz w:val="28"/>
          <w:szCs w:val="28"/>
        </w:rPr>
      </w:pPr>
      <w:r>
        <w:rPr>
          <w:rFonts w:ascii="Times New Roman" w:hAnsi="Times New Roman"/>
          <w:sz w:val="28"/>
          <w:szCs w:val="28"/>
        </w:rPr>
        <w:t xml:space="preserve">It should be emphasized that organizational change is a complex systematic project that cannot be accomplished overnight. We must maintain strategic determination and </w:t>
      </w:r>
      <w:r>
        <w:rPr>
          <w:rFonts w:ascii="Times New Roman" w:hAnsi="Times New Roman"/>
          <w:sz w:val="28"/>
          <w:szCs w:val="28"/>
        </w:rPr>
        <w:lastRenderedPageBreak/>
        <w:t>historical patience. Enterprises should base themselves on local realities, learn from leading practices, follow objective laws, and work hard for a long time. With the tenacity of holding on to the green mountains and not letting go, and the spirit of daring to be the first in the world, they should take steady steps, continuously deepen the reform, consolidate the results, and promote the steady and long-term development of organizational change and the long-term prosperity of the business.</w:t>
      </w:r>
    </w:p>
    <w:p w14:paraId="418A0D4E" w14:textId="77777777" w:rsidR="00CB0142" w:rsidRDefault="00CB0142">
      <w:pPr>
        <w:rPr>
          <w:rFonts w:ascii="Times New Roman" w:hAnsi="Times New Roman" w:cs="Times New Roman"/>
        </w:rPr>
      </w:pPr>
    </w:p>
    <w:p w14:paraId="682D4D10" w14:textId="77777777" w:rsidR="00CB0142" w:rsidRDefault="00CB0142">
      <w:pPr>
        <w:rPr>
          <w:rFonts w:ascii="Times New Roman" w:hAnsi="Times New Roman" w:cs="Times New Roman"/>
        </w:rPr>
      </w:pPr>
    </w:p>
    <w:p w14:paraId="2CF255F3" w14:textId="77777777" w:rsidR="00CB0142" w:rsidRDefault="00CB0142">
      <w:pPr>
        <w:rPr>
          <w:rFonts w:ascii="Times New Roman" w:hAnsi="Times New Roman" w:cs="Times New Roman"/>
          <w:sz w:val="28"/>
          <w:szCs w:val="28"/>
        </w:rPr>
      </w:pPr>
    </w:p>
    <w:p w14:paraId="67D81DC5" w14:textId="77777777" w:rsidR="00CB0142" w:rsidRDefault="00CB0142">
      <w:pPr>
        <w:rPr>
          <w:rFonts w:ascii="Times New Roman" w:hAnsi="Times New Roman" w:cs="Times New Roman"/>
          <w:sz w:val="28"/>
          <w:szCs w:val="28"/>
        </w:rPr>
      </w:pPr>
    </w:p>
    <w:p w14:paraId="68FB0E3E" w14:textId="77777777" w:rsidR="00CB0142" w:rsidRDefault="00AF7DAE">
      <w:pPr>
        <w:jc w:val="center"/>
        <w:rPr>
          <w:rFonts w:ascii="Times New Roman" w:hAnsi="Times New Roman" w:cs="Times New Roman"/>
          <w:b/>
          <w:bCs/>
          <w:sz w:val="28"/>
          <w:szCs w:val="28"/>
        </w:rPr>
      </w:pPr>
      <w:r>
        <w:rPr>
          <w:rFonts w:ascii="Times New Roman" w:hAnsi="Times New Roman" w:cs="Times New Roman"/>
          <w:sz w:val="28"/>
          <w:szCs w:val="28"/>
        </w:rPr>
        <w:br w:type="page"/>
      </w:r>
      <w:bookmarkStart w:id="16" w:name="_Toc3482"/>
      <w:r>
        <w:rPr>
          <w:rFonts w:ascii="Times New Roman" w:hAnsi="Times New Roman" w:cs="Times New Roman"/>
          <w:b/>
          <w:bCs/>
          <w:sz w:val="32"/>
          <w:szCs w:val="32"/>
        </w:rPr>
        <w:lastRenderedPageBreak/>
        <w:t>CONCLUSIONS</w:t>
      </w:r>
      <w:bookmarkEnd w:id="16"/>
    </w:p>
    <w:p w14:paraId="025E4E26" w14:textId="77777777" w:rsidR="00CB0142" w:rsidRDefault="00CB0142">
      <w:pPr>
        <w:snapToGrid w:val="0"/>
        <w:outlineLvl w:val="0"/>
        <w:rPr>
          <w:rFonts w:ascii="Times New Roman" w:hAnsi="Times New Roman" w:cs="Times New Roman"/>
          <w:b/>
          <w:bCs/>
          <w:sz w:val="28"/>
          <w:szCs w:val="28"/>
        </w:rPr>
      </w:pPr>
    </w:p>
    <w:p w14:paraId="76E8B150"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This study systematically explores the theoretical foundations, current practices, and developmental trends of organizational change in Chinese enterprises, providing an in-depth analysis of key elements and implementation paths for organizational change in the digital era. It offers theoretical guidance and practical references for advancing organizational change in Chinese enterprises. The main conclusions are as follows:</w:t>
      </w:r>
    </w:p>
    <w:p w14:paraId="57E73C08" w14:textId="77777777" w:rsidR="00CB0142" w:rsidRDefault="00AF7DAE">
      <w:pPr>
        <w:numPr>
          <w:ilvl w:val="0"/>
          <w:numId w:val="2"/>
        </w:numPr>
        <w:snapToGrid w:val="0"/>
        <w:spacing w:line="360" w:lineRule="auto"/>
        <w:ind w:firstLine="560"/>
        <w:rPr>
          <w:rFonts w:ascii="Times New Roman" w:hAnsi="Times New Roman" w:cs="Times New Roman"/>
          <w:sz w:val="28"/>
          <w:szCs w:val="28"/>
        </w:rPr>
      </w:pPr>
      <w:r>
        <w:rPr>
          <w:rFonts w:ascii="Times New Roman" w:hAnsi="Times New Roman" w:cs="Times New Roman"/>
          <w:sz w:val="28"/>
          <w:szCs w:val="28"/>
        </w:rPr>
        <w:t>Theoretical Research on Organizational Change Provides Important Guidance for Chinese Enterprises: By reviewing the development of organizational change theories, this study finds that the theories have evolved from early simplistic linear models to more systematic and dynamic theoretical frameworks. In particular, Kurt Lewin's "Three-Step Change Theory" and John Kotter's "Eight-Step Change Model" provide basic methodological guidance for organizational change. These theories emphasize that organizational change is a systematic process that requires managing the entire cycle from unfreezing, changing, to refreezing. They highlight both top-level design and grassroots engagement, the importance of hard institutional frameworks, and the soft shaping of organizational culture. These theoretical insights are highly valuable for guiding the orderly promotion of organizational change in Chinese enterprises.</w:t>
      </w:r>
    </w:p>
    <w:p w14:paraId="5CF6D3F3" w14:textId="77777777" w:rsidR="00CB0142" w:rsidRDefault="00AF7DAE">
      <w:pPr>
        <w:numPr>
          <w:ilvl w:val="0"/>
          <w:numId w:val="2"/>
        </w:numPr>
        <w:snapToGrid w:val="0"/>
        <w:spacing w:line="360" w:lineRule="auto"/>
        <w:ind w:firstLine="560"/>
        <w:rPr>
          <w:rFonts w:ascii="Times New Roman" w:hAnsi="Times New Roman" w:cs="Times New Roman"/>
          <w:sz w:val="28"/>
          <w:szCs w:val="28"/>
        </w:rPr>
      </w:pPr>
      <w:r>
        <w:rPr>
          <w:rFonts w:ascii="Times New Roman" w:hAnsi="Times New Roman" w:cs="Times New Roman"/>
          <w:sz w:val="28"/>
          <w:szCs w:val="28"/>
        </w:rPr>
        <w:t xml:space="preserve">Organizational Change in Chinese Enterprises Shows Distinct Characteristics and Trends: The research shows that the organizational change of Chinese enterprises has unique characteristics and reflects the specific context of China. Firstly, the driving forces behind the change are both externally compelled by changes in the environment and internally motivated by development needs. Factors such as increased market competition, rapid technological change, and policy optimization, along with the internal need for quality improvement and transformation, have jointly propelled the in-depth development of organizational change. Secondly, in terms of approaches, Chinese enterprises generally adopt a hybrid model combining incremental and breakthrough changes to ensure steady progression while focusing on key breakthroughs. Furthermore, in terms of content, organizational change has expanded </w:t>
      </w:r>
      <w:r>
        <w:rPr>
          <w:rFonts w:ascii="Times New Roman" w:hAnsi="Times New Roman" w:cs="Times New Roman"/>
          <w:sz w:val="28"/>
          <w:szCs w:val="28"/>
        </w:rPr>
        <w:lastRenderedPageBreak/>
        <w:t>from simple structural adjustments to include strategic reshaping, process reengineering, cultural shaping, and digital transformation, with growing breadth and depth.</w:t>
      </w:r>
    </w:p>
    <w:p w14:paraId="042DF157" w14:textId="77777777" w:rsidR="00CB0142" w:rsidRDefault="00AF7DAE">
      <w:pPr>
        <w:numPr>
          <w:ilvl w:val="0"/>
          <w:numId w:val="2"/>
        </w:numPr>
        <w:snapToGrid w:val="0"/>
        <w:spacing w:line="360" w:lineRule="auto"/>
        <w:ind w:firstLine="560"/>
        <w:rPr>
          <w:rFonts w:ascii="Times New Roman" w:hAnsi="Times New Roman" w:cs="Times New Roman"/>
          <w:sz w:val="28"/>
          <w:szCs w:val="28"/>
        </w:rPr>
      </w:pPr>
      <w:r>
        <w:rPr>
          <w:rFonts w:ascii="Times New Roman" w:hAnsi="Times New Roman" w:cs="Times New Roman"/>
          <w:sz w:val="28"/>
          <w:szCs w:val="28"/>
        </w:rPr>
        <w:t>Digital Transformation Has Become the Core Driving Force of Organizational Change: In the context of a new round of technological revolution and industrial transformation, digital transformation is profoundly reshaping organizational structures and operating models. Emerging technologies such as big data, artificial intelligence, and cloud computing have not only provided new tools for management decision-making but also fostered platform-based, ecosystem-oriented, and agile organizational forms. Leading Chinese companies such as Huawei, Alibaba, and Haier have embraced digital transformation, using technology to empower business process reconstruction, optimize organizational structures, and improve operational efficiency, achieving significant success. This demonstrates that digital transformation has become a key lever for enterprises to reshape their competitive advantages and achieve leapfrog development.</w:t>
      </w:r>
    </w:p>
    <w:p w14:paraId="719044D5" w14:textId="77777777" w:rsidR="00CB0142" w:rsidRDefault="00AF7DAE">
      <w:pPr>
        <w:numPr>
          <w:ilvl w:val="0"/>
          <w:numId w:val="2"/>
        </w:numPr>
        <w:snapToGrid w:val="0"/>
        <w:spacing w:line="360" w:lineRule="auto"/>
        <w:ind w:firstLine="560"/>
        <w:rPr>
          <w:rFonts w:ascii="Times New Roman" w:hAnsi="Times New Roman" w:cs="Times New Roman"/>
          <w:sz w:val="28"/>
          <w:szCs w:val="28"/>
        </w:rPr>
      </w:pPr>
      <w:r>
        <w:rPr>
          <w:rFonts w:ascii="Times New Roman" w:hAnsi="Times New Roman" w:cs="Times New Roman"/>
          <w:sz w:val="28"/>
          <w:szCs w:val="28"/>
        </w:rPr>
        <w:t>Successful Implementation of Organizational Change Depends on the Synergy of Multiple Key Elements: Organizational change is a complex project that depends on the coordinated effort of several critical elements, including leadership, employee participation, digital empowerment, and cultural reshaping. Leadership is the "locomotive" of change; senior management must push for change with determination and scientific methods. Employee participation is the persistent driving force of change; enterprises need effective incentive mechanisms and training systems to motivate all employees. Digital empowerment provides the technological support; organizations must leverage digital tools to optimize management processes and improve operational efficiency. Finally, cultural reshaping is the spiritual engine of change; companies must cultivate an organizational culture that supports innovation and embraces change.</w:t>
      </w:r>
    </w:p>
    <w:p w14:paraId="46ADA25A" w14:textId="77777777" w:rsidR="00CB0142" w:rsidRDefault="00AF7DAE">
      <w:pPr>
        <w:numPr>
          <w:ilvl w:val="0"/>
          <w:numId w:val="2"/>
        </w:numPr>
        <w:snapToGrid w:val="0"/>
        <w:spacing w:line="360" w:lineRule="auto"/>
        <w:ind w:firstLine="560"/>
        <w:rPr>
          <w:rFonts w:ascii="Times New Roman" w:hAnsi="Times New Roman" w:cs="Times New Roman"/>
          <w:sz w:val="28"/>
          <w:szCs w:val="28"/>
        </w:rPr>
      </w:pPr>
      <w:r>
        <w:rPr>
          <w:rFonts w:ascii="Times New Roman" w:hAnsi="Times New Roman" w:cs="Times New Roman"/>
          <w:sz w:val="28"/>
          <w:szCs w:val="28"/>
        </w:rPr>
        <w:t xml:space="preserve">Establishing Long-Term Mechanisms Is Key to Ensuring the Continued Deepening of Organizational Change: To ensure lasting results from organizational change, enterprises must establish and improve long-term mechanisms for change management. This includes: developing top-level strategic planning mechanisms to align change with corporate strategy; improving mechanisms for employee </w:t>
      </w:r>
      <w:r>
        <w:rPr>
          <w:rFonts w:ascii="Times New Roman" w:hAnsi="Times New Roman" w:cs="Times New Roman"/>
          <w:sz w:val="28"/>
          <w:szCs w:val="28"/>
        </w:rPr>
        <w:lastRenderedPageBreak/>
        <w:t>participation to stimulate the intrinsic motivation for change; building digital empowerment mechanisms to enhance the scientific and efficient implementation of change; creating cultural guidance mechanisms to foster an environment that supports change; and optimizing performance evaluation mechanisms to ensure the effective achievement of change objectives. Only by establishing such mechanisms can enterprises move from "one-time change" to "continuous evolution," achieving sustained organizational innovation and growth.</w:t>
      </w:r>
    </w:p>
    <w:p w14:paraId="0E3A4405" w14:textId="77777777" w:rsidR="00CB0142" w:rsidRDefault="00AF7DAE">
      <w:pPr>
        <w:numPr>
          <w:ilvl w:val="0"/>
          <w:numId w:val="2"/>
        </w:numPr>
        <w:snapToGrid w:val="0"/>
        <w:spacing w:line="360" w:lineRule="auto"/>
        <w:ind w:firstLine="560"/>
        <w:rPr>
          <w:rFonts w:ascii="Times New Roman" w:hAnsi="Times New Roman" w:cs="Times New Roman"/>
          <w:sz w:val="28"/>
          <w:szCs w:val="28"/>
        </w:rPr>
      </w:pPr>
      <w:r>
        <w:rPr>
          <w:rFonts w:ascii="Times New Roman" w:hAnsi="Times New Roman" w:cs="Times New Roman"/>
          <w:sz w:val="28"/>
          <w:szCs w:val="28"/>
        </w:rPr>
        <w:t>Future Opportunities and Challenges for Organizational Change in Chinese Enterprises: With the deepening development of the digital economy and the ongoing promotion of national strategies, Chinese enterprises are facing both significant opportunities and new challenges in organizational change. On the opportunity side, the rapid advancement of digital technologies provides new tools and methods for organizational change, while supportive national policies create a favorable environment for corporate transformation and upgrading. On the challenge side, gaps still exist in areas such as digital infrastructure construction, training of multidisciplinary talent, and cultural reshaping, requiring continuous exploration and improvement in practice.</w:t>
      </w:r>
    </w:p>
    <w:p w14:paraId="6C5027D0" w14:textId="77777777" w:rsidR="00CB0142" w:rsidRDefault="00AF7DAE">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Based on the above conclusions, this paper makes the following recommendations for promoting organizational change in Chinese enterprises: First, enterprises should strengthen strategic guidance, incorporate organizational change into corporate development strategies, and clearly define change goals and pathways. Second, it is essential to adopt a systems thinking approach, coordinating the promotion of change across strategy, structure, processes, and culture to achieve overall efficiency enhancement. Third, enterprises should accelerate digital transformation, using new technologies to reshape business processes and improve organizational efficiency. Fourth, attention should be paid to talent development, establishing sound talent cultivation systems to provide intellectual support for organizational change. Fifth, it is necessary to innovate institutional mechanisms, creating an environment that facilitates innovation and change to stimulate organizational vitality. Sixth, cultural development must be strengthened to cultivate an open, inclusive, and innovative organizational </w:t>
      </w:r>
      <w:r>
        <w:rPr>
          <w:rFonts w:ascii="Times New Roman" w:hAnsi="Times New Roman" w:cs="Times New Roman"/>
          <w:sz w:val="28"/>
          <w:szCs w:val="28"/>
        </w:rPr>
        <w:lastRenderedPageBreak/>
        <w:t>culture that provides lasting momentum for change.</w:t>
      </w:r>
    </w:p>
    <w:p w14:paraId="5A145903" w14:textId="77777777" w:rsidR="00CB0142" w:rsidRDefault="00AF7DAE">
      <w:pPr>
        <w:snapToGrid w:val="0"/>
        <w:spacing w:line="360" w:lineRule="auto"/>
        <w:ind w:firstLineChars="200" w:firstLine="560"/>
        <w:rPr>
          <w:rFonts w:ascii="Times New Roman" w:hAnsi="Times New Roman" w:cs="Times New Roman"/>
          <w:b/>
          <w:bCs/>
          <w:sz w:val="28"/>
          <w:szCs w:val="28"/>
        </w:rPr>
      </w:pPr>
      <w:r>
        <w:rPr>
          <w:rFonts w:ascii="Times New Roman" w:hAnsi="Times New Roman" w:cs="Times New Roman"/>
          <w:sz w:val="28"/>
          <w:szCs w:val="28"/>
        </w:rPr>
        <w:t>Looking ahead, as the new round of technological revolution and industrial transformation continues to deepen, organizational change will keep having a profound impact on enterprise development. In the future, enterprises must maintain strategic resolve, adhere to a problem-oriented approach, strengthen innovation-driven growth, seize opportunities, and address challenges amid global change, thereby continuously enhancing core competitiveness and achieving high-quality growth while contributing to economic transformation and upgrading.</w:t>
      </w:r>
      <w:r>
        <w:rPr>
          <w:rFonts w:ascii="Times New Roman" w:hAnsi="Times New Roman" w:cs="Times New Roman"/>
          <w:sz w:val="28"/>
          <w:szCs w:val="28"/>
        </w:rPr>
        <w:br w:type="page"/>
      </w:r>
    </w:p>
    <w:p w14:paraId="59A7AB12" w14:textId="77777777" w:rsidR="00CB0142" w:rsidRDefault="00AF7DAE">
      <w:pPr>
        <w:snapToGrid w:val="0"/>
        <w:jc w:val="center"/>
        <w:outlineLvl w:val="0"/>
        <w:rPr>
          <w:rFonts w:ascii="Times New Roman" w:hAnsi="Times New Roman" w:cs="Times New Roman"/>
          <w:b/>
          <w:bCs/>
          <w:sz w:val="28"/>
          <w:szCs w:val="28"/>
        </w:rPr>
      </w:pPr>
      <w:bookmarkStart w:id="17" w:name="_Toc31251"/>
      <w:r>
        <w:rPr>
          <w:rFonts w:ascii="Times New Roman" w:hAnsi="Times New Roman" w:cs="Times New Roman"/>
          <w:b/>
          <w:bCs/>
          <w:sz w:val="28"/>
          <w:szCs w:val="28"/>
        </w:rPr>
        <w:lastRenderedPageBreak/>
        <w:t>REFERENCES</w:t>
      </w:r>
      <w:bookmarkEnd w:id="17"/>
    </w:p>
    <w:p w14:paraId="105AA95C" w14:textId="77777777" w:rsidR="00CB0142" w:rsidRDefault="00CB0142">
      <w:pPr>
        <w:snapToGrid w:val="0"/>
        <w:jc w:val="center"/>
        <w:outlineLvl w:val="0"/>
        <w:rPr>
          <w:rFonts w:ascii="Times New Roman" w:hAnsi="Times New Roman" w:cs="Times New Roman"/>
          <w:b/>
          <w:bCs/>
          <w:sz w:val="28"/>
          <w:szCs w:val="28"/>
        </w:rPr>
      </w:pPr>
    </w:p>
    <w:p w14:paraId="011FDD68"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Kotter, JP (1996). Leading change. Harvard Business Press.</w:t>
      </w:r>
    </w:p>
    <w:p w14:paraId="3E7D8DFD"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Pettigrew, A., &amp; Whipp, R. (1991). Managing change for competitive success. Blackwell Publishers.</w:t>
      </w:r>
    </w:p>
    <w:p w14:paraId="71BCE705"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Lewin, K. (1951). Field theory in social science. Harper &amp; Row.</w:t>
      </w:r>
    </w:p>
    <w:p w14:paraId="76F79463"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Lewin, K. (1947). Frontiers in group dynamics: Concept, method and reality in social science; social equilibria and social change. Human Relations, 1(1), 5-41.</w:t>
      </w:r>
    </w:p>
    <w:p w14:paraId="1304979F"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Kotter, JP (2012). Leading change, with a new preface by the author. Harvard Business Press.</w:t>
      </w:r>
    </w:p>
    <w:p w14:paraId="323979C4"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Nadler, DA, &amp; Tushman, ML (1980). A model for diagnosing organizational behavior. Organizational Dynamics, 9(2), 35-51.</w:t>
      </w:r>
    </w:p>
    <w:p w14:paraId="62012739"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 xml:space="preserve">Pfeffer, J., &amp; </w:t>
      </w:r>
      <w:proofErr w:type="spellStart"/>
      <w:r>
        <w:rPr>
          <w:rFonts w:ascii="Times New Roman" w:hAnsi="Times New Roman" w:cs="Times New Roman"/>
          <w:sz w:val="28"/>
          <w:szCs w:val="28"/>
        </w:rPr>
        <w:t>Salancik</w:t>
      </w:r>
      <w:proofErr w:type="spellEnd"/>
      <w:r>
        <w:rPr>
          <w:rFonts w:ascii="Times New Roman" w:hAnsi="Times New Roman" w:cs="Times New Roman"/>
          <w:sz w:val="28"/>
          <w:szCs w:val="28"/>
        </w:rPr>
        <w:t>, GR (2003). The external control of organizations: A resource dependence perspective. Stanford University Press.</w:t>
      </w:r>
    </w:p>
    <w:p w14:paraId="614A996F"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Senge, PM (2006). The fifth discipline: The art and practice of the learning organization. Currency.</w:t>
      </w:r>
    </w:p>
    <w:p w14:paraId="05ED2E77"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proofErr w:type="spellStart"/>
      <w:r>
        <w:rPr>
          <w:rFonts w:ascii="Times New Roman" w:hAnsi="Times New Roman" w:cs="Times New Roman"/>
          <w:sz w:val="28"/>
          <w:szCs w:val="28"/>
        </w:rPr>
        <w:t>Piderit</w:t>
      </w:r>
      <w:proofErr w:type="spellEnd"/>
      <w:r>
        <w:rPr>
          <w:rFonts w:ascii="Times New Roman" w:hAnsi="Times New Roman" w:cs="Times New Roman"/>
          <w:sz w:val="28"/>
          <w:szCs w:val="28"/>
        </w:rPr>
        <w:t>, SK (2000). Rethinking resistance and recognizing ambivalence: A multidimensional view of attitudes toward an organizational change. Academy of Management Review, 25(4), 783-794.</w:t>
      </w:r>
    </w:p>
    <w:p w14:paraId="771C375C"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Chen, J., &amp; Wang, Z. (2007). Organizational change and innovation: A case study of China's telecom industry. Journal of Technology Management in China, 2(1), 18-31.</w:t>
      </w:r>
    </w:p>
    <w:p w14:paraId="1084C41A"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Xu, Q., &amp; Xie, Z. (2014). The impact of strategic orientation on organizational performance: The mediating role of organizational innovation. Journal of Chinese Human Resources Management, 5(1), 30-46.</w:t>
      </w:r>
    </w:p>
    <w:p w14:paraId="5063E0B4"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Lin, X., &amp; Germain, R. (2003). Organizational structure, context, customer orientation, and performance: Lessons from Chinese state‐owned enterprises. Strategic Management Journal, 24(11), 1131‐1151.</w:t>
      </w:r>
    </w:p>
    <w:p w14:paraId="22B02944"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Zhao, J., &amp; Zhao, S. (2010). The impact of IOS use on firm performance: A multilevel analysis. Journal of Global Information Management (JGIM), 18(3), 30-47.</w:t>
      </w:r>
    </w:p>
    <w:p w14:paraId="5B2BE14E"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lastRenderedPageBreak/>
        <w:t>Chen, J., &amp; Silverthorne, C. (2005). Leadership effectiveness, leadership style and employee readiness. Leadership &amp; Organization Development Journal, 26(4), 280-288.</w:t>
      </w:r>
    </w:p>
    <w:p w14:paraId="3D6F51BE"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Zhao, S., Zhang, J., Zhao, W., &amp; Peng, Z. (2019). Integrating organizational change management and customer relationship management in a mobile service firm: The influence on operational performance. International Journal of Productivity and Performance Management, 68(9), 1625-1644.</w:t>
      </w:r>
    </w:p>
    <w:p w14:paraId="729FA8C8"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Tsui, AS, Wang, H., &amp; Xin, KR (2006). Organizational culture in China: An analysis of culture dimensions and culture types. Management and Organization Review, 2(3), 345-376.</w:t>
      </w:r>
    </w:p>
    <w:p w14:paraId="721AFAC9"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 xml:space="preserve">Li, W., Liu, K., </w:t>
      </w:r>
      <w:proofErr w:type="spellStart"/>
      <w:r>
        <w:rPr>
          <w:rFonts w:ascii="Times New Roman" w:hAnsi="Times New Roman" w:cs="Times New Roman"/>
          <w:sz w:val="28"/>
          <w:szCs w:val="28"/>
        </w:rPr>
        <w:t>Belitski</w:t>
      </w:r>
      <w:proofErr w:type="spellEnd"/>
      <w:r>
        <w:rPr>
          <w:rFonts w:ascii="Times New Roman" w:hAnsi="Times New Roman" w:cs="Times New Roman"/>
          <w:sz w:val="28"/>
          <w:szCs w:val="28"/>
        </w:rPr>
        <w:t xml:space="preserve">, M., </w:t>
      </w:r>
      <w:proofErr w:type="spellStart"/>
      <w:r>
        <w:rPr>
          <w:rFonts w:ascii="Times New Roman" w:hAnsi="Times New Roman" w:cs="Times New Roman"/>
          <w:sz w:val="28"/>
          <w:szCs w:val="28"/>
        </w:rPr>
        <w:t>Ghobadian</w:t>
      </w:r>
      <w:proofErr w:type="spellEnd"/>
      <w:r>
        <w:rPr>
          <w:rFonts w:ascii="Times New Roman" w:hAnsi="Times New Roman" w:cs="Times New Roman"/>
          <w:sz w:val="28"/>
          <w:szCs w:val="28"/>
        </w:rPr>
        <w:t>, A., &amp; O'Regan, N. (2016). e-Leadership through strategic alignment: An empirical study of small-and medium-sized enterprises in the digital age. Journal of Information Technology, 31(2), 185-206.</w:t>
      </w:r>
    </w:p>
    <w:p w14:paraId="1013F439"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Feng, H., Morgan, NA, &amp; Rego, LL (2015). Marketing department power and firm performance. Journal of Marketing, 79(5), 1-20.</w:t>
      </w:r>
    </w:p>
    <w:p w14:paraId="688CE447"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Wang, CL, &amp; Ahmed, PK (2003). Organizational learning: A critical review. The Learning Organization, 10(1), 8-17.</w:t>
      </w:r>
    </w:p>
    <w:p w14:paraId="001E7321"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Chen, Y., Tang, G., Jin, J., Xie, Q., &amp; Li, J. (2014). CEOs' transformational leadership and product innovation performance: The roles of corporate entrepreneurship and technology orientation. Journal of Product Innovation Management, 31(S1), 2-17.</w:t>
      </w:r>
    </w:p>
    <w:p w14:paraId="2B336BB7"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proofErr w:type="spellStart"/>
      <w:r>
        <w:rPr>
          <w:rFonts w:ascii="Times New Roman" w:hAnsi="Times New Roman" w:cs="Times New Roman"/>
          <w:sz w:val="28"/>
          <w:szCs w:val="28"/>
        </w:rPr>
        <w:t>Hooijberg</w:t>
      </w:r>
      <w:proofErr w:type="spellEnd"/>
      <w:r>
        <w:rPr>
          <w:rFonts w:ascii="Times New Roman" w:hAnsi="Times New Roman" w:cs="Times New Roman"/>
          <w:sz w:val="28"/>
          <w:szCs w:val="28"/>
        </w:rPr>
        <w:t>, R., &amp; Petrock, F. (1993). On cultural change: Using the competing values framework to help leaders execute a transformational strategy. Human Resource Management, 32(1), 29-50.</w:t>
      </w:r>
    </w:p>
    <w:p w14:paraId="6EB82432"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Kotter, J. P. (2008). A sense of urgency. Harvard Business Press.</w:t>
      </w:r>
    </w:p>
    <w:p w14:paraId="29517CCA"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Wang, Y., &amp; Feng, H. (2012). Customer relationship management capabilities: Measurement, antecedents and consequences. Management Decision, 50(1), 115-129.</w:t>
      </w:r>
    </w:p>
    <w:p w14:paraId="362D1724"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Li, Q. (2013). A novel Likert scale based on fuzzy sets theory. Expert Systems with Applications, 40(5), 1609-1618.</w:t>
      </w:r>
    </w:p>
    <w:p w14:paraId="7ADD9E09"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lastRenderedPageBreak/>
        <w:t>Xu, B. (2006). Reforming large state-owned enterprises: A case study of China's Sinopec. Asia Pacific Business Review, 12(2), 173-187.</w:t>
      </w:r>
    </w:p>
    <w:p w14:paraId="2304B6EF"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 xml:space="preserve">He, X., &amp; Cui, L. (2012). Can strong home country institutions foster the internationalization of </w:t>
      </w:r>
      <w:proofErr w:type="gramStart"/>
      <w:r>
        <w:rPr>
          <w:rFonts w:ascii="Times New Roman" w:hAnsi="Times New Roman" w:cs="Times New Roman"/>
          <w:sz w:val="28"/>
          <w:szCs w:val="28"/>
        </w:rPr>
        <w:t>MNEs?.</w:t>
      </w:r>
      <w:proofErr w:type="gramEnd"/>
      <w:r>
        <w:rPr>
          <w:rFonts w:ascii="Times New Roman" w:hAnsi="Times New Roman" w:cs="Times New Roman"/>
          <w:sz w:val="28"/>
          <w:szCs w:val="28"/>
        </w:rPr>
        <w:t xml:space="preserve"> Multinational Business Review, 20(4), 352-375.</w:t>
      </w:r>
    </w:p>
    <w:p w14:paraId="06EAA573"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Huang, X., &amp; Zhu, H. (2020). Platform-based service innovation and system design: A literature review. Industrial Management &amp; Data Systems, 120(12), 2331-2354.</w:t>
      </w:r>
    </w:p>
    <w:p w14:paraId="72D9F036"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Li, W. (2018). Organizational transformation and business model innovation in the digital age. Management World, 34(8), 121-136.</w:t>
      </w:r>
    </w:p>
    <w:p w14:paraId="2DE133BD"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Liao, S., Fei, W. C., &amp; Chen, C. C. (2007). Knowledge sharing, absorptive capacity, and innovation capability: An empirical study of Taiwan's knowledge-intensive industries. Journal of Information Science, 33(3), 340-359.</w:t>
      </w:r>
    </w:p>
    <w:p w14:paraId="338AB7B2"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Wei, J., &amp; Huang, J. (2010). Research on the impact of organizational structure on organizational performance: An empirical analysis based on listed companies in China. Nankai Business Review International, 1(3), 339-353.</w:t>
      </w:r>
    </w:p>
    <w:p w14:paraId="6BB5FFED"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He, Y., &amp; Tian, Z. (2008). Government-oriented corporate public relation strategies in transitional China. Management and Organization Review, 4(3), 367-391.</w:t>
      </w:r>
    </w:p>
    <w:p w14:paraId="40282640"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Jiang, X., &amp; Li, Y. (2008). The relationship between organizational learning and firms' financial performance in strategic alliances: A contingency approach. Journal of World Business, 43(3), 365-379.</w:t>
      </w:r>
    </w:p>
    <w:p w14:paraId="5F504887"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Wei, T., Clegg, J., &amp; Ma, L. (2015). The conscious and unconscious facilitating role of the Chinese government in shaping the internationalization of Chinese MNCs. International Business Review, 24(2), 331-343.</w:t>
      </w:r>
    </w:p>
    <w:p w14:paraId="25FB56BC"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Ma, S., &amp; Seidl, D. (2018). New CEOs and their collaborators: Divergence and convergence between the strategic leadership constellation and the top management team. Strategic Management Journal, 39(3), 606-638.</w:t>
      </w:r>
    </w:p>
    <w:p w14:paraId="363B2F28"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Peng, M. W., &amp; Heath, P. S. (1996). The growth of the firm in planned economies in transition: Institutions, organizations, and strategic choice. Academy of Management Review, 21(2), 492-528.</w:t>
      </w:r>
    </w:p>
    <w:p w14:paraId="178CE89A"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lastRenderedPageBreak/>
        <w:t>Zhu, Y., Wittmann, X., &amp; Peng, M. W. (2012). Institution-based barriers to innovation in SMEs in China. Asia Pacific Journal of Management, 29(4), 1131-1142.</w:t>
      </w:r>
    </w:p>
    <w:p w14:paraId="13C411F9"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Cui, L., &amp; Jiang, F. (2012). State ownership effect on firms' FDI ownership decisions under institutional pressure: A study of Chinese outward-investing firms. Journal of International Business Studies, 43(3), 264-284.</w:t>
      </w:r>
    </w:p>
    <w:p w14:paraId="63F22F82"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Zeng, P., &amp; Xu, L. (2020). An integrated framework for intelligent manufacturing: From the perspective of Industry 4.0. Journal of Intelligent Manufacturing, 31(8), 1865-1881.</w:t>
      </w:r>
    </w:p>
    <w:p w14:paraId="5D1574F4"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Guo, H., Tang, J., Su, Z., &amp; Katz, J. A. (2017). Opportunity recognition and SME performance: The mediating effect of business model innovation. R&amp;D Management, 47(3), 431-442.</w:t>
      </w:r>
    </w:p>
    <w:p w14:paraId="1B348F9B"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Jiang, H., &amp; Zhang, Q. (2016). Development and validation of team creativity measures: A complex systems perspective. Creativity and Innovation Management, 25(3), 264-275.</w:t>
      </w:r>
    </w:p>
    <w:p w14:paraId="4A75F46A"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Chen, J., &amp; Liu, K. (2019). Digital transformation in Chinese enterprises: A case study of leadership and organizational change. Journal of Management Studies, 56(4), 723-754.</w:t>
      </w:r>
    </w:p>
    <w:p w14:paraId="2A2E6ECF"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Wang, H., &amp; Zhang, M. (2022). Leadership transformation in the digital era: Lessons from Huawei's organizational change. Management Decision, 60(3), 678-695.</w:t>
      </w:r>
    </w:p>
    <w:p w14:paraId="525DCF0B"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Li, Y., &amp; Smith, K. (2023). Innovation-driven organizational change: Evidence from Chinese internet companies. International Business Review, 32(2), 101-124.</w:t>
      </w:r>
    </w:p>
    <w:p w14:paraId="73DCBCA6"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 xml:space="preserve">Zhou, X., &amp; Chen, W. (2023). Digital transformation and organizational innovation: The case of Ping </w:t>
      </w:r>
      <w:proofErr w:type="gramStart"/>
      <w:r>
        <w:rPr>
          <w:rFonts w:ascii="Times New Roman" w:hAnsi="Times New Roman" w:cs="Times New Roman"/>
          <w:sz w:val="28"/>
          <w:szCs w:val="28"/>
        </w:rPr>
        <w:t>An</w:t>
      </w:r>
      <w:proofErr w:type="gramEnd"/>
      <w:r>
        <w:rPr>
          <w:rFonts w:ascii="Times New Roman" w:hAnsi="Times New Roman" w:cs="Times New Roman"/>
          <w:sz w:val="28"/>
          <w:szCs w:val="28"/>
        </w:rPr>
        <w:t xml:space="preserve"> Group. Asian Business &amp; Management, 22(1), 45-67.</w:t>
      </w:r>
    </w:p>
    <w:p w14:paraId="763E1C78"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Tan, J., &amp; Wu, S. (2022). Agile transformation in Chinese technology companies: A comparative study of Huawei and Tencent. Journal of Asian Business Studies, 21(3), 289-312.</w:t>
      </w:r>
    </w:p>
    <w:p w14:paraId="47D724A6"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Tencent Group. (2024). Semi-annual Report 2024. Retrieved from Tencent Official Website.</w:t>
      </w:r>
    </w:p>
    <w:p w14:paraId="23A5D44A"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lastRenderedPageBreak/>
        <w:t>Yang, L., &amp; Zhang, P. (2023). Digital transformation strategies in Chinese enterprises: Challenges and opportunities. Strategic Change, 32(1), 23-45.</w:t>
      </w:r>
    </w:p>
    <w:p w14:paraId="2BCDE883"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Midea Group. (2023). Annual Report 2023. Retrieved from Midea Official Website.</w:t>
      </w:r>
    </w:p>
    <w:p w14:paraId="155DA3F6"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Liu, R., &amp; Wang, H. (2022). Smart manufacturing and organizational change: The case of Midea Group. International Journal of Operations &amp; Production Management, 42(4), 456-478.</w:t>
      </w:r>
    </w:p>
    <w:p w14:paraId="4467DAF3"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Zhang, K., &amp; Chen, X. (2023). Digital innovation and organizational transformation in Chinese manufacturing. Technological Forecasting and Social Change, 186, 121-142.</w:t>
      </w:r>
    </w:p>
    <w:p w14:paraId="5F477A29"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 xml:space="preserve">Wu, J., &amp; Li, M. (2023). The evolution of Haier's </w:t>
      </w:r>
      <w:proofErr w:type="spellStart"/>
      <w:r>
        <w:rPr>
          <w:rFonts w:ascii="Times New Roman" w:hAnsi="Times New Roman" w:cs="Times New Roman"/>
          <w:sz w:val="28"/>
          <w:szCs w:val="28"/>
        </w:rPr>
        <w:t>Rendanheyi</w:t>
      </w:r>
      <w:proofErr w:type="spellEnd"/>
      <w:r>
        <w:rPr>
          <w:rFonts w:ascii="Times New Roman" w:hAnsi="Times New Roman" w:cs="Times New Roman"/>
          <w:sz w:val="28"/>
          <w:szCs w:val="28"/>
        </w:rPr>
        <w:t xml:space="preserve"> model: A study of organizational innovation. Management and Organization Review, 19(2), 345-367.</w:t>
      </w:r>
    </w:p>
    <w:p w14:paraId="54266796"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Haier Group. (2023). Corporate Sustainability Report 2023. Retrieved from Haier Official Website.</w:t>
      </w:r>
    </w:p>
    <w:p w14:paraId="6060C686"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Sun, Y., &amp; Liu, D. (2022). Platform-based organizational transformation: Evidence from Chinese enterprises. Journal of Business Research, 142, 156-178.</w:t>
      </w:r>
    </w:p>
    <w:p w14:paraId="7BACE522"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Chen, H., &amp; Wang, Y. (2023). Digital empowerment and organizational change in Chinese companies. Business Horizons, 66(3), 289-312.</w:t>
      </w:r>
    </w:p>
    <w:p w14:paraId="32DF3D1E"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Li, W., &amp; Zhang, R. (2023). Strategic planning for digital transformation: A framework for Chinese enterprises. Long Range Planning, 56(4), 102-124.</w:t>
      </w:r>
    </w:p>
    <w:p w14:paraId="393873CD"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Zhao, J., &amp; Liu, K. (2022). Building effective mechanisms for organizational change: Lessons from Chinese companies. Journal of Organizational Change Management, 35(2), 234-256.</w:t>
      </w:r>
    </w:p>
    <w:p w14:paraId="45BF5963"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Wang, X., &amp; Chen, M. (2023). Organizational resistance and change management in Chinese enterprises. International Journal of Management Reviews, 25(1), 78-99.</w:t>
      </w:r>
    </w:p>
    <w:p w14:paraId="58D5039B"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Yu, H., &amp; Zhang, L. (2023). Leadership mechanisms in organizational transformation: A study of Chinese state-owned enterprises. Leadership Quarterly, 34(3), 567-589.</w:t>
      </w:r>
    </w:p>
    <w:p w14:paraId="7EF82693"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lastRenderedPageBreak/>
        <w:t>State-owned Assets Supervision and Administration Commission. (2023). Guidelines on state-owned enterprise reform. Beijing: SASAC.</w:t>
      </w:r>
    </w:p>
    <w:p w14:paraId="10ECCA5E"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Ma, J., &amp; Chen, Y. (2023). Leadership and organizational change in the digital era: Insights from Chinese internet companies. Academy of Management Journal, 66(4), 890-912.</w:t>
      </w:r>
    </w:p>
    <w:p w14:paraId="671C4074"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Xu, R., &amp; Wang, Z. (2023). Digital transformation and organizational innovation in Chinese enterprises. Journal of Management Development, 42(5), 345-367.</w:t>
      </w:r>
    </w:p>
    <w:p w14:paraId="41E186D8"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Liu, M., &amp; Zhang, W. (2023). Cultural transformation in Chinese organizations: A systematic review. Cross Cultural Management, 30(2), 178-199.</w:t>
      </w:r>
    </w:p>
    <w:p w14:paraId="03FEEB1B"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Zhang, R., &amp; Li, K. (2022). The evolution of Haier's organizational culture: From traditional manufacturing to digital innovation. Journal of Business Ethics, 178(3), 567-589.</w:t>
      </w:r>
    </w:p>
    <w:p w14:paraId="658E2E18"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Ren, Z., &amp; Wang, H. (2023). Strategic transformation and organizational change: The case of Huawei. Strategic Management Journal, 44(6), 789-812.</w:t>
      </w:r>
    </w:p>
    <w:p w14:paraId="1A8B2CE8"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Li, Y., &amp; Chen, X. (2023). Alibaba's organizational innovation: The big-middle office model. Journal of Strategic Management Studies, 16(2), 234-256.</w:t>
      </w:r>
    </w:p>
    <w:p w14:paraId="6846801E"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 xml:space="preserve">Wu, X., &amp; Zhang, Y. (2023). Digital platforms and organizational transformation: Evidence from Haier's </w:t>
      </w:r>
      <w:proofErr w:type="spellStart"/>
      <w:r>
        <w:rPr>
          <w:rFonts w:ascii="Times New Roman" w:hAnsi="Times New Roman" w:cs="Times New Roman"/>
          <w:sz w:val="28"/>
          <w:szCs w:val="28"/>
        </w:rPr>
        <w:t>COSMOPlat</w:t>
      </w:r>
      <w:proofErr w:type="spellEnd"/>
      <w:r>
        <w:rPr>
          <w:rFonts w:ascii="Times New Roman" w:hAnsi="Times New Roman" w:cs="Times New Roman"/>
          <w:sz w:val="28"/>
          <w:szCs w:val="28"/>
        </w:rPr>
        <w:t>. Information Systems Research, 34(3), 567-589.</w:t>
      </w:r>
    </w:p>
    <w:p w14:paraId="73ADF5CF"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Tencent Research Institute. (2023). Digital talent development report 2023. Retrieved from Tencent Official Website.</w:t>
      </w:r>
    </w:p>
    <w:p w14:paraId="73BBEA27"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Midea Digital Innovation Center. (2023). Digital transformation white paper. Retrieved from Midea Official Website.</w:t>
      </w:r>
    </w:p>
    <w:p w14:paraId="0B12C000" w14:textId="77777777" w:rsidR="00CB0142" w:rsidRDefault="00AF7DAE">
      <w:pPr>
        <w:numPr>
          <w:ilvl w:val="0"/>
          <w:numId w:val="3"/>
        </w:numPr>
        <w:snapToGrid w:val="0"/>
        <w:spacing w:line="360" w:lineRule="auto"/>
        <w:ind w:left="68" w:firstLine="578"/>
        <w:rPr>
          <w:rFonts w:ascii="Times New Roman" w:hAnsi="Times New Roman" w:cs="Times New Roman"/>
          <w:sz w:val="28"/>
          <w:szCs w:val="28"/>
        </w:rPr>
      </w:pPr>
      <w:r>
        <w:rPr>
          <w:rFonts w:ascii="Times New Roman" w:hAnsi="Times New Roman" w:cs="Times New Roman"/>
          <w:sz w:val="28"/>
          <w:szCs w:val="28"/>
        </w:rPr>
        <w:t>Wang, L., &amp; Chen, H. (2023). Organizational change in Chinese automotive industry: The case of SAIC Motor. International Journal of Automotive Technology and Management, 23(2), 145-167.</w:t>
      </w:r>
    </w:p>
    <w:p w14:paraId="695C6DC7" w14:textId="77777777" w:rsidR="00CB0142" w:rsidRDefault="00CB0142"/>
    <w:sectPr w:rsidR="00CB0142">
      <w:pgSz w:w="11906" w:h="16838"/>
      <w:pgMar w:top="1134" w:right="850" w:bottom="1134" w:left="1134"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embedRegular r:id="rId1" w:subsetted="1" w:fontKey="{EB0DB364-C72B-430E-AB98-046695397D61}"/>
    <w:embedBold r:id="rId2" w:subsetted="1" w:fontKey="{4DB68436-0207-4A8D-BC6F-93A4056FDBD9}"/>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BoldMT">
    <w:altName w:val="Segoe Print"/>
    <w:charset w:val="00"/>
    <w:family w:val="auto"/>
    <w:pitch w:val="default"/>
  </w:font>
  <w:font w:name="方正大黑体_GBK">
    <w:altName w:val="SimSun"/>
    <w:charset w:val="86"/>
    <w:family w:val="auto"/>
    <w:pitch w:val="default"/>
    <w:sig w:usb0="00000000" w:usb1="080E0000" w:usb2="00000000" w:usb3="00000000" w:csb0="40040001" w:csb1="C0D6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B067F09D"/>
    <w:multiLevelType w:val="singleLevel"/>
    <w:tmpl w:val="B067F09D"/>
    <w:lvl w:ilvl="0">
      <w:start w:val="1"/>
      <w:numFmt w:val="decimal"/>
      <w:suff w:val="nothing"/>
      <w:lvlText w:val="%1．"/>
      <w:lvlJc w:val="left"/>
      <w:pPr>
        <w:ind w:left="-116" w:firstLine="400"/>
      </w:pPr>
      <w:rPr>
        <w:rFonts w:hint="default"/>
      </w:rPr>
    </w:lvl>
  </w:abstractNum>
  <w:abstractNum w:abstractNumId="1" w15:restartNumberingAfterBreak="0">
    <w:nsid w:val="E6007141"/>
    <w:multiLevelType w:val="singleLevel"/>
    <w:tmpl w:val="E6007141"/>
    <w:lvl w:ilvl="0">
      <w:start w:val="1"/>
      <w:numFmt w:val="decimal"/>
      <w:suff w:val="nothing"/>
      <w:lvlText w:val="%1．"/>
      <w:lvlJc w:val="left"/>
      <w:pPr>
        <w:ind w:left="70" w:firstLine="400"/>
      </w:pPr>
      <w:rPr>
        <w:rFonts w:hint="default"/>
      </w:rPr>
    </w:lvl>
  </w:abstractNum>
  <w:abstractNum w:abstractNumId="2" w15:restartNumberingAfterBreak="0">
    <w:nsid w:val="4205DA39"/>
    <w:multiLevelType w:val="singleLevel"/>
    <w:tmpl w:val="4205DA39"/>
    <w:lvl w:ilvl="0">
      <w:start w:val="1"/>
      <w:numFmt w:val="decimal"/>
      <w:suff w:val="nothing"/>
      <w:lvlText w:val="%1．"/>
      <w:lvlJc w:val="left"/>
      <w:pPr>
        <w:ind w:left="0" w:firstLine="400"/>
      </w:pPr>
      <w:rPr>
        <w:rFonts w:hint="default"/>
      </w:rPr>
    </w:lvl>
  </w:abstractNum>
  <w:num w:numId="1" w16cid:durableId="1488783773">
    <w:abstractNumId w:val="2"/>
  </w:num>
  <w:num w:numId="2" w16cid:durableId="862783321">
    <w:abstractNumId w:val="1"/>
  </w:num>
  <w:num w:numId="3" w16cid:durableId="21123597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saveSubsetFonts/>
  <w:proofState w:spelling="clean" w:grammar="clean"/>
  <w:defaultTabStop w:val="420"/>
  <w:hyphenationZone w:val="425"/>
  <w:drawingGridVerticalSpacing w:val="156"/>
  <w:noPunctuationKerning/>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ZmU3ZDZhNGMyOGVkNmVhYmFkY2Q1NzBiY2RmMTdhZDQifQ=="/>
  </w:docVars>
  <w:rsids>
    <w:rsidRoot w:val="70826FB3"/>
    <w:rsid w:val="00000700"/>
    <w:rsid w:val="00105EE8"/>
    <w:rsid w:val="00255593"/>
    <w:rsid w:val="00481283"/>
    <w:rsid w:val="00A50CA4"/>
    <w:rsid w:val="00AF7DAE"/>
    <w:rsid w:val="00B14A1E"/>
    <w:rsid w:val="00CB0142"/>
    <w:rsid w:val="012F41F1"/>
    <w:rsid w:val="014F03EF"/>
    <w:rsid w:val="07126147"/>
    <w:rsid w:val="08406CE4"/>
    <w:rsid w:val="0E6D0107"/>
    <w:rsid w:val="137B47FD"/>
    <w:rsid w:val="189D2014"/>
    <w:rsid w:val="19C92FDD"/>
    <w:rsid w:val="1D475B6B"/>
    <w:rsid w:val="21EA1D42"/>
    <w:rsid w:val="21FA5CFD"/>
    <w:rsid w:val="22F17100"/>
    <w:rsid w:val="24125580"/>
    <w:rsid w:val="24A87C93"/>
    <w:rsid w:val="2A0C4820"/>
    <w:rsid w:val="2C5A3F68"/>
    <w:rsid w:val="2E6966E5"/>
    <w:rsid w:val="2E9C43C4"/>
    <w:rsid w:val="2EFF4953"/>
    <w:rsid w:val="2FAB58C1"/>
    <w:rsid w:val="327B4B63"/>
    <w:rsid w:val="388D1CDD"/>
    <w:rsid w:val="3F7D5B4C"/>
    <w:rsid w:val="41B63597"/>
    <w:rsid w:val="434B5F61"/>
    <w:rsid w:val="43657023"/>
    <w:rsid w:val="4665733A"/>
    <w:rsid w:val="48EB621C"/>
    <w:rsid w:val="4ADB7BCB"/>
    <w:rsid w:val="4E6879C7"/>
    <w:rsid w:val="4EEC05F8"/>
    <w:rsid w:val="501A1195"/>
    <w:rsid w:val="511D0F3D"/>
    <w:rsid w:val="51E7355C"/>
    <w:rsid w:val="539F20DD"/>
    <w:rsid w:val="59284923"/>
    <w:rsid w:val="59B74048"/>
    <w:rsid w:val="5B5163B3"/>
    <w:rsid w:val="5D7243BE"/>
    <w:rsid w:val="5DAB167E"/>
    <w:rsid w:val="60F8107F"/>
    <w:rsid w:val="63604CB9"/>
    <w:rsid w:val="639A641D"/>
    <w:rsid w:val="643B19AE"/>
    <w:rsid w:val="647924D6"/>
    <w:rsid w:val="65F8567D"/>
    <w:rsid w:val="66875BA8"/>
    <w:rsid w:val="67C25F42"/>
    <w:rsid w:val="693D1D24"/>
    <w:rsid w:val="70826FB3"/>
    <w:rsid w:val="727D13E4"/>
    <w:rsid w:val="72E27499"/>
    <w:rsid w:val="736425A4"/>
    <w:rsid w:val="73C44DF0"/>
    <w:rsid w:val="78A771BA"/>
    <w:rsid w:val="78BE4504"/>
    <w:rsid w:val="790C1BE0"/>
    <w:rsid w:val="7A995229"/>
    <w:rsid w:val="7AD85D51"/>
    <w:rsid w:val="7D580A83"/>
    <w:rsid w:val="7F101A04"/>
    <w:rsid w:val="7FA206DC"/>
    <w:rsid w:val="7FEA3E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470F7689"/>
  <w15:docId w15:val="{C7DA8C0B-69C8-4463-BCCD-18823BFBC5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lang w:val="en-US"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next w:val="a"/>
  </w:style>
  <w:style w:type="paragraph" w:styleId="2">
    <w:name w:val="toc 2"/>
    <w:basedOn w:val="a"/>
    <w:next w:val="a"/>
    <w:pPr>
      <w:ind w:leftChars="200" w:left="420"/>
    </w:pPr>
  </w:style>
  <w:style w:type="paragraph" w:styleId="a3">
    <w:name w:val="Normal (Web)"/>
    <w:basedOn w:val="a"/>
    <w:qFormat/>
    <w:pPr>
      <w:spacing w:beforeAutospacing="1" w:afterAutospacing="1"/>
      <w:jc w:val="left"/>
    </w:pPr>
    <w:rPr>
      <w:rFonts w:cs="Times New Roman"/>
      <w:kern w:val="0"/>
      <w:sz w:val="24"/>
    </w:rPr>
  </w:style>
  <w:style w:type="paragraph" w:styleId="a4">
    <w:name w:val="Balloon Text"/>
    <w:basedOn w:val="a"/>
    <w:link w:val="a5"/>
    <w:rsid w:val="00255593"/>
    <w:rPr>
      <w:rFonts w:ascii="Tahoma" w:hAnsi="Tahoma" w:cs="Tahoma"/>
      <w:sz w:val="16"/>
      <w:szCs w:val="16"/>
    </w:rPr>
  </w:style>
  <w:style w:type="character" w:customStyle="1" w:styleId="a5">
    <w:name w:val="Текст выноски Знак"/>
    <w:basedOn w:val="a0"/>
    <w:link w:val="a4"/>
    <w:rsid w:val="00255593"/>
    <w:rPr>
      <w:rFonts w:ascii="Tahoma" w:eastAsiaTheme="minorEastAsia" w:hAnsi="Tahoma" w:cs="Tahoma"/>
      <w:kern w:val="2"/>
      <w:sz w:val="16"/>
      <w:szCs w:val="16"/>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 Type="http://schemas.openxmlformats.org/officeDocument/2006/relationships/styles" Target="styles.xml"/><Relationship Id="rId16"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image" Target="media/image11.png"/><Relationship Id="rId10" Type="http://schemas.openxmlformats.org/officeDocument/2006/relationships/image" Target="media/image6.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91</Pages>
  <Words>118654</Words>
  <Characters>67634</Characters>
  <Application>Microsoft Office Word</Application>
  <DocSecurity>0</DocSecurity>
  <Lines>563</Lines>
  <Paragraphs>371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185917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铂象</dc:creator>
  <cp:lastModifiedBy>Галина</cp:lastModifiedBy>
  <cp:revision>2</cp:revision>
  <dcterms:created xsi:type="dcterms:W3CDTF">2024-11-29T09:27:00Z</dcterms:created>
  <dcterms:modified xsi:type="dcterms:W3CDTF">2024-11-29T09:27:00Z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4DE08E01337548E79354128A4636EDF4_13</vt:lpwstr>
  </property>
</Properties>
</file>