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A45" w:rsidRPr="00D67A18" w:rsidRDefault="005D2444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  </w:t>
      </w:r>
      <w:r w:rsidR="000F1A45"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ОДЕCЬКИЙ НАЦІОНАЛЬНИЙ УНІВЕРCИТЕТ імені І. І. МЕЧНИКОВА</w:t>
      </w:r>
    </w:p>
    <w:p w:rsidR="000F1A45" w:rsidRPr="00D67A18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Біологічний факультет</w:t>
      </w:r>
    </w:p>
    <w:p w:rsidR="000F1A45" w:rsidRPr="00D67A18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Кафедра </w:t>
      </w:r>
      <w:r w:rsidR="004650BF"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фізіології людини та тварин</w:t>
      </w:r>
    </w:p>
    <w:p w:rsidR="000F1A45" w:rsidRPr="00D67A18" w:rsidRDefault="000F1A45" w:rsidP="000F1A45">
      <w:pPr>
        <w:widowControl w:val="0"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</w:p>
    <w:p w:rsidR="000F1A45" w:rsidRPr="00D67A18" w:rsidRDefault="000F1A45" w:rsidP="000F1A45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4"/>
          <w:lang w:val="uk-UA" w:eastAsia="ru-RU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spacing w:val="60"/>
          <w:sz w:val="32"/>
          <w:szCs w:val="24"/>
          <w:lang w:val="uk-UA" w:eastAsia="ru-RU"/>
        </w:rPr>
        <w:t>Дипломна робота</w:t>
      </w:r>
    </w:p>
    <w:p w:rsidR="000F1A45" w:rsidRPr="00D67A18" w:rsidRDefault="000F1A45" w:rsidP="000F1A45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360" w:lineRule="auto"/>
        <w:ind w:right="850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на здобуття ступеня вищої освіти «магістр»</w:t>
      </w:r>
    </w:p>
    <w:p w:rsidR="00A00530" w:rsidRPr="00D67A18" w:rsidRDefault="000F1A45" w:rsidP="00A00530">
      <w:pPr>
        <w:autoSpaceDE w:val="0"/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kern w:val="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на тему</w:t>
      </w:r>
      <w:r w:rsidRPr="00D67A18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  <w:t xml:space="preserve"> </w:t>
      </w:r>
      <w:r w:rsidRPr="00D67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 w:eastAsia="ru-RU"/>
        </w:rPr>
        <w:t>«</w:t>
      </w:r>
      <w:r w:rsidR="0085384A"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П</w:t>
      </w:r>
      <w:r w:rsidR="00EC3879"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  <w:lang w:val="uk-UA"/>
        </w:rPr>
        <w:t>оказники електрокардіограми та коагулограми у хворих на інсульт до та після лікування</w:t>
      </w:r>
      <w:r w:rsidR="00A00530" w:rsidRPr="00D67A18">
        <w:rPr>
          <w:rFonts w:ascii="Times New Roman" w:hAnsi="Times New Roman" w:cs="Times New Roman"/>
          <w:b/>
          <w:color w:val="000000" w:themeColor="text1"/>
          <w:kern w:val="1"/>
          <w:sz w:val="28"/>
          <w:szCs w:val="28"/>
          <w:lang w:val="uk-UA"/>
        </w:rPr>
        <w:t>»</w:t>
      </w:r>
    </w:p>
    <w:p w:rsidR="00EC3879" w:rsidRPr="00D67A18" w:rsidRDefault="0085384A" w:rsidP="00A00530">
      <w:pPr>
        <w:autoSpaceDE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kern w:val="1"/>
          <w:sz w:val="24"/>
          <w:szCs w:val="24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kern w:val="1"/>
          <w:sz w:val="24"/>
          <w:szCs w:val="24"/>
          <w:lang w:val="uk-UA"/>
        </w:rPr>
        <w:t xml:space="preserve">Indicators </w:t>
      </w:r>
      <w:r w:rsidR="00EC3879" w:rsidRPr="00D67A18">
        <w:rPr>
          <w:rFonts w:ascii="Times New Roman" w:hAnsi="Times New Roman" w:cs="Times New Roman"/>
          <w:color w:val="000000" w:themeColor="text1"/>
          <w:kern w:val="1"/>
          <w:sz w:val="24"/>
          <w:szCs w:val="24"/>
          <w:lang w:val="uk-UA"/>
        </w:rPr>
        <w:t>of the electrocardiogram and coagulogram in patients with stroke before and after treatment</w:t>
      </w:r>
    </w:p>
    <w:p w:rsidR="00EC3879" w:rsidRPr="00D67A18" w:rsidRDefault="00EC3879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</w:pPr>
    </w:p>
    <w:p w:rsidR="00003C73" w:rsidRPr="00D67A18" w:rsidRDefault="000F1A45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  <w:t>Викона</w:t>
      </w:r>
      <w:r w:rsidR="00730C21" w:rsidRPr="00D67A18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  <w:t>ла</w:t>
      </w:r>
      <w:r w:rsidRPr="00D67A18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  <w:t>:</w:t>
      </w: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 студент</w:t>
      </w:r>
      <w:r w:rsidR="00730C21"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ка</w:t>
      </w: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 </w:t>
      </w:r>
      <w:r w:rsidR="00EC3879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заочної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форми навчання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Спеціальність 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091 Біологія</w:t>
      </w: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 xml:space="preserve"> </w:t>
      </w:r>
    </w:p>
    <w:p w:rsidR="00003C73" w:rsidRPr="00D67A18" w:rsidRDefault="00003C73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  <w:t>ОП Біологія</w:t>
      </w:r>
    </w:p>
    <w:p w:rsidR="00730C21" w:rsidRPr="00D67A18" w:rsidRDefault="00EC3879" w:rsidP="00EC3879">
      <w:pPr>
        <w:autoSpaceDE w:val="0"/>
        <w:spacing w:after="0"/>
        <w:ind w:left="3828" w:firstLine="850"/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8"/>
          <w:lang w:val="uk-UA" w:eastAsia="ru-RU"/>
        </w:rPr>
      </w:pPr>
      <w:r w:rsidRPr="00D67A18">
        <w:rPr>
          <w:rFonts w:ascii="Times New Roman" w:hAnsi="Times New Roman" w:cs="Times New Roman"/>
          <w:b/>
          <w:bCs/>
          <w:color w:val="000000" w:themeColor="text1"/>
          <w:kern w:val="1"/>
          <w:sz w:val="28"/>
          <w:szCs w:val="28"/>
          <w:lang w:val="uk-UA"/>
        </w:rPr>
        <w:t xml:space="preserve">Гербей </w:t>
      </w:r>
      <w:r w:rsidR="0009199B" w:rsidRPr="00D67A18">
        <w:rPr>
          <w:rFonts w:ascii="Times New Roman" w:hAnsi="Times New Roman" w:cs="Times New Roman"/>
          <w:b/>
          <w:bCs/>
          <w:color w:val="000000" w:themeColor="text1"/>
          <w:kern w:val="1"/>
          <w:sz w:val="28"/>
          <w:szCs w:val="28"/>
          <w:lang w:val="uk-UA"/>
        </w:rPr>
        <w:t>Аліна Віталіївна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8"/>
          <w:lang w:val="uk-UA" w:eastAsia="ru-RU"/>
        </w:rPr>
      </w:pPr>
    </w:p>
    <w:p w:rsidR="000F1A45" w:rsidRPr="00D67A18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t xml:space="preserve">Науковий керівник: 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730C21" w:rsidRPr="00D67A18" w:rsidRDefault="00EC3879" w:rsidP="00730C21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Сьомік Лідія Іванівна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</w:p>
    <w:p w:rsidR="000F1A45" w:rsidRPr="00D67A18" w:rsidRDefault="000F1A45" w:rsidP="000F1A45">
      <w:pPr>
        <w:widowControl w:val="0"/>
        <w:autoSpaceDE w:val="0"/>
        <w:autoSpaceDN w:val="0"/>
        <w:adjustRightInd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kern w:val="28"/>
          <w:sz w:val="28"/>
          <w:szCs w:val="28"/>
          <w:lang w:val="uk-UA" w:eastAsia="ru-RU"/>
        </w:rPr>
        <w:t>Рецензен</w:t>
      </w:r>
      <w:r w:rsidRPr="00D67A18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т:</w:t>
      </w:r>
    </w:p>
    <w:p w:rsidR="000F1A45" w:rsidRPr="00D67A18" w:rsidRDefault="000F1A45" w:rsidP="000F1A45">
      <w:pPr>
        <w:widowControl w:val="0"/>
        <w:autoSpaceDE w:val="0"/>
        <w:spacing w:after="0" w:line="240" w:lineRule="auto"/>
        <w:ind w:left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  <w:t>кандидат біологічних наук, доцент</w:t>
      </w:r>
    </w:p>
    <w:p w:rsidR="00730C21" w:rsidRPr="00D67A18" w:rsidRDefault="00220012" w:rsidP="00F0274D">
      <w:pPr>
        <w:ind w:firstLine="4678"/>
        <w:jc w:val="both"/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ru-RU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Гудзенко Тетяна Василівна</w:t>
      </w:r>
    </w:p>
    <w:p w:rsidR="00730C21" w:rsidRPr="00164C53" w:rsidRDefault="00730C21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eastAsia="ru-RU"/>
        </w:rPr>
      </w:pPr>
    </w:p>
    <w:p w:rsidR="00164C53" w:rsidRDefault="00164C53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en-US" w:eastAsia="ru-RU"/>
        </w:rPr>
      </w:pPr>
    </w:p>
    <w:p w:rsidR="00164C53" w:rsidRPr="00164C53" w:rsidRDefault="00164C53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en-US"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5"/>
      </w:tblGrid>
      <w:tr w:rsidR="000F1A45" w:rsidRPr="00D67A18" w:rsidTr="00006BD1"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  <w:t>Рекомендовано до захисту:</w:t>
            </w:r>
          </w:p>
        </w:tc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>Захищено на засіданні ЕК № 1</w:t>
            </w:r>
          </w:p>
        </w:tc>
      </w:tr>
      <w:tr w:rsidR="000F1A45" w:rsidRPr="00D67A18" w:rsidTr="00006BD1"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0F1A45" w:rsidRPr="00D67A18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Протокол №_____від «___» </w:t>
            </w:r>
            <w:r w:rsidR="00730C21"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 2020 </w:t>
            </w: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>р.</w:t>
            </w:r>
          </w:p>
        </w:tc>
      </w:tr>
      <w:tr w:rsidR="000F1A45" w:rsidRPr="00D67A18" w:rsidTr="00006BD1">
        <w:tc>
          <w:tcPr>
            <w:tcW w:w="4785" w:type="dxa"/>
          </w:tcPr>
          <w:p w:rsidR="000F1A45" w:rsidRPr="00D67A18" w:rsidRDefault="000F1A45" w:rsidP="00730C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№_____від «___» </w:t>
            </w:r>
            <w:r w:rsidR="00730C21"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 2020 </w:t>
            </w: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>р.</w:t>
            </w:r>
          </w:p>
        </w:tc>
        <w:tc>
          <w:tcPr>
            <w:tcW w:w="4785" w:type="dxa"/>
          </w:tcPr>
          <w:p w:rsidR="000F1A45" w:rsidRPr="00D67A18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>Оцінка_____/________/__________</w:t>
            </w:r>
          </w:p>
          <w:p w:rsidR="000F1A45" w:rsidRPr="00D67A18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  <w:t xml:space="preserve">            </w:t>
            </w: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val="uk-UA" w:eastAsia="ru-RU"/>
              </w:rPr>
              <w:t>(за національною шкалою, шкалою ЕCТS, бал)</w:t>
            </w:r>
          </w:p>
        </w:tc>
      </w:tr>
      <w:tr w:rsidR="000F1A45" w:rsidRPr="00D67A18" w:rsidTr="00006BD1"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  <w:t>Завідувач кафедри</w:t>
            </w:r>
          </w:p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</w:p>
        </w:tc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  <w:t>Голова ЕК</w:t>
            </w:r>
          </w:p>
        </w:tc>
      </w:tr>
      <w:tr w:rsidR="000F1A45" w:rsidRPr="00D67A18" w:rsidTr="00006BD1">
        <w:tc>
          <w:tcPr>
            <w:tcW w:w="4785" w:type="dxa"/>
          </w:tcPr>
          <w:p w:rsidR="000F1A45" w:rsidRPr="00D67A18" w:rsidRDefault="000F1A45" w:rsidP="000F1A45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_______               </w:t>
            </w:r>
            <w:r w:rsidR="00730C21"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 Макаренко О. А.</w:t>
            </w:r>
          </w:p>
        </w:tc>
        <w:tc>
          <w:tcPr>
            <w:tcW w:w="4785" w:type="dxa"/>
          </w:tcPr>
          <w:p w:rsidR="000F1A45" w:rsidRPr="00D67A18" w:rsidRDefault="000F1A45" w:rsidP="00A00530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 xml:space="preserve">_______                          </w:t>
            </w:r>
            <w:r w:rsidR="00A00530"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lang w:val="uk-UA" w:eastAsia="ru-RU"/>
              </w:rPr>
              <w:t>Філіпова Т. О.</w:t>
            </w:r>
          </w:p>
        </w:tc>
      </w:tr>
      <w:tr w:rsidR="000F1A45" w:rsidRPr="00D67A18" w:rsidTr="00006BD1"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(підпиc)                                    (прізвище та ініціали)</w:t>
            </w:r>
          </w:p>
        </w:tc>
        <w:tc>
          <w:tcPr>
            <w:tcW w:w="4785" w:type="dxa"/>
          </w:tcPr>
          <w:p w:rsidR="000F1A45" w:rsidRPr="00D67A18" w:rsidRDefault="000F1A45" w:rsidP="000F1A4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4"/>
                <w:lang w:val="uk-UA" w:eastAsia="ru-RU"/>
              </w:rPr>
            </w:pPr>
            <w:r w:rsidRPr="00D67A18">
              <w:rPr>
                <w:rFonts w:ascii="Times New Roman" w:eastAsia="Times New Roman" w:hAnsi="Times New Roman" w:cs="Times New Roman"/>
                <w:color w:val="000000" w:themeColor="text1"/>
                <w:kern w:val="1"/>
                <w:sz w:val="28"/>
                <w:szCs w:val="28"/>
                <w:vertAlign w:val="superscript"/>
                <w:lang w:val="uk-UA" w:eastAsia="ru-RU"/>
              </w:rPr>
              <w:t xml:space="preserve">     (підпиc)                                          (прізвище та ініціали)</w:t>
            </w:r>
          </w:p>
        </w:tc>
      </w:tr>
    </w:tbl>
    <w:p w:rsidR="000F1A45" w:rsidRPr="00D67A18" w:rsidRDefault="000F1A45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uk-UA" w:eastAsia="ru-RU"/>
        </w:rPr>
      </w:pPr>
    </w:p>
    <w:p w:rsidR="003C4D2C" w:rsidRPr="00D67A18" w:rsidRDefault="003C4D2C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uk-UA" w:eastAsia="ru-RU"/>
        </w:rPr>
      </w:pPr>
    </w:p>
    <w:p w:rsidR="00220012" w:rsidRPr="00D67A18" w:rsidRDefault="00220012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uk-UA" w:eastAsia="ru-RU"/>
        </w:rPr>
      </w:pPr>
    </w:p>
    <w:p w:rsidR="00220012" w:rsidRPr="00D67A18" w:rsidRDefault="00220012" w:rsidP="000F1A45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color w:val="000000" w:themeColor="text1"/>
          <w:kern w:val="1"/>
          <w:sz w:val="28"/>
          <w:szCs w:val="24"/>
          <w:lang w:val="uk-UA" w:eastAsia="ru-RU"/>
        </w:rPr>
      </w:pPr>
    </w:p>
    <w:p w:rsidR="00A00530" w:rsidRPr="00D67A18" w:rsidRDefault="000F1A45" w:rsidP="00220012">
      <w:pPr>
        <w:spacing w:after="24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kern w:val="1"/>
          <w:sz w:val="28"/>
          <w:szCs w:val="24"/>
          <w:lang w:val="uk-UA" w:eastAsia="ru-RU"/>
        </w:rPr>
        <w:t>Одеcа – 2020</w:t>
      </w:r>
      <w:r w:rsidR="00A00530"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DB67A9" w:rsidRPr="00D67A18" w:rsidRDefault="00DB67A9" w:rsidP="004650BF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АНОТАЦІЯ</w:t>
      </w:r>
    </w:p>
    <w:p w:rsidR="005668E7" w:rsidRPr="00D67A18" w:rsidRDefault="005668E7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Проведено аналіз деяких показників коагуляції, гемодинаміки та </w:t>
      </w:r>
      <w:r w:rsidR="00BE232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елктро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кардіографії у хворих на різни типи інсульту до та після лікування.</w:t>
      </w:r>
    </w:p>
    <w:p w:rsidR="005668E7" w:rsidRPr="00D67A18" w:rsidRDefault="005668E7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Виявлено, що у хворих на ішемічний інсульт в більшому ступені змінювались показники коагулограми, а у хворих на геморагіческий </w:t>
      </w:r>
      <w:r w:rsidR="00BE232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інсульт електрокардіографічні показники. Проведення терапії призводило до покращення досліджуваних показник</w:t>
      </w:r>
      <w:r w:rsidR="00951FE7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E232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</w:t>
      </w:r>
    </w:p>
    <w:p w:rsidR="00DB67A9" w:rsidRPr="00D67A18" w:rsidRDefault="00582DB8" w:rsidP="00BE232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Роботу викладено на 48</w:t>
      </w:r>
      <w:r w:rsidR="00DB67A9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сторінках др</w:t>
      </w:r>
      <w:r w:rsidR="0099793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укованого тексту, вона включає </w:t>
      </w:r>
      <w:r w:rsidR="000A113D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 таблиці</w:t>
      </w:r>
      <w:r w:rsidR="0099793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BE232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</w:t>
      </w:r>
      <w:r w:rsidR="00DB67A9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рисунків. </w:t>
      </w:r>
      <w:r w:rsidR="0099793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6F4F10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робо</w:t>
      </w:r>
      <w:r w:rsidR="00220012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 наведено посилання на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51 публікації (46 </w:t>
      </w:r>
      <w:r w:rsidR="000C40B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кирили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цею, 5</w:t>
      </w:r>
      <w:r w:rsidR="00DB67A9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латиницею).</w:t>
      </w:r>
    </w:p>
    <w:p w:rsidR="00DB67A9" w:rsidRPr="00D67A18" w:rsidRDefault="00DB67A9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Ключові слова:</w:t>
      </w:r>
      <w:r w:rsidRPr="00D67A1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="00BE232C" w:rsidRPr="00D67A1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інсульт, коагулограма, ЕКГ</w:t>
      </w:r>
    </w:p>
    <w:p w:rsidR="00997933" w:rsidRPr="00D67A18" w:rsidRDefault="00997933" w:rsidP="004650B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006BD1" w:rsidRPr="00D67A18" w:rsidRDefault="00006BD1" w:rsidP="004650BF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ANNOTATION</w:t>
      </w:r>
    </w:p>
    <w:p w:rsidR="00BE232C" w:rsidRPr="00D67A18" w:rsidRDefault="00BE232C" w:rsidP="00BE232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The analysis of some indicators of coagulation, hemodynamics and electrocardiography in patients with different types of stroke before and after treatment was performed.</w:t>
      </w:r>
    </w:p>
    <w:p w:rsidR="000A113D" w:rsidRPr="00D67A18" w:rsidRDefault="00BE232C" w:rsidP="00BE232C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It was found that in patients with ischemic stroke to a greater extent changed the indicators of the coagulogram, and in patients with hemorrhagic stroke electrocardiographic parameters. Carrying out of therapy led to improvement of the investigated indicators.</w:t>
      </w:r>
    </w:p>
    <w:p w:rsidR="00006BD1" w:rsidRPr="00D67A18" w:rsidRDefault="000A113D" w:rsidP="000A113D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The work is presented on 4</w:t>
      </w:r>
      <w:r w:rsidR="00582DB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8</w:t>
      </w:r>
      <w:r w:rsidR="00006BD1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pages of printed text, it includes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BE232C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tables, 11</w:t>
      </w:r>
      <w:r w:rsidR="00006BD1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90206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</w:t>
      </w:r>
      <w:r w:rsidR="00582DB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igures.  The paper refers to 51</w:t>
      </w:r>
      <w:r w:rsidR="00220012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publicati</w:t>
      </w:r>
      <w:r w:rsidR="00582DB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ons (46 in Cyrillic, 5</w:t>
      </w:r>
      <w:r w:rsidR="00006BD1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in Latin).</w:t>
      </w:r>
    </w:p>
    <w:p w:rsidR="004650BF" w:rsidRPr="00D67A18" w:rsidRDefault="00006BD1" w:rsidP="000C40BC">
      <w:pPr>
        <w:spacing w:after="0" w:line="360" w:lineRule="auto"/>
        <w:ind w:firstLine="720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Key words: </w:t>
      </w:r>
      <w:r w:rsidR="00BE232C" w:rsidRPr="00D67A1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stroke, coagulogram, ECG </w:t>
      </w:r>
      <w:r w:rsidR="004650BF" w:rsidRPr="00D67A18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br w:type="page"/>
      </w:r>
    </w:p>
    <w:sdt>
      <w:sdtPr>
        <w:rPr>
          <w:rFonts w:ascii="Times New Roman" w:eastAsiaTheme="minorHAnsi" w:hAnsi="Times New Roman" w:cs="Times New Roman"/>
          <w:b w:val="0"/>
          <w:bCs w:val="0"/>
          <w:color w:val="000000" w:themeColor="text1"/>
          <w:sz w:val="22"/>
          <w:szCs w:val="22"/>
          <w:lang w:val="uk-UA" w:eastAsia="en-US"/>
        </w:rPr>
        <w:id w:val="311295183"/>
        <w:docPartObj>
          <w:docPartGallery w:val="Table of Contents"/>
          <w:docPartUnique/>
        </w:docPartObj>
      </w:sdtPr>
      <w:sdtEndPr/>
      <w:sdtContent>
        <w:p w:rsidR="00CB2B48" w:rsidRPr="00AB5896" w:rsidRDefault="00CB2B48" w:rsidP="00AB5896">
          <w:pPr>
            <w:pStyle w:val="af7"/>
            <w:spacing w:before="0" w:line="360" w:lineRule="auto"/>
            <w:jc w:val="center"/>
            <w:rPr>
              <w:rFonts w:ascii="Times New Roman" w:hAnsi="Times New Roman" w:cs="Times New Roman"/>
              <w:b w:val="0"/>
              <w:color w:val="000000" w:themeColor="text1"/>
              <w:lang w:val="uk-UA"/>
            </w:rPr>
          </w:pPr>
          <w:r w:rsidRPr="00AB5896">
            <w:rPr>
              <w:rFonts w:ascii="Times New Roman" w:hAnsi="Times New Roman" w:cs="Times New Roman"/>
              <w:b w:val="0"/>
              <w:color w:val="000000" w:themeColor="text1"/>
              <w:lang w:val="uk-UA"/>
            </w:rPr>
            <w:t>ЗМІСТ</w:t>
          </w:r>
        </w:p>
        <w:p w:rsidR="00AB5896" w:rsidRPr="00AB5896" w:rsidRDefault="00CB2B48" w:rsidP="00AB5896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AB5896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begin"/>
          </w:r>
          <w:r w:rsidRPr="00AB5896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instrText xml:space="preserve"> TOC \o "1-3" \h \z \u </w:instrText>
          </w:r>
          <w:r w:rsidRPr="00AB5896"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  <w:fldChar w:fldCharType="separate"/>
          </w:r>
          <w:hyperlink w:anchor="_Toc57409452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ВСТУП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_Toc57409452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5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left" w:pos="880"/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3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</w:t>
            </w:r>
            <w:r w:rsidR="00AB5896" w:rsidRPr="00AB5896">
              <w:rPr>
                <w:rFonts w:ascii="Times New Roman" w:eastAsiaTheme="minorEastAsia" w:hAnsi="Times New Roman" w:cs="Times New Roman"/>
                <w:noProof/>
                <w:sz w:val="28"/>
                <w:szCs w:val="28"/>
                <w:lang w:eastAsia="ru-RU"/>
              </w:rPr>
              <w:tab/>
            </w:r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Інсульт, його форми та характеристика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_Toc57409453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3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4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1.1.1. Ішемічний інсульт, його класифікація, етіологія та патогенез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_Toc57409454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7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3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5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1.1.2. Геморагічний інсульт, його класифікація, етіологія та патогенез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_Toc57409455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12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6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1.2. Діагностика та терапія хворих з інсультом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_Toc57409456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14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7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1.3. Профілактика інсульту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_Toc57409457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17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8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1.4. Методи діагностики серцево-судинних захворювань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_Toc57409458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18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59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 МАТЕРІАЛИ ТА МЕТОДИ ДОСЛІДЖЕНЬ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_Toc57409459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22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0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2.1. Методи  ЕКГ-дослідження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_Toc57409460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23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1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shd w:val="clear" w:color="auto" w:fill="FFFFFF"/>
                <w:lang w:val="uk-UA"/>
              </w:rPr>
              <w:t>2.3. Оцінка системи згортання крові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_Toc57409461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25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2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  <w:lang w:val="uk-UA"/>
              </w:rPr>
              <w:t>2.4. Статистична обробка результатів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_Toc57409462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26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3" w:history="1"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 РЕЗУЛЬТАТИ ДОСЛІДЖЕНЬ ТА ЇХ ОБГОВОРЕННЯ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_Toc57409463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4" w:history="1"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3.1. Показники коагулограми у хворих на інсульт до лікування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_Toc57409464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5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 xml:space="preserve">3.2. </w:t>
            </w:r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Показники коагулограми у хворих на інсульт після лікування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_Toc57409465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30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6" w:history="1"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3.3. Показники електрокардіограми у хворих на інсульт до лікування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_Toc57409466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33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7" w:history="1"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3.4. Показники електрокардіограми у хворих на інсульт після лікування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_Toc57409467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37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8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УЗАГАЛЬНЕННЯ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_Toc57409468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41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11"/>
            <w:tabs>
              <w:tab w:val="right" w:leader="dot" w:pos="9345"/>
            </w:tabs>
            <w:spacing w:line="360" w:lineRule="auto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69" w:history="1">
            <w:r w:rsidR="00AB5896" w:rsidRPr="00AB5896">
              <w:rPr>
                <w:rStyle w:val="a3"/>
                <w:rFonts w:ascii="Times New Roman" w:hAnsi="Times New Roman" w:cs="Times New Roman"/>
                <w:noProof/>
                <w:sz w:val="28"/>
                <w:szCs w:val="28"/>
              </w:rPr>
              <w:t>ВИСНОВКИ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_Toc57409469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AB5896" w:rsidRPr="00AB5896" w:rsidRDefault="00143EB7" w:rsidP="00AB5896">
          <w:pPr>
            <w:pStyle w:val="21"/>
            <w:tabs>
              <w:tab w:val="right" w:leader="dot" w:pos="9345"/>
            </w:tabs>
            <w:spacing w:line="360" w:lineRule="auto"/>
            <w:ind w:left="0"/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57409470" w:history="1">
            <w:r w:rsidR="00AB5896" w:rsidRPr="00AB5896">
              <w:rPr>
                <w:rStyle w:val="a3"/>
                <w:rFonts w:ascii="Times New Roman" w:eastAsia="Times New Roman" w:hAnsi="Times New Roman" w:cs="Times New Roman"/>
                <w:noProof/>
                <w:sz w:val="28"/>
                <w:szCs w:val="28"/>
              </w:rPr>
              <w:t>СПИСОК ЛІТЕРАТУРИ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_Toc57409470 \h </w:instrTex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="0029592B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44</w:t>
            </w:r>
            <w:r w:rsidR="00AB5896" w:rsidRPr="00AB5896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B2B48" w:rsidRPr="00117A0E" w:rsidRDefault="00CB2B48" w:rsidP="00AB5896">
          <w:pPr>
            <w:spacing w:line="360" w:lineRule="auto"/>
            <w:rPr>
              <w:rFonts w:ascii="Times New Roman" w:hAnsi="Times New Roman" w:cs="Times New Roman"/>
              <w:color w:val="000000" w:themeColor="text1"/>
              <w:sz w:val="28"/>
              <w:szCs w:val="28"/>
              <w:lang w:val="uk-UA"/>
            </w:rPr>
          </w:pPr>
          <w:r w:rsidRPr="00AB5896">
            <w:rPr>
              <w:rFonts w:ascii="Times New Roman" w:hAnsi="Times New Roman" w:cs="Times New Roman"/>
              <w:bCs/>
              <w:color w:val="000000" w:themeColor="text1"/>
              <w:sz w:val="28"/>
              <w:szCs w:val="28"/>
              <w:lang w:val="uk-UA"/>
            </w:rPr>
            <w:fldChar w:fldCharType="end"/>
          </w:r>
        </w:p>
      </w:sdtContent>
    </w:sdt>
    <w:p w:rsidR="004650BF" w:rsidRPr="00D67A18" w:rsidRDefault="004650BF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5B6CD8" w:rsidRPr="00D67A18" w:rsidRDefault="005B6CD8" w:rsidP="005C08D2">
      <w:pPr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lastRenderedPageBreak/>
        <w:t>ПРИЙНЯТІ СКОРОЧЕННЯ ТА АБРЕВІАТУРИ</w:t>
      </w:r>
    </w:p>
    <w:p w:rsidR="000147CE" w:rsidRPr="00D67A18" w:rsidRDefault="000147CE" w:rsidP="005B6CD8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ГІ – геморагічний інсульт</w:t>
      </w: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ЕКГ – електрокардіограма</w:t>
      </w:r>
    </w:p>
    <w:p w:rsidR="003562F7" w:rsidRPr="00D67A18" w:rsidRDefault="003562F7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ЕХО-КГ – екокардіографія</w:t>
      </w: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ІІ – ішемічний інсульт</w:t>
      </w: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КТ – комп'ютерна томографія</w:t>
      </w: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МРТ –магнітно-резонансна томографія</w:t>
      </w:r>
    </w:p>
    <w:p w:rsidR="00003C73" w:rsidRPr="00D67A18" w:rsidRDefault="00003C73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ПЧ – протромбіновий час</w:t>
      </w:r>
    </w:p>
    <w:p w:rsidR="00BB6A49" w:rsidRPr="00D67A18" w:rsidRDefault="00BB6A49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ЧСС – частота серцевих скорочень</w:t>
      </w:r>
    </w:p>
    <w:p w:rsidR="00BB6A49" w:rsidRPr="00D67A18" w:rsidRDefault="00BB6A49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САТ – систолічний артеріальний тиск</w:t>
      </w:r>
    </w:p>
    <w:p w:rsidR="00BB6A49" w:rsidRPr="00D67A18" w:rsidRDefault="00BB6A49" w:rsidP="00F840AB">
      <w:pPr>
        <w:widowControl w:val="0"/>
        <w:autoSpaceDE w:val="0"/>
        <w:autoSpaceDN w:val="0"/>
        <w:adjustRightInd w:val="0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ДАТ – діастолічний артеріальний тиск</w:t>
      </w:r>
    </w:p>
    <w:p w:rsidR="00BF67BA" w:rsidRPr="00D67A18" w:rsidRDefault="00BF67BA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A00530" w:rsidRPr="00D67A18" w:rsidRDefault="00A00530" w:rsidP="00A00530">
      <w:pPr>
        <w:pStyle w:val="1"/>
        <w:jc w:val="center"/>
        <w:rPr>
          <w:rFonts w:ascii="Times New Roman" w:hAnsi="Times New Roman" w:cs="Times New Roman"/>
          <w:color w:val="000000" w:themeColor="text1"/>
        </w:rPr>
      </w:pPr>
      <w:bookmarkStart w:id="0" w:name="_Toc57409452"/>
      <w:r w:rsidRPr="00D67A18">
        <w:rPr>
          <w:rFonts w:ascii="Times New Roman" w:hAnsi="Times New Roman" w:cs="Times New Roman"/>
          <w:color w:val="000000" w:themeColor="text1"/>
        </w:rPr>
        <w:lastRenderedPageBreak/>
        <w:t>ВСТУП</w:t>
      </w:r>
      <w:bookmarkEnd w:id="0"/>
    </w:p>
    <w:p w:rsidR="00A20013" w:rsidRPr="00D67A18" w:rsidRDefault="00A20013" w:rsidP="00A20013">
      <w:pPr>
        <w:rPr>
          <w:rFonts w:ascii="Times New Roman" w:hAnsi="Times New Roman" w:cs="Times New Roman"/>
          <w:color w:val="000000" w:themeColor="text1"/>
          <w:lang w:val="uk-UA"/>
        </w:rPr>
      </w:pPr>
    </w:p>
    <w:p w:rsidR="0016799D" w:rsidRPr="00D67A18" w:rsidRDefault="001C6E43" w:rsidP="0016799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Щорічно </w:t>
      </w:r>
      <w:r w:rsidR="0016799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 Україні від 100 до 120 тис. осіб вперше переносять мозковий інсульт, тобто захворюваність становить 280-290 випадків на 100 тис., з них </w:t>
      </w:r>
      <w:r w:rsidR="0016799D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біля 87 осіб на 100 тис. населення помирають [</w:t>
      </w:r>
      <w:r w:rsidR="0016799D" w:rsidRPr="00D67A1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Наказ МОЗ  України </w:t>
      </w:r>
      <w:r w:rsidR="0016799D" w:rsidRPr="00D67A1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  <w:lang w:val="uk-UA"/>
        </w:rPr>
        <w:t>03.08.2012  № 602..</w:t>
      </w:r>
      <w:r w:rsidR="0016799D" w:rsidRPr="00D67A1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</w:t>
      </w:r>
      <w:r w:rsidR="0016799D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  <w:r w:rsidR="0016799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4F4DB0" w:rsidRPr="00D67A18" w:rsidRDefault="004F4DB0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Інсульт, безумовно, є масштабною проблемою загальнодержавного рівня,  тому у  2012 р було затверджено уніфіковані клінічні протоколи надання екстреної, первинної, вторинної (спеціалізованої), третинної (високоспеціалізованої) допомоги при ішемічному інсульті, в 2014 р - при геморагічному інсульті</w:t>
      </w:r>
      <w:r w:rsidR="001209EA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[</w:t>
      </w:r>
      <w:r w:rsidR="001209EA" w:rsidRPr="00D67A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Наказ МОЗ України 17.04.2014  № 275…</w:t>
      </w:r>
      <w:r w:rsidR="001209EA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</w:p>
    <w:p w:rsidR="009B286F" w:rsidRPr="00D67A18" w:rsidRDefault="009B286F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Залежно від причини інсульту, його поділяють на геморагічний, ішемічний та субарахноїдальний типи. При  ішемічному інсульті має місце закупорка  судин, при геморагічному типі відбувається їх розрив з подальшим крововиливом в мозок, під його оболонки або в шлуночки. Найрідше зустрічається субарахноїдальний інсульт, який має травматичну природу і пов'язаний з розривом артеріальної аневризми або черепно-мозкової травми. При ньому відбувається крововилив в простір між павутинною і м'якою оболонками мозку.</w:t>
      </w:r>
    </w:p>
    <w:p w:rsidR="009B286F" w:rsidRPr="00D67A18" w:rsidRDefault="00BC1D48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Перенесений інсульт значно підвищує (приблизно в 15 разів) ризик розвитку повторного інсульту, на частку якого в даний час припадає приблизно четверта частина всіх гострих порушень мозкового кровообігу. Показано, що загальний ризик повторного інсульту в перші 2 роки після першого інсульту складає від 4 до 14% і є найвищим в перші кілька місяців [Міщенко и др., 2012]</w:t>
      </w:r>
      <w:r w:rsidR="00B5056F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20013" w:rsidRPr="00D67A18" w:rsidRDefault="00B5056F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сьогоднішній день існують рекомендації щодо ефективної профілактики повторних інсультів</w:t>
      </w:r>
      <w:r w:rsidR="00A2001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20013" w:rsidRPr="00D67A18" w:rsidRDefault="00B5056F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sectPr w:rsidR="00A20013" w:rsidRPr="00D67A18">
          <w:headerReference w:type="default" r:id="rId9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</w:p>
    <w:p w:rsidR="009856B4" w:rsidRPr="00D67A18" w:rsidRDefault="00B5056F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Доведено, що правильно підібрану медикаментозну і немедикаментозну терапію можна розглядати як методи профілактики, що істотно впливають на прогноз перебігу хвороби і якість життя пацієнта, який переніс інсульт.</w:t>
      </w:r>
      <w:r w:rsidR="009856B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 як патогенез хвороби, а значить і терапія залежать від типу захворювання, слід приділяти велику увагу діагностиці. При цьому, слід зазначити, що церебральні пошкодження судин  </w:t>
      </w:r>
      <w:r w:rsidR="00951FE7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взаємопов’язані</w:t>
      </w:r>
      <w:r w:rsidR="009856B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кардіальними, і можуть мати особливості перебігу  у хворих на різний тип інсульту.</w:t>
      </w:r>
    </w:p>
    <w:p w:rsidR="005B6CD8" w:rsidRPr="00D67A18" w:rsidRDefault="005B6CD8" w:rsidP="00347F2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зв’язку з цим </w:t>
      </w:r>
      <w:r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метою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дослідження </w:t>
      </w:r>
      <w:r w:rsidR="009D0ED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було визначення показників 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гемокоагулограми та електрокардіографічних показників у хворих на ішемічний та геморагічний інсульт.</w:t>
      </w:r>
    </w:p>
    <w:p w:rsidR="005B6CD8" w:rsidRPr="00D67A18" w:rsidRDefault="005B6CD8" w:rsidP="000B4A20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досягнення мети бу</w:t>
      </w:r>
      <w:r w:rsidR="000B4A20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 поставлені наступні завдання:</w:t>
      </w:r>
    </w:p>
    <w:p w:rsidR="003F5F24" w:rsidRPr="00D67A18" w:rsidRDefault="005B6CD8" w:rsidP="003F5F2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 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Визначити показники коагулограми у хворих на ішемічний та геморагічний інсульт до та після лікування.</w:t>
      </w:r>
    </w:p>
    <w:p w:rsidR="003F5F24" w:rsidRPr="00D67A18" w:rsidRDefault="005B6CD8" w:rsidP="003F5F2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2. 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Дослідити основні гемодинамічні показники у хворих на ішемічний та геморагічний інсульт до та після лікування.</w:t>
      </w:r>
    </w:p>
    <w:p w:rsidR="003F5F24" w:rsidRPr="00D67A18" w:rsidRDefault="005B6CD8" w:rsidP="003F5F2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3. </w:t>
      </w:r>
      <w:r w:rsidR="008674E9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Проаналізувати </w:t>
      </w:r>
      <w:r w:rsidR="009D0ED3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зміни 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електрокардіографічних показників у хворих на ішемічний та геморагічний інсульт до та після лікування.</w:t>
      </w:r>
    </w:p>
    <w:p w:rsidR="0055536A" w:rsidRPr="00D67A18" w:rsidRDefault="0055536A" w:rsidP="0055536A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3F5F24" w:rsidRPr="00D67A18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Об’єкт дослідження –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перебіг різних типів інсульту.</w:t>
      </w:r>
    </w:p>
    <w:p w:rsidR="005B6CD8" w:rsidRPr="00D67A18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Предмет дослідження –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показники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3F5F24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коагулограми та електрокардіограми у хворих на ішемічний та геморагічний інсульт</w:t>
      </w:r>
      <w:r w:rsidR="0055536A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5B6CD8" w:rsidRPr="00D67A18" w:rsidRDefault="005B6CD8" w:rsidP="005B6CD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A00530" w:rsidRPr="00D67A18" w:rsidRDefault="00A00530">
      <w:pP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DB67A9" w:rsidRPr="00D67A18" w:rsidRDefault="00C80DE7" w:rsidP="007B682B">
      <w:pPr>
        <w:pStyle w:val="1"/>
        <w:jc w:val="center"/>
        <w:rPr>
          <w:rFonts w:ascii="Times New Roman" w:hAnsi="Times New Roman" w:cs="Times New Roman"/>
          <w:color w:val="000000" w:themeColor="text1"/>
        </w:rPr>
      </w:pPr>
      <w:bookmarkStart w:id="1" w:name="_Toc57409469"/>
      <w:bookmarkStart w:id="2" w:name="_GoBack"/>
      <w:bookmarkEnd w:id="2"/>
      <w:r w:rsidRPr="00D67A18">
        <w:rPr>
          <w:rFonts w:ascii="Times New Roman" w:hAnsi="Times New Roman" w:cs="Times New Roman"/>
          <w:color w:val="000000" w:themeColor="text1"/>
        </w:rPr>
        <w:lastRenderedPageBreak/>
        <w:t>ВИСНОВКИ</w:t>
      </w:r>
      <w:bookmarkEnd w:id="1"/>
    </w:p>
    <w:p w:rsidR="00C80DE7" w:rsidRPr="00D67A18" w:rsidRDefault="00C80DE7" w:rsidP="00033E30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891E38" w:rsidRPr="00D67A18" w:rsidRDefault="00263FE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="00B26E09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Проведене дослідження деяких показників гемодинаміки та електрографії у хворих на різні типи інсульту виявило, що у хворих на ІІ в більшому ступені змінювались показники коагулограми, а у хворих на ГІ – електрокардіографічні показники.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26E09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2. </w:t>
      </w:r>
      <w:r w:rsidR="00BA29DE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До лікування у</w:t>
      </w:r>
      <w:r w:rsidR="00BA29D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хворих  з ішемічним інсультом можна відмітити </w:t>
      </w:r>
      <w:r w:rsidR="00951FE7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гіперкоаугуляцію</w:t>
      </w:r>
      <w:r w:rsidR="00BA29D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 низькою фібринолітичною активністю, а у  хворих з геморагічним  інсультом помірну гіперкоагуляцію з </w:t>
      </w:r>
      <w:r w:rsidR="00951FE7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підвищеною</w:t>
      </w:r>
      <w:r w:rsidR="00BA29D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фібринолітичною активністю крові</w:t>
      </w:r>
      <w:r w:rsidR="00BA29DE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B1628F" w:rsidRPr="00D67A18" w:rsidRDefault="00B26E09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880D8A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Проведення терапії у хворих з ІІ призводило до зниження 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кількості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тромбоцитів на 20,0 %, 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вмісту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фібриногену на 22,2 %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фактору </w:t>
      </w:r>
      <w:r w:rsidR="00F02BF2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Віллебранд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 на 21,9 % та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підвищення антитромбіну ІІІ на 63,5 %. </w:t>
      </w:r>
    </w:p>
    <w:p w:rsidR="00FD234D" w:rsidRPr="00D67A18" w:rsidRDefault="00B1628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4.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Проведення терапії у хворих на ГІ призводило до зниження 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вмісту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фібриногену на 15,1 %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51FE7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антитромбіну</w:t>
      </w:r>
      <w:r w:rsidR="00FD234D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ІІІ на 18,5 %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, кількість тромбоцитів та фактор </w:t>
      </w:r>
      <w:r w:rsidR="00F02BF2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Віллебранд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а </w:t>
      </w:r>
      <w:r w:rsidR="00951FE7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залишались незмінними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 (у межах норми).</w:t>
      </w:r>
    </w:p>
    <w:p w:rsidR="00B1628F" w:rsidRPr="00D67A18" w:rsidRDefault="00B1628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5.</w:t>
      </w:r>
      <w:r w:rsidR="009D25C4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Гемодинамічні показники у хворих на ІІ та ГІ до та після лікування змінювались по різному. У хворих на ГІ були достовірно вищими ЧСС, САТ та ДАТ до лікувальної терапії. Після проведення лікування зазначені показники гемодинаміки нормалізувались до рівня норми.</w:t>
      </w:r>
    </w:p>
    <w:p w:rsidR="00B1628F" w:rsidRPr="00D67A18" w:rsidRDefault="00B1628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6</w:t>
      </w:r>
      <w:r w:rsidR="00880D8A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4455F0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880D8A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хворих на </w:t>
      </w:r>
      <w:r w:rsidR="00B26E09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ІІ та ГІ спостерігались</w:t>
      </w:r>
      <w:r w:rsidR="00880D8A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електрокардіографічні зміни</w:t>
      </w:r>
      <w:r w:rsidR="00B26E09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 Інтенсивність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51FE7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враженості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951FE7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цих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змін була вище у хворих з геморагічним інсультом, що було обумовлено змінами міокарду лівого шлуночку.</w:t>
      </w:r>
    </w:p>
    <w:p w:rsidR="00B1628F" w:rsidRPr="00D67A18" w:rsidRDefault="00B1628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7. Проведення лікувальної терапії хворих на ІІ та ГІ мала різну ефективність.</w:t>
      </w:r>
    </w:p>
    <w:p w:rsidR="00B1628F" w:rsidRPr="00D67A18" w:rsidRDefault="00B1628F" w:rsidP="004455F0">
      <w:p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880D8A" w:rsidRPr="00D67A18" w:rsidRDefault="00880D8A" w:rsidP="00EC3879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880D8A" w:rsidRPr="00D67A18" w:rsidRDefault="00880D8A" w:rsidP="00EC3879">
      <w:pPr>
        <w:spacing w:after="0" w:line="36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BF67BA" w:rsidRPr="00D67A18" w:rsidRDefault="00BF67BA">
      <w:pP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br w:type="page"/>
      </w:r>
    </w:p>
    <w:p w:rsidR="00057558" w:rsidRPr="00D67A18" w:rsidRDefault="00057558" w:rsidP="007B682B">
      <w:pPr>
        <w:pStyle w:val="2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bookmarkStart w:id="3" w:name="_Toc57409470"/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СПИСОК ЛІТЕРАТУРИ</w:t>
      </w:r>
      <w:bookmarkEnd w:id="3"/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Агаджанян Н. А. Физиология человека / Н. А. Агаджанян, Л. З. Тель, В. И Циркин.  – СП.: СОТИС, 2002. – 583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textAlignment w:val="baseline"/>
        <w:rPr>
          <w:rStyle w:val="af5"/>
          <w:rFonts w:eastAsiaTheme="majorEastAsia"/>
          <w:i w:val="0"/>
          <w:iCs w:val="0"/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Базарнова М. А.  Руководство по клинической лабораторной диагностике в 3х частях. Части 1, 2. / М. А. Базарнова, А. И. Воробьев, З. С. Баргаган.</w:t>
      </w:r>
      <w:r w:rsidRPr="00D67A18">
        <w:rPr>
          <w:color w:val="000000" w:themeColor="text1"/>
          <w:sz w:val="28"/>
          <w:szCs w:val="28"/>
          <w:lang w:val="uk-UA"/>
        </w:rPr>
        <w:t>–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К.: Вища школа, 1991. </w:t>
      </w:r>
      <w:r w:rsidRPr="00D67A18">
        <w:rPr>
          <w:color w:val="000000" w:themeColor="text1"/>
          <w:sz w:val="28"/>
          <w:szCs w:val="28"/>
          <w:lang w:val="uk-UA"/>
        </w:rPr>
        <w:t>–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615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textAlignment w:val="baseline"/>
        <w:rPr>
          <w:rStyle w:val="af5"/>
          <w:rFonts w:eastAsiaTheme="majorEastAsia"/>
          <w:i w:val="0"/>
          <w:iCs w:val="0"/>
          <w:color w:val="000000" w:themeColor="text1"/>
          <w:sz w:val="28"/>
          <w:szCs w:val="28"/>
          <w:lang w:val="uk-UA"/>
        </w:rPr>
      </w:pP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Верещагин Н. В. Принципы диагностики и лечения больных с острым нарушением мозгового кровообращения / Н. В. Верещагин, З. А. Суслина, М. А. Пирадов.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М.: Гиппократ, 2000.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320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Виберс Д. О. Руководство по цереброваскулярным заболеваниям / Д. О. Виберс, В. Л. Фейгин, Р. Д. Браун.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М.: Гиппократ, 1999.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672 с.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Виленский Б. С. Инсульт – современное состояние проблемы / Б. С.  Виленский // Неврологический журнал. – 2008. – № 2. – С. 4– 10.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Виничук С. М. Неврология / С. М. Виничук.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К.: Здоровье, 2010.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680с.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Виничук С. М., Черенько Т.М. Ишемический инсульт: эволюция взглядов на стратегию лечения / С. М. Виничук, Т. М. Черенько.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К., 2003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120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Волошин П. В. Профилактика мозгового инсульта / П. В. Волошин, Т. С. Мищенко // Здоров'я України.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2002.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№ 5.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С. 14.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Гусев Е. И. Ишемический инсульт. Современное состояние проблемы  / Е. И. Гусев, М. Ю. Мартынов, П. Р. Камчатнов // </w:t>
      </w:r>
      <w:r w:rsidRPr="00D67A18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lang w:val="uk-UA" w:eastAsia="ru-RU"/>
        </w:rPr>
        <w:t>Доктор Ру.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2013.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5(83).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 7-12.</w:t>
      </w:r>
    </w:p>
    <w:p w:rsidR="008C35CE" w:rsidRPr="00D67A18" w:rsidRDefault="000B798F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Гусев</w:t>
      </w:r>
      <w:r w:rsidR="008C35CE" w:rsidRPr="00D67A18">
        <w:rPr>
          <w:color w:val="000000" w:themeColor="text1"/>
          <w:sz w:val="28"/>
          <w:szCs w:val="28"/>
          <w:lang w:val="uk-UA"/>
        </w:rPr>
        <w:t xml:space="preserve"> Е. И. Неврология. Национальное руководство / под ред. Е. И. Гусева, А. Н. Коновалова, В. И. Скворцовой, А. Б. Гехт. –  М.: ГЭОТАР-Медиа, 2009. –  1040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hd w:val="clear" w:color="auto" w:fill="FFFFFF"/>
        <w:tabs>
          <w:tab w:val="left" w:pos="1560"/>
        </w:tabs>
        <w:spacing w:before="0" w:beforeAutospacing="0" w:after="0" w:afterAutospacing="0" w:line="360" w:lineRule="auto"/>
        <w:ind w:left="426" w:hanging="426"/>
        <w:jc w:val="both"/>
        <w:textAlignment w:val="baseline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Дамулин И. В. Нарушение кровообращения в головном и спинном мозге. В кн.: Болезни нервной системы. Руководство для врачей, 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Т.1, гл. 3 / </w:t>
      </w:r>
      <w:r w:rsidRPr="00D67A18">
        <w:rPr>
          <w:color w:val="000000" w:themeColor="text1"/>
          <w:sz w:val="28"/>
          <w:szCs w:val="28"/>
          <w:lang w:val="uk-UA"/>
        </w:rPr>
        <w:t>И. В. Дамулин, В. А. Парфенов, А. А. Скоромец, Н. Н. Яхно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. – М.: Медицина, 2001. – С. 231-302.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Дашко В. Л. Практическая електрография / В. Л. Дашко. – М.: Медицина, 1999. – 417 с.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Дащицин В. Л. Клинический анализ електрокардиограмы. – М.: Медицина. – 1982. – 364 с.</w:t>
      </w:r>
    </w:p>
    <w:p w:rsidR="008C35CE" w:rsidRPr="00D67A18" w:rsidRDefault="008C35CE" w:rsidP="00710E5F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Евзельман М. А. </w:t>
      </w:r>
      <w:r w:rsidRPr="00D67A1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Прогностические маркеры исхода ишемического инсульта /</w:t>
      </w:r>
      <w:r w:rsidRPr="00D67A18">
        <w:rPr>
          <w:rStyle w:val="af2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 xml:space="preserve">М. А. Евзельман, А. Д. Орлова, Я. Б. Лашхия, Е. В. Митяева, П. Р. Камчатнов //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Журнал неврологии и психиатрии им. С. С. Корсакова. Спецвыпуски.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2018. 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118(12).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 С.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50-53</w:t>
      </w:r>
      <w:r w:rsidR="00710E5F"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710E5F" w:rsidRPr="00D67A18" w:rsidRDefault="00710E5F" w:rsidP="00710E5F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</w:rPr>
        <w:t xml:space="preserve">Ильин В. Н Ритмокардиографические методы оценки функционального состояния организма человека / В. Н. Ильин, Л. М. Батырбекова, М. Х. Курданова, Х. А. Курданов. – М. : Илекса ; Ставрополь : Сервис-школа, 2003. – 80 с. 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Клейноцкая А.Ю. Кардиологическая патология в структуре острого нарушения мозгового кровообращения / А.Ю. Клейноцкая // Курортные ведомости. – 2007. –Т. 6(45). – С. 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26–32.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Косивцова О. В. Ведение пациентов в восстановительном периоде инсульта / О. В. Косивцова // Неврология, нейропсихиатрия, психосоматика. – 2014. – № (4). – С. 101–105.</w:t>
      </w:r>
    </w:p>
    <w:p w:rsidR="008C35CE" w:rsidRPr="00D67A18" w:rsidRDefault="008C35CE" w:rsidP="00185E35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Кушаковский М. С. Метаболические болезни сердца / М. С. Кушаковский. - СПб Фолиант, 2000. </w:t>
      </w:r>
      <w:r w:rsidR="00185E35" w:rsidRPr="00D67A18">
        <w:rPr>
          <w:color w:val="000000" w:themeColor="text1"/>
          <w:sz w:val="28"/>
          <w:szCs w:val="28"/>
          <w:lang w:val="uk-UA"/>
        </w:rPr>
        <w:t>–</w:t>
      </w:r>
      <w:r w:rsidRPr="00D67A18">
        <w:rPr>
          <w:color w:val="000000" w:themeColor="text1"/>
          <w:sz w:val="28"/>
          <w:szCs w:val="28"/>
          <w:lang w:val="uk-UA"/>
        </w:rPr>
        <w:t xml:space="preserve"> 128 c.</w:t>
      </w:r>
    </w:p>
    <w:p w:rsidR="008C35CE" w:rsidRPr="00D67A18" w:rsidRDefault="008C35CE" w:rsidP="00B1628F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Мартынов Ю. С. Церебро-кардиальный синдром при ишемическом инсульте / Ю. С. Мартынов, В. В. Бернадский, Н. А. Шувахина и др. // Журнал невропатологии и психиатрии. </w:t>
      </w:r>
      <w:r w:rsidR="00B1628F" w:rsidRPr="00D67A18">
        <w:rPr>
          <w:color w:val="000000" w:themeColor="text1"/>
          <w:sz w:val="28"/>
          <w:szCs w:val="28"/>
          <w:lang w:val="uk-UA"/>
        </w:rPr>
        <w:t>–</w:t>
      </w:r>
      <w:r w:rsidRPr="00D67A18">
        <w:rPr>
          <w:color w:val="000000" w:themeColor="text1"/>
          <w:sz w:val="28"/>
          <w:szCs w:val="28"/>
          <w:lang w:val="uk-UA"/>
        </w:rPr>
        <w:t xml:space="preserve"> 2003</w:t>
      </w:r>
      <w:r w:rsidR="00B1628F" w:rsidRPr="00D67A18">
        <w:rPr>
          <w:color w:val="000000" w:themeColor="text1"/>
          <w:sz w:val="28"/>
          <w:szCs w:val="28"/>
          <w:lang w:val="uk-UA"/>
        </w:rPr>
        <w:t>. – №</w:t>
      </w:r>
      <w:r w:rsidRPr="00D67A18">
        <w:rPr>
          <w:color w:val="000000" w:themeColor="text1"/>
          <w:sz w:val="28"/>
          <w:szCs w:val="28"/>
          <w:lang w:val="uk-UA"/>
        </w:rPr>
        <w:t xml:space="preserve"> 9</w:t>
      </w:r>
      <w:r w:rsidR="00B1628F" w:rsidRPr="00D67A18">
        <w:rPr>
          <w:color w:val="000000" w:themeColor="text1"/>
          <w:sz w:val="28"/>
          <w:szCs w:val="28"/>
          <w:lang w:val="uk-UA"/>
        </w:rPr>
        <w:t>. – С.</w:t>
      </w:r>
      <w:r w:rsidRPr="00D67A18">
        <w:rPr>
          <w:color w:val="000000" w:themeColor="text1"/>
          <w:sz w:val="28"/>
          <w:szCs w:val="28"/>
          <w:lang w:val="uk-UA"/>
        </w:rPr>
        <w:t xml:space="preserve"> 167.  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Мартынов Ю.</w:t>
      </w:r>
      <w:r w:rsidR="00B1628F" w:rsidRPr="00D67A18">
        <w:rPr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color w:val="000000" w:themeColor="text1"/>
          <w:sz w:val="28"/>
          <w:szCs w:val="28"/>
          <w:lang w:val="uk-UA"/>
        </w:rPr>
        <w:t>С. Цереброкардиальные нарушения при геморрагическом инсульте</w:t>
      </w:r>
      <w:r w:rsidR="00B1628F" w:rsidRPr="00D67A18">
        <w:rPr>
          <w:color w:val="000000" w:themeColor="text1"/>
          <w:sz w:val="28"/>
          <w:szCs w:val="28"/>
          <w:lang w:val="uk-UA"/>
        </w:rPr>
        <w:t xml:space="preserve"> / Ю. С. Мартынов, О К. Кумар, Н. А. Шувахина</w:t>
      </w:r>
      <w:r w:rsidRPr="00D67A18">
        <w:rPr>
          <w:color w:val="000000" w:themeColor="text1"/>
          <w:sz w:val="28"/>
          <w:szCs w:val="28"/>
          <w:lang w:val="uk-UA"/>
        </w:rPr>
        <w:t>. // Терапевтический архив</w:t>
      </w:r>
      <w:r w:rsidR="00B1628F" w:rsidRPr="00D67A18">
        <w:rPr>
          <w:color w:val="000000" w:themeColor="text1"/>
          <w:sz w:val="28"/>
          <w:szCs w:val="28"/>
          <w:lang w:val="uk-UA"/>
        </w:rPr>
        <w:t>.</w:t>
      </w:r>
      <w:r w:rsidRPr="00D67A18">
        <w:rPr>
          <w:color w:val="000000" w:themeColor="text1"/>
          <w:sz w:val="28"/>
          <w:szCs w:val="28"/>
          <w:lang w:val="uk-UA"/>
        </w:rPr>
        <w:t xml:space="preserve"> – 2004</w:t>
      </w:r>
      <w:r w:rsidR="00B1628F" w:rsidRPr="00D67A18">
        <w:rPr>
          <w:color w:val="000000" w:themeColor="text1"/>
          <w:sz w:val="28"/>
          <w:szCs w:val="28"/>
          <w:lang w:val="uk-UA"/>
        </w:rPr>
        <w:t>.</w:t>
      </w:r>
      <w:r w:rsidRPr="00D67A18">
        <w:rPr>
          <w:color w:val="000000" w:themeColor="text1"/>
          <w:sz w:val="28"/>
          <w:szCs w:val="28"/>
          <w:lang w:val="uk-UA"/>
        </w:rPr>
        <w:t xml:space="preserve"> –Т. 76(2). – С. 44-49. 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Махкамов К. Э. Нейроэндоскопия в хирургии геморрагического инсульта / К. Э. Махкамов, Ж. М. Кузибае // Вопросы нейрохирургии им. Н.Н. Бурденко. –  2010. –  № 1. –  С. 16-21.</w:t>
      </w:r>
    </w:p>
    <w:p w:rsidR="00DF2C46" w:rsidRPr="00D67A18" w:rsidRDefault="008C35CE" w:rsidP="00DF2C46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aps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Мищенко Т. С. Эпидемиология неврологических заболеваний в Украине  / Т. С. Мищенко // НейроNEWS.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2008.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№ 3.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76-77.</w:t>
      </w:r>
    </w:p>
    <w:p w:rsidR="00DF2C46" w:rsidRPr="00D67A18" w:rsidRDefault="00BC1D48" w:rsidP="00DF2C46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aps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Мищенко Т. С. Поздние осложнения мозгового инсульта /Т. С. Мищенко,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 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 Н. Мищенко,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 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И. В. Здесенко //</w:t>
      </w:r>
      <w:r w:rsidR="00DF2C46" w:rsidRPr="00D67A18">
        <w:rPr>
          <w:rFonts w:ascii="Times New Roman" w:hAnsi="Times New Roman" w:cs="Times New Roman"/>
          <w:caps/>
          <w:color w:val="000000" w:themeColor="text1"/>
          <w:sz w:val="28"/>
          <w:szCs w:val="28"/>
          <w:lang w:val="uk-UA"/>
        </w:rPr>
        <w:t xml:space="preserve"> </w:t>
      </w:r>
      <w:r w:rsidR="00DF2C46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Газета Новости медицины и фармации</w:t>
      </w:r>
      <w:r w:rsidR="00DF2C46" w:rsidRPr="00D67A18">
        <w:rPr>
          <w:rFonts w:ascii="Times New Roman" w:hAnsi="Times New Roman" w:cs="Times New Roman"/>
          <w:caps/>
          <w:color w:val="000000" w:themeColor="text1"/>
          <w:sz w:val="28"/>
          <w:szCs w:val="28"/>
          <w:lang w:val="uk-UA"/>
        </w:rPr>
        <w:t xml:space="preserve">. – 2012. – 19 (436) </w:t>
      </w:r>
    </w:p>
    <w:p w:rsidR="008C35CE" w:rsidRPr="00D67A18" w:rsidRDefault="008C35CE" w:rsidP="00E07EB2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5" w:hanging="425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bCs/>
          <w:color w:val="000000" w:themeColor="text1"/>
          <w:sz w:val="28"/>
          <w:szCs w:val="28"/>
          <w:lang w:val="uk-UA"/>
        </w:rPr>
        <w:t xml:space="preserve">Наказ МОЗ  України </w:t>
      </w:r>
      <w:r w:rsidRPr="00D67A18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03.08.2012  № 602</w:t>
      </w:r>
      <w:r w:rsidRPr="00D67A18">
        <w:rPr>
          <w:bCs/>
          <w:color w:val="000000" w:themeColor="text1"/>
          <w:sz w:val="28"/>
          <w:szCs w:val="28"/>
          <w:lang w:val="uk-UA"/>
        </w:rPr>
        <w:t>. «</w:t>
      </w:r>
      <w:r w:rsidRPr="00D67A18">
        <w:rPr>
          <w:bCs/>
          <w:color w:val="000000" w:themeColor="text1"/>
          <w:sz w:val="28"/>
          <w:szCs w:val="28"/>
          <w:shd w:val="clear" w:color="auto" w:fill="FFFFFF"/>
          <w:lang w:val="uk-UA"/>
        </w:rPr>
        <w:t>Про затвердження та впровадження медико-технологічних документів зі стандартизації медичної допомоги при ішемічному інсульті»</w:t>
      </w:r>
      <w:r w:rsidRPr="00D67A18">
        <w:rPr>
          <w:color w:val="000000" w:themeColor="text1"/>
          <w:sz w:val="28"/>
          <w:szCs w:val="28"/>
          <w:lang w:val="uk-UA"/>
        </w:rPr>
        <w:t xml:space="preserve"> </w:t>
      </w:r>
      <w:hyperlink r:id="rId10" w:anchor="Text" w:history="1">
        <w:r w:rsidRPr="00D67A18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https://zakon.rada.gov.ua/rada/show/v0602282-12#Text</w:t>
        </w:r>
      </w:hyperlink>
    </w:p>
    <w:p w:rsidR="008C35CE" w:rsidRPr="00D67A18" w:rsidRDefault="008C35CE" w:rsidP="00E07EB2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5" w:right="450" w:hanging="425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67A18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uk-UA" w:eastAsia="ru-RU"/>
        </w:rPr>
        <w:t>Наказ МОЗ України 17.04.2014  № 275. «Про затвердження та впровадження медико-технологічних документів зі стандартизації медичної допомоги при геморагічному інсульті» https://zakon.rada.gov.ua/rada/show/v0275282-14#Text</w:t>
      </w:r>
    </w:p>
    <w:p w:rsidR="008C35CE" w:rsidRPr="00D67A18" w:rsidRDefault="008C35CE" w:rsidP="00E07EB2">
      <w:pPr>
        <w:pStyle w:val="a4"/>
        <w:numPr>
          <w:ilvl w:val="0"/>
          <w:numId w:val="25"/>
        </w:numPr>
        <w:spacing w:after="0" w:line="360" w:lineRule="auto"/>
        <w:ind w:left="425" w:hanging="425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Орлов В. Н. Руководство по электрокардиографии / В. Н. Орлов.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М.: МИА, 2006. </w:t>
      </w:r>
      <w:r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–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526 с.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Парфенов В. А. Ишемический инсульт /  В. А. Парфенов, Д. Р. Хасанова. – Москва: МИА, 2012. – 288 c.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Пирадов М. А. Геморрагический инсульт: новые подходы к диагностике и лечению / М. А. Пирадов // Атмосфера. Нервные болезни. – 2005. – №1. – С. 17-19.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Пирадов М. А. </w:t>
      </w:r>
      <w:hyperlink r:id="rId11" w:history="1">
        <w:r w:rsidRPr="00D67A18">
          <w:rPr>
            <w:rStyle w:val="a3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uk-UA"/>
          </w:rPr>
          <w:t>Инсульт: пошаговая инструкция. Руководство для врачей 2-е изд.</w:t>
        </w:r>
      </w:hyperlink>
      <w:r w:rsidRPr="00D67A18">
        <w:rPr>
          <w:rStyle w:val="a3"/>
          <w:rFonts w:ascii="Times New Roman" w:hAnsi="Times New Roman" w:cs="Times New Roman"/>
          <w:color w:val="000000" w:themeColor="text1"/>
          <w:sz w:val="28"/>
          <w:szCs w:val="28"/>
          <w:u w:val="none"/>
          <w:lang w:val="uk-UA"/>
        </w:rPr>
        <w:t xml:space="preserve"> /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 А. Пирадов, М. Ю. Максимова, М. М. Танашян. – М.: ГЭОТАР-Медиа Москва, 2020. –288 с.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Плохинский Н. А. Алгоритмы биометрии / Н. А. Плохинский. – М.: МГУ, 1980. – 174 с.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Помников В. Г. Актуальные вопросы лечения и профилактики инсульта /  В. Г. Помников, В. А. Сорокоумов // Медицинский Совет. – 2010. – № 3-4. – С. 45- 50.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Прображенский А. В. Гипертрофия левого желудочка при гипертонической болезни. Часть II. Прогностическое значение гипертрофии левого желудочка / А. В. Прображенский и др. // Кардиология.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2003.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№ 10.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С. 99–104.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lastRenderedPageBreak/>
        <w:t xml:space="preserve">Прображенский А. В. Гипертрофия левого желудочка при гипертонической болезни. Часть II. Прогностическое значение гипертрофии левого желудочка / А. В. Прображенский [и др.] // Кардиология.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2003.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№ 11. </w:t>
      </w:r>
      <w:r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С. 98–101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Скворцова В. И. Геморрагический инсульт / В. И. Скворцова, В. В. Крылов. –  М.: Изд-во ГЭОТАР-Медиа, 2005. –  160 с.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Скворцова В. И. </w:t>
      </w:r>
      <w:r w:rsidRPr="00D67A18">
        <w:rPr>
          <w:rStyle w:val="af5"/>
          <w:rFonts w:eastAsiaTheme="majorEastAsia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Ишемический инсульт / 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В. И. Скворцова, </w:t>
      </w:r>
      <w:r w:rsidRPr="00D67A18">
        <w:rPr>
          <w:rStyle w:val="af5"/>
          <w:rFonts w:eastAsiaTheme="majorEastAsia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М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. </w:t>
      </w:r>
      <w:r w:rsidRPr="00D67A18">
        <w:rPr>
          <w:rStyle w:val="af5"/>
          <w:rFonts w:eastAsiaTheme="majorEastAsia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А  Евзельман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  </w:t>
      </w:r>
      <w:r w:rsidRPr="00D67A18">
        <w:rPr>
          <w:color w:val="000000" w:themeColor="text1"/>
          <w:spacing w:val="2"/>
          <w:sz w:val="28"/>
          <w:szCs w:val="28"/>
          <w:lang w:val="uk-UA"/>
        </w:rPr>
        <w:t>–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 </w:t>
      </w:r>
      <w:r w:rsidRPr="00D67A18">
        <w:rPr>
          <w:rStyle w:val="af5"/>
          <w:rFonts w:eastAsiaTheme="majorEastAsia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 xml:space="preserve">Орел: 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Издательство А. Воробьева, </w:t>
      </w:r>
      <w:r w:rsidRPr="00D67A18">
        <w:rPr>
          <w:rStyle w:val="af5"/>
          <w:rFonts w:eastAsiaTheme="majorEastAsia"/>
          <w:bCs/>
          <w:i w:val="0"/>
          <w:color w:val="000000" w:themeColor="text1"/>
          <w:sz w:val="28"/>
          <w:szCs w:val="28"/>
          <w:shd w:val="clear" w:color="auto" w:fill="FFFFFF"/>
          <w:lang w:val="uk-UA"/>
        </w:rPr>
        <w:t>2006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. – 292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textAlignment w:val="baseline"/>
        <w:rPr>
          <w:rStyle w:val="af5"/>
          <w:rFonts w:eastAsiaTheme="majorEastAsia"/>
          <w:i w:val="0"/>
          <w:iCs w:val="0"/>
          <w:color w:val="000000" w:themeColor="text1"/>
          <w:spacing w:val="2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 xml:space="preserve">Соловьева Э. Ю. Антитромбоцитарная терапия как компонент первичной и вторичной профилактики ишемического инсульта / Э. Ю. Соловьева, Э. Д. Джутова, Е. А. Тютюмова //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Медицинский совет. – 2016. – № 8. – С. 24-33.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textAlignment w:val="baseline"/>
        <w:rPr>
          <w:color w:val="000000" w:themeColor="text1"/>
          <w:spacing w:val="2"/>
          <w:sz w:val="28"/>
          <w:szCs w:val="28"/>
          <w:lang w:val="uk-UA"/>
        </w:rPr>
      </w:pP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Суслина З. А. </w:t>
      </w:r>
      <w:r w:rsidRPr="00D67A18">
        <w:rPr>
          <w:color w:val="000000" w:themeColor="text1"/>
          <w:spacing w:val="2"/>
          <w:sz w:val="28"/>
          <w:szCs w:val="28"/>
          <w:lang w:val="uk-UA"/>
        </w:rPr>
        <w:t xml:space="preserve">Нарушения мозгового кровообращения. Диагностика, лечение, профилактика /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З. А. Суслина, Т.</w:t>
      </w:r>
      <w:r w:rsidRPr="00D67A18">
        <w:rPr>
          <w:color w:val="000000" w:themeColor="text1"/>
          <w:sz w:val="28"/>
          <w:szCs w:val="28"/>
          <w:lang w:val="uk-UA"/>
        </w:rPr>
        <w:t> 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С. Гулевская, М. Ю. Максимова, В. А. Моргунов</w:t>
      </w:r>
      <w:r w:rsidRPr="00D67A18">
        <w:rPr>
          <w:color w:val="000000" w:themeColor="text1"/>
          <w:spacing w:val="2"/>
          <w:sz w:val="28"/>
          <w:szCs w:val="28"/>
          <w:lang w:val="uk-UA"/>
        </w:rPr>
        <w:t xml:space="preserve">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color w:val="000000" w:themeColor="text1"/>
          <w:spacing w:val="2"/>
          <w:sz w:val="28"/>
          <w:szCs w:val="28"/>
          <w:lang w:val="uk-UA"/>
        </w:rPr>
        <w:t>М.: Мед Пресс-Информ, 2016. – 536 с.</w:t>
      </w:r>
    </w:p>
    <w:p w:rsidR="008C35CE" w:rsidRPr="00D67A18" w:rsidRDefault="008C35CE" w:rsidP="008C35CE">
      <w:pPr>
        <w:pStyle w:val="af6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ind w:left="426" w:hanging="426"/>
        <w:jc w:val="both"/>
        <w:textAlignment w:val="baseline"/>
        <w:rPr>
          <w:rStyle w:val="af5"/>
          <w:rFonts w:eastAsiaTheme="majorEastAsia"/>
          <w:i w:val="0"/>
          <w:iCs w:val="0"/>
          <w:color w:val="000000" w:themeColor="text1"/>
          <w:spacing w:val="2"/>
          <w:sz w:val="28"/>
          <w:szCs w:val="28"/>
          <w:lang w:val="uk-UA"/>
        </w:rPr>
      </w:pP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>Суслина З. А. Подтипы ишемических нарушений мозгового кровообращения: диагностика и лечение / З. А.Суслина, Н.</w:t>
      </w:r>
      <w:r w:rsidRPr="00D67A18">
        <w:rPr>
          <w:color w:val="000000" w:themeColor="text1"/>
          <w:sz w:val="28"/>
          <w:szCs w:val="28"/>
          <w:lang w:val="uk-UA"/>
        </w:rPr>
        <w:t> 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В. Верещагин, М. А. Пирадов // ConsiliumMedicum.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2001.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Т. 3. </w:t>
      </w:r>
      <w:r w:rsidRPr="00D67A18">
        <w:rPr>
          <w:color w:val="000000" w:themeColor="text1"/>
          <w:sz w:val="28"/>
          <w:szCs w:val="28"/>
          <w:lang w:val="uk-UA"/>
        </w:rPr>
        <w:t>–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 № 5.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Pr="00D67A18">
        <w:rPr>
          <w:rStyle w:val="af5"/>
          <w:rFonts w:eastAsiaTheme="majorEastAsia"/>
          <w:i w:val="0"/>
          <w:color w:val="000000" w:themeColor="text1"/>
          <w:sz w:val="28"/>
          <w:szCs w:val="28"/>
          <w:bdr w:val="none" w:sz="0" w:space="0" w:color="auto" w:frame="1"/>
          <w:lang w:val="uk-UA"/>
        </w:rPr>
        <w:t xml:space="preserve">С. 26-26. 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bookmarkStart w:id="4" w:name="n2"/>
      <w:bookmarkEnd w:id="4"/>
      <w:r w:rsidRPr="00D67A18">
        <w:rPr>
          <w:color w:val="000000" w:themeColor="text1"/>
          <w:sz w:val="28"/>
          <w:szCs w:val="28"/>
          <w:lang w:val="uk-UA"/>
        </w:rPr>
        <w:t>Суслина З.А., Варакин Ю.Я., Верещагин Н.В. Сосудистые заболевания головного мозга / З. А. Суслина., Ю. Я.</w:t>
      </w:r>
      <w:r w:rsidR="000F5434">
        <w:rPr>
          <w:color w:val="000000" w:themeColor="text1"/>
          <w:sz w:val="28"/>
          <w:szCs w:val="28"/>
          <w:lang w:val="uk-UA"/>
        </w:rPr>
        <w:t xml:space="preserve"> Варакин, Н. В. Верещагин – М.: </w:t>
      </w:r>
      <w:r w:rsidRPr="00D67A18">
        <w:rPr>
          <w:color w:val="000000" w:themeColor="text1"/>
          <w:sz w:val="28"/>
          <w:szCs w:val="28"/>
          <w:lang w:val="uk-UA"/>
        </w:rPr>
        <w:t>«МЕД-пресс-информ», 2006. – 254 с.</w:t>
      </w:r>
    </w:p>
    <w:p w:rsidR="008C35CE" w:rsidRPr="00D67A18" w:rsidRDefault="000F5434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bookmarkStart w:id="5" w:name="n3"/>
      <w:bookmarkEnd w:id="5"/>
      <w:r>
        <w:rPr>
          <w:color w:val="000000" w:themeColor="text1"/>
          <w:sz w:val="28"/>
          <w:szCs w:val="28"/>
          <w:lang w:val="uk-UA"/>
        </w:rPr>
        <w:t>Суслина</w:t>
      </w:r>
      <w:r w:rsidR="008C35CE" w:rsidRPr="00D67A18">
        <w:rPr>
          <w:color w:val="000000" w:themeColor="text1"/>
          <w:sz w:val="28"/>
          <w:szCs w:val="28"/>
          <w:lang w:val="uk-UA"/>
        </w:rPr>
        <w:t xml:space="preserve"> З. А. Инсульт: диагностика, лечение, профилактика Руководство для врачей. / Под ред. З.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8C35CE" w:rsidRPr="00D67A18">
        <w:rPr>
          <w:color w:val="000000" w:themeColor="text1"/>
          <w:sz w:val="28"/>
          <w:szCs w:val="28"/>
          <w:lang w:val="uk-UA"/>
        </w:rPr>
        <w:t>А.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8C35CE" w:rsidRPr="00D67A18">
        <w:rPr>
          <w:color w:val="000000" w:themeColor="text1"/>
          <w:sz w:val="28"/>
          <w:szCs w:val="28"/>
          <w:lang w:val="uk-UA"/>
        </w:rPr>
        <w:t>Суслиной, М.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8C35CE" w:rsidRPr="00D67A18">
        <w:rPr>
          <w:color w:val="000000" w:themeColor="text1"/>
          <w:sz w:val="28"/>
          <w:szCs w:val="28"/>
          <w:lang w:val="uk-UA"/>
        </w:rPr>
        <w:t>А.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="008C35CE" w:rsidRPr="00D67A18">
        <w:rPr>
          <w:color w:val="000000" w:themeColor="text1"/>
          <w:sz w:val="28"/>
          <w:szCs w:val="28"/>
          <w:lang w:val="uk-UA"/>
        </w:rPr>
        <w:t>Пирадова. – М.</w:t>
      </w:r>
      <w:r>
        <w:rPr>
          <w:color w:val="000000" w:themeColor="text1"/>
          <w:sz w:val="28"/>
          <w:szCs w:val="28"/>
        </w:rPr>
        <w:t>:</w:t>
      </w:r>
      <w:r w:rsidR="008C35CE" w:rsidRPr="00D67A18">
        <w:rPr>
          <w:color w:val="000000" w:themeColor="text1"/>
          <w:sz w:val="28"/>
          <w:szCs w:val="28"/>
          <w:lang w:val="uk-UA"/>
        </w:rPr>
        <w:t xml:space="preserve"> «МЕД-прессинформ», 2008. – 288 с.</w:t>
      </w:r>
    </w:p>
    <w:p w:rsidR="008C35CE" w:rsidRPr="00D67A18" w:rsidRDefault="00143EB7" w:rsidP="008C35CE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hyperlink r:id="rId12" w:history="1">
        <w:bookmarkStart w:id="6" w:name="_Toc52129299"/>
        <w:r w:rsidR="008C35CE" w:rsidRPr="00D67A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Фокин</w:t>
        </w:r>
      </w:hyperlink>
      <w:r w:rsidR="008C35C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</w:t>
      </w:r>
      <w:r w:rsidR="008C35CE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8C35C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8C35CE"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 xml:space="preserve">МРТ в диагностике ишемического инсульта / </w:t>
      </w:r>
      <w:r w:rsidR="008C35C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В. </w:t>
      </w:r>
      <w:r w:rsidR="008C35CE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А</w:t>
      </w:r>
      <w:r w:rsidR="008C35C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hyperlink r:id="rId13" w:history="1">
        <w:r w:rsidR="008C35CE" w:rsidRPr="00D67A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Фокин</w:t>
        </w:r>
      </w:hyperlink>
      <w:r w:rsidR="008C35CE" w:rsidRPr="00D67A1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, С. Н. Янишевский, А .Г</w:t>
      </w:r>
      <w:r w:rsidR="008C35CE"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hyperlink r:id="rId14" w:history="1">
        <w:r w:rsidR="008C35CE" w:rsidRPr="00D67A18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ru-RU"/>
          </w:rPr>
          <w:t>Труфанов</w:t>
        </w:r>
      </w:hyperlink>
      <w:r w:rsidR="008C35CE" w:rsidRPr="00D67A18">
        <w:rPr>
          <w:rFonts w:ascii="Times New Roman" w:hAnsi="Times New Roman" w:cs="Times New Roman"/>
          <w:color w:val="000000" w:themeColor="text1"/>
          <w:spacing w:val="2"/>
          <w:sz w:val="28"/>
          <w:szCs w:val="28"/>
          <w:lang w:val="uk-UA"/>
        </w:rPr>
        <w:t>. – СПб.: ЭЛБИ-СПб, 2012. – 63 с.</w:t>
      </w:r>
      <w:bookmarkEnd w:id="6"/>
    </w:p>
    <w:p w:rsidR="00996FBB" w:rsidRPr="00D67A18" w:rsidRDefault="00996FBB" w:rsidP="00996FBB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color w:val="000000" w:themeColor="text1"/>
          <w:sz w:val="40"/>
          <w:szCs w:val="28"/>
          <w:lang w:val="uk-UA" w:eastAsia="ru-RU"/>
        </w:rPr>
      </w:pPr>
      <w:r w:rsidRPr="00D67A18">
        <w:rPr>
          <w:rStyle w:val="af5"/>
          <w:rFonts w:ascii="Times New Roman" w:hAnsi="Times New Roman" w:cs="Times New Roman"/>
          <w:i w:val="0"/>
          <w:color w:val="000000" w:themeColor="text1"/>
          <w:sz w:val="28"/>
          <w:szCs w:val="21"/>
          <w:bdr w:val="none" w:sz="0" w:space="0" w:color="auto" w:frame="1"/>
          <w:shd w:val="clear" w:color="auto" w:fill="FFFFFF"/>
        </w:rPr>
        <w:t>Циммерман Ф</w:t>
      </w:r>
      <w:r w:rsidRPr="00D67A18">
        <w:rPr>
          <w:rStyle w:val="af5"/>
          <w:rFonts w:ascii="Times New Roman" w:hAnsi="Times New Roman" w:cs="Times New Roman"/>
          <w:color w:val="000000" w:themeColor="text1"/>
          <w:sz w:val="28"/>
          <w:szCs w:val="21"/>
          <w:bdr w:val="none" w:sz="0" w:space="0" w:color="auto" w:frame="1"/>
          <w:shd w:val="clear" w:color="auto" w:fill="FFFFFF"/>
        </w:rPr>
        <w:t>.</w:t>
      </w:r>
      <w:r w:rsidRPr="00D67A18">
        <w:rPr>
          <w:rFonts w:ascii="Times New Roman" w:hAnsi="Times New Roman" w:cs="Times New Roman"/>
          <w:iCs/>
          <w:color w:val="000000" w:themeColor="text1"/>
          <w:sz w:val="28"/>
          <w:szCs w:val="21"/>
          <w:shd w:val="clear" w:color="auto" w:fill="FFFFFF"/>
        </w:rPr>
        <w:t xml:space="preserve"> Клиническая электрокардиография. – </w:t>
      </w:r>
      <w:r w:rsidRPr="00D67A18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 xml:space="preserve">М.: </w:t>
      </w:r>
      <w:r w:rsidRPr="00D67A18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Бином</w:t>
      </w:r>
      <w:r w:rsidRPr="00D67A18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,</w:t>
      </w:r>
      <w:r w:rsidRPr="00D67A18">
        <w:rPr>
          <w:rFonts w:ascii="Times New Roman" w:hAnsi="Times New Roman" w:cs="Times New Roman"/>
          <w:iCs/>
          <w:color w:val="000000" w:themeColor="text1"/>
          <w:sz w:val="28"/>
          <w:szCs w:val="21"/>
          <w:shd w:val="clear" w:color="auto" w:fill="FFFFFF"/>
        </w:rPr>
        <w:t xml:space="preserve"> 2016. – 424 с.</w:t>
      </w:r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rStyle w:val="a3"/>
          <w:color w:val="000000" w:themeColor="text1"/>
          <w:sz w:val="28"/>
          <w:szCs w:val="28"/>
          <w:u w:val="none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lastRenderedPageBreak/>
        <w:t xml:space="preserve">Чернова Е. В. Фактор Виллебранда / Е. В. Чернова // Вестник Северо-Западного государственного медицинского университета им. И.И. Мечникова. – 2018. – Т. 10. – № 4. – С. 73–80. </w:t>
      </w:r>
      <w:hyperlink r:id="rId15" w:history="1">
        <w:r w:rsidRPr="00D67A18">
          <w:rPr>
            <w:rStyle w:val="a3"/>
            <w:color w:val="000000" w:themeColor="text1"/>
            <w:sz w:val="28"/>
            <w:szCs w:val="28"/>
            <w:u w:val="none"/>
            <w:lang w:val="uk-UA"/>
          </w:rPr>
          <w:t>https://doi.org/10.17816/mechnikov201810473-80</w:t>
        </w:r>
      </w:hyperlink>
    </w:p>
    <w:p w:rsidR="008B1C12" w:rsidRPr="00D67A18" w:rsidRDefault="008B1C12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Шаленкова М. А. Зубец U на электрокардиограмме: клиническое значение (обзор) / М. А. Шаленкова, З. Д. Михайлова, М. Я. Ржечицкая // Медицинский Альманах. – 2012. - № 1. – С. 196-200.</w:t>
      </w:r>
    </w:p>
    <w:p w:rsidR="008C35CE" w:rsidRPr="00D67A18" w:rsidRDefault="008C35CE" w:rsidP="008C35CE">
      <w:pPr>
        <w:pStyle w:val="a4"/>
        <w:numPr>
          <w:ilvl w:val="0"/>
          <w:numId w:val="25"/>
        </w:numPr>
        <w:shd w:val="clear" w:color="auto" w:fill="FFFFFF"/>
        <w:spacing w:after="0" w:line="360" w:lineRule="auto"/>
        <w:ind w:left="426" w:hanging="426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bookmarkStart w:id="7" w:name="_Toc52129300"/>
      <w:r w:rsidRPr="00D67A18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Юрковский О. И. Клинические анализы в практике врача / О. И. Юрковский, А. М. Грицюк. – М.: Центр ХГС, 1998. – 115 с.</w:t>
      </w:r>
      <w:bookmarkEnd w:id="7"/>
    </w:p>
    <w:p w:rsidR="008C35CE" w:rsidRPr="00D67A18" w:rsidRDefault="008C35CE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Яриков А. В. Современные хирургические методы лечения геморрагического инсульта // А. В. Яриков, А. В. Балябин, А. В. Морев // Медиаль. – 2016. –  № 1 (18). – С. 91-96.</w:t>
      </w:r>
    </w:p>
    <w:p w:rsidR="00996FBB" w:rsidRPr="00D67A18" w:rsidRDefault="00D67A18" w:rsidP="008C35CE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164C53">
        <w:rPr>
          <w:color w:val="000000" w:themeColor="text1"/>
          <w:sz w:val="28"/>
          <w:szCs w:val="28"/>
          <w:lang w:val="en-US"/>
        </w:rPr>
        <w:t>Bums</w:t>
      </w:r>
      <w:r w:rsidR="00996FBB" w:rsidRPr="00164C53">
        <w:rPr>
          <w:color w:val="000000" w:themeColor="text1"/>
          <w:sz w:val="28"/>
          <w:szCs w:val="28"/>
          <w:lang w:val="en-US"/>
        </w:rPr>
        <w:t xml:space="preserve"> P</w:t>
      </w:r>
      <w:r w:rsidRPr="00164C53">
        <w:rPr>
          <w:color w:val="000000" w:themeColor="text1"/>
          <w:sz w:val="28"/>
          <w:szCs w:val="28"/>
          <w:lang w:val="en-US"/>
        </w:rPr>
        <w:t>.</w:t>
      </w:r>
      <w:r w:rsidR="00996FBB" w:rsidRPr="00164C53">
        <w:rPr>
          <w:color w:val="000000" w:themeColor="text1"/>
          <w:sz w:val="28"/>
          <w:szCs w:val="28"/>
          <w:lang w:val="en-US"/>
        </w:rPr>
        <w:t xml:space="preserve"> N. The Physical principles of Doppler Spectral Analysis  / B</w:t>
      </w:r>
      <w:r w:rsidRPr="00164C53">
        <w:rPr>
          <w:color w:val="000000" w:themeColor="text1"/>
          <w:sz w:val="28"/>
          <w:szCs w:val="28"/>
          <w:lang w:val="en-US"/>
        </w:rPr>
        <w:t>.</w:t>
      </w:r>
      <w:r w:rsidR="00996FBB" w:rsidRPr="00164C53">
        <w:rPr>
          <w:color w:val="000000" w:themeColor="text1"/>
          <w:sz w:val="28"/>
          <w:szCs w:val="28"/>
          <w:lang w:val="en-US"/>
        </w:rPr>
        <w:t xml:space="preserve"> N</w:t>
      </w:r>
      <w:r w:rsidRPr="00164C53">
        <w:rPr>
          <w:color w:val="000000" w:themeColor="text1"/>
          <w:sz w:val="28"/>
          <w:szCs w:val="28"/>
          <w:lang w:val="en-US"/>
        </w:rPr>
        <w:t>.</w:t>
      </w:r>
      <w:r w:rsidR="00996FBB" w:rsidRPr="00164C53">
        <w:rPr>
          <w:color w:val="000000" w:themeColor="text1"/>
          <w:sz w:val="28"/>
          <w:szCs w:val="28"/>
          <w:lang w:val="en-US"/>
        </w:rPr>
        <w:t xml:space="preserve"> Peter // Journal of Clinical Ultrasound. – 1987. – Vol. 15, No. 9. – </w:t>
      </w:r>
      <w:r w:rsidR="00996FBB" w:rsidRPr="00D67A18">
        <w:rPr>
          <w:color w:val="000000" w:themeColor="text1"/>
          <w:sz w:val="28"/>
          <w:szCs w:val="28"/>
        </w:rPr>
        <w:t>Р</w:t>
      </w:r>
      <w:r w:rsidR="00996FBB" w:rsidRPr="00164C53">
        <w:rPr>
          <w:color w:val="000000" w:themeColor="text1"/>
          <w:sz w:val="28"/>
          <w:szCs w:val="28"/>
          <w:lang w:val="en-US"/>
        </w:rPr>
        <w:t xml:space="preserve">. </w:t>
      </w:r>
      <w:r w:rsidRPr="00164C53">
        <w:rPr>
          <w:color w:val="000000" w:themeColor="text1"/>
          <w:sz w:val="28"/>
          <w:szCs w:val="28"/>
          <w:shd w:val="clear" w:color="auto" w:fill="FFFFFF"/>
          <w:lang w:val="en-US"/>
        </w:rPr>
        <w:t>567-590.</w:t>
      </w:r>
    </w:p>
    <w:p w:rsidR="008C35CE" w:rsidRPr="00D67A18" w:rsidRDefault="008C35CE" w:rsidP="00185E35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iCs/>
          <w:color w:val="000000" w:themeColor="text1"/>
          <w:sz w:val="28"/>
          <w:szCs w:val="28"/>
          <w:lang w:val="uk-UA"/>
        </w:rPr>
      </w:pPr>
      <w:r w:rsidRPr="00D67A18">
        <w:rPr>
          <w:iCs/>
          <w:color w:val="000000" w:themeColor="text1"/>
          <w:sz w:val="28"/>
          <w:szCs w:val="28"/>
          <w:shd w:val="clear" w:color="auto" w:fill="FFFFFF"/>
          <w:lang w:val="uk-UA"/>
        </w:rPr>
        <w:t xml:space="preserve">Dirnagl U. </w:t>
      </w:r>
      <w:hyperlink r:id="rId16" w:history="1">
        <w:r w:rsidRPr="00D67A18">
          <w:rPr>
            <w:rStyle w:val="a3"/>
            <w:rFonts w:eastAsiaTheme="majorEastAsia"/>
            <w:color w:val="000000" w:themeColor="text1"/>
            <w:sz w:val="28"/>
            <w:szCs w:val="28"/>
            <w:u w:val="none"/>
            <w:shd w:val="clear" w:color="auto" w:fill="FFFFFF"/>
            <w:lang w:val="uk-UA"/>
          </w:rPr>
          <w:t>Pathobiology of ischaemic stroke: an integrated view</w:t>
        </w:r>
      </w:hyperlink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  / </w:t>
      </w:r>
      <w:r w:rsidRPr="00D67A18">
        <w:rPr>
          <w:iCs/>
          <w:color w:val="000000" w:themeColor="text1"/>
          <w:sz w:val="28"/>
          <w:szCs w:val="28"/>
          <w:shd w:val="clear" w:color="auto" w:fill="FFFFFF"/>
          <w:lang w:val="uk-UA"/>
        </w:rPr>
        <w:t>U. Dirnagl, C. Iadecola, M. A. Moskowitz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 // Trends Neurosci.</w:t>
      </w:r>
      <w:r w:rsidR="00185E35"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D67A18">
        <w:rPr>
          <w:color w:val="000000" w:themeColor="text1"/>
          <w:sz w:val="28"/>
          <w:szCs w:val="28"/>
          <w:lang w:val="uk-UA"/>
        </w:rPr>
        <w:t xml:space="preserve">– </w:t>
      </w:r>
      <w:r w:rsidR="00185E35"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1999. </w:t>
      </w:r>
      <w:r w:rsidRPr="00D67A18">
        <w:rPr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Style w:val="nowrap"/>
          <w:color w:val="000000" w:themeColor="text1"/>
          <w:sz w:val="28"/>
          <w:szCs w:val="28"/>
          <w:shd w:val="clear" w:color="auto" w:fill="FFFFFF"/>
          <w:lang w:val="uk-UA"/>
        </w:rPr>
        <w:t>№ 22</w:t>
      </w:r>
      <w:r w:rsidR="00185E35"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D67A18">
        <w:rPr>
          <w:color w:val="000000" w:themeColor="text1"/>
          <w:sz w:val="28"/>
          <w:szCs w:val="28"/>
          <w:lang w:val="uk-UA"/>
        </w:rPr>
        <w:t xml:space="preserve">–  </w:t>
      </w:r>
      <w:r w:rsidRPr="00D67A18">
        <w:rPr>
          <w:rStyle w:val="nowrap"/>
          <w:color w:val="000000" w:themeColor="text1"/>
          <w:sz w:val="28"/>
          <w:szCs w:val="28"/>
          <w:shd w:val="clear" w:color="auto" w:fill="FFFFFF"/>
          <w:lang w:val="uk-UA"/>
        </w:rPr>
        <w:t>С. 391-397</w:t>
      </w:r>
      <w:r w:rsidRPr="00D67A18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8C35CE" w:rsidRPr="00D67A18" w:rsidRDefault="008C35CE" w:rsidP="00185E35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https://zn.ua/UKRAINE/zabolevaemost-mozgovym-insultom-v-ukraine-sostavlyaet-280-290-sluchaev-na-100-tys-naseleniya-298489_.html</w:t>
      </w:r>
    </w:p>
    <w:p w:rsidR="008C35CE" w:rsidRPr="00D67A18" w:rsidRDefault="00143EB7" w:rsidP="00185E35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</w:pPr>
      <w:hyperlink r:id="rId17" w:tgtFrame="_blank" w:history="1">
        <w:r w:rsidR="008C35CE" w:rsidRPr="00D67A18">
          <w:rPr>
            <w:rStyle w:val="a3"/>
            <w:rFonts w:eastAsiaTheme="majorEastAsia"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uk-UA"/>
          </w:rPr>
          <w:t>Kernan W. N.</w:t>
        </w:r>
      </w:hyperlink>
      <w:r w:rsidR="008C35CE" w:rsidRPr="00D67A18">
        <w:rPr>
          <w:rStyle w:val="a3"/>
          <w:rFonts w:eastAsiaTheme="majorEastAsia"/>
          <w:color w:val="000000" w:themeColor="text1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8C35CE" w:rsidRPr="00D67A18">
        <w:rPr>
          <w:rStyle w:val="disabledresolveddrug"/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Pioglitazone</w:t>
      </w:r>
      <w:r w:rsidR="008C35CE"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 after ischemic stroke or transient ischemic attack / W. N.  </w:t>
      </w:r>
      <w:hyperlink r:id="rId18" w:tgtFrame="_blank" w:history="1">
        <w:r w:rsidR="008C35CE" w:rsidRPr="00D67A18">
          <w:rPr>
            <w:rStyle w:val="a3"/>
            <w:rFonts w:eastAsiaTheme="majorEastAsia"/>
            <w:color w:val="000000" w:themeColor="text1"/>
            <w:spacing w:val="2"/>
            <w:sz w:val="28"/>
            <w:szCs w:val="28"/>
            <w:u w:val="none"/>
            <w:shd w:val="clear" w:color="auto" w:fill="FFFFFF"/>
            <w:lang w:val="uk-UA"/>
          </w:rPr>
          <w:t>Kernan, C. M. Viscoli, K. L. Furie et al</w:t>
        </w:r>
      </w:hyperlink>
      <w:r w:rsidR="008C35CE"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>.// N Engl J Med. – 2016. – Vol. 374 (14). – P. 1321–1331, doi: 10.1056/NEJMoa1506930.</w:t>
      </w:r>
    </w:p>
    <w:p w:rsidR="008C35CE" w:rsidRPr="00D67A18" w:rsidRDefault="008C35CE" w:rsidP="00185E35">
      <w:pPr>
        <w:pStyle w:val="sm"/>
        <w:numPr>
          <w:ilvl w:val="0"/>
          <w:numId w:val="25"/>
        </w:numPr>
        <w:spacing w:before="0" w:beforeAutospacing="0" w:after="0" w:afterAutospacing="0" w:line="360" w:lineRule="auto"/>
        <w:ind w:left="426" w:hanging="426"/>
        <w:jc w:val="both"/>
        <w:rPr>
          <w:color w:val="000000" w:themeColor="text1"/>
          <w:sz w:val="28"/>
          <w:szCs w:val="28"/>
          <w:lang w:val="uk-UA"/>
        </w:rPr>
      </w:pPr>
      <w:r w:rsidRPr="00D67A18">
        <w:rPr>
          <w:color w:val="000000" w:themeColor="text1"/>
          <w:sz w:val="28"/>
          <w:szCs w:val="28"/>
          <w:lang w:val="uk-UA"/>
        </w:rPr>
        <w:t>Tung P. Predictors of neurocardiogenic injury after subarachnoid hemorrhage / P Tung et al.  //</w:t>
      </w:r>
      <w:r w:rsidR="00701F00" w:rsidRPr="00D67A18">
        <w:rPr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color w:val="000000" w:themeColor="text1"/>
          <w:sz w:val="28"/>
          <w:szCs w:val="28"/>
          <w:lang w:val="uk-UA"/>
        </w:rPr>
        <w:t>Stroke</w:t>
      </w:r>
      <w:r w:rsidR="00701F00" w:rsidRPr="00D67A18">
        <w:rPr>
          <w:color w:val="000000" w:themeColor="text1"/>
          <w:sz w:val="28"/>
          <w:szCs w:val="28"/>
          <w:lang w:val="uk-UA"/>
        </w:rPr>
        <w:t>.</w:t>
      </w:r>
      <w:r w:rsidRPr="00D67A18">
        <w:rPr>
          <w:color w:val="000000" w:themeColor="text1"/>
          <w:sz w:val="28"/>
          <w:szCs w:val="28"/>
          <w:lang w:val="uk-UA"/>
        </w:rPr>
        <w:t xml:space="preserve"> – </w:t>
      </w:r>
      <w:r w:rsidR="00701F00" w:rsidRPr="00D67A18">
        <w:rPr>
          <w:color w:val="000000" w:themeColor="text1"/>
          <w:sz w:val="28"/>
          <w:szCs w:val="28"/>
          <w:lang w:val="uk-UA"/>
        </w:rPr>
        <w:t xml:space="preserve">2004. </w:t>
      </w:r>
      <w:r w:rsidR="00701F00"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Vol.</w:t>
      </w:r>
      <w:r w:rsidR="00701F00" w:rsidRPr="00D67A18">
        <w:rPr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color w:val="000000" w:themeColor="text1"/>
          <w:sz w:val="28"/>
          <w:szCs w:val="28"/>
          <w:lang w:val="uk-UA"/>
        </w:rPr>
        <w:t xml:space="preserve">35. </w:t>
      </w:r>
      <w:r w:rsidR="00701F00" w:rsidRPr="00D67A18">
        <w:rPr>
          <w:color w:val="000000" w:themeColor="text1"/>
          <w:spacing w:val="2"/>
          <w:sz w:val="28"/>
          <w:szCs w:val="28"/>
          <w:shd w:val="clear" w:color="auto" w:fill="FFFFFF"/>
          <w:lang w:val="uk-UA"/>
        </w:rPr>
        <w:t xml:space="preserve">– </w:t>
      </w:r>
      <w:r w:rsidRPr="00D67A18">
        <w:rPr>
          <w:color w:val="000000" w:themeColor="text1"/>
          <w:sz w:val="28"/>
          <w:szCs w:val="28"/>
          <w:lang w:val="uk-UA"/>
        </w:rPr>
        <w:t xml:space="preserve"> P.</w:t>
      </w:r>
      <w:r w:rsidR="005668A1" w:rsidRPr="00D67A18">
        <w:rPr>
          <w:color w:val="000000" w:themeColor="text1"/>
          <w:sz w:val="28"/>
          <w:szCs w:val="28"/>
          <w:lang w:val="uk-UA"/>
        </w:rPr>
        <w:t xml:space="preserve"> </w:t>
      </w:r>
      <w:r w:rsidRPr="00D67A18">
        <w:rPr>
          <w:color w:val="000000" w:themeColor="text1"/>
          <w:sz w:val="28"/>
          <w:szCs w:val="28"/>
          <w:lang w:val="uk-UA"/>
        </w:rPr>
        <w:t>548-551.</w:t>
      </w:r>
    </w:p>
    <w:p w:rsidR="008C35CE" w:rsidRPr="00D67A18" w:rsidRDefault="008C35CE" w:rsidP="008C35CE">
      <w:pPr>
        <w:pStyle w:val="sm"/>
        <w:spacing w:before="0" w:beforeAutospacing="0" w:after="0" w:afterAutospacing="0" w:line="360" w:lineRule="auto"/>
        <w:ind w:left="720"/>
        <w:jc w:val="both"/>
        <w:rPr>
          <w:color w:val="000000" w:themeColor="text1"/>
          <w:sz w:val="28"/>
          <w:szCs w:val="28"/>
          <w:lang w:val="uk-UA"/>
        </w:rPr>
      </w:pPr>
    </w:p>
    <w:sectPr w:rsidR="008C35CE" w:rsidRPr="00D67A18">
      <w:headerReference w:type="defaul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3FEB" w:rsidRDefault="00813FEB" w:rsidP="00DB67A9">
      <w:pPr>
        <w:spacing w:after="0" w:line="240" w:lineRule="auto"/>
      </w:pPr>
      <w:r>
        <w:separator/>
      </w:r>
    </w:p>
  </w:endnote>
  <w:endnote w:type="continuationSeparator" w:id="0">
    <w:p w:rsidR="00813FEB" w:rsidRDefault="00813FEB" w:rsidP="00DB6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3FEB" w:rsidRDefault="00813FEB" w:rsidP="00DB67A9">
      <w:pPr>
        <w:spacing w:after="0" w:line="240" w:lineRule="auto"/>
      </w:pPr>
      <w:r>
        <w:separator/>
      </w:r>
    </w:p>
  </w:footnote>
  <w:footnote w:type="continuationSeparator" w:id="0">
    <w:p w:rsidR="00813FEB" w:rsidRDefault="00813FEB" w:rsidP="00DB67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3FEB" w:rsidRPr="005D0C15" w:rsidRDefault="00813FEB">
    <w:pPr>
      <w:pStyle w:val="a7"/>
      <w:jc w:val="right"/>
      <w:rPr>
        <w:rFonts w:ascii="Times New Roman" w:hAnsi="Times New Roman" w:cs="Times New Roman"/>
      </w:rPr>
    </w:pPr>
  </w:p>
  <w:p w:rsidR="00813FEB" w:rsidRDefault="00813FEB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5839435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:rsidR="00813FEB" w:rsidRPr="005D0C15" w:rsidRDefault="00813FEB">
        <w:pPr>
          <w:pStyle w:val="a7"/>
          <w:jc w:val="right"/>
          <w:rPr>
            <w:rFonts w:ascii="Times New Roman" w:hAnsi="Times New Roman" w:cs="Times New Roman"/>
          </w:rPr>
        </w:pPr>
        <w:r w:rsidRPr="005D0C15">
          <w:rPr>
            <w:rFonts w:ascii="Times New Roman" w:hAnsi="Times New Roman" w:cs="Times New Roman"/>
          </w:rPr>
          <w:fldChar w:fldCharType="begin"/>
        </w:r>
        <w:r w:rsidRPr="005D0C15">
          <w:rPr>
            <w:rFonts w:ascii="Times New Roman" w:hAnsi="Times New Roman" w:cs="Times New Roman"/>
          </w:rPr>
          <w:instrText>PAGE   \* MERGEFORMAT</w:instrText>
        </w:r>
        <w:r w:rsidRPr="005D0C15">
          <w:rPr>
            <w:rFonts w:ascii="Times New Roman" w:hAnsi="Times New Roman" w:cs="Times New Roman"/>
          </w:rPr>
          <w:fldChar w:fldCharType="separate"/>
        </w:r>
        <w:r w:rsidR="00143EB7">
          <w:rPr>
            <w:rFonts w:ascii="Times New Roman" w:hAnsi="Times New Roman" w:cs="Times New Roman"/>
            <w:noProof/>
          </w:rPr>
          <w:t>7</w:t>
        </w:r>
        <w:r w:rsidRPr="005D0C15">
          <w:rPr>
            <w:rFonts w:ascii="Times New Roman" w:hAnsi="Times New Roman" w:cs="Times New Roman"/>
          </w:rPr>
          <w:fldChar w:fldCharType="end"/>
        </w:r>
      </w:p>
    </w:sdtContent>
  </w:sdt>
  <w:p w:rsidR="00813FEB" w:rsidRDefault="00813FEB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2.55pt;height:16.9pt;visibility:visible" o:bullet="t">
        <v:imagedata r:id="rId1" o:title=""/>
      </v:shape>
    </w:pict>
  </w:numPicBullet>
  <w:abstractNum w:abstractNumId="0">
    <w:nsid w:val="08F716A7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">
    <w:nsid w:val="0D646349"/>
    <w:multiLevelType w:val="multilevel"/>
    <w:tmpl w:val="62C8F778"/>
    <w:lvl w:ilvl="0">
      <w:start w:val="1"/>
      <w:numFmt w:val="decimal"/>
      <w:lvlText w:val="%1."/>
      <w:lvlJc w:val="left"/>
      <w:pPr>
        <w:ind w:left="717" w:hanging="360"/>
      </w:pPr>
    </w:lvl>
    <w:lvl w:ilvl="1">
      <w:start w:val="1"/>
      <w:numFmt w:val="lowerLetter"/>
      <w:lvlText w:val="%2."/>
      <w:lvlJc w:val="left"/>
      <w:pPr>
        <w:ind w:left="1437" w:hanging="360"/>
      </w:pPr>
    </w:lvl>
    <w:lvl w:ilvl="2">
      <w:start w:val="1"/>
      <w:numFmt w:val="lowerRoman"/>
      <w:lvlText w:val="%3."/>
      <w:lvlJc w:val="right"/>
      <w:pPr>
        <w:ind w:left="2157" w:hanging="180"/>
      </w:pPr>
    </w:lvl>
    <w:lvl w:ilvl="3">
      <w:start w:val="1"/>
      <w:numFmt w:val="decimal"/>
      <w:lvlText w:val="%4."/>
      <w:lvlJc w:val="left"/>
      <w:pPr>
        <w:ind w:left="2877" w:hanging="360"/>
      </w:pPr>
    </w:lvl>
    <w:lvl w:ilvl="4">
      <w:start w:val="1"/>
      <w:numFmt w:val="lowerLetter"/>
      <w:lvlText w:val="%5."/>
      <w:lvlJc w:val="left"/>
      <w:pPr>
        <w:ind w:left="3597" w:hanging="360"/>
      </w:pPr>
    </w:lvl>
    <w:lvl w:ilvl="5">
      <w:start w:val="1"/>
      <w:numFmt w:val="lowerRoman"/>
      <w:lvlText w:val="%6."/>
      <w:lvlJc w:val="right"/>
      <w:pPr>
        <w:ind w:left="4317" w:hanging="180"/>
      </w:pPr>
    </w:lvl>
    <w:lvl w:ilvl="6">
      <w:start w:val="1"/>
      <w:numFmt w:val="decimal"/>
      <w:lvlText w:val="%7."/>
      <w:lvlJc w:val="left"/>
      <w:pPr>
        <w:ind w:left="5037" w:hanging="360"/>
      </w:pPr>
    </w:lvl>
    <w:lvl w:ilvl="7">
      <w:start w:val="1"/>
      <w:numFmt w:val="lowerLetter"/>
      <w:lvlText w:val="%8."/>
      <w:lvlJc w:val="left"/>
      <w:pPr>
        <w:ind w:left="5757" w:hanging="360"/>
      </w:pPr>
    </w:lvl>
    <w:lvl w:ilvl="8">
      <w:start w:val="1"/>
      <w:numFmt w:val="lowerRoman"/>
      <w:lvlText w:val="%9."/>
      <w:lvlJc w:val="right"/>
      <w:pPr>
        <w:ind w:left="6477" w:hanging="180"/>
      </w:pPr>
    </w:lvl>
  </w:abstractNum>
  <w:abstractNum w:abstractNumId="2">
    <w:nsid w:val="124E69E6"/>
    <w:multiLevelType w:val="hybridMultilevel"/>
    <w:tmpl w:val="F82089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F6699C"/>
    <w:multiLevelType w:val="hybridMultilevel"/>
    <w:tmpl w:val="BCD24B5E"/>
    <w:lvl w:ilvl="0" w:tplc="C636B612">
      <w:start w:val="1"/>
      <w:numFmt w:val="decimal"/>
      <w:lvlText w:val="%1."/>
      <w:lvlJc w:val="left"/>
      <w:pPr>
        <w:ind w:left="644" w:hanging="360"/>
      </w:pPr>
      <w:rPr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AA1A6F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5">
    <w:nsid w:val="24D6715A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6">
    <w:nsid w:val="344A36E7"/>
    <w:multiLevelType w:val="multilevel"/>
    <w:tmpl w:val="F7040C76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7">
    <w:nsid w:val="38444598"/>
    <w:multiLevelType w:val="multilevel"/>
    <w:tmpl w:val="340E4BDC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0" w:hanging="2160"/>
      </w:pPr>
      <w:rPr>
        <w:rFonts w:hint="default"/>
      </w:rPr>
    </w:lvl>
  </w:abstractNum>
  <w:abstractNum w:abstractNumId="8">
    <w:nsid w:val="3B351382"/>
    <w:multiLevelType w:val="hybridMultilevel"/>
    <w:tmpl w:val="2FF8CA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592DD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485B0CC4"/>
    <w:multiLevelType w:val="multilevel"/>
    <w:tmpl w:val="D7C402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977209C"/>
    <w:multiLevelType w:val="multilevel"/>
    <w:tmpl w:val="7B562F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9F617C7"/>
    <w:multiLevelType w:val="hybridMultilevel"/>
    <w:tmpl w:val="E7EE5C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61F43"/>
    <w:multiLevelType w:val="multilevel"/>
    <w:tmpl w:val="37F0767C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4">
    <w:nsid w:val="54BD2879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C24262B"/>
    <w:multiLevelType w:val="multilevel"/>
    <w:tmpl w:val="0BAE74FA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920" w:hanging="2160"/>
      </w:pPr>
      <w:rPr>
        <w:rFonts w:hint="default"/>
      </w:rPr>
    </w:lvl>
  </w:abstractNum>
  <w:abstractNum w:abstractNumId="16">
    <w:nsid w:val="6A4D61E0"/>
    <w:multiLevelType w:val="hybridMultilevel"/>
    <w:tmpl w:val="3DA66E94"/>
    <w:lvl w:ilvl="0" w:tplc="42E6DAA0">
      <w:start w:val="1"/>
      <w:numFmt w:val="decimal"/>
      <w:lvlText w:val="%1."/>
      <w:lvlJc w:val="left"/>
      <w:pPr>
        <w:ind w:left="644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915B07"/>
    <w:multiLevelType w:val="multilevel"/>
    <w:tmpl w:val="D3BECCD2"/>
    <w:lvl w:ilvl="0">
      <w:start w:val="1"/>
      <w:numFmt w:val="decimal"/>
      <w:lvlText w:val="%1."/>
      <w:lvlJc w:val="left"/>
      <w:pPr>
        <w:ind w:left="1211" w:hanging="360"/>
      </w:pPr>
    </w:lvl>
    <w:lvl w:ilvl="1">
      <w:start w:val="1"/>
      <w:numFmt w:val="decimal"/>
      <w:lvlText w:val="%1.%2."/>
      <w:lvlJc w:val="left"/>
      <w:pPr>
        <w:ind w:left="1571" w:hanging="720"/>
      </w:pPr>
    </w:lvl>
    <w:lvl w:ilvl="2">
      <w:start w:val="1"/>
      <w:numFmt w:val="decimal"/>
      <w:lvlText w:val="%1.%2.%3."/>
      <w:lvlJc w:val="left"/>
      <w:pPr>
        <w:ind w:left="1571" w:hanging="720"/>
      </w:pPr>
    </w:lvl>
    <w:lvl w:ilvl="3">
      <w:start w:val="1"/>
      <w:numFmt w:val="decimal"/>
      <w:lvlText w:val="%1.%2.%3.%4."/>
      <w:lvlJc w:val="left"/>
      <w:pPr>
        <w:ind w:left="1931" w:hanging="1080"/>
      </w:pPr>
    </w:lvl>
    <w:lvl w:ilvl="4">
      <w:start w:val="1"/>
      <w:numFmt w:val="decimal"/>
      <w:lvlText w:val="%1.%2.%3.%4.%5."/>
      <w:lvlJc w:val="left"/>
      <w:pPr>
        <w:ind w:left="1931" w:hanging="1080"/>
      </w:pPr>
    </w:lvl>
    <w:lvl w:ilvl="5">
      <w:start w:val="1"/>
      <w:numFmt w:val="decimal"/>
      <w:lvlText w:val="%1.%2.%3.%4.%5.%6."/>
      <w:lvlJc w:val="left"/>
      <w:pPr>
        <w:ind w:left="2291" w:hanging="1440"/>
      </w:pPr>
    </w:lvl>
    <w:lvl w:ilvl="6">
      <w:start w:val="1"/>
      <w:numFmt w:val="decimal"/>
      <w:lvlText w:val="%1.%2.%3.%4.%5.%6.%7."/>
      <w:lvlJc w:val="left"/>
      <w:pPr>
        <w:ind w:left="2651" w:hanging="1799"/>
      </w:pPr>
    </w:lvl>
    <w:lvl w:ilvl="7">
      <w:start w:val="1"/>
      <w:numFmt w:val="decimal"/>
      <w:lvlText w:val="%1.%2.%3.%4.%5.%6.%7.%8."/>
      <w:lvlJc w:val="left"/>
      <w:pPr>
        <w:ind w:left="2651" w:hanging="1799"/>
      </w:pPr>
    </w:lvl>
    <w:lvl w:ilvl="8">
      <w:start w:val="1"/>
      <w:numFmt w:val="decimal"/>
      <w:lvlText w:val="%1.%2.%3.%4.%5.%6.%7.%8.%9."/>
      <w:lvlJc w:val="left"/>
      <w:pPr>
        <w:ind w:left="3011" w:hanging="2160"/>
      </w:pPr>
    </w:lvl>
  </w:abstractNum>
  <w:abstractNum w:abstractNumId="18">
    <w:nsid w:val="70315E72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713F41FE"/>
    <w:multiLevelType w:val="multilevel"/>
    <w:tmpl w:val="2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715A5252"/>
    <w:multiLevelType w:val="hybridMultilevel"/>
    <w:tmpl w:val="CF4ADF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8B3A0B"/>
    <w:multiLevelType w:val="multilevel"/>
    <w:tmpl w:val="2C96DE24"/>
    <w:lvl w:ilvl="0">
      <w:start w:val="1"/>
      <w:numFmt w:val="decimal"/>
      <w:lvlText w:val="%1."/>
      <w:lvlJc w:val="left"/>
      <w:pPr>
        <w:ind w:left="810" w:hanging="8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90" w:hanging="81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70" w:hanging="81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00" w:hanging="2160"/>
      </w:pPr>
      <w:rPr>
        <w:rFonts w:hint="default"/>
      </w:rPr>
    </w:lvl>
  </w:abstractNum>
  <w:abstractNum w:abstractNumId="22">
    <w:nsid w:val="71EF1DCE"/>
    <w:multiLevelType w:val="hybridMultilevel"/>
    <w:tmpl w:val="23584E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BF5036"/>
    <w:multiLevelType w:val="multilevel"/>
    <w:tmpl w:val="E5963BF4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1">
      <w:start w:val="5"/>
      <w:numFmt w:val="decimal"/>
      <w:isLgl/>
      <w:lvlText w:val="%1.%2."/>
      <w:lvlJc w:val="left"/>
      <w:pPr>
        <w:ind w:left="15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24">
    <w:nsid w:val="7F0128E7"/>
    <w:multiLevelType w:val="hybridMultilevel"/>
    <w:tmpl w:val="FBF44380"/>
    <w:lvl w:ilvl="0" w:tplc="2000000F">
      <w:start w:val="1"/>
      <w:numFmt w:val="decimal"/>
      <w:lvlText w:val="%1."/>
      <w:lvlJc w:val="left"/>
      <w:pPr>
        <w:ind w:left="6173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4"/>
  </w:num>
  <w:num w:numId="3">
    <w:abstractNumId w:val="21"/>
  </w:num>
  <w:num w:numId="4">
    <w:abstractNumId w:val="19"/>
  </w:num>
  <w:num w:numId="5">
    <w:abstractNumId w:val="5"/>
  </w:num>
  <w:num w:numId="6">
    <w:abstractNumId w:val="18"/>
  </w:num>
  <w:num w:numId="7">
    <w:abstractNumId w:val="6"/>
  </w:num>
  <w:num w:numId="8">
    <w:abstractNumId w:val="15"/>
  </w:num>
  <w:num w:numId="9">
    <w:abstractNumId w:val="9"/>
  </w:num>
  <w:num w:numId="10">
    <w:abstractNumId w:val="14"/>
  </w:num>
  <w:num w:numId="11">
    <w:abstractNumId w:val="1"/>
  </w:num>
  <w:num w:numId="12">
    <w:abstractNumId w:val="23"/>
  </w:num>
  <w:num w:numId="13">
    <w:abstractNumId w:val="20"/>
  </w:num>
  <w:num w:numId="14">
    <w:abstractNumId w:val="7"/>
  </w:num>
  <w:num w:numId="15">
    <w:abstractNumId w:val="13"/>
  </w:num>
  <w:num w:numId="16">
    <w:abstractNumId w:val="22"/>
  </w:num>
  <w:num w:numId="17">
    <w:abstractNumId w:val="4"/>
  </w:num>
  <w:num w:numId="18">
    <w:abstractNumId w:val="2"/>
  </w:num>
  <w:num w:numId="19">
    <w:abstractNumId w:val="11"/>
  </w:num>
  <w:num w:numId="20">
    <w:abstractNumId w:val="10"/>
  </w:num>
  <w:num w:numId="21">
    <w:abstractNumId w:val="8"/>
  </w:num>
  <w:num w:numId="22">
    <w:abstractNumId w:val="0"/>
  </w:num>
  <w:num w:numId="23">
    <w:abstractNumId w:val="12"/>
  </w:num>
  <w:num w:numId="24">
    <w:abstractNumId w:val="16"/>
  </w:num>
  <w:num w:numId="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hideSpellingErrors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CD8"/>
    <w:rsid w:val="00001ACC"/>
    <w:rsid w:val="00003C73"/>
    <w:rsid w:val="00006BD1"/>
    <w:rsid w:val="0000724C"/>
    <w:rsid w:val="000105D1"/>
    <w:rsid w:val="000139D5"/>
    <w:rsid w:val="000147CE"/>
    <w:rsid w:val="00020134"/>
    <w:rsid w:val="00024916"/>
    <w:rsid w:val="00024A5C"/>
    <w:rsid w:val="00033E30"/>
    <w:rsid w:val="00037CEF"/>
    <w:rsid w:val="00042B8A"/>
    <w:rsid w:val="00057558"/>
    <w:rsid w:val="00057C8C"/>
    <w:rsid w:val="00062B0F"/>
    <w:rsid w:val="000643B6"/>
    <w:rsid w:val="000671DB"/>
    <w:rsid w:val="0007002B"/>
    <w:rsid w:val="0007410B"/>
    <w:rsid w:val="00077FA8"/>
    <w:rsid w:val="00085174"/>
    <w:rsid w:val="00091246"/>
    <w:rsid w:val="0009199B"/>
    <w:rsid w:val="000A113D"/>
    <w:rsid w:val="000A295B"/>
    <w:rsid w:val="000A2EF6"/>
    <w:rsid w:val="000B4A20"/>
    <w:rsid w:val="000B6E65"/>
    <w:rsid w:val="000B798F"/>
    <w:rsid w:val="000C02AE"/>
    <w:rsid w:val="000C40BC"/>
    <w:rsid w:val="000D54F1"/>
    <w:rsid w:val="000D560D"/>
    <w:rsid w:val="000E6E7E"/>
    <w:rsid w:val="000E703C"/>
    <w:rsid w:val="000F16D4"/>
    <w:rsid w:val="000F1A45"/>
    <w:rsid w:val="000F5434"/>
    <w:rsid w:val="00104765"/>
    <w:rsid w:val="00114E67"/>
    <w:rsid w:val="00117A0E"/>
    <w:rsid w:val="001209EA"/>
    <w:rsid w:val="001306A2"/>
    <w:rsid w:val="0013271F"/>
    <w:rsid w:val="00133A90"/>
    <w:rsid w:val="00135B02"/>
    <w:rsid w:val="001403BB"/>
    <w:rsid w:val="00141FB0"/>
    <w:rsid w:val="00143EB7"/>
    <w:rsid w:val="00164B32"/>
    <w:rsid w:val="00164C53"/>
    <w:rsid w:val="0016799D"/>
    <w:rsid w:val="00172341"/>
    <w:rsid w:val="00174E2C"/>
    <w:rsid w:val="00176F4E"/>
    <w:rsid w:val="00177887"/>
    <w:rsid w:val="00182838"/>
    <w:rsid w:val="001859BE"/>
    <w:rsid w:val="00185E35"/>
    <w:rsid w:val="001945C6"/>
    <w:rsid w:val="00195939"/>
    <w:rsid w:val="001A0014"/>
    <w:rsid w:val="001A7DE3"/>
    <w:rsid w:val="001B0C9C"/>
    <w:rsid w:val="001B3B4E"/>
    <w:rsid w:val="001B688A"/>
    <w:rsid w:val="001C1D79"/>
    <w:rsid w:val="001C445A"/>
    <w:rsid w:val="001C6E43"/>
    <w:rsid w:val="001D10A3"/>
    <w:rsid w:val="001D1CA4"/>
    <w:rsid w:val="001D3115"/>
    <w:rsid w:val="001E38A7"/>
    <w:rsid w:val="001E52F2"/>
    <w:rsid w:val="0020133F"/>
    <w:rsid w:val="002018B2"/>
    <w:rsid w:val="00206129"/>
    <w:rsid w:val="00211FDF"/>
    <w:rsid w:val="00220012"/>
    <w:rsid w:val="00222480"/>
    <w:rsid w:val="00230C06"/>
    <w:rsid w:val="00233228"/>
    <w:rsid w:val="0023628A"/>
    <w:rsid w:val="0024110B"/>
    <w:rsid w:val="002429DB"/>
    <w:rsid w:val="00243D85"/>
    <w:rsid w:val="00251D59"/>
    <w:rsid w:val="00263FEF"/>
    <w:rsid w:val="00270111"/>
    <w:rsid w:val="00275B9C"/>
    <w:rsid w:val="0027617B"/>
    <w:rsid w:val="00282C04"/>
    <w:rsid w:val="0029592B"/>
    <w:rsid w:val="0029757C"/>
    <w:rsid w:val="002A4B5F"/>
    <w:rsid w:val="002B0F7C"/>
    <w:rsid w:val="002B2135"/>
    <w:rsid w:val="002B6363"/>
    <w:rsid w:val="002C09B9"/>
    <w:rsid w:val="002C38CD"/>
    <w:rsid w:val="002D58CF"/>
    <w:rsid w:val="002E17D4"/>
    <w:rsid w:val="002E2242"/>
    <w:rsid w:val="002E24E5"/>
    <w:rsid w:val="002F1546"/>
    <w:rsid w:val="002F521B"/>
    <w:rsid w:val="003012F0"/>
    <w:rsid w:val="003022FF"/>
    <w:rsid w:val="00305363"/>
    <w:rsid w:val="003058FE"/>
    <w:rsid w:val="0031659F"/>
    <w:rsid w:val="00316EB9"/>
    <w:rsid w:val="00320E4D"/>
    <w:rsid w:val="00330762"/>
    <w:rsid w:val="00330DA7"/>
    <w:rsid w:val="00333348"/>
    <w:rsid w:val="00344068"/>
    <w:rsid w:val="00346019"/>
    <w:rsid w:val="00346E1F"/>
    <w:rsid w:val="00347353"/>
    <w:rsid w:val="00347F2F"/>
    <w:rsid w:val="00350403"/>
    <w:rsid w:val="0035253C"/>
    <w:rsid w:val="00352B4C"/>
    <w:rsid w:val="003562F7"/>
    <w:rsid w:val="0036228E"/>
    <w:rsid w:val="003622D2"/>
    <w:rsid w:val="00366168"/>
    <w:rsid w:val="0037436C"/>
    <w:rsid w:val="00382670"/>
    <w:rsid w:val="00385227"/>
    <w:rsid w:val="00385C24"/>
    <w:rsid w:val="00391EF9"/>
    <w:rsid w:val="0039456A"/>
    <w:rsid w:val="00395AA6"/>
    <w:rsid w:val="00396236"/>
    <w:rsid w:val="00396482"/>
    <w:rsid w:val="00397BCD"/>
    <w:rsid w:val="003B28DB"/>
    <w:rsid w:val="003B3036"/>
    <w:rsid w:val="003B45AE"/>
    <w:rsid w:val="003C3F03"/>
    <w:rsid w:val="003C4D2C"/>
    <w:rsid w:val="003C7B84"/>
    <w:rsid w:val="003D2DA5"/>
    <w:rsid w:val="003D325D"/>
    <w:rsid w:val="003D5D46"/>
    <w:rsid w:val="003E17A1"/>
    <w:rsid w:val="003E53BE"/>
    <w:rsid w:val="003E6678"/>
    <w:rsid w:val="003F35E2"/>
    <w:rsid w:val="003F4987"/>
    <w:rsid w:val="003F5F24"/>
    <w:rsid w:val="00401BA9"/>
    <w:rsid w:val="00414300"/>
    <w:rsid w:val="00414572"/>
    <w:rsid w:val="00420A8C"/>
    <w:rsid w:val="0042531E"/>
    <w:rsid w:val="00425E4E"/>
    <w:rsid w:val="00440800"/>
    <w:rsid w:val="00443E12"/>
    <w:rsid w:val="00444B26"/>
    <w:rsid w:val="004455F0"/>
    <w:rsid w:val="00446B53"/>
    <w:rsid w:val="004528DF"/>
    <w:rsid w:val="004615DF"/>
    <w:rsid w:val="0046469D"/>
    <w:rsid w:val="004650BF"/>
    <w:rsid w:val="004705BF"/>
    <w:rsid w:val="0048096C"/>
    <w:rsid w:val="00481F79"/>
    <w:rsid w:val="00483145"/>
    <w:rsid w:val="004914DA"/>
    <w:rsid w:val="0049466B"/>
    <w:rsid w:val="004963D7"/>
    <w:rsid w:val="00497B46"/>
    <w:rsid w:val="004A1F31"/>
    <w:rsid w:val="004A471B"/>
    <w:rsid w:val="004B0177"/>
    <w:rsid w:val="004B28A1"/>
    <w:rsid w:val="004B320B"/>
    <w:rsid w:val="004C068F"/>
    <w:rsid w:val="004C28E4"/>
    <w:rsid w:val="004C310A"/>
    <w:rsid w:val="004D05CD"/>
    <w:rsid w:val="004D33E1"/>
    <w:rsid w:val="004D5AAC"/>
    <w:rsid w:val="004E1DC5"/>
    <w:rsid w:val="004E3CDE"/>
    <w:rsid w:val="004E462D"/>
    <w:rsid w:val="004E4F5A"/>
    <w:rsid w:val="004E7B0E"/>
    <w:rsid w:val="004F1BCC"/>
    <w:rsid w:val="004F25D2"/>
    <w:rsid w:val="004F4DB0"/>
    <w:rsid w:val="004F52AA"/>
    <w:rsid w:val="00501424"/>
    <w:rsid w:val="00502713"/>
    <w:rsid w:val="005064E3"/>
    <w:rsid w:val="00506D47"/>
    <w:rsid w:val="0051214F"/>
    <w:rsid w:val="00512DB5"/>
    <w:rsid w:val="00515F68"/>
    <w:rsid w:val="005223A7"/>
    <w:rsid w:val="00537174"/>
    <w:rsid w:val="00537630"/>
    <w:rsid w:val="0055536A"/>
    <w:rsid w:val="00555532"/>
    <w:rsid w:val="00563834"/>
    <w:rsid w:val="00564699"/>
    <w:rsid w:val="005668A1"/>
    <w:rsid w:val="005668E7"/>
    <w:rsid w:val="00570936"/>
    <w:rsid w:val="00570EEE"/>
    <w:rsid w:val="00572AE8"/>
    <w:rsid w:val="00574BD9"/>
    <w:rsid w:val="005779F9"/>
    <w:rsid w:val="00577A93"/>
    <w:rsid w:val="00582DB8"/>
    <w:rsid w:val="005838CB"/>
    <w:rsid w:val="005846DD"/>
    <w:rsid w:val="00593092"/>
    <w:rsid w:val="005A1D8F"/>
    <w:rsid w:val="005A73AB"/>
    <w:rsid w:val="005B19CC"/>
    <w:rsid w:val="005B3731"/>
    <w:rsid w:val="005B6031"/>
    <w:rsid w:val="005B6CD8"/>
    <w:rsid w:val="005C0051"/>
    <w:rsid w:val="005C08D2"/>
    <w:rsid w:val="005C26D3"/>
    <w:rsid w:val="005C5222"/>
    <w:rsid w:val="005C619B"/>
    <w:rsid w:val="005C75E8"/>
    <w:rsid w:val="005D0C15"/>
    <w:rsid w:val="005D2339"/>
    <w:rsid w:val="005D2444"/>
    <w:rsid w:val="005E1CA5"/>
    <w:rsid w:val="005E6FFE"/>
    <w:rsid w:val="005E7B39"/>
    <w:rsid w:val="005F45C2"/>
    <w:rsid w:val="005F6F13"/>
    <w:rsid w:val="006024EE"/>
    <w:rsid w:val="00603994"/>
    <w:rsid w:val="00616433"/>
    <w:rsid w:val="006357CE"/>
    <w:rsid w:val="0064005F"/>
    <w:rsid w:val="00642C54"/>
    <w:rsid w:val="00662FEE"/>
    <w:rsid w:val="00667883"/>
    <w:rsid w:val="00671D31"/>
    <w:rsid w:val="00674679"/>
    <w:rsid w:val="0067537B"/>
    <w:rsid w:val="00675898"/>
    <w:rsid w:val="0068064B"/>
    <w:rsid w:val="006A1165"/>
    <w:rsid w:val="006A4F24"/>
    <w:rsid w:val="006A79A1"/>
    <w:rsid w:val="006C4ADF"/>
    <w:rsid w:val="006C6380"/>
    <w:rsid w:val="006D1A9A"/>
    <w:rsid w:val="006D3B82"/>
    <w:rsid w:val="006E0E4E"/>
    <w:rsid w:val="006E11B1"/>
    <w:rsid w:val="006F4F10"/>
    <w:rsid w:val="006F6433"/>
    <w:rsid w:val="006F6B84"/>
    <w:rsid w:val="00701F00"/>
    <w:rsid w:val="00702BB7"/>
    <w:rsid w:val="007053AB"/>
    <w:rsid w:val="0070540C"/>
    <w:rsid w:val="00710E5F"/>
    <w:rsid w:val="00730C21"/>
    <w:rsid w:val="007327C0"/>
    <w:rsid w:val="00733704"/>
    <w:rsid w:val="00734A76"/>
    <w:rsid w:val="00735816"/>
    <w:rsid w:val="007421EA"/>
    <w:rsid w:val="00742322"/>
    <w:rsid w:val="00744652"/>
    <w:rsid w:val="00751BE9"/>
    <w:rsid w:val="007605AC"/>
    <w:rsid w:val="0076657A"/>
    <w:rsid w:val="00770CDC"/>
    <w:rsid w:val="00775087"/>
    <w:rsid w:val="00775D0D"/>
    <w:rsid w:val="00776BD2"/>
    <w:rsid w:val="007805F9"/>
    <w:rsid w:val="0078478B"/>
    <w:rsid w:val="00786006"/>
    <w:rsid w:val="00791039"/>
    <w:rsid w:val="0079531E"/>
    <w:rsid w:val="0079758F"/>
    <w:rsid w:val="007A1796"/>
    <w:rsid w:val="007A4FFC"/>
    <w:rsid w:val="007B060A"/>
    <w:rsid w:val="007B4747"/>
    <w:rsid w:val="007B682B"/>
    <w:rsid w:val="007B6D21"/>
    <w:rsid w:val="007B7E09"/>
    <w:rsid w:val="007C03B7"/>
    <w:rsid w:val="007C45FC"/>
    <w:rsid w:val="007D0471"/>
    <w:rsid w:val="007E1F36"/>
    <w:rsid w:val="007E27A7"/>
    <w:rsid w:val="007E4BC3"/>
    <w:rsid w:val="007F3083"/>
    <w:rsid w:val="007F55CF"/>
    <w:rsid w:val="007F6805"/>
    <w:rsid w:val="008044E9"/>
    <w:rsid w:val="00813FEB"/>
    <w:rsid w:val="008153D9"/>
    <w:rsid w:val="00816488"/>
    <w:rsid w:val="008226EE"/>
    <w:rsid w:val="00846F2A"/>
    <w:rsid w:val="0084710C"/>
    <w:rsid w:val="00850AA3"/>
    <w:rsid w:val="0085384A"/>
    <w:rsid w:val="00854C27"/>
    <w:rsid w:val="00863956"/>
    <w:rsid w:val="008674E9"/>
    <w:rsid w:val="00867BA8"/>
    <w:rsid w:val="00867EAA"/>
    <w:rsid w:val="00873DA5"/>
    <w:rsid w:val="008740B3"/>
    <w:rsid w:val="008762C2"/>
    <w:rsid w:val="00880D8A"/>
    <w:rsid w:val="00883FEA"/>
    <w:rsid w:val="00885CAD"/>
    <w:rsid w:val="00885DB7"/>
    <w:rsid w:val="00891E38"/>
    <w:rsid w:val="008B12EA"/>
    <w:rsid w:val="008B14C4"/>
    <w:rsid w:val="008B1C12"/>
    <w:rsid w:val="008C20A6"/>
    <w:rsid w:val="008C35CE"/>
    <w:rsid w:val="008D38BE"/>
    <w:rsid w:val="008D3A18"/>
    <w:rsid w:val="008D556D"/>
    <w:rsid w:val="008D5F77"/>
    <w:rsid w:val="008E29AA"/>
    <w:rsid w:val="008E572E"/>
    <w:rsid w:val="00904754"/>
    <w:rsid w:val="00906991"/>
    <w:rsid w:val="00914912"/>
    <w:rsid w:val="009149BD"/>
    <w:rsid w:val="00915A69"/>
    <w:rsid w:val="00920AE9"/>
    <w:rsid w:val="0094355A"/>
    <w:rsid w:val="00951FE7"/>
    <w:rsid w:val="00970A84"/>
    <w:rsid w:val="00972ADD"/>
    <w:rsid w:val="00974877"/>
    <w:rsid w:val="009856B4"/>
    <w:rsid w:val="00986B0A"/>
    <w:rsid w:val="00996FBB"/>
    <w:rsid w:val="00997097"/>
    <w:rsid w:val="00997160"/>
    <w:rsid w:val="00997933"/>
    <w:rsid w:val="009A3176"/>
    <w:rsid w:val="009A47E0"/>
    <w:rsid w:val="009A6118"/>
    <w:rsid w:val="009B286F"/>
    <w:rsid w:val="009B7178"/>
    <w:rsid w:val="009B72D6"/>
    <w:rsid w:val="009B7FA9"/>
    <w:rsid w:val="009C10E9"/>
    <w:rsid w:val="009C1B79"/>
    <w:rsid w:val="009C6AEE"/>
    <w:rsid w:val="009D0ED3"/>
    <w:rsid w:val="009D25C4"/>
    <w:rsid w:val="009D3C67"/>
    <w:rsid w:val="009D6A93"/>
    <w:rsid w:val="009E19D1"/>
    <w:rsid w:val="009E4E9D"/>
    <w:rsid w:val="009E4FC8"/>
    <w:rsid w:val="009E702B"/>
    <w:rsid w:val="009F2B97"/>
    <w:rsid w:val="009F3D66"/>
    <w:rsid w:val="00A00530"/>
    <w:rsid w:val="00A0310A"/>
    <w:rsid w:val="00A054C4"/>
    <w:rsid w:val="00A05BB6"/>
    <w:rsid w:val="00A06D85"/>
    <w:rsid w:val="00A147B0"/>
    <w:rsid w:val="00A153A3"/>
    <w:rsid w:val="00A163AE"/>
    <w:rsid w:val="00A20013"/>
    <w:rsid w:val="00A21ABA"/>
    <w:rsid w:val="00A35527"/>
    <w:rsid w:val="00A37FC6"/>
    <w:rsid w:val="00A410BA"/>
    <w:rsid w:val="00A425C6"/>
    <w:rsid w:val="00A47D65"/>
    <w:rsid w:val="00A47FAA"/>
    <w:rsid w:val="00A50E4E"/>
    <w:rsid w:val="00A615A6"/>
    <w:rsid w:val="00A6223D"/>
    <w:rsid w:val="00A6330C"/>
    <w:rsid w:val="00A714DD"/>
    <w:rsid w:val="00A72F38"/>
    <w:rsid w:val="00A80DE0"/>
    <w:rsid w:val="00A904B8"/>
    <w:rsid w:val="00A95553"/>
    <w:rsid w:val="00A97FDA"/>
    <w:rsid w:val="00AA242C"/>
    <w:rsid w:val="00AA770B"/>
    <w:rsid w:val="00AB4633"/>
    <w:rsid w:val="00AB5896"/>
    <w:rsid w:val="00AC2DF2"/>
    <w:rsid w:val="00AD29C9"/>
    <w:rsid w:val="00AD6F57"/>
    <w:rsid w:val="00AE21A4"/>
    <w:rsid w:val="00AF384E"/>
    <w:rsid w:val="00AF46EB"/>
    <w:rsid w:val="00B0177C"/>
    <w:rsid w:val="00B04CF3"/>
    <w:rsid w:val="00B079F5"/>
    <w:rsid w:val="00B1062A"/>
    <w:rsid w:val="00B159BC"/>
    <w:rsid w:val="00B1628F"/>
    <w:rsid w:val="00B17433"/>
    <w:rsid w:val="00B22110"/>
    <w:rsid w:val="00B26E09"/>
    <w:rsid w:val="00B271D1"/>
    <w:rsid w:val="00B34BC3"/>
    <w:rsid w:val="00B37BD8"/>
    <w:rsid w:val="00B40A02"/>
    <w:rsid w:val="00B47248"/>
    <w:rsid w:val="00B50426"/>
    <w:rsid w:val="00B5056F"/>
    <w:rsid w:val="00B50BC7"/>
    <w:rsid w:val="00B52247"/>
    <w:rsid w:val="00B5373A"/>
    <w:rsid w:val="00B575A8"/>
    <w:rsid w:val="00B6423A"/>
    <w:rsid w:val="00B64C4E"/>
    <w:rsid w:val="00B8018C"/>
    <w:rsid w:val="00B813F6"/>
    <w:rsid w:val="00B81EC0"/>
    <w:rsid w:val="00B90206"/>
    <w:rsid w:val="00B93D95"/>
    <w:rsid w:val="00B97928"/>
    <w:rsid w:val="00BA1CF1"/>
    <w:rsid w:val="00BA29DE"/>
    <w:rsid w:val="00BB42E8"/>
    <w:rsid w:val="00BB6A49"/>
    <w:rsid w:val="00BC1D48"/>
    <w:rsid w:val="00BC2485"/>
    <w:rsid w:val="00BC59F6"/>
    <w:rsid w:val="00BC681F"/>
    <w:rsid w:val="00BD55A3"/>
    <w:rsid w:val="00BE1077"/>
    <w:rsid w:val="00BE232C"/>
    <w:rsid w:val="00BE3936"/>
    <w:rsid w:val="00BE5154"/>
    <w:rsid w:val="00BE6C1B"/>
    <w:rsid w:val="00BF181D"/>
    <w:rsid w:val="00BF1E22"/>
    <w:rsid w:val="00BF67BA"/>
    <w:rsid w:val="00BF7525"/>
    <w:rsid w:val="00C04632"/>
    <w:rsid w:val="00C06864"/>
    <w:rsid w:val="00C076C3"/>
    <w:rsid w:val="00C117A9"/>
    <w:rsid w:val="00C117C4"/>
    <w:rsid w:val="00C163A0"/>
    <w:rsid w:val="00C1684D"/>
    <w:rsid w:val="00C220A3"/>
    <w:rsid w:val="00C2277C"/>
    <w:rsid w:val="00C27DC0"/>
    <w:rsid w:val="00C30F14"/>
    <w:rsid w:val="00C32B3A"/>
    <w:rsid w:val="00C34CF9"/>
    <w:rsid w:val="00C400B3"/>
    <w:rsid w:val="00C44925"/>
    <w:rsid w:val="00C45361"/>
    <w:rsid w:val="00C46CFE"/>
    <w:rsid w:val="00C46FFD"/>
    <w:rsid w:val="00C574F9"/>
    <w:rsid w:val="00C62055"/>
    <w:rsid w:val="00C6508F"/>
    <w:rsid w:val="00C6562B"/>
    <w:rsid w:val="00C665B6"/>
    <w:rsid w:val="00C67494"/>
    <w:rsid w:val="00C73993"/>
    <w:rsid w:val="00C80DE7"/>
    <w:rsid w:val="00C81817"/>
    <w:rsid w:val="00C85E79"/>
    <w:rsid w:val="00CA3947"/>
    <w:rsid w:val="00CA450A"/>
    <w:rsid w:val="00CB143E"/>
    <w:rsid w:val="00CB1724"/>
    <w:rsid w:val="00CB2B48"/>
    <w:rsid w:val="00CB6EC0"/>
    <w:rsid w:val="00CC0949"/>
    <w:rsid w:val="00CC20CB"/>
    <w:rsid w:val="00CC7613"/>
    <w:rsid w:val="00CD1A96"/>
    <w:rsid w:val="00CE3487"/>
    <w:rsid w:val="00CF216D"/>
    <w:rsid w:val="00CF2DD4"/>
    <w:rsid w:val="00CF2E76"/>
    <w:rsid w:val="00CF624D"/>
    <w:rsid w:val="00D049C4"/>
    <w:rsid w:val="00D1300F"/>
    <w:rsid w:val="00D15302"/>
    <w:rsid w:val="00D33251"/>
    <w:rsid w:val="00D35817"/>
    <w:rsid w:val="00D41F54"/>
    <w:rsid w:val="00D42B7C"/>
    <w:rsid w:val="00D46160"/>
    <w:rsid w:val="00D47672"/>
    <w:rsid w:val="00D67A18"/>
    <w:rsid w:val="00D72CE4"/>
    <w:rsid w:val="00D77A79"/>
    <w:rsid w:val="00D96904"/>
    <w:rsid w:val="00DB67A9"/>
    <w:rsid w:val="00DB7FE5"/>
    <w:rsid w:val="00DC2EAF"/>
    <w:rsid w:val="00DC3429"/>
    <w:rsid w:val="00DC5B63"/>
    <w:rsid w:val="00DD41FD"/>
    <w:rsid w:val="00DE0E8E"/>
    <w:rsid w:val="00DE3138"/>
    <w:rsid w:val="00DE3458"/>
    <w:rsid w:val="00DE727A"/>
    <w:rsid w:val="00DF0C33"/>
    <w:rsid w:val="00DF2C46"/>
    <w:rsid w:val="00DF3F6A"/>
    <w:rsid w:val="00DF781A"/>
    <w:rsid w:val="00E03E9B"/>
    <w:rsid w:val="00E06EB3"/>
    <w:rsid w:val="00E07E9D"/>
    <w:rsid w:val="00E07EB2"/>
    <w:rsid w:val="00E10A87"/>
    <w:rsid w:val="00E17075"/>
    <w:rsid w:val="00E27CC2"/>
    <w:rsid w:val="00E31AF4"/>
    <w:rsid w:val="00E34954"/>
    <w:rsid w:val="00E51BE3"/>
    <w:rsid w:val="00E54199"/>
    <w:rsid w:val="00E563C9"/>
    <w:rsid w:val="00E63CF4"/>
    <w:rsid w:val="00E7087C"/>
    <w:rsid w:val="00E72CCD"/>
    <w:rsid w:val="00E73A07"/>
    <w:rsid w:val="00E848F8"/>
    <w:rsid w:val="00E92775"/>
    <w:rsid w:val="00E96EE4"/>
    <w:rsid w:val="00EA1772"/>
    <w:rsid w:val="00EA31C6"/>
    <w:rsid w:val="00EB1FF8"/>
    <w:rsid w:val="00EB2A74"/>
    <w:rsid w:val="00EB2CDB"/>
    <w:rsid w:val="00EB46CB"/>
    <w:rsid w:val="00EB491D"/>
    <w:rsid w:val="00EC3879"/>
    <w:rsid w:val="00ED2DA2"/>
    <w:rsid w:val="00ED46DD"/>
    <w:rsid w:val="00ED76E9"/>
    <w:rsid w:val="00EE2258"/>
    <w:rsid w:val="00EE4F5C"/>
    <w:rsid w:val="00EF5662"/>
    <w:rsid w:val="00F0274D"/>
    <w:rsid w:val="00F02BF2"/>
    <w:rsid w:val="00F0640B"/>
    <w:rsid w:val="00F17EB8"/>
    <w:rsid w:val="00F2031F"/>
    <w:rsid w:val="00F21B1F"/>
    <w:rsid w:val="00F33A41"/>
    <w:rsid w:val="00F532CC"/>
    <w:rsid w:val="00F7351E"/>
    <w:rsid w:val="00F7731B"/>
    <w:rsid w:val="00F82082"/>
    <w:rsid w:val="00F840AB"/>
    <w:rsid w:val="00F86A22"/>
    <w:rsid w:val="00F92EED"/>
    <w:rsid w:val="00F93175"/>
    <w:rsid w:val="00F955A3"/>
    <w:rsid w:val="00FA15A7"/>
    <w:rsid w:val="00FA235D"/>
    <w:rsid w:val="00FB2CF5"/>
    <w:rsid w:val="00FB5F46"/>
    <w:rsid w:val="00FC15B4"/>
    <w:rsid w:val="00FC1E9D"/>
    <w:rsid w:val="00FD234D"/>
    <w:rsid w:val="00FD4613"/>
    <w:rsid w:val="00FE2E0D"/>
    <w:rsid w:val="00FE4B4D"/>
    <w:rsid w:val="00FF4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  <w:lang w:val="uk-UA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387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15302"/>
    <w:pPr>
      <w:spacing w:after="100"/>
      <w:ind w:left="220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uiPriority w:val="2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aliases w:val="Обычный (Web)"/>
    <w:basedOn w:val="a"/>
    <w:uiPriority w:val="99"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C387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nowrap">
    <w:name w:val="nowrap"/>
    <w:basedOn w:val="a0"/>
    <w:rsid w:val="00EC3879"/>
  </w:style>
  <w:style w:type="character" w:customStyle="1" w:styleId="disabledresolveddrug">
    <w:name w:val="disabledresolveddrug"/>
    <w:basedOn w:val="a0"/>
    <w:rsid w:val="00EC3879"/>
  </w:style>
  <w:style w:type="paragraph" w:customStyle="1" w:styleId="rvps2">
    <w:name w:val="rvps2"/>
    <w:basedOn w:val="a"/>
    <w:rsid w:val="00E73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E73A07"/>
  </w:style>
  <w:style w:type="paragraph" w:customStyle="1" w:styleId="rvps4">
    <w:name w:val="rvps4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">
    <w:name w:val="rvps1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AE21A4"/>
  </w:style>
  <w:style w:type="character" w:customStyle="1" w:styleId="rvts23">
    <w:name w:val="rvts23"/>
    <w:basedOn w:val="a0"/>
    <w:rsid w:val="00AE21A4"/>
  </w:style>
  <w:style w:type="paragraph" w:customStyle="1" w:styleId="rvps7">
    <w:name w:val="rvps7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6">
    <w:name w:val="rvps6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BE232C"/>
    <w:pPr>
      <w:spacing w:after="100"/>
      <w:ind w:left="44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3F6A"/>
  </w:style>
  <w:style w:type="paragraph" w:styleId="1">
    <w:name w:val="heading 1"/>
    <w:basedOn w:val="a"/>
    <w:next w:val="a"/>
    <w:link w:val="10"/>
    <w:rsid w:val="00F955A3"/>
    <w:pPr>
      <w:keepNext/>
      <w:keepLines/>
      <w:spacing w:before="480" w:after="0" w:line="360" w:lineRule="auto"/>
      <w:jc w:val="both"/>
      <w:outlineLvl w:val="0"/>
    </w:pPr>
    <w:rPr>
      <w:rFonts w:ascii="Calibri" w:eastAsia="Calibri" w:hAnsi="Calibri" w:cs="Calibri"/>
      <w:b/>
      <w:color w:val="2F5496"/>
      <w:sz w:val="28"/>
      <w:szCs w:val="28"/>
      <w:lang w:val="uk-UA"/>
    </w:rPr>
  </w:style>
  <w:style w:type="paragraph" w:styleId="2">
    <w:name w:val="heading 2"/>
    <w:basedOn w:val="a"/>
    <w:next w:val="a"/>
    <w:link w:val="20"/>
    <w:rsid w:val="00F955A3"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472C4"/>
      <w:sz w:val="26"/>
      <w:szCs w:val="26"/>
      <w:lang w:val="uk-U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C387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955A3"/>
    <w:rPr>
      <w:rFonts w:ascii="Calibri" w:eastAsia="Calibri" w:hAnsi="Calibri" w:cs="Calibri"/>
      <w:b/>
      <w:color w:val="2F5496"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rsid w:val="00F955A3"/>
    <w:rPr>
      <w:rFonts w:ascii="Calibri" w:eastAsia="Calibri" w:hAnsi="Calibri" w:cs="Calibri"/>
      <w:b/>
      <w:color w:val="4472C4"/>
      <w:sz w:val="26"/>
      <w:szCs w:val="26"/>
      <w:lang w:val="uk-UA"/>
    </w:rPr>
  </w:style>
  <w:style w:type="character" w:styleId="a3">
    <w:name w:val="Hyperlink"/>
    <w:basedOn w:val="a0"/>
    <w:uiPriority w:val="99"/>
    <w:unhideWhenUsed/>
    <w:rsid w:val="005B6CD8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8B12EA"/>
    <w:pPr>
      <w:spacing w:after="200" w:line="276" w:lineRule="auto"/>
      <w:ind w:left="720"/>
      <w:contextualSpacing/>
    </w:pPr>
  </w:style>
  <w:style w:type="table" w:styleId="a5">
    <w:name w:val="Table Grid"/>
    <w:basedOn w:val="a1"/>
    <w:rsid w:val="00F064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11">
    <w:name w:val="toc 1"/>
    <w:basedOn w:val="a"/>
    <w:next w:val="a"/>
    <w:autoRedefine/>
    <w:uiPriority w:val="39"/>
    <w:unhideWhenUsed/>
    <w:rsid w:val="00D15302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D15302"/>
    <w:pPr>
      <w:spacing w:after="100"/>
      <w:ind w:left="220"/>
    </w:pPr>
  </w:style>
  <w:style w:type="table" w:customStyle="1" w:styleId="100">
    <w:name w:val="10"/>
    <w:basedOn w:val="a1"/>
    <w:rsid w:val="00D15302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2">
    <w:name w:val="12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110">
    <w:name w:val="11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9">
    <w:name w:val="9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table" w:customStyle="1" w:styleId="8">
    <w:name w:val="8"/>
    <w:basedOn w:val="a1"/>
    <w:rsid w:val="00D42B7C"/>
    <w:pPr>
      <w:spacing w:after="0" w:line="240" w:lineRule="auto"/>
    </w:pPr>
    <w:rPr>
      <w:rFonts w:ascii="Calibri" w:eastAsia="Calibri" w:hAnsi="Calibri" w:cs="Calibri"/>
      <w:lang w:val="uk-UA"/>
    </w:rPr>
    <w:tblPr>
      <w:tblStyleRowBandSize w:val="1"/>
      <w:tblStyleColBandSize w:val="1"/>
      <w:tblInd w:w="0" w:type="nil"/>
    </w:tblPr>
  </w:style>
  <w:style w:type="paragraph" w:styleId="a6">
    <w:name w:val="caption"/>
    <w:basedOn w:val="a"/>
    <w:next w:val="a"/>
    <w:uiPriority w:val="35"/>
    <w:unhideWhenUsed/>
    <w:qFormat/>
    <w:rsid w:val="0079758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DB67A9"/>
  </w:style>
  <w:style w:type="paragraph" w:styleId="a9">
    <w:name w:val="footer"/>
    <w:basedOn w:val="a"/>
    <w:link w:val="aa"/>
    <w:uiPriority w:val="99"/>
    <w:unhideWhenUsed/>
    <w:rsid w:val="00DB67A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DB67A9"/>
  </w:style>
  <w:style w:type="paragraph" w:styleId="ab">
    <w:name w:val="Balloon Text"/>
    <w:basedOn w:val="a"/>
    <w:link w:val="ac"/>
    <w:uiPriority w:val="99"/>
    <w:semiHidden/>
    <w:unhideWhenUsed/>
    <w:rsid w:val="00AB46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B4633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ED2DA2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ED2DA2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ED2DA2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ED2DA2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ED2DA2"/>
    <w:rPr>
      <w:b/>
      <w:bCs/>
      <w:sz w:val="20"/>
      <w:szCs w:val="20"/>
    </w:rPr>
  </w:style>
  <w:style w:type="character" w:customStyle="1" w:styleId="citation">
    <w:name w:val="citation"/>
    <w:basedOn w:val="a0"/>
    <w:rsid w:val="00A00530"/>
  </w:style>
  <w:style w:type="character" w:styleId="af2">
    <w:name w:val="Strong"/>
    <w:basedOn w:val="a0"/>
    <w:uiPriority w:val="22"/>
    <w:qFormat/>
    <w:rsid w:val="00A00530"/>
    <w:rPr>
      <w:b/>
      <w:bCs/>
    </w:rPr>
  </w:style>
  <w:style w:type="paragraph" w:styleId="af3">
    <w:name w:val="Body Text Indent"/>
    <w:basedOn w:val="a"/>
    <w:link w:val="af4"/>
    <w:rsid w:val="00A00530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f4">
    <w:name w:val="Основной текст с отступом Знак"/>
    <w:basedOn w:val="a0"/>
    <w:link w:val="af3"/>
    <w:rsid w:val="00A00530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f5">
    <w:name w:val="Emphasis"/>
    <w:basedOn w:val="a0"/>
    <w:uiPriority w:val="20"/>
    <w:qFormat/>
    <w:rsid w:val="00BF67BA"/>
    <w:rPr>
      <w:i/>
      <w:iCs/>
    </w:rPr>
  </w:style>
  <w:style w:type="paragraph" w:customStyle="1" w:styleId="sm">
    <w:name w:val="sm"/>
    <w:basedOn w:val="a"/>
    <w:rsid w:val="00BF6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4">
    <w:name w:val="Абзац списка4"/>
    <w:basedOn w:val="a"/>
    <w:rsid w:val="00BF67BA"/>
    <w:pPr>
      <w:spacing w:after="200" w:line="276" w:lineRule="auto"/>
      <w:ind w:left="720"/>
    </w:pPr>
    <w:rPr>
      <w:rFonts w:ascii="Calibri" w:eastAsia="Times New Roman" w:hAnsi="Calibri" w:cs="Times New Roman"/>
      <w:lang w:eastAsia="ru-RU"/>
    </w:rPr>
  </w:style>
  <w:style w:type="paragraph" w:styleId="af6">
    <w:name w:val="Normal (Web)"/>
    <w:aliases w:val="Обычный (Web)"/>
    <w:basedOn w:val="a"/>
    <w:uiPriority w:val="99"/>
    <w:unhideWhenUsed/>
    <w:rsid w:val="007A4FF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f7">
    <w:name w:val="TOC Heading"/>
    <w:basedOn w:val="1"/>
    <w:next w:val="a"/>
    <w:uiPriority w:val="39"/>
    <w:semiHidden/>
    <w:unhideWhenUsed/>
    <w:qFormat/>
    <w:rsid w:val="00CB2B48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2E74B5" w:themeColor="accent1" w:themeShade="BF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EC3879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nowrap">
    <w:name w:val="nowrap"/>
    <w:basedOn w:val="a0"/>
    <w:rsid w:val="00EC3879"/>
  </w:style>
  <w:style w:type="character" w:customStyle="1" w:styleId="disabledresolveddrug">
    <w:name w:val="disabledresolveddrug"/>
    <w:basedOn w:val="a0"/>
    <w:rsid w:val="00EC3879"/>
  </w:style>
  <w:style w:type="paragraph" w:customStyle="1" w:styleId="rvps2">
    <w:name w:val="rvps2"/>
    <w:basedOn w:val="a"/>
    <w:rsid w:val="00E73A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9">
    <w:name w:val="rvts9"/>
    <w:basedOn w:val="a0"/>
    <w:rsid w:val="00E73A07"/>
  </w:style>
  <w:style w:type="paragraph" w:customStyle="1" w:styleId="rvps4">
    <w:name w:val="rvps4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1">
    <w:name w:val="rvps1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5">
    <w:name w:val="rvts15"/>
    <w:basedOn w:val="a0"/>
    <w:rsid w:val="00AE21A4"/>
  </w:style>
  <w:style w:type="character" w:customStyle="1" w:styleId="rvts23">
    <w:name w:val="rvts23"/>
    <w:basedOn w:val="a0"/>
    <w:rsid w:val="00AE21A4"/>
  </w:style>
  <w:style w:type="paragraph" w:customStyle="1" w:styleId="rvps7">
    <w:name w:val="rvps7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vps6">
    <w:name w:val="rvps6"/>
    <w:basedOn w:val="a"/>
    <w:rsid w:val="00AE21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BE232C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66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0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4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74457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3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4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26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9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4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60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ozon.ru/person/3784112/" TargetMode="External"/><Relationship Id="rId18" Type="http://schemas.openxmlformats.org/officeDocument/2006/relationships/hyperlink" Target="http://www.nejm.org/doi/full/10.1056/NEJMoa1506930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.ozon.ru/person/3784112/" TargetMode="External"/><Relationship Id="rId17" Type="http://schemas.openxmlformats.org/officeDocument/2006/relationships/hyperlink" Target="http://www.nejm.org/doi/full/10.1056/NEJMoa150693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ncbi.nlm.nih.gov/pubmed/10441299?dopt=Abstract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eurology.ru/monografii-rukovodstva-i-metodicheskie-rekomendacii/insult-poshagovaya-instrukciya-rukovodstvo-dlya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doi.org/10.17816/mechnikov201810473-80" TargetMode="External"/><Relationship Id="rId10" Type="http://schemas.openxmlformats.org/officeDocument/2006/relationships/hyperlink" Target="https://zakon.rada.gov.ua/rada/show/v0602282-12" TargetMode="External"/><Relationship Id="rId19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www.ozon.ru/person/4391723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3F3C15-818B-49AE-B064-7685260FC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11241</Words>
  <Characters>6408</Characters>
  <Application>Microsoft Office Word</Application>
  <DocSecurity>0</DocSecurity>
  <Lines>53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Romeo1994</Company>
  <LinksUpToDate>false</LinksUpToDate>
  <CharactersWithSpaces>17614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Алина</dc:creator>
  <cp:lastModifiedBy>admin</cp:lastModifiedBy>
  <cp:revision>2</cp:revision>
  <cp:lastPrinted>2020-11-29T20:16:00Z</cp:lastPrinted>
  <dcterms:created xsi:type="dcterms:W3CDTF">2021-08-04T08:03:00Z</dcterms:created>
  <dcterms:modified xsi:type="dcterms:W3CDTF">2021-08-04T08:03:00Z</dcterms:modified>
</cp:coreProperties>
</file>